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4EE" w:rsidRPr="003436C0" w:rsidRDefault="004F04EE">
      <w:pPr>
        <w:rPr>
          <w:rFonts w:asciiTheme="minorBidi" w:hAnsiTheme="minorBidi"/>
          <w:sz w:val="22"/>
          <w:szCs w:val="22"/>
          <w:lang w:val="en-GB"/>
        </w:rPr>
      </w:pPr>
    </w:p>
    <w:p w:rsidR="004F04EE" w:rsidRPr="003436C0" w:rsidRDefault="004F04EE" w:rsidP="00C74B64">
      <w:pPr>
        <w:rPr>
          <w:rFonts w:asciiTheme="minorBidi" w:hAnsiTheme="minorBidi"/>
          <w:sz w:val="22"/>
          <w:szCs w:val="22"/>
          <w:lang w:val="en-GB"/>
        </w:rPr>
      </w:pPr>
    </w:p>
    <w:p w:rsidR="00C74B64" w:rsidRPr="003436C0" w:rsidRDefault="00C74B64" w:rsidP="00C74B64">
      <w:pPr>
        <w:rPr>
          <w:rFonts w:asciiTheme="minorBidi" w:hAnsiTheme="minorBidi"/>
          <w:sz w:val="22"/>
          <w:szCs w:val="22"/>
          <w:lang w:val="en-GB"/>
        </w:rPr>
      </w:pPr>
      <w:r w:rsidRPr="003436C0">
        <w:rPr>
          <w:rFonts w:asciiTheme="minorBidi" w:hAnsiTheme="minorBidi"/>
          <w:sz w:val="22"/>
          <w:szCs w:val="22"/>
          <w:lang w:val="en-GB"/>
        </w:rPr>
        <w:t>Supplementary Table</w:t>
      </w:r>
      <w:r w:rsidR="004F04EE" w:rsidRPr="003436C0">
        <w:rPr>
          <w:rFonts w:asciiTheme="minorBidi" w:hAnsiTheme="minorBidi"/>
          <w:sz w:val="22"/>
          <w:szCs w:val="22"/>
          <w:lang w:val="en-GB"/>
        </w:rPr>
        <w:t xml:space="preserve"> 2</w:t>
      </w:r>
      <w:r w:rsidRPr="003436C0">
        <w:rPr>
          <w:rFonts w:asciiTheme="minorBidi" w:hAnsiTheme="minorBidi"/>
          <w:sz w:val="22"/>
          <w:szCs w:val="22"/>
          <w:lang w:val="en-GB"/>
        </w:rPr>
        <w:t xml:space="preserve">. Disagreement between </w:t>
      </w:r>
      <w:r w:rsidRPr="003436C0">
        <w:rPr>
          <w:rFonts w:asciiTheme="minorBidi" w:hAnsiTheme="minorBidi"/>
          <w:bCs/>
          <w:sz w:val="22"/>
          <w:szCs w:val="22"/>
          <w:shd w:val="clear" w:color="auto" w:fill="FFFFFF"/>
          <w:lang w:val="en-GB"/>
        </w:rPr>
        <w:t>[</w:t>
      </w:r>
      <w:r w:rsidRPr="003436C0">
        <w:rPr>
          <w:rFonts w:asciiTheme="minorBidi" w:hAnsiTheme="minorBidi"/>
          <w:bCs/>
          <w:sz w:val="22"/>
          <w:szCs w:val="22"/>
          <w:vertAlign w:val="superscript"/>
          <w:lang w:val="en-GB"/>
        </w:rPr>
        <w:t>123</w:t>
      </w:r>
      <w:r w:rsidRPr="003436C0">
        <w:rPr>
          <w:rFonts w:asciiTheme="minorBidi" w:hAnsiTheme="minorBidi"/>
          <w:bCs/>
          <w:sz w:val="22"/>
          <w:szCs w:val="22"/>
          <w:lang w:val="en-GB"/>
        </w:rPr>
        <w:t>I]FP-</w:t>
      </w:r>
      <w:r w:rsidRPr="003436C0">
        <w:rPr>
          <w:rFonts w:asciiTheme="minorBidi" w:hAnsiTheme="minorBidi"/>
          <w:bCs/>
          <w:sz w:val="22"/>
          <w:szCs w:val="22"/>
          <w:shd w:val="clear" w:color="auto" w:fill="FFFFFF"/>
          <w:lang w:val="en-GB"/>
        </w:rPr>
        <w:t>CIT SPECT and [</w:t>
      </w:r>
      <w:r w:rsidRPr="003436C0">
        <w:rPr>
          <w:rFonts w:asciiTheme="minorBidi" w:hAnsiTheme="minorBidi"/>
          <w:bCs/>
          <w:sz w:val="22"/>
          <w:szCs w:val="22"/>
          <w:vertAlign w:val="superscript"/>
          <w:lang w:val="en-GB"/>
        </w:rPr>
        <w:t>18</w:t>
      </w:r>
      <w:r w:rsidRPr="003436C0">
        <w:rPr>
          <w:rFonts w:asciiTheme="minorBidi" w:hAnsiTheme="minorBidi"/>
          <w:bCs/>
          <w:sz w:val="22"/>
          <w:szCs w:val="22"/>
          <w:lang w:val="en-GB"/>
        </w:rPr>
        <w:t>F]FE-</w:t>
      </w:r>
      <w:r w:rsidRPr="003436C0">
        <w:rPr>
          <w:rFonts w:asciiTheme="minorBidi" w:hAnsiTheme="minorBidi"/>
          <w:bCs/>
          <w:sz w:val="22"/>
          <w:szCs w:val="22"/>
          <w:shd w:val="clear" w:color="auto" w:fill="FFFFFF"/>
          <w:lang w:val="en-GB"/>
        </w:rPr>
        <w:t>PE2I PET</w:t>
      </w:r>
    </w:p>
    <w:tbl>
      <w:tblPr>
        <w:tblStyle w:val="TableGrid"/>
        <w:tblW w:w="10232" w:type="dxa"/>
        <w:tblLayout w:type="fixed"/>
        <w:tblLook w:val="04A0" w:firstRow="1" w:lastRow="0" w:firstColumn="1" w:lastColumn="0" w:noHBand="0" w:noVBand="1"/>
      </w:tblPr>
      <w:tblGrid>
        <w:gridCol w:w="399"/>
        <w:gridCol w:w="1166"/>
        <w:gridCol w:w="992"/>
        <w:gridCol w:w="5953"/>
        <w:gridCol w:w="1722"/>
      </w:tblGrid>
      <w:tr w:rsidR="003436C0" w:rsidRPr="003436C0" w:rsidTr="009067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tcW w:w="399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b/>
                <w:i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b/>
                <w:i/>
                <w:shd w:val="clear" w:color="auto" w:fill="FFFFFF"/>
                <w:lang w:val="en-GB"/>
              </w:rPr>
              <w:t>Pt no</w:t>
            </w:r>
          </w:p>
        </w:tc>
        <w:tc>
          <w:tcPr>
            <w:tcW w:w="1166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b/>
                <w:i/>
                <w:iCs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b/>
                <w:i/>
                <w:iCs/>
                <w:shd w:val="clear" w:color="auto" w:fill="FFFFFF"/>
                <w:lang w:val="en-GB"/>
              </w:rPr>
              <w:t>[</w:t>
            </w:r>
            <w:r w:rsidRPr="003436C0">
              <w:rPr>
                <w:rFonts w:asciiTheme="minorBidi" w:hAnsiTheme="minorBidi"/>
                <w:b/>
                <w:i/>
                <w:iCs/>
                <w:vertAlign w:val="superscript"/>
                <w:lang w:val="en-GB"/>
              </w:rPr>
              <w:t>123</w:t>
            </w:r>
            <w:r w:rsidRPr="003436C0">
              <w:rPr>
                <w:rFonts w:asciiTheme="minorBidi" w:hAnsiTheme="minorBidi"/>
                <w:b/>
                <w:i/>
                <w:iCs/>
                <w:lang w:val="en-GB"/>
              </w:rPr>
              <w:t>I]</w:t>
            </w:r>
            <w:r w:rsidRPr="003436C0">
              <w:rPr>
                <w:rFonts w:asciiTheme="minorBidi" w:hAnsiTheme="minorBidi"/>
                <w:b/>
                <w:i/>
                <w:iCs/>
                <w:shd w:val="clear" w:color="auto" w:fill="FFFFFF"/>
                <w:lang w:val="en-GB"/>
              </w:rPr>
              <w:t>FP-CIT SPECT</w:t>
            </w:r>
          </w:p>
        </w:tc>
        <w:tc>
          <w:tcPr>
            <w:tcW w:w="992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b/>
                <w:i/>
                <w:iCs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b/>
                <w:i/>
                <w:iCs/>
                <w:shd w:val="clear" w:color="auto" w:fill="FFFFFF"/>
                <w:lang w:val="en-GB"/>
              </w:rPr>
              <w:t>[</w:t>
            </w:r>
            <w:r w:rsidRPr="003436C0">
              <w:rPr>
                <w:rFonts w:asciiTheme="minorBidi" w:hAnsiTheme="minorBidi"/>
                <w:b/>
                <w:i/>
                <w:iCs/>
                <w:vertAlign w:val="superscript"/>
                <w:lang w:val="en-GB"/>
              </w:rPr>
              <w:t>18</w:t>
            </w:r>
            <w:r w:rsidRPr="003436C0">
              <w:rPr>
                <w:rFonts w:asciiTheme="minorBidi" w:hAnsiTheme="minorBidi"/>
                <w:b/>
                <w:i/>
                <w:iCs/>
                <w:lang w:val="en-GB"/>
              </w:rPr>
              <w:t>F]</w:t>
            </w:r>
            <w:r w:rsidRPr="003436C0">
              <w:rPr>
                <w:rFonts w:asciiTheme="minorBidi" w:hAnsiTheme="minorBidi"/>
                <w:b/>
                <w:i/>
                <w:iCs/>
                <w:shd w:val="clear" w:color="auto" w:fill="FFFFFF"/>
                <w:lang w:val="en-GB"/>
              </w:rPr>
              <w:t>PE2I PET</w:t>
            </w:r>
          </w:p>
        </w:tc>
        <w:tc>
          <w:tcPr>
            <w:tcW w:w="5953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b/>
                <w:i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b/>
                <w:i/>
                <w:shd w:val="clear" w:color="auto" w:fill="FFFFFF"/>
                <w:lang w:val="en-GB"/>
              </w:rPr>
              <w:t>Comment</w:t>
            </w:r>
          </w:p>
        </w:tc>
        <w:tc>
          <w:tcPr>
            <w:tcW w:w="1722" w:type="dxa"/>
          </w:tcPr>
          <w:p w:rsidR="00906767" w:rsidRPr="003436C0" w:rsidRDefault="00906767" w:rsidP="0084619C">
            <w:pPr>
              <w:spacing w:line="480" w:lineRule="auto"/>
              <w:rPr>
                <w:rFonts w:asciiTheme="minorBidi" w:hAnsiTheme="minorBidi"/>
                <w:b/>
                <w:i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b/>
                <w:i/>
                <w:shd w:val="clear" w:color="auto" w:fill="FFFFFF"/>
                <w:lang w:val="en-GB"/>
              </w:rPr>
              <w:t>Disagreement due to lack of prior imaging</w:t>
            </w:r>
          </w:p>
        </w:tc>
      </w:tr>
      <w:tr w:rsidR="003436C0" w:rsidRPr="003436C0" w:rsidTr="00906767">
        <w:trPr>
          <w:trHeight w:val="213"/>
        </w:trPr>
        <w:tc>
          <w:tcPr>
            <w:tcW w:w="399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>1</w:t>
            </w:r>
          </w:p>
        </w:tc>
        <w:tc>
          <w:tcPr>
            <w:tcW w:w="1166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>2</w:t>
            </w:r>
          </w:p>
        </w:tc>
        <w:tc>
          <w:tcPr>
            <w:tcW w:w="992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 xml:space="preserve">0 </w:t>
            </w:r>
          </w:p>
        </w:tc>
        <w:tc>
          <w:tcPr>
            <w:tcW w:w="5953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>Prior CT showed infarction in basal ganglia bilaterally. The impact on PE2I-uptake was regarded less than impact on FP-CIT uptake</w:t>
            </w:r>
            <w:r w:rsidR="00C33CEC" w:rsidRPr="003436C0">
              <w:rPr>
                <w:rFonts w:asciiTheme="minorBidi" w:hAnsiTheme="minorBidi"/>
                <w:shd w:val="clear" w:color="auto" w:fill="FFFFFF"/>
                <w:lang w:val="en-GB"/>
              </w:rPr>
              <w:t>.</w:t>
            </w:r>
          </w:p>
          <w:p w:rsidR="00C33CEC" w:rsidRPr="003436C0" w:rsidRDefault="00C33CEC" w:rsidP="00D24E87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 xml:space="preserve">The patient was diagnosed with vascular parkinsonism and later developed </w:t>
            </w:r>
            <w:r w:rsidR="00D24E87" w:rsidRPr="003436C0">
              <w:rPr>
                <w:rFonts w:asciiTheme="minorBidi" w:hAnsiTheme="minorBidi"/>
                <w:shd w:val="clear" w:color="auto" w:fill="FFFFFF"/>
                <w:lang w:val="en-GB"/>
              </w:rPr>
              <w:t>mild</w:t>
            </w: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 xml:space="preserve"> vascular dementia.</w:t>
            </w:r>
          </w:p>
        </w:tc>
        <w:tc>
          <w:tcPr>
            <w:tcW w:w="1722" w:type="dxa"/>
          </w:tcPr>
          <w:p w:rsidR="00906767" w:rsidRPr="003436C0" w:rsidRDefault="00906767" w:rsidP="0084619C">
            <w:pPr>
              <w:spacing w:line="480" w:lineRule="auto"/>
              <w:rPr>
                <w:rFonts w:asciiTheme="minorBidi" w:hAnsiTheme="minorBidi"/>
                <w:shd w:val="clear" w:color="auto" w:fill="FFFFFF"/>
                <w:lang w:val="en-GB"/>
              </w:rPr>
            </w:pPr>
          </w:p>
        </w:tc>
      </w:tr>
      <w:tr w:rsidR="003436C0" w:rsidRPr="003436C0" w:rsidTr="00906767">
        <w:trPr>
          <w:trHeight w:val="417"/>
        </w:trPr>
        <w:tc>
          <w:tcPr>
            <w:tcW w:w="399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>2</w:t>
            </w:r>
          </w:p>
        </w:tc>
        <w:tc>
          <w:tcPr>
            <w:tcW w:w="1166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 xml:space="preserve">0 </w:t>
            </w:r>
          </w:p>
        </w:tc>
        <w:tc>
          <w:tcPr>
            <w:tcW w:w="992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>2</w:t>
            </w:r>
          </w:p>
        </w:tc>
        <w:tc>
          <w:tcPr>
            <w:tcW w:w="5953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 xml:space="preserve">Prior MRI showed infarction in left basal ganglia. The impact on FP-CIT uptake was regarded less than impact on PE2I uptake. </w:t>
            </w:r>
          </w:p>
          <w:p w:rsidR="00D25D80" w:rsidRPr="003436C0" w:rsidRDefault="00D25D80" w:rsidP="00D25D80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>The patient was later diagnosed with normal pressure hydrocephalus and a shunt relieved some of the symptoms.</w:t>
            </w:r>
          </w:p>
        </w:tc>
        <w:tc>
          <w:tcPr>
            <w:tcW w:w="1722" w:type="dxa"/>
          </w:tcPr>
          <w:p w:rsidR="00906767" w:rsidRPr="003436C0" w:rsidRDefault="00906767" w:rsidP="0084619C">
            <w:pPr>
              <w:spacing w:line="480" w:lineRule="auto"/>
              <w:rPr>
                <w:rFonts w:asciiTheme="minorBidi" w:hAnsiTheme="minorBidi"/>
                <w:shd w:val="clear" w:color="auto" w:fill="FFFFFF"/>
                <w:lang w:val="en-GB"/>
              </w:rPr>
            </w:pPr>
          </w:p>
        </w:tc>
      </w:tr>
      <w:tr w:rsidR="003436C0" w:rsidRPr="003436C0" w:rsidTr="00906767">
        <w:trPr>
          <w:trHeight w:val="417"/>
        </w:trPr>
        <w:tc>
          <w:tcPr>
            <w:tcW w:w="399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>3</w:t>
            </w:r>
          </w:p>
        </w:tc>
        <w:tc>
          <w:tcPr>
            <w:tcW w:w="1166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>1</w:t>
            </w:r>
          </w:p>
        </w:tc>
        <w:tc>
          <w:tcPr>
            <w:tcW w:w="992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>2</w:t>
            </w:r>
          </w:p>
        </w:tc>
        <w:tc>
          <w:tcPr>
            <w:tcW w:w="5953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 xml:space="preserve">No prior structural imaging, thus reduced FP-CIT was interpreted as PS. CT showed bilateral infarctions and the reduced PE2I uptake was interpreted as structural changes. Later MRI showed bilaterally bleedings in the basal ganglia. </w:t>
            </w:r>
          </w:p>
        </w:tc>
        <w:tc>
          <w:tcPr>
            <w:tcW w:w="1722" w:type="dxa"/>
          </w:tcPr>
          <w:p w:rsidR="00906767" w:rsidRPr="003436C0" w:rsidRDefault="00906767" w:rsidP="00BC5B4E">
            <w:pPr>
              <w:spacing w:line="480" w:lineRule="auto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>yes</w:t>
            </w:r>
          </w:p>
        </w:tc>
      </w:tr>
      <w:tr w:rsidR="003436C0" w:rsidRPr="003436C0" w:rsidTr="00906767">
        <w:trPr>
          <w:trHeight w:val="417"/>
        </w:trPr>
        <w:tc>
          <w:tcPr>
            <w:tcW w:w="399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>4</w:t>
            </w:r>
          </w:p>
        </w:tc>
        <w:tc>
          <w:tcPr>
            <w:tcW w:w="1166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>1</w:t>
            </w:r>
          </w:p>
        </w:tc>
        <w:tc>
          <w:tcPr>
            <w:tcW w:w="992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>2</w:t>
            </w:r>
          </w:p>
        </w:tc>
        <w:tc>
          <w:tcPr>
            <w:tcW w:w="5953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>No prior structural imaging, thus reduced FP-CIT was interpreted as PS. CT showed infarction lateral for left putamen and the reduced PE2I uptake was interpreted as structural changes. No follow-up was available.</w:t>
            </w:r>
          </w:p>
        </w:tc>
        <w:tc>
          <w:tcPr>
            <w:tcW w:w="1722" w:type="dxa"/>
          </w:tcPr>
          <w:p w:rsidR="00906767" w:rsidRPr="003436C0" w:rsidRDefault="00906767" w:rsidP="00DD6511">
            <w:pPr>
              <w:spacing w:line="480" w:lineRule="auto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>yes</w:t>
            </w:r>
          </w:p>
        </w:tc>
      </w:tr>
      <w:tr w:rsidR="003436C0" w:rsidRPr="003436C0" w:rsidTr="00906767">
        <w:trPr>
          <w:trHeight w:val="417"/>
        </w:trPr>
        <w:tc>
          <w:tcPr>
            <w:tcW w:w="399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>5</w:t>
            </w:r>
          </w:p>
        </w:tc>
        <w:tc>
          <w:tcPr>
            <w:tcW w:w="1166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>1</w:t>
            </w:r>
          </w:p>
        </w:tc>
        <w:tc>
          <w:tcPr>
            <w:tcW w:w="992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>3</w:t>
            </w:r>
          </w:p>
        </w:tc>
        <w:tc>
          <w:tcPr>
            <w:tcW w:w="5953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>No prior structural imaging, thus reduced FP-CIT was solely interpreted as PS. CT showed infarction in left caudate and putamen and the reduced PE2I-uptake was interpreted as mixed PS and structural changes</w:t>
            </w:r>
          </w:p>
        </w:tc>
        <w:tc>
          <w:tcPr>
            <w:tcW w:w="1722" w:type="dxa"/>
          </w:tcPr>
          <w:p w:rsidR="00906767" w:rsidRPr="003436C0" w:rsidRDefault="00906767" w:rsidP="00DD6511">
            <w:pPr>
              <w:spacing w:line="480" w:lineRule="auto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>yes</w:t>
            </w:r>
          </w:p>
        </w:tc>
      </w:tr>
      <w:tr w:rsidR="003436C0" w:rsidRPr="003436C0" w:rsidTr="00906767">
        <w:trPr>
          <w:trHeight w:val="621"/>
        </w:trPr>
        <w:tc>
          <w:tcPr>
            <w:tcW w:w="399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>6</w:t>
            </w:r>
          </w:p>
        </w:tc>
        <w:tc>
          <w:tcPr>
            <w:tcW w:w="1166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 xml:space="preserve">1 </w:t>
            </w:r>
          </w:p>
        </w:tc>
        <w:tc>
          <w:tcPr>
            <w:tcW w:w="992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>0</w:t>
            </w:r>
          </w:p>
        </w:tc>
        <w:tc>
          <w:tcPr>
            <w:tcW w:w="5953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 xml:space="preserve">Prior CT available. With better resolution, PE2I uptake was </w:t>
            </w:r>
            <w:r w:rsidR="00C550AB" w:rsidRPr="003436C0">
              <w:rPr>
                <w:rFonts w:asciiTheme="minorBidi" w:hAnsiTheme="minorBidi"/>
                <w:shd w:val="clear" w:color="auto" w:fill="FFFFFF"/>
                <w:lang w:val="en-GB"/>
              </w:rPr>
              <w:t>interpreted</w:t>
            </w: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 xml:space="preserve"> as normal as opposed to FP-CIT uptake which was </w:t>
            </w:r>
            <w:r w:rsidR="00C550AB" w:rsidRPr="003436C0">
              <w:rPr>
                <w:rFonts w:asciiTheme="minorBidi" w:hAnsiTheme="minorBidi"/>
                <w:shd w:val="clear" w:color="auto" w:fill="FFFFFF"/>
                <w:lang w:val="en-GB"/>
              </w:rPr>
              <w:t>interpreted</w:t>
            </w: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 xml:space="preserve"> as PS. Follow-up three years later showed continuous gait disturbances, increasing cognitive symptoms and normal PE2I uptake. Effect of Levodopa was described to be uncertain. </w:t>
            </w:r>
          </w:p>
        </w:tc>
        <w:tc>
          <w:tcPr>
            <w:tcW w:w="1722" w:type="dxa"/>
          </w:tcPr>
          <w:p w:rsidR="00906767" w:rsidRPr="003436C0" w:rsidRDefault="00906767" w:rsidP="00D77041">
            <w:pPr>
              <w:spacing w:line="480" w:lineRule="auto"/>
              <w:rPr>
                <w:rFonts w:asciiTheme="minorBidi" w:hAnsiTheme="minorBidi"/>
                <w:shd w:val="clear" w:color="auto" w:fill="FFFFFF"/>
                <w:lang w:val="en-GB"/>
              </w:rPr>
            </w:pPr>
          </w:p>
        </w:tc>
      </w:tr>
      <w:tr w:rsidR="003436C0" w:rsidRPr="003436C0" w:rsidTr="00906767">
        <w:trPr>
          <w:trHeight w:val="630"/>
        </w:trPr>
        <w:tc>
          <w:tcPr>
            <w:tcW w:w="399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>7</w:t>
            </w:r>
          </w:p>
        </w:tc>
        <w:tc>
          <w:tcPr>
            <w:tcW w:w="1166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>2</w:t>
            </w:r>
          </w:p>
        </w:tc>
        <w:tc>
          <w:tcPr>
            <w:tcW w:w="992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>0</w:t>
            </w:r>
          </w:p>
        </w:tc>
        <w:tc>
          <w:tcPr>
            <w:tcW w:w="5953" w:type="dxa"/>
          </w:tcPr>
          <w:p w:rsidR="00906767" w:rsidRPr="003436C0" w:rsidRDefault="00906767" w:rsidP="003D0243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>Prior CT showed infarcts in basal ganglia. The impact on PE2I-uptake was regarded less than impact on FP-CIT uptake.</w:t>
            </w:r>
            <w:r w:rsidR="003D0243">
              <w:rPr>
                <w:rFonts w:asciiTheme="minorBidi" w:hAnsiTheme="minorBidi"/>
                <w:shd w:val="clear" w:color="auto" w:fill="FFFFFF"/>
                <w:lang w:val="en-GB"/>
              </w:rPr>
              <w:t xml:space="preserve"> </w:t>
            </w:r>
            <w:bookmarkStart w:id="0" w:name="_GoBack"/>
            <w:bookmarkEnd w:id="0"/>
            <w:r w:rsidR="006A4AB4" w:rsidRPr="003436C0">
              <w:rPr>
                <w:rFonts w:asciiTheme="minorBidi" w:hAnsiTheme="minorBidi"/>
                <w:shd w:val="clear" w:color="auto" w:fill="FFFFFF"/>
                <w:lang w:val="en-GB"/>
              </w:rPr>
              <w:t xml:space="preserve">The patient was deteriorating and died within a year. </w:t>
            </w:r>
          </w:p>
        </w:tc>
        <w:tc>
          <w:tcPr>
            <w:tcW w:w="1722" w:type="dxa"/>
          </w:tcPr>
          <w:p w:rsidR="00906767" w:rsidRPr="003436C0" w:rsidRDefault="00906767" w:rsidP="0084619C">
            <w:pPr>
              <w:spacing w:line="480" w:lineRule="auto"/>
              <w:rPr>
                <w:rFonts w:asciiTheme="minorBidi" w:hAnsiTheme="minorBidi"/>
                <w:shd w:val="clear" w:color="auto" w:fill="FFFFFF"/>
                <w:lang w:val="en-GB"/>
              </w:rPr>
            </w:pPr>
          </w:p>
        </w:tc>
      </w:tr>
      <w:tr w:rsidR="003436C0" w:rsidRPr="003436C0" w:rsidTr="00906767">
        <w:trPr>
          <w:trHeight w:val="417"/>
        </w:trPr>
        <w:tc>
          <w:tcPr>
            <w:tcW w:w="399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lastRenderedPageBreak/>
              <w:t>8</w:t>
            </w:r>
          </w:p>
        </w:tc>
        <w:tc>
          <w:tcPr>
            <w:tcW w:w="1166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>1</w:t>
            </w:r>
          </w:p>
        </w:tc>
        <w:tc>
          <w:tcPr>
            <w:tcW w:w="992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>3</w:t>
            </w:r>
          </w:p>
        </w:tc>
        <w:tc>
          <w:tcPr>
            <w:tcW w:w="5953" w:type="dxa"/>
          </w:tcPr>
          <w:p w:rsidR="00906767" w:rsidRPr="003436C0" w:rsidRDefault="00906767" w:rsidP="004F04EE">
            <w:pPr>
              <w:spacing w:line="400" w:lineRule="exact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>No prior structural imaging, thus reduced FP-CIT was solely interpreted as PS. CT showed bilateral infarctions and the reduced PE2I-uptake was interpreted as mixed PS and structural changes</w:t>
            </w:r>
          </w:p>
        </w:tc>
        <w:tc>
          <w:tcPr>
            <w:tcW w:w="1722" w:type="dxa"/>
          </w:tcPr>
          <w:p w:rsidR="00906767" w:rsidRPr="003436C0" w:rsidRDefault="00906767" w:rsidP="00DD6511">
            <w:pPr>
              <w:spacing w:line="480" w:lineRule="auto"/>
              <w:rPr>
                <w:rFonts w:asciiTheme="minorBidi" w:hAnsiTheme="minorBidi"/>
                <w:shd w:val="clear" w:color="auto" w:fill="FFFFFF"/>
                <w:lang w:val="en-GB"/>
              </w:rPr>
            </w:pPr>
            <w:r w:rsidRPr="003436C0">
              <w:rPr>
                <w:rFonts w:asciiTheme="minorBidi" w:hAnsiTheme="minorBidi"/>
                <w:shd w:val="clear" w:color="auto" w:fill="FFFFFF"/>
                <w:lang w:val="en-GB"/>
              </w:rPr>
              <w:t>yes</w:t>
            </w:r>
          </w:p>
        </w:tc>
      </w:tr>
    </w:tbl>
    <w:p w:rsidR="00FC46F5" w:rsidRPr="003436C0" w:rsidRDefault="00C74B64" w:rsidP="00C74B64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3436C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0=normal, 1=P</w:t>
      </w:r>
      <w:r w:rsidR="0004355A" w:rsidRPr="003436C0">
        <w:rPr>
          <w:rFonts w:ascii="Times New Roman" w:hAnsi="Times New Roman" w:cs="Times New Roman"/>
          <w:bCs/>
          <w:sz w:val="24"/>
          <w:szCs w:val="24"/>
          <w:lang w:val="en-GB"/>
        </w:rPr>
        <w:t>S</w:t>
      </w:r>
      <w:r w:rsidRPr="003436C0">
        <w:rPr>
          <w:rFonts w:ascii="Times New Roman" w:hAnsi="Times New Roman" w:cs="Times New Roman"/>
          <w:bCs/>
          <w:sz w:val="24"/>
          <w:szCs w:val="24"/>
          <w:lang w:val="en-GB"/>
        </w:rPr>
        <w:t>, 2=structural, 3=mixed</w:t>
      </w:r>
      <w:r w:rsidR="00DD6511" w:rsidRPr="003436C0">
        <w:rPr>
          <w:rFonts w:ascii="Times New Roman" w:hAnsi="Times New Roman" w:cs="Times New Roman"/>
          <w:bCs/>
          <w:sz w:val="24"/>
          <w:szCs w:val="24"/>
          <w:lang w:val="en-GB"/>
        </w:rPr>
        <w:t>. PS: neurodegenerative parkinsonian syndrome.</w:t>
      </w:r>
    </w:p>
    <w:sectPr w:rsidR="00FC46F5" w:rsidRPr="003436C0" w:rsidSect="003436C0">
      <w:type w:val="continuous"/>
      <w:pgSz w:w="12240" w:h="15840"/>
      <w:pgMar w:top="794" w:right="1009" w:bottom="403" w:left="1009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5F2" w:rsidRDefault="000855F2" w:rsidP="00757FD1">
      <w:pPr>
        <w:spacing w:after="0" w:line="240" w:lineRule="auto"/>
      </w:pPr>
      <w:r>
        <w:separator/>
      </w:r>
    </w:p>
  </w:endnote>
  <w:endnote w:type="continuationSeparator" w:id="0">
    <w:p w:rsidR="000855F2" w:rsidRDefault="000855F2" w:rsidP="00757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5F2" w:rsidRDefault="000855F2" w:rsidP="00757FD1">
      <w:pPr>
        <w:spacing w:after="0" w:line="240" w:lineRule="auto"/>
      </w:pPr>
      <w:r>
        <w:separator/>
      </w:r>
    </w:p>
  </w:footnote>
  <w:footnote w:type="continuationSeparator" w:id="0">
    <w:p w:rsidR="000855F2" w:rsidRDefault="000855F2" w:rsidP="00757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C17AAF"/>
    <w:multiLevelType w:val="hybridMultilevel"/>
    <w:tmpl w:val="0F8A8136"/>
    <w:lvl w:ilvl="0" w:tplc="A2FC350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85"/>
    <w:rsid w:val="0003566E"/>
    <w:rsid w:val="0004355A"/>
    <w:rsid w:val="000515D4"/>
    <w:rsid w:val="00051C50"/>
    <w:rsid w:val="00056657"/>
    <w:rsid w:val="0006162A"/>
    <w:rsid w:val="00070D8C"/>
    <w:rsid w:val="000828BB"/>
    <w:rsid w:val="000855F2"/>
    <w:rsid w:val="000B01E8"/>
    <w:rsid w:val="000C0EE8"/>
    <w:rsid w:val="000C6216"/>
    <w:rsid w:val="000E01A1"/>
    <w:rsid w:val="000E7F9E"/>
    <w:rsid w:val="00104FCD"/>
    <w:rsid w:val="00110EEC"/>
    <w:rsid w:val="00114C52"/>
    <w:rsid w:val="001306B6"/>
    <w:rsid w:val="00131B16"/>
    <w:rsid w:val="001476C3"/>
    <w:rsid w:val="00152CED"/>
    <w:rsid w:val="00155255"/>
    <w:rsid w:val="00155CAD"/>
    <w:rsid w:val="001709BF"/>
    <w:rsid w:val="0018414D"/>
    <w:rsid w:val="00191334"/>
    <w:rsid w:val="00196601"/>
    <w:rsid w:val="001B3AEC"/>
    <w:rsid w:val="001C354E"/>
    <w:rsid w:val="001D419D"/>
    <w:rsid w:val="001E19DC"/>
    <w:rsid w:val="001E4D1F"/>
    <w:rsid w:val="001F0C5A"/>
    <w:rsid w:val="001F56D5"/>
    <w:rsid w:val="0022549C"/>
    <w:rsid w:val="00233AF8"/>
    <w:rsid w:val="002434E1"/>
    <w:rsid w:val="0025102C"/>
    <w:rsid w:val="002A0EDF"/>
    <w:rsid w:val="002B7708"/>
    <w:rsid w:val="002F4827"/>
    <w:rsid w:val="00306D8E"/>
    <w:rsid w:val="0031458D"/>
    <w:rsid w:val="00324CB5"/>
    <w:rsid w:val="003436C0"/>
    <w:rsid w:val="00362362"/>
    <w:rsid w:val="00370FC4"/>
    <w:rsid w:val="00371CF7"/>
    <w:rsid w:val="0037210E"/>
    <w:rsid w:val="00375622"/>
    <w:rsid w:val="003757BF"/>
    <w:rsid w:val="00375A97"/>
    <w:rsid w:val="003A2EA1"/>
    <w:rsid w:val="003A7946"/>
    <w:rsid w:val="003B0B2A"/>
    <w:rsid w:val="003C0AB8"/>
    <w:rsid w:val="003C5973"/>
    <w:rsid w:val="003D0243"/>
    <w:rsid w:val="003D227B"/>
    <w:rsid w:val="003D4562"/>
    <w:rsid w:val="0040769C"/>
    <w:rsid w:val="00411FEB"/>
    <w:rsid w:val="004228A5"/>
    <w:rsid w:val="0042533A"/>
    <w:rsid w:val="00431C4E"/>
    <w:rsid w:val="004378AC"/>
    <w:rsid w:val="0045755E"/>
    <w:rsid w:val="0046212E"/>
    <w:rsid w:val="0046708E"/>
    <w:rsid w:val="0048337A"/>
    <w:rsid w:val="004B4880"/>
    <w:rsid w:val="004B4D5C"/>
    <w:rsid w:val="004C1583"/>
    <w:rsid w:val="004D5338"/>
    <w:rsid w:val="004F04EE"/>
    <w:rsid w:val="004F469C"/>
    <w:rsid w:val="00506083"/>
    <w:rsid w:val="00510595"/>
    <w:rsid w:val="00522330"/>
    <w:rsid w:val="00523AA2"/>
    <w:rsid w:val="00526A0E"/>
    <w:rsid w:val="005275DF"/>
    <w:rsid w:val="005320D9"/>
    <w:rsid w:val="00540AA2"/>
    <w:rsid w:val="00555F79"/>
    <w:rsid w:val="0056518A"/>
    <w:rsid w:val="005738B6"/>
    <w:rsid w:val="00580FAC"/>
    <w:rsid w:val="00592149"/>
    <w:rsid w:val="005A18FF"/>
    <w:rsid w:val="005E22AD"/>
    <w:rsid w:val="005E4411"/>
    <w:rsid w:val="006158CE"/>
    <w:rsid w:val="00617C9E"/>
    <w:rsid w:val="00637958"/>
    <w:rsid w:val="00641E60"/>
    <w:rsid w:val="00650885"/>
    <w:rsid w:val="006571B2"/>
    <w:rsid w:val="006607B5"/>
    <w:rsid w:val="0067786F"/>
    <w:rsid w:val="00686D6C"/>
    <w:rsid w:val="00696A6F"/>
    <w:rsid w:val="006A141F"/>
    <w:rsid w:val="006A4AB4"/>
    <w:rsid w:val="006B25B4"/>
    <w:rsid w:val="006D27D9"/>
    <w:rsid w:val="006E6207"/>
    <w:rsid w:val="00727EB9"/>
    <w:rsid w:val="00727F3F"/>
    <w:rsid w:val="00732C47"/>
    <w:rsid w:val="00751BB1"/>
    <w:rsid w:val="00757FD1"/>
    <w:rsid w:val="007844C4"/>
    <w:rsid w:val="0079547A"/>
    <w:rsid w:val="0079584B"/>
    <w:rsid w:val="007A297D"/>
    <w:rsid w:val="007B29BD"/>
    <w:rsid w:val="007B7E41"/>
    <w:rsid w:val="007C5912"/>
    <w:rsid w:val="007F576E"/>
    <w:rsid w:val="00806612"/>
    <w:rsid w:val="0081183B"/>
    <w:rsid w:val="00826FA6"/>
    <w:rsid w:val="00831730"/>
    <w:rsid w:val="0084546B"/>
    <w:rsid w:val="008469D3"/>
    <w:rsid w:val="00877F0A"/>
    <w:rsid w:val="008948E6"/>
    <w:rsid w:val="00894A1C"/>
    <w:rsid w:val="008B6CFB"/>
    <w:rsid w:val="008D54DA"/>
    <w:rsid w:val="008D58CC"/>
    <w:rsid w:val="008E4445"/>
    <w:rsid w:val="00906767"/>
    <w:rsid w:val="009124CA"/>
    <w:rsid w:val="00913EAE"/>
    <w:rsid w:val="00914894"/>
    <w:rsid w:val="009208CE"/>
    <w:rsid w:val="00941414"/>
    <w:rsid w:val="00944221"/>
    <w:rsid w:val="00954A68"/>
    <w:rsid w:val="009A1484"/>
    <w:rsid w:val="009A63F3"/>
    <w:rsid w:val="009A6AA9"/>
    <w:rsid w:val="009B41B0"/>
    <w:rsid w:val="009B4DFD"/>
    <w:rsid w:val="009C5E7C"/>
    <w:rsid w:val="009E18E2"/>
    <w:rsid w:val="00A03648"/>
    <w:rsid w:val="00A043D2"/>
    <w:rsid w:val="00A22017"/>
    <w:rsid w:val="00A63FA9"/>
    <w:rsid w:val="00A807CA"/>
    <w:rsid w:val="00A84F5C"/>
    <w:rsid w:val="00A86360"/>
    <w:rsid w:val="00AA5FAA"/>
    <w:rsid w:val="00AD20C2"/>
    <w:rsid w:val="00B01FA8"/>
    <w:rsid w:val="00B30129"/>
    <w:rsid w:val="00B37D7D"/>
    <w:rsid w:val="00B44BD2"/>
    <w:rsid w:val="00B65AAD"/>
    <w:rsid w:val="00B727FD"/>
    <w:rsid w:val="00B82B57"/>
    <w:rsid w:val="00B97669"/>
    <w:rsid w:val="00BA3C4A"/>
    <w:rsid w:val="00BA7D5D"/>
    <w:rsid w:val="00BA7F88"/>
    <w:rsid w:val="00BC26B8"/>
    <w:rsid w:val="00BC426D"/>
    <w:rsid w:val="00BC5B4E"/>
    <w:rsid w:val="00BD5E18"/>
    <w:rsid w:val="00BE760E"/>
    <w:rsid w:val="00BF3362"/>
    <w:rsid w:val="00C106F1"/>
    <w:rsid w:val="00C17FE3"/>
    <w:rsid w:val="00C33CEC"/>
    <w:rsid w:val="00C550AB"/>
    <w:rsid w:val="00C74B64"/>
    <w:rsid w:val="00C93783"/>
    <w:rsid w:val="00CA7A4B"/>
    <w:rsid w:val="00CB5C8F"/>
    <w:rsid w:val="00CB5FD4"/>
    <w:rsid w:val="00CD7A3D"/>
    <w:rsid w:val="00D24E87"/>
    <w:rsid w:val="00D25D80"/>
    <w:rsid w:val="00D50E85"/>
    <w:rsid w:val="00D52094"/>
    <w:rsid w:val="00D77041"/>
    <w:rsid w:val="00D8602F"/>
    <w:rsid w:val="00D86EB5"/>
    <w:rsid w:val="00D86FEE"/>
    <w:rsid w:val="00DD6511"/>
    <w:rsid w:val="00DF01DB"/>
    <w:rsid w:val="00E10B3B"/>
    <w:rsid w:val="00E149C3"/>
    <w:rsid w:val="00E14ECA"/>
    <w:rsid w:val="00E22149"/>
    <w:rsid w:val="00E27216"/>
    <w:rsid w:val="00E27BEB"/>
    <w:rsid w:val="00E369C4"/>
    <w:rsid w:val="00E56886"/>
    <w:rsid w:val="00E678CA"/>
    <w:rsid w:val="00E76C0A"/>
    <w:rsid w:val="00E96785"/>
    <w:rsid w:val="00EC26B5"/>
    <w:rsid w:val="00ED3C9B"/>
    <w:rsid w:val="00ED3FC2"/>
    <w:rsid w:val="00ED78B5"/>
    <w:rsid w:val="00EE7F52"/>
    <w:rsid w:val="00F23B78"/>
    <w:rsid w:val="00F25B4D"/>
    <w:rsid w:val="00F31F82"/>
    <w:rsid w:val="00F44B11"/>
    <w:rsid w:val="00F554CC"/>
    <w:rsid w:val="00F55FA3"/>
    <w:rsid w:val="00FA7052"/>
    <w:rsid w:val="00FC07B7"/>
    <w:rsid w:val="00FC46F5"/>
    <w:rsid w:val="00FC711D"/>
    <w:rsid w:val="00FC7C79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5:docId w15:val="{C50A41D9-B98F-4C0A-B352-69E5E8F4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FEB"/>
  </w:style>
  <w:style w:type="paragraph" w:styleId="Heading1">
    <w:name w:val="heading 1"/>
    <w:basedOn w:val="Normal"/>
    <w:next w:val="Normal"/>
    <w:link w:val="Heading1Char"/>
    <w:uiPriority w:val="9"/>
    <w:qFormat/>
    <w:rsid w:val="00411FEB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1FE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1FE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1FEB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FE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1FE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FE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FE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FE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FEB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11FEB"/>
    <w:rPr>
      <w:caps/>
      <w:spacing w:val="15"/>
      <w:shd w:val="clear" w:color="auto" w:fill="DEEAF6" w:themeFill="accent1" w:themeFillTint="33"/>
    </w:rPr>
  </w:style>
  <w:style w:type="paragraph" w:styleId="ListParagraph">
    <w:name w:val="List Paragraph"/>
    <w:basedOn w:val="Normal"/>
    <w:uiPriority w:val="34"/>
    <w:qFormat/>
    <w:rsid w:val="0065088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11FEB"/>
    <w:rPr>
      <w:caps/>
      <w:color w:val="1F4D78" w:themeColor="accent1" w:themeShade="7F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686D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6D6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6D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D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D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D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FD1"/>
  </w:style>
  <w:style w:type="paragraph" w:styleId="Footer">
    <w:name w:val="footer"/>
    <w:basedOn w:val="Normal"/>
    <w:link w:val="FooterChar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FD1"/>
  </w:style>
  <w:style w:type="character" w:customStyle="1" w:styleId="Heading4Char">
    <w:name w:val="Heading 4 Char"/>
    <w:basedOn w:val="DefaultParagraphFont"/>
    <w:link w:val="Heading4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FE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FE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11FEB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11FEB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11FEB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1FE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411FE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411FEB"/>
    <w:rPr>
      <w:b/>
      <w:bCs/>
    </w:rPr>
  </w:style>
  <w:style w:type="character" w:styleId="Emphasis">
    <w:name w:val="Emphasis"/>
    <w:uiPriority w:val="20"/>
    <w:qFormat/>
    <w:rsid w:val="00411FEB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411FE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11FE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11FE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FE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FEB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411FEB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411FEB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411FEB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411FEB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411FE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11FE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411FEB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104FCD"/>
    <w:pPr>
      <w:spacing w:before="0" w:after="0" w:line="240" w:lineRule="auto"/>
    </w:pPr>
    <w:rPr>
      <w:rFonts w:ascii="Times New Roman" w:eastAsia="Calibri" w:hAnsi="Times New Roman" w:cs="Times New Roman"/>
      <w:lang w:val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dotted" w:sz="4" w:space="0" w:color="auto"/>
        <w:insideV w:val="dotted" w:sz="4" w:space="0" w:color="auto"/>
      </w:tblBorders>
      <w:tblCellMar>
        <w:left w:w="0" w:type="dxa"/>
        <w:right w:w="0" w:type="dxa"/>
      </w:tblCellMar>
    </w:tblPr>
    <w:tblStylePr w:type="firstRow">
      <w:rPr>
        <w:b w:val="0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  <w:tl2br w:val="nil"/>
          <w:tr2bl w:val="nil"/>
        </w:tcBorders>
      </w:tcPr>
    </w:tblStylePr>
  </w:style>
  <w:style w:type="table" w:customStyle="1" w:styleId="Grilledutableau1">
    <w:name w:val="Grille du tableau1"/>
    <w:basedOn w:val="TableNormal"/>
    <w:next w:val="TableGrid"/>
    <w:uiPriority w:val="59"/>
    <w:rsid w:val="008469D3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BB964E1-A7B8-40F4-89CD-CF6073AC2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STARD 2015</vt:lpstr>
      <vt:lpstr>STARD 2015</vt:lpstr>
      <vt:lpstr>STARD 2015</vt:lpstr>
    </vt:vector>
  </TitlesOfParts>
  <Company>Region Hovedstaden</Company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STARD 2015</dc:title>
  <dc:creator>STARD 2015</dc:creator>
  <cp:lastModifiedBy>Nagarajan A G.</cp:lastModifiedBy>
  <cp:revision>7</cp:revision>
  <cp:lastPrinted>2015-10-23T10:20:00Z</cp:lastPrinted>
  <dcterms:created xsi:type="dcterms:W3CDTF">2022-06-16T09:01:00Z</dcterms:created>
  <dcterms:modified xsi:type="dcterms:W3CDTF">2022-09-06T05:36:00Z</dcterms:modified>
</cp:coreProperties>
</file>