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B18" w:rsidRDefault="00711BFB" w:rsidP="00C9105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</w:t>
      </w:r>
    </w:p>
    <w:p w:rsidR="008A763F" w:rsidRPr="00D72D9A" w:rsidRDefault="008A763F" w:rsidP="00C91057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90774E" w:rsidRPr="00D72D9A" w:rsidRDefault="0090774E" w:rsidP="0090774E">
      <w:pPr>
        <w:rPr>
          <w:rFonts w:ascii="Arial" w:hAnsi="Arial" w:cs="Arial"/>
          <w:b/>
        </w:rPr>
      </w:pPr>
      <w:r w:rsidRPr="00D72D9A">
        <w:rPr>
          <w:rFonts w:ascii="Arial" w:hAnsi="Arial" w:cs="Arial"/>
          <w:b/>
        </w:rPr>
        <w:t xml:space="preserve">Development and validation of </w:t>
      </w:r>
      <w:r w:rsidRPr="00D72D9A">
        <w:rPr>
          <w:rFonts w:ascii="Arial" w:hAnsi="Arial" w:cs="Arial"/>
          <w:b/>
          <w:vertAlign w:val="superscript"/>
        </w:rPr>
        <w:t>68</w:t>
      </w:r>
      <w:r w:rsidRPr="00D72D9A">
        <w:rPr>
          <w:rFonts w:ascii="Arial" w:hAnsi="Arial" w:cs="Arial"/>
          <w:b/>
        </w:rPr>
        <w:t>Ga-PSMA-11 PET/CT-based radiomics model to detect primary prostate cancer</w:t>
      </w:r>
    </w:p>
    <w:p w:rsidR="0090774E" w:rsidRPr="00D72D9A" w:rsidRDefault="0090774E" w:rsidP="0090774E">
      <w:pPr>
        <w:rPr>
          <w:rFonts w:ascii="Arial" w:hAnsi="Arial" w:cs="Arial"/>
          <w:b/>
        </w:rPr>
      </w:pPr>
    </w:p>
    <w:p w:rsidR="0090774E" w:rsidRPr="00D72D9A" w:rsidRDefault="0090774E" w:rsidP="0090774E">
      <w:pPr>
        <w:spacing w:line="360" w:lineRule="auto"/>
        <w:rPr>
          <w:rFonts w:ascii="Arial" w:hAnsi="Arial" w:cs="Arial"/>
          <w:color w:val="131413"/>
          <w:sz w:val="20"/>
          <w:szCs w:val="20"/>
        </w:rPr>
      </w:pPr>
      <w:r w:rsidRPr="00D72D9A">
        <w:rPr>
          <w:rFonts w:ascii="Arial" w:hAnsi="Arial" w:cs="Arial"/>
          <w:b/>
        </w:rPr>
        <w:t>Shiming Zang</w:t>
      </w:r>
      <w:r w:rsidRPr="00D72D9A">
        <w:rPr>
          <w:rFonts w:ascii="Arial" w:hAnsi="Arial" w:cs="Arial"/>
          <w:b/>
          <w:vertAlign w:val="superscript"/>
        </w:rPr>
        <w:t>1#</w:t>
      </w:r>
      <w:r w:rsidRPr="00D72D9A">
        <w:rPr>
          <w:rFonts w:ascii="Arial" w:hAnsi="Arial" w:cs="Arial"/>
          <w:b/>
        </w:rPr>
        <w:t>, Shuyue Ai</w:t>
      </w:r>
      <w:r w:rsidRPr="00D72D9A">
        <w:rPr>
          <w:rFonts w:ascii="Arial" w:hAnsi="Arial" w:cs="Arial"/>
          <w:b/>
          <w:vertAlign w:val="superscript"/>
        </w:rPr>
        <w:t>1</w:t>
      </w:r>
      <w:r w:rsidRPr="00D72D9A">
        <w:rPr>
          <w:rFonts w:ascii="Arial" w:hAnsi="Arial" w:cs="Arial"/>
          <w:bCs/>
          <w:vertAlign w:val="superscript"/>
        </w:rPr>
        <w:t>#</w:t>
      </w:r>
      <w:r w:rsidRPr="00D72D9A">
        <w:rPr>
          <w:rFonts w:ascii="Arial" w:hAnsi="Arial" w:cs="Arial"/>
          <w:b/>
        </w:rPr>
        <w:t>, Rui Yang</w:t>
      </w:r>
      <w:r w:rsidRPr="00D72D9A">
        <w:rPr>
          <w:rFonts w:ascii="Arial" w:hAnsi="Arial" w:cs="Arial"/>
          <w:b/>
          <w:vertAlign w:val="superscript"/>
        </w:rPr>
        <w:t>1</w:t>
      </w:r>
      <w:r w:rsidRPr="00D72D9A">
        <w:rPr>
          <w:rFonts w:ascii="Arial" w:hAnsi="Arial" w:cs="Arial"/>
          <w:b/>
        </w:rPr>
        <w:t>, Pengjun Zhang</w:t>
      </w:r>
      <w:r w:rsidRPr="00D72D9A">
        <w:rPr>
          <w:rFonts w:ascii="Arial" w:hAnsi="Arial" w:cs="Arial"/>
          <w:b/>
          <w:vertAlign w:val="superscript"/>
        </w:rPr>
        <w:t>1</w:t>
      </w:r>
      <w:r w:rsidRPr="00D72D9A">
        <w:rPr>
          <w:rFonts w:ascii="Arial" w:hAnsi="Arial" w:cs="Arial"/>
          <w:b/>
        </w:rPr>
        <w:t>, Wenyu Wu</w:t>
      </w:r>
      <w:r w:rsidRPr="00D72D9A">
        <w:rPr>
          <w:rFonts w:ascii="Arial" w:hAnsi="Arial" w:cs="Arial"/>
          <w:b/>
          <w:vertAlign w:val="superscript"/>
        </w:rPr>
        <w:t>1</w:t>
      </w:r>
      <w:r w:rsidRPr="00D72D9A">
        <w:rPr>
          <w:rFonts w:ascii="Arial" w:hAnsi="Arial" w:cs="Arial"/>
          <w:b/>
        </w:rPr>
        <w:t>, Zhenyu Zhao</w:t>
      </w:r>
      <w:r w:rsidRPr="00D72D9A">
        <w:rPr>
          <w:rFonts w:ascii="Arial" w:hAnsi="Arial" w:cs="Arial"/>
          <w:b/>
          <w:vertAlign w:val="superscript"/>
        </w:rPr>
        <w:t>1</w:t>
      </w:r>
      <w:r w:rsidRPr="00D72D9A">
        <w:rPr>
          <w:rFonts w:ascii="Arial" w:hAnsi="Arial" w:cs="Arial"/>
          <w:b/>
        </w:rPr>
        <w:t>, Yudan Ni</w:t>
      </w:r>
      <w:r w:rsidRPr="00D72D9A">
        <w:rPr>
          <w:rFonts w:ascii="Arial" w:hAnsi="Arial" w:cs="Arial"/>
          <w:b/>
          <w:vertAlign w:val="superscript"/>
        </w:rPr>
        <w:t>1</w:t>
      </w:r>
      <w:r w:rsidRPr="00D72D9A">
        <w:rPr>
          <w:rFonts w:ascii="Arial" w:hAnsi="Arial" w:cs="Arial"/>
          <w:b/>
        </w:rPr>
        <w:t>, Qing Zhang</w:t>
      </w:r>
      <w:r w:rsidRPr="00D72D9A">
        <w:rPr>
          <w:rFonts w:ascii="Arial" w:hAnsi="Arial" w:cs="Arial"/>
          <w:b/>
          <w:vertAlign w:val="superscript"/>
        </w:rPr>
        <w:t>2</w:t>
      </w:r>
      <w:r w:rsidRPr="00D72D9A">
        <w:rPr>
          <w:rFonts w:ascii="Arial" w:hAnsi="Arial" w:cs="Arial"/>
          <w:b/>
        </w:rPr>
        <w:t>, Hongbin Sun</w:t>
      </w:r>
      <w:r w:rsidRPr="00D72D9A">
        <w:rPr>
          <w:rFonts w:ascii="Arial" w:hAnsi="Arial" w:cs="Arial"/>
          <w:b/>
          <w:vertAlign w:val="superscript"/>
        </w:rPr>
        <w:t>3</w:t>
      </w:r>
      <w:r w:rsidRPr="00D72D9A">
        <w:rPr>
          <w:rFonts w:ascii="Arial" w:hAnsi="Arial" w:cs="Arial"/>
          <w:b/>
        </w:rPr>
        <w:t>, Hongqian Guo</w:t>
      </w:r>
      <w:r w:rsidRPr="00D72D9A">
        <w:rPr>
          <w:rFonts w:ascii="Arial" w:hAnsi="Arial" w:cs="Arial"/>
          <w:b/>
          <w:vertAlign w:val="superscript"/>
        </w:rPr>
        <w:t>2</w:t>
      </w:r>
      <w:r w:rsidRPr="00D72D9A">
        <w:rPr>
          <w:rFonts w:ascii="Arial" w:hAnsi="Arial" w:cs="Arial"/>
          <w:b/>
        </w:rPr>
        <w:t>*, Ruipeng Jia</w:t>
      </w:r>
      <w:r w:rsidRPr="00D72D9A">
        <w:rPr>
          <w:rFonts w:ascii="Arial" w:hAnsi="Arial" w:cs="Arial"/>
          <w:b/>
          <w:vertAlign w:val="superscript"/>
        </w:rPr>
        <w:t>3</w:t>
      </w:r>
      <w:r w:rsidRPr="00D72D9A">
        <w:rPr>
          <w:rFonts w:ascii="Arial" w:hAnsi="Arial" w:cs="Arial"/>
          <w:b/>
        </w:rPr>
        <w:t>* and Feng Wang</w:t>
      </w:r>
      <w:r w:rsidRPr="00D72D9A">
        <w:rPr>
          <w:rFonts w:ascii="Arial" w:hAnsi="Arial" w:cs="Arial"/>
          <w:b/>
          <w:vertAlign w:val="superscript"/>
        </w:rPr>
        <w:t>1</w:t>
      </w:r>
      <w:r w:rsidRPr="00D72D9A">
        <w:rPr>
          <w:rFonts w:ascii="Arial" w:hAnsi="Arial" w:cs="Arial"/>
          <w:b/>
        </w:rPr>
        <w:t>*</w:t>
      </w:r>
    </w:p>
    <w:p w:rsidR="0090774E" w:rsidRPr="00D72D9A" w:rsidRDefault="0090774E" w:rsidP="0090774E">
      <w:pPr>
        <w:rPr>
          <w:rFonts w:ascii="Arial" w:hAnsi="Arial" w:cs="Arial"/>
          <w:b/>
        </w:rPr>
      </w:pPr>
    </w:p>
    <w:p w:rsidR="0090774E" w:rsidRPr="00D72D9A" w:rsidRDefault="0090774E" w:rsidP="0090774E">
      <w:pPr>
        <w:rPr>
          <w:rFonts w:ascii="Arial" w:hAnsi="Arial" w:cs="Arial"/>
          <w:b/>
        </w:rPr>
      </w:pPr>
      <w:r w:rsidRPr="00D72D9A">
        <w:rPr>
          <w:rFonts w:ascii="Arial" w:hAnsi="Arial" w:cs="Arial"/>
          <w:vertAlign w:val="superscript"/>
        </w:rPr>
        <w:t>1</w:t>
      </w:r>
      <w:r w:rsidRPr="00D72D9A">
        <w:rPr>
          <w:rFonts w:ascii="Arial" w:hAnsi="Arial" w:cs="Arial"/>
        </w:rPr>
        <w:t xml:space="preserve"> Department of Nuclear Medicine, Nanjing First Hospital, Nanjing Medical University, Nanjing, China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  <w:vertAlign w:val="superscript"/>
        </w:rPr>
        <w:t>2</w:t>
      </w:r>
      <w:r w:rsidRPr="00D72D9A">
        <w:rPr>
          <w:rFonts w:ascii="Arial" w:hAnsi="Arial" w:cs="Arial"/>
        </w:rPr>
        <w:t xml:space="preserve"> Department of Urology, Affiliated Drum Tower Hospital, Medical School of Nanjing University, Nanjing, China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  <w:vertAlign w:val="superscript"/>
        </w:rPr>
        <w:t>3</w:t>
      </w:r>
      <w:r w:rsidRPr="00D72D9A">
        <w:rPr>
          <w:rFonts w:ascii="Arial" w:hAnsi="Arial" w:cs="Arial"/>
        </w:rPr>
        <w:t xml:space="preserve"> Department of Urology, Nanjing First Hospital, Nanjing Medical University, Nanjing, China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Style w:val="fontstyle01"/>
          <w:rFonts w:ascii="Arial" w:hAnsi="Arial" w:cs="Arial"/>
          <w:vertAlign w:val="superscript"/>
        </w:rPr>
        <w:t>#</w:t>
      </w:r>
      <w:r w:rsidRPr="00D72D9A">
        <w:rPr>
          <w:rStyle w:val="fontstyle01"/>
          <w:rFonts w:ascii="Arial" w:hAnsi="Arial" w:cs="Arial"/>
        </w:rPr>
        <w:t xml:space="preserve"> These authors contributed equally to this work.</w:t>
      </w:r>
    </w:p>
    <w:p w:rsidR="0090774E" w:rsidRPr="00D72D9A" w:rsidRDefault="0090774E" w:rsidP="0090774E">
      <w:pPr>
        <w:rPr>
          <w:rFonts w:ascii="Arial" w:hAnsi="Arial" w:cs="Arial"/>
          <w:b/>
        </w:rPr>
      </w:pPr>
    </w:p>
    <w:p w:rsidR="0090774E" w:rsidRPr="00D72D9A" w:rsidRDefault="0090774E" w:rsidP="0090774E">
      <w:pPr>
        <w:rPr>
          <w:rFonts w:ascii="Arial" w:hAnsi="Arial" w:cs="Arial"/>
          <w:b/>
        </w:rPr>
      </w:pPr>
      <w:r w:rsidRPr="00D72D9A">
        <w:rPr>
          <w:rFonts w:ascii="Arial" w:hAnsi="Arial" w:cs="Arial"/>
          <w:b/>
        </w:rPr>
        <w:t xml:space="preserve">* Corresponding author: 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</w:rPr>
        <w:t>Feng Wang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</w:rPr>
        <w:t>Email: fengwangcn68@163.com</w:t>
      </w:r>
    </w:p>
    <w:p w:rsidR="0090774E" w:rsidRPr="00D72D9A" w:rsidRDefault="0090774E" w:rsidP="0090774E">
      <w:pPr>
        <w:rPr>
          <w:rFonts w:ascii="Arial" w:hAnsi="Arial" w:cs="Arial"/>
          <w:b/>
        </w:rPr>
      </w:pPr>
      <w:r w:rsidRPr="00D72D9A">
        <w:rPr>
          <w:rFonts w:ascii="Arial" w:hAnsi="Arial" w:cs="Arial"/>
        </w:rPr>
        <w:t>Department of Nuclear Medicine, Nanjing First Hospital, Nanjing Medical University, Nanjing, China</w:t>
      </w:r>
    </w:p>
    <w:p w:rsidR="0090774E" w:rsidRPr="00D72D9A" w:rsidRDefault="0090774E" w:rsidP="0090774E">
      <w:pPr>
        <w:rPr>
          <w:rFonts w:ascii="Arial" w:hAnsi="Arial" w:cs="Arial"/>
          <w:bCs/>
        </w:rPr>
      </w:pPr>
      <w:r w:rsidRPr="00D72D9A">
        <w:rPr>
          <w:rFonts w:ascii="Arial" w:hAnsi="Arial" w:cs="Arial"/>
          <w:bCs/>
        </w:rPr>
        <w:t>Phone</w:t>
      </w:r>
      <w:r w:rsidRPr="00D72D9A">
        <w:rPr>
          <w:rFonts w:ascii="Arial" w:hAnsi="Arial" w:cs="Arial"/>
          <w:bCs/>
        </w:rPr>
        <w:t>：</w:t>
      </w:r>
      <w:r w:rsidRPr="00D72D9A">
        <w:rPr>
          <w:rFonts w:ascii="Arial" w:hAnsi="Arial" w:cs="Arial"/>
          <w:bCs/>
        </w:rPr>
        <w:t>86-25-52271491, Mobile Phone: 8618951670836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</w:rPr>
        <w:t>Ruipeng Jia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</w:rPr>
        <w:t>Department of Urology, Nanjing First Hospital, Nanjing Medical University, Nanjing, China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</w:rPr>
        <w:t>Email: ruipengj@163.com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</w:rPr>
        <w:t>Phone: 86-25-52271496</w:t>
      </w:r>
      <w:r w:rsidRPr="00D72D9A">
        <w:rPr>
          <w:rFonts w:ascii="Arial" w:hAnsi="Arial" w:cs="Arial"/>
          <w:bCs/>
        </w:rPr>
        <w:t xml:space="preserve">, Mobile Phone: </w:t>
      </w:r>
      <w:r w:rsidRPr="00D72D9A">
        <w:rPr>
          <w:rFonts w:ascii="Arial" w:hAnsi="Arial" w:cs="Arial"/>
        </w:rPr>
        <w:t>8618951670931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</w:rPr>
        <w:t>Hongqian Guo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</w:rPr>
        <w:t>Department of Urology, Affiliated Drum Tower Hospital, Medical School of Nanjing University, Nanjing, China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</w:rPr>
        <w:t>Email: dr.ghq@nju.edu.cn</w:t>
      </w:r>
    </w:p>
    <w:p w:rsidR="0090774E" w:rsidRPr="00D72D9A" w:rsidRDefault="0090774E" w:rsidP="0090774E">
      <w:pPr>
        <w:rPr>
          <w:rFonts w:ascii="Arial" w:hAnsi="Arial" w:cs="Arial"/>
        </w:rPr>
      </w:pPr>
      <w:r w:rsidRPr="00D72D9A">
        <w:rPr>
          <w:rFonts w:ascii="Arial" w:hAnsi="Arial" w:cs="Arial"/>
        </w:rPr>
        <w:t>Mobile Phone: 8613605171690</w:t>
      </w:r>
    </w:p>
    <w:p w:rsidR="0090774E" w:rsidRPr="00D72D9A" w:rsidRDefault="0090774E" w:rsidP="0090774E">
      <w:pPr>
        <w:jc w:val="left"/>
        <w:rPr>
          <w:rFonts w:ascii="Arial" w:hAnsi="Arial" w:cs="Arial"/>
          <w:b/>
        </w:rPr>
      </w:pPr>
    </w:p>
    <w:p w:rsidR="008511C0" w:rsidRPr="00D1003E" w:rsidRDefault="008511C0" w:rsidP="00FB6E21">
      <w:pPr>
        <w:jc w:val="left"/>
        <w:rPr>
          <w:rFonts w:ascii="Arial" w:hAnsi="Arial" w:cs="Arial"/>
          <w:b/>
        </w:rPr>
      </w:pPr>
      <w:r w:rsidRPr="00D1003E">
        <w:rPr>
          <w:rFonts w:ascii="Arial" w:hAnsi="Arial" w:cs="Arial"/>
          <w:b/>
        </w:rPr>
        <w:t>Table S</w:t>
      </w:r>
      <w:r w:rsidR="00714633" w:rsidRPr="00D1003E">
        <w:rPr>
          <w:rFonts w:ascii="Arial" w:hAnsi="Arial" w:cs="Arial"/>
          <w:b/>
        </w:rPr>
        <w:t>1</w:t>
      </w:r>
      <w:r w:rsidRPr="00D1003E">
        <w:rPr>
          <w:rFonts w:ascii="Arial" w:hAnsi="Arial" w:cs="Arial"/>
          <w:b/>
        </w:rPr>
        <w:t>. Configuration settings of radiomics in the study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265"/>
        <w:gridCol w:w="1862"/>
        <w:gridCol w:w="2681"/>
        <w:gridCol w:w="1272"/>
        <w:gridCol w:w="1280"/>
        <w:gridCol w:w="1699"/>
        <w:gridCol w:w="3889"/>
      </w:tblGrid>
      <w:tr w:rsidR="00184546" w:rsidRPr="00D72D9A" w:rsidTr="00B71A67">
        <w:tc>
          <w:tcPr>
            <w:tcW w:w="453" w:type="pct"/>
          </w:tcPr>
          <w:p w:rsidR="00065DB9" w:rsidRPr="00D72D9A" w:rsidRDefault="00065DB9" w:rsidP="00140632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Normalize</w:t>
            </w:r>
          </w:p>
        </w:tc>
        <w:tc>
          <w:tcPr>
            <w:tcW w:w="667" w:type="pct"/>
          </w:tcPr>
          <w:p w:rsidR="00065DB9" w:rsidRPr="00D72D9A" w:rsidRDefault="00065DB9" w:rsidP="00B71A67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Normalize</w:t>
            </w:r>
            <w:r w:rsidR="00B71A67" w:rsidRPr="00D72D9A">
              <w:rPr>
                <w:rFonts w:ascii="Arial" w:hAnsi="Arial" w:cs="Arial"/>
              </w:rPr>
              <w:t xml:space="preserve"> s</w:t>
            </w:r>
            <w:r w:rsidRPr="00D72D9A">
              <w:rPr>
                <w:rFonts w:ascii="Arial" w:hAnsi="Arial" w:cs="Arial"/>
              </w:rPr>
              <w:t>cale</w:t>
            </w:r>
          </w:p>
        </w:tc>
        <w:tc>
          <w:tcPr>
            <w:tcW w:w="961" w:type="pct"/>
          </w:tcPr>
          <w:p w:rsidR="00065DB9" w:rsidRPr="00D72D9A" w:rsidRDefault="00065DB9" w:rsidP="00B71A67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Resampled</w:t>
            </w:r>
            <w:r w:rsidR="00B71A67" w:rsidRPr="00D72D9A">
              <w:rPr>
                <w:rFonts w:ascii="Arial" w:hAnsi="Arial" w:cs="Arial"/>
              </w:rPr>
              <w:t xml:space="preserve"> pixel s</w:t>
            </w:r>
            <w:r w:rsidRPr="00D72D9A">
              <w:rPr>
                <w:rFonts w:ascii="Arial" w:hAnsi="Arial" w:cs="Arial"/>
              </w:rPr>
              <w:t>pacing</w:t>
            </w:r>
          </w:p>
        </w:tc>
        <w:tc>
          <w:tcPr>
            <w:tcW w:w="456" w:type="pct"/>
          </w:tcPr>
          <w:p w:rsidR="00065DB9" w:rsidRPr="00D72D9A" w:rsidRDefault="00065DB9" w:rsidP="0045312E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Bin</w:t>
            </w:r>
            <w:r w:rsidR="0045312E" w:rsidRPr="00D72D9A">
              <w:rPr>
                <w:rFonts w:ascii="Arial" w:hAnsi="Arial" w:cs="Arial"/>
              </w:rPr>
              <w:t xml:space="preserve"> w</w:t>
            </w:r>
            <w:r w:rsidRPr="00D72D9A">
              <w:rPr>
                <w:rFonts w:ascii="Arial" w:hAnsi="Arial" w:cs="Arial"/>
              </w:rPr>
              <w:t>idth</w:t>
            </w:r>
          </w:p>
        </w:tc>
        <w:tc>
          <w:tcPr>
            <w:tcW w:w="459" w:type="pct"/>
          </w:tcPr>
          <w:p w:rsidR="00065DB9" w:rsidRPr="00D72D9A" w:rsidRDefault="00065DB9" w:rsidP="00140632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Interpolator</w:t>
            </w:r>
          </w:p>
        </w:tc>
        <w:tc>
          <w:tcPr>
            <w:tcW w:w="609" w:type="pct"/>
          </w:tcPr>
          <w:p w:rsidR="00065DB9" w:rsidRPr="00D72D9A" w:rsidRDefault="0045312E" w:rsidP="006875BE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P</w:t>
            </w:r>
            <w:r w:rsidR="00065DB9" w:rsidRPr="00D72D9A">
              <w:rPr>
                <w:rFonts w:ascii="Arial" w:hAnsi="Arial" w:cs="Arial"/>
              </w:rPr>
              <w:t>re</w:t>
            </w:r>
            <w:r w:rsidR="006875BE" w:rsidRPr="00D72D9A">
              <w:rPr>
                <w:rFonts w:ascii="Arial" w:hAnsi="Arial" w:cs="Arial"/>
              </w:rPr>
              <w:t>c</w:t>
            </w:r>
            <w:r w:rsidR="00065DB9" w:rsidRPr="00D72D9A">
              <w:rPr>
                <w:rFonts w:ascii="Arial" w:hAnsi="Arial" w:cs="Arial"/>
              </w:rPr>
              <w:t>rop</w:t>
            </w:r>
          </w:p>
        </w:tc>
        <w:tc>
          <w:tcPr>
            <w:tcW w:w="1394" w:type="pct"/>
          </w:tcPr>
          <w:p w:rsidR="00065DB9" w:rsidRPr="00D72D9A" w:rsidRDefault="00065DB9" w:rsidP="00140632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Filter</w:t>
            </w:r>
          </w:p>
        </w:tc>
      </w:tr>
      <w:tr w:rsidR="00184546" w:rsidRPr="00D72D9A" w:rsidTr="00B71A67">
        <w:tc>
          <w:tcPr>
            <w:tcW w:w="453" w:type="pct"/>
          </w:tcPr>
          <w:p w:rsidR="00065DB9" w:rsidRPr="00D72D9A" w:rsidRDefault="00065DB9" w:rsidP="00140632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True</w:t>
            </w:r>
          </w:p>
        </w:tc>
        <w:tc>
          <w:tcPr>
            <w:tcW w:w="667" w:type="pct"/>
          </w:tcPr>
          <w:p w:rsidR="00065DB9" w:rsidRPr="00D72D9A" w:rsidRDefault="00065DB9" w:rsidP="00140632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1</w:t>
            </w:r>
          </w:p>
        </w:tc>
        <w:tc>
          <w:tcPr>
            <w:tcW w:w="961" w:type="pct"/>
          </w:tcPr>
          <w:p w:rsidR="00065DB9" w:rsidRPr="00D72D9A" w:rsidRDefault="00065DB9" w:rsidP="00140632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2 × 2 × 2</w:t>
            </w:r>
          </w:p>
        </w:tc>
        <w:tc>
          <w:tcPr>
            <w:tcW w:w="456" w:type="pct"/>
          </w:tcPr>
          <w:p w:rsidR="00065DB9" w:rsidRPr="00D72D9A" w:rsidRDefault="00065DB9" w:rsidP="00140632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0.25</w:t>
            </w:r>
          </w:p>
        </w:tc>
        <w:tc>
          <w:tcPr>
            <w:tcW w:w="459" w:type="pct"/>
          </w:tcPr>
          <w:p w:rsidR="00065DB9" w:rsidRPr="00D72D9A" w:rsidRDefault="00065DB9" w:rsidP="00140632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3</w:t>
            </w:r>
          </w:p>
        </w:tc>
        <w:tc>
          <w:tcPr>
            <w:tcW w:w="609" w:type="pct"/>
          </w:tcPr>
          <w:p w:rsidR="00065DB9" w:rsidRPr="00D72D9A" w:rsidRDefault="00065DB9" w:rsidP="00140632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False</w:t>
            </w:r>
          </w:p>
        </w:tc>
        <w:tc>
          <w:tcPr>
            <w:tcW w:w="1394" w:type="pct"/>
          </w:tcPr>
          <w:p w:rsidR="00065DB9" w:rsidRPr="00D72D9A" w:rsidRDefault="00065DB9" w:rsidP="00140632">
            <w:pPr>
              <w:jc w:val="left"/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Laplacian of Gaussian/ Wavelet</w:t>
            </w:r>
          </w:p>
        </w:tc>
      </w:tr>
    </w:tbl>
    <w:p w:rsidR="00877B18" w:rsidRPr="00D72D9A" w:rsidRDefault="00877B18" w:rsidP="00FB6E21">
      <w:pPr>
        <w:jc w:val="left"/>
        <w:rPr>
          <w:rFonts w:ascii="Arial" w:hAnsi="Arial" w:cs="Arial"/>
        </w:rPr>
      </w:pPr>
    </w:p>
    <w:p w:rsidR="008511C0" w:rsidRPr="00D72D9A" w:rsidRDefault="008511C0" w:rsidP="00FB6E21">
      <w:pPr>
        <w:jc w:val="left"/>
        <w:rPr>
          <w:rFonts w:ascii="Arial" w:hAnsi="Arial" w:cs="Arial"/>
        </w:rPr>
      </w:pPr>
    </w:p>
    <w:p w:rsidR="00877B18" w:rsidRPr="00D1003E" w:rsidRDefault="00DD0CD0" w:rsidP="00FB6E21">
      <w:pPr>
        <w:jc w:val="left"/>
        <w:rPr>
          <w:rFonts w:ascii="Arial" w:hAnsi="Arial" w:cs="Arial"/>
          <w:b/>
        </w:rPr>
      </w:pPr>
      <w:r w:rsidRPr="00D1003E">
        <w:rPr>
          <w:rFonts w:ascii="Arial" w:hAnsi="Arial" w:cs="Arial"/>
          <w:b/>
        </w:rPr>
        <w:t>Table S</w:t>
      </w:r>
      <w:r w:rsidR="008511C0" w:rsidRPr="00D1003E">
        <w:rPr>
          <w:rFonts w:ascii="Arial" w:hAnsi="Arial" w:cs="Arial"/>
          <w:b/>
        </w:rPr>
        <w:t>2</w:t>
      </w:r>
      <w:r w:rsidR="00877B18" w:rsidRPr="00D1003E">
        <w:rPr>
          <w:rFonts w:ascii="Arial" w:hAnsi="Arial" w:cs="Arial"/>
          <w:b/>
        </w:rPr>
        <w:t xml:space="preserve">. The </w:t>
      </w:r>
      <w:r w:rsidR="002346E4" w:rsidRPr="00D1003E">
        <w:rPr>
          <w:rFonts w:ascii="Arial" w:hAnsi="Arial" w:cs="Arial"/>
          <w:b/>
        </w:rPr>
        <w:t>nine</w:t>
      </w:r>
      <w:r w:rsidR="00877B18" w:rsidRPr="00D1003E">
        <w:rPr>
          <w:rFonts w:ascii="Arial" w:hAnsi="Arial" w:cs="Arial"/>
          <w:b/>
        </w:rPr>
        <w:t xml:space="preserve"> </w:t>
      </w:r>
      <w:r w:rsidR="002346E4" w:rsidRPr="00D1003E">
        <w:rPr>
          <w:rFonts w:ascii="Arial" w:hAnsi="Arial" w:cs="Arial"/>
          <w:b/>
        </w:rPr>
        <w:t xml:space="preserve">features selected </w:t>
      </w:r>
      <w:r w:rsidR="00877B18" w:rsidRPr="00D1003E">
        <w:rPr>
          <w:rFonts w:ascii="Arial" w:hAnsi="Arial" w:cs="Arial"/>
          <w:b/>
        </w:rPr>
        <w:t>for the predictive model construction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514"/>
        <w:gridCol w:w="1573"/>
        <w:gridCol w:w="3496"/>
        <w:gridCol w:w="2787"/>
        <w:gridCol w:w="4578"/>
      </w:tblGrid>
      <w:tr w:rsidR="00FB6E21" w:rsidRPr="00D72D9A" w:rsidTr="00F75B5F">
        <w:tc>
          <w:tcPr>
            <w:tcW w:w="54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Filter</w:t>
            </w:r>
          </w:p>
        </w:tc>
        <w:tc>
          <w:tcPr>
            <w:tcW w:w="564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Type</w:t>
            </w:r>
          </w:p>
        </w:tc>
        <w:tc>
          <w:tcPr>
            <w:tcW w:w="125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Feature</w:t>
            </w:r>
          </w:p>
        </w:tc>
        <w:tc>
          <w:tcPr>
            <w:tcW w:w="999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Formula *</w:t>
            </w:r>
          </w:p>
        </w:tc>
        <w:tc>
          <w:tcPr>
            <w:tcW w:w="1641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Describe</w:t>
            </w:r>
          </w:p>
        </w:tc>
      </w:tr>
      <w:tr w:rsidR="00FB6E21" w:rsidRPr="00D72D9A" w:rsidTr="00F75B5F">
        <w:tc>
          <w:tcPr>
            <w:tcW w:w="54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Original</w:t>
            </w:r>
          </w:p>
        </w:tc>
        <w:tc>
          <w:tcPr>
            <w:tcW w:w="564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shape</w:t>
            </w:r>
          </w:p>
        </w:tc>
        <w:tc>
          <w:tcPr>
            <w:tcW w:w="125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Sphericity</w:t>
            </w:r>
          </w:p>
        </w:tc>
        <w:tc>
          <w:tcPr>
            <w:tcW w:w="999" w:type="pct"/>
          </w:tcPr>
          <w:p w:rsidR="00FB6E21" w:rsidRPr="00D72D9A" w:rsidRDefault="00CD3255" w:rsidP="00F75B5F">
            <w:pPr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rad>
                      <m:rad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radPr>
                      <m:deg>
                        <m:r>
                          <w:rPr>
                            <w:rFonts w:ascii="Cambria Math" w:hAnsi="Cambria Math" w:cs="Arial"/>
                          </w:rPr>
                          <m:t>3</m:t>
                        </m:r>
                      </m:deg>
                      <m:e>
                        <m:r>
                          <w:rPr>
                            <w:rFonts w:ascii="Cambria Math" w:hAnsi="Cambria Math" w:cs="Arial"/>
                          </w:rPr>
                          <m:t>36π</m:t>
                        </m:r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</w:rPr>
                              <m:t>2</m:t>
                            </m:r>
                          </m:sup>
                        </m:sSup>
                      </m:e>
                    </m:rad>
                  </m:num>
                  <m:den>
                    <m:r>
                      <w:rPr>
                        <w:rFonts w:ascii="Cambria Math" w:hAnsi="Cambria Math" w:cs="Arial"/>
                      </w:rPr>
                      <m:t>A</m:t>
                    </m:r>
                  </m:den>
                </m:f>
              </m:oMath>
            </m:oMathPara>
          </w:p>
        </w:tc>
        <w:tc>
          <w:tcPr>
            <w:tcW w:w="1641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Sphericity is a measure of the roundness of the shape of the tumor region relative to a sphere. It is a dimensionless measure, independent of scale and orientation.</w:t>
            </w:r>
          </w:p>
        </w:tc>
      </w:tr>
      <w:tr w:rsidR="00FB6E21" w:rsidRPr="00D72D9A" w:rsidTr="00F75B5F">
        <w:tc>
          <w:tcPr>
            <w:tcW w:w="54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Original</w:t>
            </w:r>
          </w:p>
        </w:tc>
        <w:tc>
          <w:tcPr>
            <w:tcW w:w="564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glszm</w:t>
            </w:r>
          </w:p>
        </w:tc>
        <w:tc>
          <w:tcPr>
            <w:tcW w:w="125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SmallAreaLowGrayLevelEmphasis</w:t>
            </w:r>
          </w:p>
        </w:tc>
        <w:tc>
          <w:tcPr>
            <w:tcW w:w="999" w:type="pct"/>
          </w:tcPr>
          <w:p w:rsidR="00FB6E21" w:rsidRPr="00D72D9A" w:rsidRDefault="00CD3255" w:rsidP="00F75B5F">
            <w:pPr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</w:rPr>
                                  <m:t>s</m:t>
                                </m:r>
                              </m:sub>
                            </m:sSub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</w:rPr>
                                  <m:t>P(i,j)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i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2</m:t>
                                    </m:r>
                                  </m:sup>
                                </m:sSup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j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2</m:t>
                                    </m:r>
                                  </m:sup>
                                </m:sSup>
                              </m:den>
                            </m:f>
                          </m:e>
                        </m:nary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641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SmallAreaLowGrayLevelEmphasis measures the proportion in the image of the joint distribution of smaller size zones with lower gray-level values.</w:t>
            </w:r>
          </w:p>
        </w:tc>
      </w:tr>
      <w:tr w:rsidR="00FB6E21" w:rsidRPr="00D72D9A" w:rsidTr="00F75B5F">
        <w:tc>
          <w:tcPr>
            <w:tcW w:w="54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Laplacian of Gaussian</w:t>
            </w:r>
          </w:p>
        </w:tc>
        <w:tc>
          <w:tcPr>
            <w:tcW w:w="564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ngtdm</w:t>
            </w:r>
          </w:p>
        </w:tc>
        <w:tc>
          <w:tcPr>
            <w:tcW w:w="125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Coarseness</w:t>
            </w:r>
          </w:p>
        </w:tc>
        <w:tc>
          <w:tcPr>
            <w:tcW w:w="999" w:type="pct"/>
          </w:tcPr>
          <w:p w:rsidR="00FB6E21" w:rsidRPr="00D72D9A" w:rsidRDefault="00CD3255" w:rsidP="00F75B5F">
            <w:pPr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</w:rPr>
                      <m:t>1</m:t>
                    </m:r>
                  </m:num>
                  <m:den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g</m:t>
                            </m:r>
                          </m:sub>
                        </m:sSub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i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i</m:t>
                            </m:r>
                          </m:sub>
                        </m:sSub>
                      </m:e>
                    </m:nary>
                  </m:den>
                </m:f>
              </m:oMath>
            </m:oMathPara>
          </w:p>
        </w:tc>
        <w:tc>
          <w:tcPr>
            <w:tcW w:w="1641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Coarseness is a measure of average difference between the center voxel and its neighbourhood and is an indication of the spatial rate of change.</w:t>
            </w:r>
          </w:p>
        </w:tc>
      </w:tr>
      <w:tr w:rsidR="00FB6E21" w:rsidRPr="00D72D9A" w:rsidTr="00F75B5F">
        <w:tc>
          <w:tcPr>
            <w:tcW w:w="54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Wavelet-HHH</w:t>
            </w:r>
          </w:p>
        </w:tc>
        <w:tc>
          <w:tcPr>
            <w:tcW w:w="564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glszm</w:t>
            </w:r>
          </w:p>
        </w:tc>
        <w:tc>
          <w:tcPr>
            <w:tcW w:w="125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LowGrayLevelZoneEmphasis</w:t>
            </w:r>
          </w:p>
        </w:tc>
        <w:tc>
          <w:tcPr>
            <w:tcW w:w="999" w:type="pct"/>
          </w:tcPr>
          <w:p w:rsidR="00FB6E21" w:rsidRPr="00D72D9A" w:rsidRDefault="00CD3255" w:rsidP="00F75B5F">
            <w:pPr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</w:rPr>
                                  <m:t>s</m:t>
                                </m:r>
                              </m:sub>
                            </m:sSub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</w:rPr>
                                  <m:t>P(i,j)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i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2</m:t>
                                    </m:r>
                                  </m:sup>
                                </m:sSup>
                              </m:den>
                            </m:f>
                          </m:e>
                        </m:nary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641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LowGrayLevelZoneEmphasis measures the distribution of lower gray-level size zones, with a higher value indicating a greater proportion of lower gray-level values and size zones in the image.</w:t>
            </w:r>
          </w:p>
        </w:tc>
      </w:tr>
      <w:tr w:rsidR="00FB6E21" w:rsidRPr="00D72D9A" w:rsidTr="00F75B5F">
        <w:tc>
          <w:tcPr>
            <w:tcW w:w="54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lastRenderedPageBreak/>
              <w:t>Wavelet-HHH</w:t>
            </w:r>
          </w:p>
        </w:tc>
        <w:tc>
          <w:tcPr>
            <w:tcW w:w="564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glszm</w:t>
            </w:r>
          </w:p>
        </w:tc>
        <w:tc>
          <w:tcPr>
            <w:tcW w:w="125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SizeZoneNonUniformityNormalized</w:t>
            </w:r>
          </w:p>
        </w:tc>
        <w:tc>
          <w:tcPr>
            <w:tcW w:w="999" w:type="pct"/>
          </w:tcPr>
          <w:p w:rsidR="00FB6E21" w:rsidRPr="00D72D9A" w:rsidRDefault="00CD3255" w:rsidP="00F75B5F">
            <w:pPr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</w:rPr>
                          <m:t>j=1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s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(</m:t>
                            </m:r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Arial"/>
                                  </w:rPr>
                                  <m:t>i=1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g</m:t>
                                    </m:r>
                                  </m:sub>
                                </m:sSub>
                              </m:sup>
                              <m:e>
                                <m:r>
                                  <w:rPr>
                                    <w:rFonts w:ascii="Cambria Math" w:hAnsi="Cambria Math" w:cs="Arial"/>
                                  </w:rPr>
                                  <m:t>P(i,j)</m:t>
                                </m:r>
                              </m:e>
                            </m:nary>
                            <m:r>
                              <w:rPr>
                                <w:rFonts w:ascii="Cambria Math" w:hAnsi="Cambria Math" w:cs="Arial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</w:rPr>
                          <m:t>z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</w:rPr>
                          <m:t>2</m:t>
                        </m:r>
                      </m:sup>
                    </m:sSubSup>
                  </m:den>
                </m:f>
              </m:oMath>
            </m:oMathPara>
          </w:p>
        </w:tc>
        <w:tc>
          <w:tcPr>
            <w:tcW w:w="1641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SizeZoneNonUniformityNormalized measures the variability of size zone volumes throughout the image, with a lower value indicating more homogeneity among zone size volumes in the image.</w:t>
            </w:r>
          </w:p>
        </w:tc>
      </w:tr>
      <w:tr w:rsidR="00FB6E21" w:rsidRPr="00D72D9A" w:rsidTr="00F75B5F">
        <w:tc>
          <w:tcPr>
            <w:tcW w:w="54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Wavelet-LLL</w:t>
            </w:r>
          </w:p>
        </w:tc>
        <w:tc>
          <w:tcPr>
            <w:tcW w:w="564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firstorder</w:t>
            </w:r>
          </w:p>
        </w:tc>
        <w:tc>
          <w:tcPr>
            <w:tcW w:w="125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Skewness</w:t>
            </w:r>
          </w:p>
        </w:tc>
        <w:tc>
          <w:tcPr>
            <w:tcW w:w="999" w:type="pct"/>
          </w:tcPr>
          <w:p w:rsidR="00FB6E21" w:rsidRPr="00D72D9A" w:rsidRDefault="00CD3255" w:rsidP="00F75B5F">
            <w:pPr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p</m:t>
                            </m:r>
                          </m:sub>
                        </m:sSub>
                      </m:den>
                    </m:f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p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(X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Arial"/>
                                  </w:rPr>
                                  <m:t>i)-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Arial"/>
                              </w:rPr>
                              <m:t>3</m:t>
                            </m:r>
                          </m:sup>
                        </m:sSup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</w:rPr>
                          <m:t>(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p</m:t>
                                    </m:r>
                                  </m:sub>
                                </m:sSub>
                              </m:den>
                            </m:f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Arial"/>
                                  </w:rPr>
                                  <m:t>i=1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p</m:t>
                                    </m:r>
                                  </m:sub>
                                </m:sSub>
                              </m:sup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(X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</w:rPr>
                                          <m:t>i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-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)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nary>
                          </m:e>
                        </m:rad>
                        <m:r>
                          <w:rPr>
                            <w:rFonts w:ascii="Cambria Math" w:hAnsi="Cambria Math" w:cs="Arial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641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Skewness measures the asymmetry of the distribution of values about the Mean value.</w:t>
            </w:r>
          </w:p>
        </w:tc>
      </w:tr>
      <w:tr w:rsidR="00FB6E21" w:rsidRPr="00D72D9A" w:rsidTr="00F75B5F">
        <w:tc>
          <w:tcPr>
            <w:tcW w:w="54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Wavelet-LLH</w:t>
            </w:r>
          </w:p>
        </w:tc>
        <w:tc>
          <w:tcPr>
            <w:tcW w:w="564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firstorder</w:t>
            </w:r>
          </w:p>
        </w:tc>
        <w:tc>
          <w:tcPr>
            <w:tcW w:w="125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Skewness</w:t>
            </w:r>
          </w:p>
        </w:tc>
        <w:tc>
          <w:tcPr>
            <w:tcW w:w="999" w:type="pct"/>
          </w:tcPr>
          <w:p w:rsidR="00FB6E21" w:rsidRPr="00D72D9A" w:rsidRDefault="00CD3255" w:rsidP="00F75B5F">
            <w:pPr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p</m:t>
                            </m:r>
                          </m:sub>
                        </m:sSub>
                      </m:den>
                    </m:f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p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(X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Arial"/>
                                  </w:rPr>
                                  <m:t>i)-</m:t>
                                </m:r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Arial"/>
                              </w:rPr>
                              <m:t>3</m:t>
                            </m:r>
                          </m:sup>
                        </m:sSup>
                      </m:e>
                    </m:nary>
                  </m:num>
                  <m:den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</w:rPr>
                          <m:t>(</m:t>
                        </m:r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radPr>
                          <m:deg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</w:rPr>
                                  <m:t>1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p</m:t>
                                    </m:r>
                                  </m:sub>
                                </m:sSub>
                              </m:den>
                            </m:f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Arial"/>
                                  </w:rPr>
                                  <m:t>i=1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p</m:t>
                                    </m:r>
                                  </m:sub>
                                </m:sSub>
                              </m:sup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(X</m:t>
                                    </m:r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</w:rPr>
                                          <m:t>i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-</m:t>
                                    </m:r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 w:cs="Arial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)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2</m:t>
                                    </m:r>
                                  </m:sup>
                                </m:sSup>
                              </m:e>
                            </m:nary>
                          </m:e>
                        </m:rad>
                        <m:r>
                          <w:rPr>
                            <w:rFonts w:ascii="Cambria Math" w:hAnsi="Cambria Math" w:cs="Arial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641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Skewness measures the asymmetry of the distribution of values about the Mean value.</w:t>
            </w:r>
          </w:p>
        </w:tc>
      </w:tr>
      <w:tr w:rsidR="00FB6E21" w:rsidRPr="00D72D9A" w:rsidTr="00F75B5F">
        <w:tc>
          <w:tcPr>
            <w:tcW w:w="54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wavelet-LLL</w:t>
            </w:r>
          </w:p>
        </w:tc>
        <w:tc>
          <w:tcPr>
            <w:tcW w:w="564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glszm</w:t>
            </w:r>
          </w:p>
        </w:tc>
        <w:tc>
          <w:tcPr>
            <w:tcW w:w="125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GrayLevelNonUniformity</w:t>
            </w:r>
          </w:p>
        </w:tc>
        <w:tc>
          <w:tcPr>
            <w:tcW w:w="999" w:type="pct"/>
          </w:tcPr>
          <w:p w:rsidR="00FB6E21" w:rsidRPr="00D72D9A" w:rsidRDefault="00CD3255" w:rsidP="00F75B5F">
            <w:pPr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g</m:t>
                            </m:r>
                          </m:sub>
                        </m:sSub>
                      </m:sup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(</m:t>
                            </m:r>
                            <m:nary>
                              <m:naryPr>
                                <m:chr m:val="∑"/>
                                <m:limLoc m:val="subSup"/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Arial"/>
                                  </w:rPr>
                                  <m:t>j=1</m:t>
                                </m:r>
                              </m:sub>
                              <m:sup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s</m:t>
                                    </m:r>
                                  </m:sub>
                                </m:sSub>
                              </m:sup>
                              <m:e>
                                <m:r>
                                  <w:rPr>
                                    <w:rFonts w:ascii="Cambria Math" w:hAnsi="Cambria Math" w:cs="Arial"/>
                                  </w:rPr>
                                  <m:t>P(i,j)</m:t>
                                </m:r>
                              </m:e>
                            </m:nary>
                            <m:r>
                              <w:rPr>
                                <w:rFonts w:ascii="Cambria Math" w:hAnsi="Cambria Math" w:cs="Arial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641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GrayLevelNonUniformity measures the variability of gray-level intensity values in the image, with a lower value indicating more homogeneity in intensity values.</w:t>
            </w:r>
          </w:p>
        </w:tc>
      </w:tr>
      <w:tr w:rsidR="00FB6E21" w:rsidRPr="00D72D9A" w:rsidTr="00F75B5F">
        <w:tc>
          <w:tcPr>
            <w:tcW w:w="54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wavelet-LLL</w:t>
            </w:r>
          </w:p>
        </w:tc>
        <w:tc>
          <w:tcPr>
            <w:tcW w:w="564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glszm</w:t>
            </w:r>
          </w:p>
        </w:tc>
        <w:tc>
          <w:tcPr>
            <w:tcW w:w="1253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SmallAreaEmphasis</w:t>
            </w:r>
          </w:p>
        </w:tc>
        <w:tc>
          <w:tcPr>
            <w:tcW w:w="999" w:type="pct"/>
          </w:tcPr>
          <w:p w:rsidR="00FB6E21" w:rsidRPr="00D72D9A" w:rsidRDefault="00CD3255" w:rsidP="00F75B5F">
            <w:pPr>
              <w:rPr>
                <w:rFonts w:ascii="Arial" w:hAnsi="Arial" w:cs="Arial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</w:rPr>
                    </m:ctrlPr>
                  </m:fPr>
                  <m:num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Arial"/>
                          </w:rPr>
                          <m:t>i=1</m:t>
                        </m:r>
                      </m:sub>
                      <m:sup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g</m:t>
                            </m:r>
                          </m:sub>
                        </m:sSub>
                      </m:sup>
                      <m:e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Arial"/>
                              </w:rPr>
                              <m:t>j=1</m:t>
                            </m:r>
                          </m:sub>
                          <m:sup>
                            <m:sSub>
                              <m:sSub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Arial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Arial"/>
                                  </w:rPr>
                                  <m:t>s</m:t>
                                </m:r>
                              </m:sub>
                            </m:sSub>
                          </m:sup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Arial"/>
                                  </w:rPr>
                                  <m:t>P(i,j)</m:t>
                                </m:r>
                              </m:num>
                              <m:den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j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Arial"/>
                                      </w:rPr>
                                      <m:t>2</m:t>
                                    </m:r>
                                  </m:sup>
                                </m:sSup>
                              </m:den>
                            </m:f>
                          </m:e>
                        </m:nary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</w:rPr>
                          <m:t>z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1641" w:type="pct"/>
          </w:tcPr>
          <w:p w:rsidR="00FB6E21" w:rsidRPr="00D72D9A" w:rsidRDefault="00FB6E21" w:rsidP="00F75B5F">
            <w:pPr>
              <w:rPr>
                <w:rFonts w:ascii="Arial" w:hAnsi="Arial" w:cs="Arial"/>
              </w:rPr>
            </w:pPr>
            <w:r w:rsidRPr="00D72D9A">
              <w:rPr>
                <w:rFonts w:ascii="Arial" w:hAnsi="Arial" w:cs="Arial"/>
              </w:rPr>
              <w:t>SmallAreaEmphasis is a measure of the distribution of small size zones, with a greater value indicative of smaller size zones and more fine textures.</w:t>
            </w:r>
          </w:p>
        </w:tc>
      </w:tr>
    </w:tbl>
    <w:p w:rsidR="00FB6E21" w:rsidRPr="00D72D9A" w:rsidRDefault="00FB6E21" w:rsidP="00FB6E21">
      <w:pPr>
        <w:rPr>
          <w:rFonts w:ascii="Arial" w:hAnsi="Arial" w:cs="Arial"/>
        </w:rPr>
      </w:pPr>
      <w:r w:rsidRPr="00D72D9A">
        <w:rPr>
          <w:rFonts w:ascii="Arial" w:hAnsi="Arial" w:cs="Arial"/>
        </w:rPr>
        <w:t>glszm, Gray Level Size Zone Matrix; ngtdm, Neighbouring Gray Tone Difference Matrix.</w:t>
      </w:r>
    </w:p>
    <w:p w:rsidR="00FB6E21" w:rsidRPr="00D72D9A" w:rsidRDefault="00FB6E21" w:rsidP="00FB6E21">
      <w:pPr>
        <w:rPr>
          <w:rFonts w:ascii="Arial" w:hAnsi="Arial" w:cs="Arial"/>
        </w:rPr>
      </w:pPr>
      <w:r w:rsidRPr="00D72D9A">
        <w:rPr>
          <w:rFonts w:ascii="Arial" w:hAnsi="Arial" w:cs="Arial"/>
          <w:i/>
        </w:rPr>
        <w:t>* V</w:t>
      </w:r>
      <w:r w:rsidRPr="00D72D9A">
        <w:rPr>
          <w:rFonts w:ascii="Arial" w:hAnsi="Arial" w:cs="Arial"/>
        </w:rPr>
        <w:t xml:space="preserve"> be the volume of the mesh; </w:t>
      </w:r>
      <w:r w:rsidRPr="00D72D9A">
        <w:rPr>
          <w:rFonts w:ascii="Arial" w:hAnsi="Arial" w:cs="Arial"/>
          <w:i/>
        </w:rPr>
        <w:t>A</w:t>
      </w:r>
      <w:r w:rsidRPr="00D72D9A">
        <w:rPr>
          <w:rFonts w:ascii="Arial" w:hAnsi="Arial" w:cs="Arial"/>
        </w:rPr>
        <w:t xml:space="preserve"> be the surface area of the mesh; </w:t>
      </w:r>
      <w:r w:rsidRPr="00D72D9A">
        <w:rPr>
          <w:rFonts w:ascii="Arial" w:hAnsi="Arial" w:cs="Arial"/>
          <w:i/>
        </w:rPr>
        <w:t>N</w:t>
      </w:r>
      <w:r w:rsidRPr="00D72D9A">
        <w:rPr>
          <w:rFonts w:ascii="Arial" w:hAnsi="Arial" w:cs="Arial"/>
          <w:i/>
          <w:vertAlign w:val="subscript"/>
        </w:rPr>
        <w:t>g</w:t>
      </w:r>
      <w:r w:rsidRPr="00D72D9A">
        <w:rPr>
          <w:rFonts w:ascii="Arial" w:hAnsi="Arial" w:cs="Arial"/>
        </w:rPr>
        <w:t xml:space="preserve"> be the number of discreet gray levels; </w:t>
      </w:r>
      <w:r w:rsidRPr="00D72D9A">
        <w:rPr>
          <w:rFonts w:ascii="Arial" w:hAnsi="Arial" w:cs="Arial"/>
          <w:i/>
        </w:rPr>
        <w:t>N</w:t>
      </w:r>
      <w:r w:rsidRPr="00D72D9A">
        <w:rPr>
          <w:rFonts w:ascii="Arial" w:hAnsi="Arial" w:cs="Arial"/>
          <w:i/>
          <w:vertAlign w:val="subscript"/>
        </w:rPr>
        <w:t>s</w:t>
      </w:r>
      <w:r w:rsidRPr="00D72D9A">
        <w:rPr>
          <w:rFonts w:ascii="Arial" w:hAnsi="Arial" w:cs="Arial"/>
        </w:rPr>
        <w:t xml:space="preserve"> be the number of discreet zone sizes in the image; </w:t>
      </w:r>
      <w:r w:rsidRPr="00D72D9A">
        <w:rPr>
          <w:rFonts w:ascii="Arial" w:hAnsi="Arial" w:cs="Arial"/>
          <w:i/>
        </w:rPr>
        <w:t>N</w:t>
      </w:r>
      <w:r w:rsidRPr="00D72D9A">
        <w:rPr>
          <w:rFonts w:ascii="Arial" w:hAnsi="Arial" w:cs="Arial"/>
          <w:i/>
          <w:vertAlign w:val="subscript"/>
        </w:rPr>
        <w:t>p</w:t>
      </w:r>
      <w:r w:rsidRPr="00D72D9A">
        <w:rPr>
          <w:rFonts w:ascii="Arial" w:hAnsi="Arial" w:cs="Arial"/>
        </w:rPr>
        <w:t xml:space="preserve"> be the number of voxels in the image; </w:t>
      </w:r>
      <w:r w:rsidRPr="00D72D9A">
        <w:rPr>
          <w:rFonts w:ascii="Arial" w:hAnsi="Arial" w:cs="Arial"/>
          <w:i/>
        </w:rPr>
        <w:t>N</w:t>
      </w:r>
      <w:r w:rsidRPr="00D72D9A">
        <w:rPr>
          <w:rFonts w:ascii="Arial" w:hAnsi="Arial" w:cs="Arial"/>
          <w:i/>
          <w:vertAlign w:val="subscript"/>
        </w:rPr>
        <w:t>z</w:t>
      </w:r>
      <w:r w:rsidRPr="00D72D9A">
        <w:rPr>
          <w:rFonts w:ascii="Arial" w:hAnsi="Arial" w:cs="Arial"/>
        </w:rPr>
        <w:t xml:space="preserve"> be the number of zones; </w:t>
      </w:r>
      <w:r w:rsidRPr="00D72D9A">
        <w:rPr>
          <w:rFonts w:ascii="Arial" w:hAnsi="Arial" w:cs="Arial"/>
          <w:i/>
        </w:rPr>
        <w:t>P(i,j)</w:t>
      </w:r>
      <w:r w:rsidRPr="00D72D9A">
        <w:rPr>
          <w:rFonts w:ascii="Arial" w:hAnsi="Arial" w:cs="Arial"/>
        </w:rPr>
        <w:t xml:space="preserve"> be the size zone matrix;</w:t>
      </w:r>
      <w:r w:rsidRPr="00D72D9A">
        <w:rPr>
          <w:rFonts w:ascii="Arial" w:hAnsi="Arial" w:cs="Arial"/>
          <w:i/>
        </w:rPr>
        <w:t xml:space="preserve"> p</w:t>
      </w:r>
      <w:r w:rsidRPr="00D72D9A">
        <w:rPr>
          <w:rFonts w:ascii="Arial" w:hAnsi="Arial" w:cs="Arial"/>
          <w:i/>
          <w:vertAlign w:val="subscript"/>
        </w:rPr>
        <w:t>i</w:t>
      </w:r>
      <w:r w:rsidRPr="00D72D9A">
        <w:rPr>
          <w:rFonts w:ascii="Arial" w:hAnsi="Arial" w:cs="Arial"/>
        </w:rPr>
        <w:t xml:space="preserve"> be the gray level probability; </w:t>
      </w:r>
      <w:r w:rsidRPr="00D72D9A">
        <w:rPr>
          <w:rFonts w:ascii="Arial" w:hAnsi="Arial" w:cs="Arial"/>
          <w:i/>
        </w:rPr>
        <w:t>s</w:t>
      </w:r>
      <w:r w:rsidRPr="00D72D9A">
        <w:rPr>
          <w:rFonts w:ascii="Arial" w:hAnsi="Arial" w:cs="Arial"/>
          <w:i/>
          <w:vertAlign w:val="subscript"/>
        </w:rPr>
        <w:t>i</w:t>
      </w:r>
      <w:r w:rsidRPr="00D72D9A">
        <w:rPr>
          <w:rFonts w:ascii="Arial" w:hAnsi="Arial" w:cs="Arial"/>
        </w:rPr>
        <w:t xml:space="preserve"> be the </w:t>
      </w:r>
      <w:r w:rsidRPr="00D72D9A">
        <w:rPr>
          <w:rFonts w:ascii="Arial" w:hAnsi="Arial" w:cs="Arial"/>
        </w:rPr>
        <w:lastRenderedPageBreak/>
        <w:t xml:space="preserve">sum of absolute differences for gray level; </w:t>
      </w:r>
      <w:r w:rsidRPr="00D72D9A">
        <w:rPr>
          <w:rFonts w:ascii="Arial" w:hAnsi="Arial" w:cs="Arial"/>
          <w:i/>
        </w:rPr>
        <w:t>X</w:t>
      </w:r>
      <w:r w:rsidRPr="00D72D9A">
        <w:rPr>
          <w:rFonts w:ascii="Arial" w:hAnsi="Arial" w:cs="Arial"/>
        </w:rPr>
        <w:t xml:space="preserve"> be a set of </w:t>
      </w:r>
      <w:r w:rsidRPr="00D72D9A">
        <w:rPr>
          <w:rFonts w:ascii="Arial" w:hAnsi="Arial" w:cs="Arial"/>
          <w:i/>
        </w:rPr>
        <w:t>N</w:t>
      </w:r>
      <w:r w:rsidRPr="00D72D9A">
        <w:rPr>
          <w:rFonts w:ascii="Arial" w:hAnsi="Arial" w:cs="Arial"/>
          <w:i/>
          <w:vertAlign w:val="subscript"/>
        </w:rPr>
        <w:t>p</w:t>
      </w:r>
      <w:r w:rsidRPr="00D72D9A">
        <w:rPr>
          <w:rFonts w:ascii="Arial" w:hAnsi="Arial" w:cs="Arial"/>
        </w:rPr>
        <w:t xml:space="preserve"> voxels included in the region of interest.</w:t>
      </w:r>
    </w:p>
    <w:sectPr w:rsidR="00FB6E21" w:rsidRPr="00D72D9A" w:rsidSect="00FB6E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255" w:rsidRDefault="00CD3255" w:rsidP="00FB6E21">
      <w:r>
        <w:separator/>
      </w:r>
    </w:p>
  </w:endnote>
  <w:endnote w:type="continuationSeparator" w:id="0">
    <w:p w:rsidR="00CD3255" w:rsidRDefault="00CD3255" w:rsidP="00FB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hqlpyAdvTT3713a231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255" w:rsidRDefault="00CD3255" w:rsidP="00FB6E21">
      <w:r>
        <w:separator/>
      </w:r>
    </w:p>
  </w:footnote>
  <w:footnote w:type="continuationSeparator" w:id="0">
    <w:p w:rsidR="00CD3255" w:rsidRDefault="00CD3255" w:rsidP="00FB6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64"/>
    <w:rsid w:val="00065DB9"/>
    <w:rsid w:val="00085364"/>
    <w:rsid w:val="00140632"/>
    <w:rsid w:val="00184546"/>
    <w:rsid w:val="001D3D82"/>
    <w:rsid w:val="002267D9"/>
    <w:rsid w:val="002346E4"/>
    <w:rsid w:val="00252A24"/>
    <w:rsid w:val="00432990"/>
    <w:rsid w:val="0045312E"/>
    <w:rsid w:val="004A7A38"/>
    <w:rsid w:val="006875BE"/>
    <w:rsid w:val="00711BFB"/>
    <w:rsid w:val="00714633"/>
    <w:rsid w:val="0072096D"/>
    <w:rsid w:val="008225E0"/>
    <w:rsid w:val="008511C0"/>
    <w:rsid w:val="00877B18"/>
    <w:rsid w:val="008A763F"/>
    <w:rsid w:val="0090774E"/>
    <w:rsid w:val="00A9703B"/>
    <w:rsid w:val="00B66A19"/>
    <w:rsid w:val="00B6761B"/>
    <w:rsid w:val="00B71A67"/>
    <w:rsid w:val="00BD79BD"/>
    <w:rsid w:val="00C91057"/>
    <w:rsid w:val="00CD3255"/>
    <w:rsid w:val="00D1003E"/>
    <w:rsid w:val="00D642D3"/>
    <w:rsid w:val="00D72D9A"/>
    <w:rsid w:val="00DD0CD0"/>
    <w:rsid w:val="00E659A1"/>
    <w:rsid w:val="00EE6F9E"/>
    <w:rsid w:val="00F87B6E"/>
    <w:rsid w:val="00FB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5CB85"/>
  <w15:chartTrackingRefBased/>
  <w15:docId w15:val="{9CE60CD8-378E-4929-BA32-2AEE80C3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E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6E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6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6E21"/>
    <w:rPr>
      <w:sz w:val="18"/>
      <w:szCs w:val="18"/>
    </w:rPr>
  </w:style>
  <w:style w:type="table" w:styleId="a7">
    <w:name w:val="Table Grid"/>
    <w:basedOn w:val="a1"/>
    <w:uiPriority w:val="39"/>
    <w:rsid w:val="00FB6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qFormat/>
    <w:rsid w:val="0090774E"/>
    <w:rPr>
      <w:rFonts w:ascii="RhqlpyAdvTT3713a231" w:hAnsi="RhqlpyAdvTT3713a231" w:hint="default"/>
      <w:color w:val="13141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mshzang</dc:creator>
  <cp:keywords/>
  <dc:description/>
  <cp:lastModifiedBy>mshzang</cp:lastModifiedBy>
  <cp:revision>28</cp:revision>
  <dcterms:created xsi:type="dcterms:W3CDTF">2022-08-29T12:52:00Z</dcterms:created>
  <dcterms:modified xsi:type="dcterms:W3CDTF">2022-09-08T02:45:00Z</dcterms:modified>
</cp:coreProperties>
</file>