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4D2D1" w14:textId="77777777" w:rsidR="00E24B89" w:rsidRPr="00963BFC" w:rsidRDefault="00E24B89">
      <w:pPr>
        <w:rPr>
          <w:rFonts w:ascii="Arial" w:hAnsi="Arial" w:cs="Arial"/>
          <w:b/>
          <w:bCs/>
          <w:sz w:val="20"/>
          <w:szCs w:val="20"/>
          <w:lang w:val="en-GB"/>
        </w:rPr>
      </w:pPr>
      <w:r w:rsidRPr="00963BFC">
        <w:rPr>
          <w:rFonts w:ascii="Arial" w:hAnsi="Arial" w:cs="Arial"/>
          <w:b/>
          <w:bCs/>
          <w:sz w:val="20"/>
          <w:szCs w:val="20"/>
          <w:lang w:val="en-GB"/>
        </w:rPr>
        <w:t xml:space="preserve">Supplementary data </w:t>
      </w:r>
    </w:p>
    <w:p w14:paraId="430891CA" w14:textId="77777777" w:rsidR="00E24B89" w:rsidRPr="00963BFC" w:rsidRDefault="00E24B89">
      <w:pPr>
        <w:rPr>
          <w:rFonts w:ascii="Arial" w:hAnsi="Arial" w:cs="Arial"/>
          <w:sz w:val="20"/>
          <w:szCs w:val="20"/>
          <w:lang w:val="en-GB"/>
        </w:rPr>
      </w:pPr>
    </w:p>
    <w:p w14:paraId="3ACDC182" w14:textId="77777777" w:rsidR="00E24B89" w:rsidRPr="00963BFC" w:rsidRDefault="00E24B89">
      <w:pPr>
        <w:rPr>
          <w:rFonts w:ascii="Arial" w:hAnsi="Arial" w:cs="Arial"/>
          <w:sz w:val="20"/>
          <w:szCs w:val="20"/>
          <w:lang w:val="en-GB"/>
        </w:rPr>
      </w:pPr>
      <w:r w:rsidRPr="00963BFC">
        <w:rPr>
          <w:rFonts w:ascii="Arial" w:hAnsi="Arial" w:cs="Arial"/>
          <w:noProof/>
          <w:sz w:val="20"/>
          <w:szCs w:val="20"/>
          <w:lang w:val="en-GB"/>
        </w:rPr>
        <w:drawing>
          <wp:inline distT="0" distB="0" distL="0" distR="0" wp14:anchorId="4E2B7D4C" wp14:editId="75729D28">
            <wp:extent cx="5731510" cy="2275840"/>
            <wp:effectExtent l="0" t="0" r="254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7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56AE0" w14:textId="03607AA4" w:rsidR="00E24B89" w:rsidRPr="00963BFC" w:rsidRDefault="00E24B89" w:rsidP="00E24B89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963BFC">
        <w:rPr>
          <w:rFonts w:ascii="Arial" w:hAnsi="Arial" w:cs="Arial"/>
          <w:b/>
          <w:bCs/>
          <w:sz w:val="20"/>
          <w:szCs w:val="20"/>
          <w:lang w:val="en-GB"/>
        </w:rPr>
        <w:t xml:space="preserve">Supplementary Figure 1. Example of digital autoradiography analysis to determine the endocrine-exocrine ratio. </w:t>
      </w:r>
      <w:r w:rsidRPr="00963BFC">
        <w:rPr>
          <w:rFonts w:ascii="Arial" w:hAnsi="Arial" w:cs="Arial"/>
          <w:sz w:val="20"/>
          <w:szCs w:val="20"/>
          <w:lang w:val="en-GB"/>
        </w:rPr>
        <w:t>Six ROIs were drawn in exocrine regions</w:t>
      </w:r>
      <w:r w:rsidR="00557A50" w:rsidRPr="00963BFC">
        <w:rPr>
          <w:rFonts w:ascii="Arial" w:hAnsi="Arial" w:cs="Arial"/>
          <w:sz w:val="20"/>
          <w:szCs w:val="20"/>
          <w:lang w:val="en-GB"/>
        </w:rPr>
        <w:t xml:space="preserve">, </w:t>
      </w:r>
      <w:r w:rsidRPr="00963BFC">
        <w:rPr>
          <w:rFonts w:ascii="Arial" w:hAnsi="Arial" w:cs="Arial"/>
          <w:sz w:val="20"/>
          <w:szCs w:val="20"/>
          <w:lang w:val="en-GB"/>
        </w:rPr>
        <w:t>especially in regions with low fat</w:t>
      </w:r>
      <w:r w:rsidR="00963BFC">
        <w:rPr>
          <w:rFonts w:ascii="Arial" w:hAnsi="Arial" w:cs="Arial"/>
          <w:sz w:val="20"/>
          <w:szCs w:val="20"/>
          <w:lang w:val="en-GB"/>
        </w:rPr>
        <w:t xml:space="preserve"> </w:t>
      </w:r>
      <w:r w:rsidRPr="00963BFC">
        <w:rPr>
          <w:rFonts w:ascii="Arial" w:hAnsi="Arial" w:cs="Arial"/>
          <w:sz w:val="20"/>
          <w:szCs w:val="20"/>
          <w:lang w:val="en-GB"/>
        </w:rPr>
        <w:t>content</w:t>
      </w:r>
      <w:r w:rsidR="00557A50" w:rsidRPr="00963BFC">
        <w:rPr>
          <w:rFonts w:ascii="Arial" w:hAnsi="Arial" w:cs="Arial"/>
          <w:sz w:val="20"/>
          <w:szCs w:val="20"/>
          <w:lang w:val="en-GB"/>
        </w:rPr>
        <w:t xml:space="preserve"> (green boxes), and </w:t>
      </w:r>
      <w:r w:rsidR="00963BFC">
        <w:rPr>
          <w:rFonts w:ascii="Arial" w:hAnsi="Arial" w:cs="Arial"/>
          <w:sz w:val="20"/>
          <w:szCs w:val="20"/>
          <w:lang w:val="en-GB"/>
        </w:rPr>
        <w:t xml:space="preserve">ten ROIs </w:t>
      </w:r>
      <w:r w:rsidR="00557A50" w:rsidRPr="00963BFC">
        <w:rPr>
          <w:rFonts w:ascii="Arial" w:hAnsi="Arial" w:cs="Arial"/>
          <w:sz w:val="20"/>
          <w:szCs w:val="20"/>
          <w:lang w:val="en-GB"/>
        </w:rPr>
        <w:t>in endocrine regions (purple boxes). The background ROI is depicted by the yellow box.</w:t>
      </w:r>
    </w:p>
    <w:p w14:paraId="5361D443" w14:textId="77777777" w:rsidR="00E24B89" w:rsidRPr="00963BFC" w:rsidRDefault="00E24B89">
      <w:pPr>
        <w:rPr>
          <w:rFonts w:ascii="Arial" w:hAnsi="Arial" w:cs="Arial"/>
          <w:sz w:val="20"/>
          <w:szCs w:val="20"/>
          <w:lang w:val="en-GB"/>
        </w:rPr>
      </w:pPr>
      <w:r w:rsidRPr="00963BFC">
        <w:rPr>
          <w:rFonts w:ascii="Arial" w:hAnsi="Arial" w:cs="Arial"/>
          <w:sz w:val="20"/>
          <w:szCs w:val="20"/>
          <w:lang w:val="en-GB"/>
        </w:rPr>
        <w:br w:type="page"/>
      </w:r>
    </w:p>
    <w:p w14:paraId="6B18F3B8" w14:textId="77777777" w:rsidR="00E24B89" w:rsidRPr="00963BFC" w:rsidRDefault="00E24B89">
      <w:pPr>
        <w:rPr>
          <w:rFonts w:ascii="Arial" w:hAnsi="Arial" w:cs="Arial"/>
          <w:sz w:val="20"/>
          <w:szCs w:val="20"/>
          <w:lang w:val="en-GB"/>
        </w:rPr>
      </w:pPr>
      <w:r w:rsidRPr="00963BFC">
        <w:rPr>
          <w:rFonts w:ascii="Arial" w:hAnsi="Arial" w:cs="Arial"/>
          <w:noProof/>
          <w:sz w:val="20"/>
          <w:szCs w:val="20"/>
          <w:lang w:val="en-GB"/>
        </w:rPr>
        <w:lastRenderedPageBreak/>
        <w:drawing>
          <wp:inline distT="0" distB="0" distL="0" distR="0" wp14:anchorId="4903EB7C" wp14:editId="366DD9E0">
            <wp:extent cx="5238750" cy="51435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AC178" w14:textId="64C485D8" w:rsidR="00E24B89" w:rsidRPr="00963BFC" w:rsidRDefault="00E24B89" w:rsidP="00E24B89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963BFC">
        <w:rPr>
          <w:rFonts w:ascii="Arial" w:hAnsi="Arial" w:cs="Arial"/>
          <w:b/>
          <w:bCs/>
          <w:sz w:val="20"/>
          <w:szCs w:val="20"/>
          <w:lang w:val="en-GB"/>
        </w:rPr>
        <w:t>Supplementary Figure 2.</w:t>
      </w:r>
      <w:r w:rsidRPr="00963BF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963BFC">
        <w:rPr>
          <w:rFonts w:ascii="Arial" w:hAnsi="Arial" w:cs="Arial"/>
          <w:b/>
          <w:bCs/>
          <w:sz w:val="20"/>
          <w:szCs w:val="20"/>
          <w:lang w:val="en-GB"/>
        </w:rPr>
        <w:t>MicroSPECT</w:t>
      </w:r>
      <w:proofErr w:type="spellEnd"/>
      <w:r w:rsidRPr="00963BFC">
        <w:rPr>
          <w:rFonts w:ascii="Arial" w:hAnsi="Arial" w:cs="Arial"/>
          <w:b/>
          <w:bCs/>
          <w:sz w:val="20"/>
          <w:szCs w:val="20"/>
          <w:lang w:val="en-GB"/>
        </w:rPr>
        <w:t>/CT images of the resected pancreatic tissue of participant 14</w:t>
      </w:r>
      <w:r w:rsidRPr="00963BFC">
        <w:rPr>
          <w:rFonts w:ascii="Arial" w:hAnsi="Arial" w:cs="Arial"/>
          <w:sz w:val="20"/>
          <w:szCs w:val="20"/>
          <w:lang w:val="en-GB"/>
        </w:rPr>
        <w:t xml:space="preserve">. The </w:t>
      </w:r>
      <w:proofErr w:type="spellStart"/>
      <w:r w:rsidRPr="00963BFC">
        <w:rPr>
          <w:rFonts w:ascii="Arial" w:hAnsi="Arial" w:cs="Arial"/>
          <w:sz w:val="20"/>
          <w:szCs w:val="20"/>
          <w:lang w:val="en-GB"/>
        </w:rPr>
        <w:t>microSPECT</w:t>
      </w:r>
      <w:proofErr w:type="spellEnd"/>
      <w:r w:rsidRPr="00963BFC">
        <w:rPr>
          <w:rFonts w:ascii="Arial" w:hAnsi="Arial" w:cs="Arial"/>
          <w:sz w:val="20"/>
          <w:szCs w:val="20"/>
          <w:lang w:val="en-GB"/>
        </w:rPr>
        <w:t xml:space="preserve">/CT images in (A) sagittal, (B) coronal and (C) transverse planes show clear uptake of </w:t>
      </w:r>
      <w:r w:rsidR="00963BFC">
        <w:rPr>
          <w:rFonts w:ascii="Arial" w:hAnsi="Arial" w:cs="Arial"/>
          <w:sz w:val="20"/>
          <w:szCs w:val="20"/>
          <w:vertAlign w:val="superscript"/>
          <w:lang w:val="en-GB"/>
        </w:rPr>
        <w:t>111</w:t>
      </w:r>
      <w:r w:rsidRPr="00963BFC">
        <w:rPr>
          <w:rFonts w:ascii="Arial" w:hAnsi="Arial" w:cs="Arial"/>
          <w:sz w:val="20"/>
          <w:szCs w:val="20"/>
          <w:lang w:val="en-GB"/>
        </w:rPr>
        <w:t>In-</w:t>
      </w:r>
      <w:r w:rsidR="00963BFC">
        <w:rPr>
          <w:rFonts w:ascii="Arial" w:hAnsi="Arial" w:cs="Arial"/>
          <w:sz w:val="20"/>
          <w:szCs w:val="20"/>
          <w:lang w:val="en-GB"/>
        </w:rPr>
        <w:t xml:space="preserve">labeled </w:t>
      </w:r>
      <w:r w:rsidRPr="00963BFC">
        <w:rPr>
          <w:rFonts w:ascii="Arial" w:hAnsi="Arial" w:cs="Arial"/>
          <w:sz w:val="20"/>
          <w:szCs w:val="20"/>
          <w:lang w:val="en-GB"/>
        </w:rPr>
        <w:t xml:space="preserve">exendin in the resected pancreatic tissue of participant 14 who underwent a pancreaticoduodenectomy. </w:t>
      </w:r>
    </w:p>
    <w:p w14:paraId="49ECFA86" w14:textId="77777777" w:rsidR="00E24B89" w:rsidRPr="00963BFC" w:rsidRDefault="00E24B89">
      <w:pPr>
        <w:rPr>
          <w:rFonts w:ascii="Arial" w:hAnsi="Arial" w:cs="Arial"/>
          <w:sz w:val="20"/>
          <w:szCs w:val="20"/>
          <w:lang w:val="en-GB"/>
        </w:rPr>
      </w:pPr>
      <w:r w:rsidRPr="00963BFC">
        <w:rPr>
          <w:rFonts w:ascii="Arial" w:hAnsi="Arial" w:cs="Arial"/>
          <w:sz w:val="20"/>
          <w:szCs w:val="20"/>
          <w:lang w:val="en-GB"/>
        </w:rPr>
        <w:br w:type="page"/>
      </w:r>
    </w:p>
    <w:p w14:paraId="2353D008" w14:textId="77777777" w:rsidR="00E24B89" w:rsidRPr="00963BFC" w:rsidRDefault="00E24B89">
      <w:pPr>
        <w:rPr>
          <w:rFonts w:ascii="Arial" w:hAnsi="Arial" w:cs="Arial"/>
          <w:sz w:val="20"/>
          <w:szCs w:val="20"/>
          <w:lang w:val="en-GB"/>
        </w:rPr>
      </w:pPr>
      <w:r w:rsidRPr="00963BFC">
        <w:rPr>
          <w:rFonts w:ascii="Arial" w:hAnsi="Arial" w:cs="Arial"/>
          <w:noProof/>
          <w:sz w:val="20"/>
          <w:szCs w:val="20"/>
          <w:lang w:val="en-GB"/>
        </w:rPr>
        <w:lastRenderedPageBreak/>
        <w:drawing>
          <wp:inline distT="0" distB="0" distL="0" distR="0" wp14:anchorId="2F4C3A72" wp14:editId="1A6AF99D">
            <wp:extent cx="3669216" cy="3533775"/>
            <wp:effectExtent l="0" t="0" r="762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236" cy="3535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08537" w14:textId="77777777" w:rsidR="00E24B89" w:rsidRPr="00963BFC" w:rsidRDefault="00E24B89" w:rsidP="00E24B89">
      <w:pPr>
        <w:pStyle w:val="Geenafstand"/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963BFC">
        <w:rPr>
          <w:rFonts w:ascii="Arial" w:hAnsi="Arial" w:cs="Arial"/>
          <w:b/>
          <w:bCs/>
          <w:sz w:val="20"/>
          <w:szCs w:val="20"/>
          <w:lang w:val="en-GB"/>
        </w:rPr>
        <w:t>Supplementary Figure 3.</w:t>
      </w:r>
      <w:r w:rsidRPr="00963BFC">
        <w:rPr>
          <w:rFonts w:ascii="Arial" w:hAnsi="Arial" w:cs="Arial"/>
          <w:sz w:val="20"/>
          <w:szCs w:val="20"/>
          <w:lang w:val="en-GB"/>
        </w:rPr>
        <w:t xml:space="preserve"> </w:t>
      </w:r>
      <w:r w:rsidRPr="00963BFC">
        <w:rPr>
          <w:rFonts w:ascii="Arial" w:hAnsi="Arial" w:cs="Arial"/>
          <w:b/>
          <w:bCs/>
          <w:sz w:val="20"/>
          <w:szCs w:val="20"/>
          <w:lang w:val="en-GB"/>
        </w:rPr>
        <w:t>Endocrine-exocrine ratio determined on digital autoradiography images</w:t>
      </w:r>
      <w:r w:rsidRPr="00963BFC">
        <w:rPr>
          <w:rFonts w:ascii="Arial" w:hAnsi="Arial" w:cs="Arial"/>
          <w:sz w:val="20"/>
          <w:szCs w:val="20"/>
          <w:lang w:val="en-GB"/>
        </w:rPr>
        <w:t xml:space="preserve"> The median exocrine-endocrine ratio of the tracer uptake in all pancreatic tissue samples of study participants was 3.1 [2.6-8.6]. This was based on all slides of the participants. The ratio determined with the sample of participant 1 is excluded because of insufficient image quality for reliable quantification (red star in graph). </w:t>
      </w:r>
    </w:p>
    <w:sectPr w:rsidR="00E24B89" w:rsidRPr="00963B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89"/>
    <w:rsid w:val="00557A50"/>
    <w:rsid w:val="00963BFC"/>
    <w:rsid w:val="00CB2B5B"/>
    <w:rsid w:val="00E2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6550F"/>
  <w15:chartTrackingRefBased/>
  <w15:docId w15:val="{3CC74ABC-2E48-4AC0-9316-D1E0DC18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E24B89"/>
    <w:pPr>
      <w:spacing w:after="0" w:line="240" w:lineRule="auto"/>
    </w:pPr>
    <w:rPr>
      <w:kern w:val="0"/>
      <w:lang w:val="en-US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24B89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166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Tokgöz, Sevilay</dc:creator>
  <cp:keywords/>
  <dc:description/>
  <cp:lastModifiedBy>Jansen, Tom</cp:lastModifiedBy>
  <cp:revision>2</cp:revision>
  <dcterms:created xsi:type="dcterms:W3CDTF">2024-07-27T09:20:00Z</dcterms:created>
  <dcterms:modified xsi:type="dcterms:W3CDTF">2024-07-27T09:20:00Z</dcterms:modified>
</cp:coreProperties>
</file>