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9340B" w14:textId="064E9D2D" w:rsidR="0054416B" w:rsidRPr="00AD12CD" w:rsidRDefault="00BA6596" w:rsidP="002B623F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AD12C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Supplemental </w:t>
      </w:r>
      <w:r w:rsidR="0054416B" w:rsidRPr="00AD12CD">
        <w:rPr>
          <w:rFonts w:ascii="Times New Roman" w:eastAsia="宋体" w:hAnsi="Times New Roman" w:cs="Times New Roman"/>
          <w:b/>
          <w:bCs/>
          <w:sz w:val="24"/>
          <w:szCs w:val="24"/>
        </w:rPr>
        <w:t>Table 1</w:t>
      </w:r>
      <w:r w:rsidR="0054416B" w:rsidRPr="00AD12C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86514" w:rsidRPr="00AD12CD">
        <w:rPr>
          <w:rFonts w:ascii="Times New Roman" w:eastAsia="宋体" w:hAnsi="Times New Roman" w:cs="Times New Roman" w:hint="eastAsia"/>
          <w:sz w:val="24"/>
          <w:szCs w:val="24"/>
        </w:rPr>
        <w:t xml:space="preserve">Dose adjustment toxicities and recommendations for </w:t>
      </w:r>
      <w:r w:rsidR="000F2F01" w:rsidRPr="00AD12CD">
        <w:rPr>
          <w:rFonts w:ascii="Times New Roman" w:eastAsia="宋体" w:hAnsi="Times New Roman" w:cs="Times New Roman" w:hint="eastAsia"/>
          <w:sz w:val="24"/>
          <w:szCs w:val="24"/>
        </w:rPr>
        <w:t>[</w:t>
      </w:r>
      <w:r w:rsidR="00C86514" w:rsidRPr="00AD12CD">
        <w:rPr>
          <w:rFonts w:ascii="Times New Roman" w:hAnsi="Times New Roman" w:cs="Times New Roman"/>
          <w:sz w:val="24"/>
          <w:szCs w:val="24"/>
          <w:vertAlign w:val="superscript"/>
        </w:rPr>
        <w:t>177</w:t>
      </w:r>
      <w:proofErr w:type="gramStart"/>
      <w:r w:rsidR="00C86514" w:rsidRPr="00AD12CD">
        <w:rPr>
          <w:rFonts w:ascii="Times New Roman" w:hAnsi="Times New Roman" w:cs="Times New Roman"/>
          <w:sz w:val="24"/>
          <w:szCs w:val="24"/>
        </w:rPr>
        <w:t>Lu</w:t>
      </w:r>
      <w:r w:rsidR="000F2F01" w:rsidRPr="00AD12CD">
        <w:rPr>
          <w:rFonts w:ascii="Times New Roman" w:hAnsi="Times New Roman" w:cs="Times New Roman" w:hint="eastAsia"/>
          <w:sz w:val="24"/>
          <w:szCs w:val="24"/>
        </w:rPr>
        <w:t>]Lu</w:t>
      </w:r>
      <w:proofErr w:type="gramEnd"/>
      <w:r w:rsidR="006E6CF7" w:rsidRPr="00AD12CD">
        <w:rPr>
          <w:rFonts w:ascii="Times New Roman" w:hAnsi="Times New Roman" w:cs="Times New Roman" w:hint="eastAsia"/>
          <w:sz w:val="24"/>
          <w:szCs w:val="24"/>
        </w:rPr>
        <w:t>-</w:t>
      </w:r>
      <w:r w:rsidR="00C86514" w:rsidRPr="00AD12CD">
        <w:rPr>
          <w:rFonts w:ascii="Times New Roman" w:hAnsi="Times New Roman" w:cs="Times New Roman"/>
          <w:sz w:val="24"/>
          <w:szCs w:val="24"/>
        </w:rPr>
        <w:t>DOTA</w:t>
      </w:r>
      <w:r w:rsidR="000F2F01" w:rsidRPr="00AD12CD">
        <w:rPr>
          <w:rFonts w:ascii="Times New Roman" w:hAnsi="Times New Roman" w:cs="Times New Roman" w:hint="eastAsia"/>
          <w:sz w:val="24"/>
          <w:szCs w:val="24"/>
        </w:rPr>
        <w:t>-</w:t>
      </w:r>
      <w:r w:rsidR="00C86514" w:rsidRPr="00AD12CD">
        <w:rPr>
          <w:rFonts w:ascii="Times New Roman" w:hAnsi="Times New Roman" w:cs="Times New Roman"/>
          <w:sz w:val="24"/>
          <w:szCs w:val="24"/>
        </w:rPr>
        <w:t>TATE</w:t>
      </w:r>
      <w:r w:rsidR="00C86514" w:rsidRPr="00AD12CD">
        <w:rPr>
          <w:rFonts w:ascii="Times New Roman" w:eastAsia="宋体" w:hAnsi="Times New Roman" w:cs="Times New Roman" w:hint="eastAsia"/>
          <w:sz w:val="24"/>
          <w:szCs w:val="24"/>
        </w:rPr>
        <w:t xml:space="preserve"> injection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AD12CD" w:rsidRPr="00AD12CD" w14:paraId="6516C931" w14:textId="77777777" w:rsidTr="00002B13">
        <w:tc>
          <w:tcPr>
            <w:tcW w:w="5530" w:type="dxa"/>
            <w:gridSpan w:val="2"/>
          </w:tcPr>
          <w:p w14:paraId="37687106" w14:textId="75E5AAF0" w:rsidR="00981A3D" w:rsidRPr="00AD12CD" w:rsidRDefault="00981A3D" w:rsidP="002B623F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b/>
                <w:bCs/>
                <w:szCs w:val="21"/>
              </w:rPr>
              <w:t>Dose Adjustment Toxicity*</w:t>
            </w:r>
          </w:p>
        </w:tc>
        <w:tc>
          <w:tcPr>
            <w:tcW w:w="2766" w:type="dxa"/>
          </w:tcPr>
          <w:p w14:paraId="3CC4CDC5" w14:textId="45F2BEDF" w:rsidR="00981A3D" w:rsidRPr="00AD12CD" w:rsidRDefault="00981A3D" w:rsidP="002B623F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b/>
                <w:bCs/>
                <w:szCs w:val="21"/>
              </w:rPr>
              <w:t>Dose Adjustment Recommendations</w:t>
            </w:r>
            <w:r w:rsidRPr="00AD12CD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*</w:t>
            </w:r>
          </w:p>
        </w:tc>
      </w:tr>
      <w:tr w:rsidR="00AD12CD" w:rsidRPr="00AD12CD" w14:paraId="18820BB3" w14:textId="77777777" w:rsidTr="00981A3D">
        <w:tc>
          <w:tcPr>
            <w:tcW w:w="2765" w:type="dxa"/>
            <w:vMerge w:val="restart"/>
          </w:tcPr>
          <w:p w14:paraId="363159B5" w14:textId="3F5A69C4" w:rsidR="00767D1B" w:rsidRPr="00AD12CD" w:rsidRDefault="00767D1B" w:rsidP="00E17EF4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Thrombocytopenia</w:t>
            </w:r>
          </w:p>
        </w:tc>
        <w:tc>
          <w:tcPr>
            <w:tcW w:w="2765" w:type="dxa"/>
          </w:tcPr>
          <w:p w14:paraId="1E4B46BA" w14:textId="4064F4EE" w:rsidR="00767D1B" w:rsidRPr="00AD12CD" w:rsidRDefault="00767D1B" w:rsidP="002B623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 w:hint="eastAsia"/>
                <w:szCs w:val="21"/>
              </w:rPr>
              <w:t>First</w:t>
            </w:r>
            <w:r w:rsidRPr="00AD12CD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bookmarkStart w:id="0" w:name="OLE_LINK2"/>
            <w:r w:rsidRPr="00AD12CD">
              <w:rPr>
                <w:rFonts w:ascii="Times New Roman" w:eastAsia="宋体" w:hAnsi="Times New Roman" w:cs="Times New Roman"/>
                <w:szCs w:val="21"/>
              </w:rPr>
              <w:t>occurrence</w:t>
            </w:r>
            <w:bookmarkEnd w:id="0"/>
            <w:r w:rsidRPr="00AD12CD">
              <w:rPr>
                <w:rFonts w:ascii="Times New Roman" w:eastAsia="宋体" w:hAnsi="Times New Roman" w:cs="Times New Roman"/>
                <w:szCs w:val="21"/>
              </w:rPr>
              <w:t xml:space="preserve"> of Grade 2, 3, or 4</w:t>
            </w:r>
          </w:p>
        </w:tc>
        <w:tc>
          <w:tcPr>
            <w:tcW w:w="2766" w:type="dxa"/>
          </w:tcPr>
          <w:p w14:paraId="16D7F019" w14:textId="0314CAF5" w:rsidR="00767D1B" w:rsidRPr="00AD12CD" w:rsidRDefault="00767D1B" w:rsidP="002B623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 w:hint="eastAsia"/>
                <w:szCs w:val="21"/>
              </w:rPr>
              <w:t>Suspend medication</w:t>
            </w:r>
          </w:p>
          <w:p w14:paraId="77AE51BA" w14:textId="23822333" w:rsidR="00767D1B" w:rsidRPr="00AD12CD" w:rsidRDefault="00767D1B" w:rsidP="002B623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 xml:space="preserve">If recovery to Grade 0-1 or baseline levels occurs within 16 weeks, medication can be resumed using a reduced dose of 3.7 </w:t>
            </w:r>
            <w:proofErr w:type="spellStart"/>
            <w:r w:rsidRPr="00AD12CD">
              <w:rPr>
                <w:rFonts w:ascii="Times New Roman" w:eastAsia="宋体" w:hAnsi="Times New Roman" w:cs="Times New Roman"/>
                <w:szCs w:val="21"/>
              </w:rPr>
              <w:t>GBq</w:t>
            </w:r>
            <w:proofErr w:type="spellEnd"/>
            <w:r w:rsidRPr="00AD12CD">
              <w:rPr>
                <w:rFonts w:ascii="Times New Roman" w:eastAsia="宋体" w:hAnsi="Times New Roman" w:cs="Times New Roman"/>
                <w:szCs w:val="21"/>
              </w:rPr>
              <w:t xml:space="preserve"> (100 </w:t>
            </w:r>
            <w:proofErr w:type="spellStart"/>
            <w:r w:rsidRPr="00AD12CD">
              <w:rPr>
                <w:rFonts w:ascii="Times New Roman" w:eastAsia="宋体" w:hAnsi="Times New Roman" w:cs="Times New Roman"/>
                <w:szCs w:val="21"/>
              </w:rPr>
              <w:t>mCi</w:t>
            </w:r>
            <w:proofErr w:type="spellEnd"/>
            <w:r w:rsidRPr="00AD12CD">
              <w:rPr>
                <w:rFonts w:ascii="Times New Roman" w:eastAsia="宋体" w:hAnsi="Times New Roman" w:cs="Times New Roman"/>
                <w:szCs w:val="21"/>
              </w:rPr>
              <w:t xml:space="preserve">). If no further Grade 2, 3, or 4 thrombocytopenia occurs at the reduced dose, the next dose can be increased to 7.4 </w:t>
            </w:r>
            <w:proofErr w:type="spellStart"/>
            <w:r w:rsidRPr="00AD12CD">
              <w:rPr>
                <w:rFonts w:ascii="Times New Roman" w:eastAsia="宋体" w:hAnsi="Times New Roman" w:cs="Times New Roman"/>
                <w:szCs w:val="21"/>
              </w:rPr>
              <w:t>GBq</w:t>
            </w:r>
            <w:proofErr w:type="spellEnd"/>
            <w:r w:rsidRPr="00AD12CD">
              <w:rPr>
                <w:rFonts w:ascii="Times New Roman" w:eastAsia="宋体" w:hAnsi="Times New Roman" w:cs="Times New Roman"/>
                <w:szCs w:val="21"/>
              </w:rPr>
              <w:t xml:space="preserve"> (200 </w:t>
            </w:r>
            <w:proofErr w:type="spellStart"/>
            <w:r w:rsidRPr="00AD12CD">
              <w:rPr>
                <w:rFonts w:ascii="Times New Roman" w:eastAsia="宋体" w:hAnsi="Times New Roman" w:cs="Times New Roman"/>
                <w:szCs w:val="21"/>
              </w:rPr>
              <w:t>mCi</w:t>
            </w:r>
            <w:proofErr w:type="spellEnd"/>
            <w:r w:rsidRPr="00AD12CD">
              <w:rPr>
                <w:rFonts w:ascii="Times New Roman" w:eastAsia="宋体" w:hAnsi="Times New Roman" w:cs="Times New Roman"/>
                <w:szCs w:val="21"/>
              </w:rPr>
              <w:t>)</w:t>
            </w:r>
          </w:p>
          <w:p w14:paraId="48E51C78" w14:textId="50B570AD" w:rsidR="00767D1B" w:rsidRPr="00AD12CD" w:rsidRDefault="00767D1B" w:rsidP="002B623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If recovery is not achieved within 16 weeks to Grade 0-1 or baseline levels, permanent discontinuation of medication is required</w:t>
            </w:r>
          </w:p>
        </w:tc>
      </w:tr>
      <w:tr w:rsidR="00AD12CD" w:rsidRPr="00AD12CD" w14:paraId="4A7E64DF" w14:textId="77777777" w:rsidTr="00981A3D">
        <w:tc>
          <w:tcPr>
            <w:tcW w:w="2765" w:type="dxa"/>
            <w:vMerge/>
          </w:tcPr>
          <w:p w14:paraId="50079F47" w14:textId="77777777" w:rsidR="00767D1B" w:rsidRPr="00AD12CD" w:rsidRDefault="00767D1B" w:rsidP="002B623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765" w:type="dxa"/>
          </w:tcPr>
          <w:p w14:paraId="4F764B0C" w14:textId="44CF3DA5" w:rsidR="00767D1B" w:rsidRPr="00AD12CD" w:rsidRDefault="00767D1B" w:rsidP="002B623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Subsequent occurrence</w:t>
            </w:r>
            <w:r w:rsidRPr="00AD12CD">
              <w:rPr>
                <w:rFonts w:ascii="Times New Roman" w:eastAsia="宋体" w:hAnsi="Times New Roman" w:cs="Times New Roman" w:hint="eastAsia"/>
                <w:szCs w:val="21"/>
              </w:rPr>
              <w:t>s</w:t>
            </w:r>
            <w:r w:rsidRPr="00AD12CD">
              <w:rPr>
                <w:rFonts w:ascii="Times New Roman" w:eastAsia="宋体" w:hAnsi="Times New Roman" w:cs="Times New Roman"/>
                <w:szCs w:val="21"/>
              </w:rPr>
              <w:t xml:space="preserve"> of Grade 2, 3, or 4</w:t>
            </w:r>
          </w:p>
        </w:tc>
        <w:tc>
          <w:tcPr>
            <w:tcW w:w="2766" w:type="dxa"/>
          </w:tcPr>
          <w:p w14:paraId="0829E68D" w14:textId="5DDDC81A" w:rsidR="00767D1B" w:rsidRPr="00AD12CD" w:rsidRDefault="00767D1B" w:rsidP="002B623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Permanent discontinuation of medication</w:t>
            </w:r>
          </w:p>
        </w:tc>
      </w:tr>
      <w:tr w:rsidR="00AD12CD" w:rsidRPr="00AD12CD" w14:paraId="03570D48" w14:textId="77777777" w:rsidTr="00981A3D">
        <w:tc>
          <w:tcPr>
            <w:tcW w:w="2765" w:type="dxa"/>
            <w:vMerge w:val="restart"/>
          </w:tcPr>
          <w:p w14:paraId="6DF09AF2" w14:textId="1E47360B" w:rsidR="00767D1B" w:rsidRPr="00AD12CD" w:rsidRDefault="00767D1B" w:rsidP="002B623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Anemia or Neutropenia</w:t>
            </w:r>
          </w:p>
        </w:tc>
        <w:tc>
          <w:tcPr>
            <w:tcW w:w="2765" w:type="dxa"/>
          </w:tcPr>
          <w:p w14:paraId="4275313F" w14:textId="0412E017" w:rsidR="00767D1B" w:rsidRPr="00AD12CD" w:rsidRDefault="00767D1B" w:rsidP="002B623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First occurrence of Grade 3 or 4</w:t>
            </w:r>
          </w:p>
        </w:tc>
        <w:tc>
          <w:tcPr>
            <w:tcW w:w="2766" w:type="dxa"/>
          </w:tcPr>
          <w:p w14:paraId="2FDD3F7F" w14:textId="1590BD3B" w:rsidR="00767D1B" w:rsidRPr="00AD12CD" w:rsidRDefault="00767D1B" w:rsidP="002B623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Suspend medication</w:t>
            </w:r>
          </w:p>
          <w:p w14:paraId="55D9A74E" w14:textId="0D201339" w:rsidR="00767D1B" w:rsidRPr="00AD12CD" w:rsidRDefault="00767D1B" w:rsidP="002B623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 xml:space="preserve">If recovery to Grade 0-2 or baseline levels occurs within 16 weeks, medication can be resumed using a reduced dose of 3.7 </w:t>
            </w:r>
            <w:proofErr w:type="spellStart"/>
            <w:r w:rsidRPr="00AD12CD">
              <w:rPr>
                <w:rFonts w:ascii="Times New Roman" w:eastAsia="宋体" w:hAnsi="Times New Roman" w:cs="Times New Roman"/>
                <w:szCs w:val="21"/>
              </w:rPr>
              <w:t>GBq</w:t>
            </w:r>
            <w:proofErr w:type="spellEnd"/>
            <w:r w:rsidRPr="00AD12CD">
              <w:rPr>
                <w:rFonts w:ascii="Times New Roman" w:eastAsia="宋体" w:hAnsi="Times New Roman" w:cs="Times New Roman"/>
                <w:szCs w:val="21"/>
              </w:rPr>
              <w:t xml:space="preserve"> (100 </w:t>
            </w:r>
            <w:proofErr w:type="spellStart"/>
            <w:r w:rsidRPr="00AD12CD">
              <w:rPr>
                <w:rFonts w:ascii="Times New Roman" w:eastAsia="宋体" w:hAnsi="Times New Roman" w:cs="Times New Roman"/>
                <w:szCs w:val="21"/>
              </w:rPr>
              <w:t>mCi</w:t>
            </w:r>
            <w:proofErr w:type="spellEnd"/>
            <w:r w:rsidRPr="00AD12CD">
              <w:rPr>
                <w:rFonts w:ascii="Times New Roman" w:eastAsia="宋体" w:hAnsi="Times New Roman" w:cs="Times New Roman"/>
                <w:szCs w:val="21"/>
              </w:rPr>
              <w:t xml:space="preserve">). If no further Grade 3 or 4 anemia or neutropenia occurs at the reduced dose, the next dose can be increased to 7.4 </w:t>
            </w:r>
            <w:proofErr w:type="spellStart"/>
            <w:r w:rsidRPr="00AD12CD">
              <w:rPr>
                <w:rFonts w:ascii="Times New Roman" w:eastAsia="宋体" w:hAnsi="Times New Roman" w:cs="Times New Roman"/>
                <w:szCs w:val="21"/>
              </w:rPr>
              <w:t>GBq</w:t>
            </w:r>
            <w:proofErr w:type="spellEnd"/>
            <w:r w:rsidRPr="00AD12CD">
              <w:rPr>
                <w:rFonts w:ascii="Times New Roman" w:eastAsia="宋体" w:hAnsi="Times New Roman" w:cs="Times New Roman"/>
                <w:szCs w:val="21"/>
              </w:rPr>
              <w:t xml:space="preserve"> (200 </w:t>
            </w:r>
            <w:proofErr w:type="spellStart"/>
            <w:r w:rsidRPr="00AD12CD">
              <w:rPr>
                <w:rFonts w:ascii="Times New Roman" w:eastAsia="宋体" w:hAnsi="Times New Roman" w:cs="Times New Roman"/>
                <w:szCs w:val="21"/>
              </w:rPr>
              <w:t>mCi</w:t>
            </w:r>
            <w:proofErr w:type="spellEnd"/>
            <w:r w:rsidRPr="00AD12CD">
              <w:rPr>
                <w:rFonts w:ascii="Times New Roman" w:eastAsia="宋体" w:hAnsi="Times New Roman" w:cs="Times New Roman"/>
                <w:szCs w:val="21"/>
              </w:rPr>
              <w:t>)</w:t>
            </w:r>
          </w:p>
          <w:p w14:paraId="24EF1721" w14:textId="40C7EBFF" w:rsidR="00767D1B" w:rsidRPr="00AD12CD" w:rsidRDefault="00767D1B" w:rsidP="002B623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If recovery is not achieved within 16 weeks to Grade 0-2 or baseline levels, permanent discontinuation of medication is required</w:t>
            </w:r>
          </w:p>
        </w:tc>
      </w:tr>
      <w:tr w:rsidR="00AD12CD" w:rsidRPr="00AD12CD" w14:paraId="3B5B6CF3" w14:textId="77777777" w:rsidTr="00981A3D">
        <w:tc>
          <w:tcPr>
            <w:tcW w:w="2765" w:type="dxa"/>
            <w:vMerge/>
          </w:tcPr>
          <w:p w14:paraId="3DA530CA" w14:textId="77777777" w:rsidR="00767D1B" w:rsidRPr="00AD12CD" w:rsidRDefault="00767D1B" w:rsidP="002B623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765" w:type="dxa"/>
          </w:tcPr>
          <w:p w14:paraId="054D809D" w14:textId="5FABB24D" w:rsidR="00767D1B" w:rsidRPr="00AD12CD" w:rsidRDefault="00767D1B" w:rsidP="002B623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Subsequent occurrences of Grade 3 or 4</w:t>
            </w:r>
          </w:p>
        </w:tc>
        <w:tc>
          <w:tcPr>
            <w:tcW w:w="2766" w:type="dxa"/>
          </w:tcPr>
          <w:p w14:paraId="094BC89A" w14:textId="50A4A61A" w:rsidR="00767D1B" w:rsidRPr="00AD12CD" w:rsidRDefault="00767D1B" w:rsidP="002B623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Permanent discontinuation of medication</w:t>
            </w:r>
          </w:p>
        </w:tc>
      </w:tr>
      <w:tr w:rsidR="00AD12CD" w:rsidRPr="00AD12CD" w14:paraId="4892F6C4" w14:textId="77777777" w:rsidTr="00981A3D">
        <w:tc>
          <w:tcPr>
            <w:tcW w:w="2765" w:type="dxa"/>
            <w:vMerge w:val="restart"/>
          </w:tcPr>
          <w:p w14:paraId="3D6F782D" w14:textId="05DBA101" w:rsidR="00767D1B" w:rsidRPr="00AD12CD" w:rsidRDefault="00767D1B" w:rsidP="002B623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lastRenderedPageBreak/>
              <w:t>Nephrotoxicity</w:t>
            </w:r>
          </w:p>
        </w:tc>
        <w:tc>
          <w:tcPr>
            <w:tcW w:w="2765" w:type="dxa"/>
          </w:tcPr>
          <w:p w14:paraId="0BE6EA18" w14:textId="77777777" w:rsidR="00767D1B" w:rsidRPr="00AD12CD" w:rsidRDefault="00767D1B" w:rsidP="002B623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First occurrence of nephrotoxicity, defined by any of the following:</w:t>
            </w:r>
          </w:p>
          <w:p w14:paraId="34AF559D" w14:textId="77777777" w:rsidR="00767D1B" w:rsidRPr="00AD12CD" w:rsidRDefault="00767D1B" w:rsidP="002B623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Creatinine clearance (Cockcroft-Gault formula) &lt; 40 ml/min;</w:t>
            </w:r>
          </w:p>
          <w:p w14:paraId="45743908" w14:textId="77777777" w:rsidR="00767D1B" w:rsidRPr="00AD12CD" w:rsidRDefault="00767D1B" w:rsidP="002B623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Serum creatinine elevated by 40% from baseline;</w:t>
            </w:r>
          </w:p>
          <w:p w14:paraId="78621E47" w14:textId="5BB06AEC" w:rsidR="00767D1B" w:rsidRPr="00AD12CD" w:rsidRDefault="00767D1B" w:rsidP="002B623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Creatinine clearance (Cockcroft-Gault formula) decreased by 40% from baseline</w:t>
            </w:r>
          </w:p>
        </w:tc>
        <w:tc>
          <w:tcPr>
            <w:tcW w:w="2766" w:type="dxa"/>
          </w:tcPr>
          <w:p w14:paraId="44D044D4" w14:textId="7FF92F19" w:rsidR="00767D1B" w:rsidRPr="00AD12CD" w:rsidRDefault="00767D1B" w:rsidP="002B623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Suspend medication</w:t>
            </w:r>
          </w:p>
          <w:p w14:paraId="04ED4E5D" w14:textId="7722BC39" w:rsidR="00767D1B" w:rsidRPr="00AD12CD" w:rsidRDefault="00767D1B" w:rsidP="002B623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 xml:space="preserve">If recovery to normal range or baseline levels occurs within 16 weeks, medication can be resumed using a reduced dose of 3.7 </w:t>
            </w:r>
            <w:proofErr w:type="spellStart"/>
            <w:r w:rsidRPr="00AD12CD">
              <w:rPr>
                <w:rFonts w:ascii="Times New Roman" w:eastAsia="宋体" w:hAnsi="Times New Roman" w:cs="Times New Roman"/>
                <w:szCs w:val="21"/>
              </w:rPr>
              <w:t>GBq</w:t>
            </w:r>
            <w:proofErr w:type="spellEnd"/>
            <w:r w:rsidRPr="00AD12CD">
              <w:rPr>
                <w:rFonts w:ascii="Times New Roman" w:eastAsia="宋体" w:hAnsi="Times New Roman" w:cs="Times New Roman"/>
                <w:szCs w:val="21"/>
              </w:rPr>
              <w:t xml:space="preserve"> (100 </w:t>
            </w:r>
            <w:proofErr w:type="spellStart"/>
            <w:r w:rsidRPr="00AD12CD">
              <w:rPr>
                <w:rFonts w:ascii="Times New Roman" w:eastAsia="宋体" w:hAnsi="Times New Roman" w:cs="Times New Roman"/>
                <w:szCs w:val="21"/>
              </w:rPr>
              <w:t>mCi</w:t>
            </w:r>
            <w:proofErr w:type="spellEnd"/>
            <w:r w:rsidRPr="00AD12CD">
              <w:rPr>
                <w:rFonts w:ascii="Times New Roman" w:eastAsia="宋体" w:hAnsi="Times New Roman" w:cs="Times New Roman"/>
                <w:szCs w:val="21"/>
              </w:rPr>
              <w:t xml:space="preserve">). If no further nephrotoxicity occurs at the reduced dose, the next dose can be increased to 7.4 </w:t>
            </w:r>
            <w:proofErr w:type="spellStart"/>
            <w:r w:rsidRPr="00AD12CD">
              <w:rPr>
                <w:rFonts w:ascii="Times New Roman" w:eastAsia="宋体" w:hAnsi="Times New Roman" w:cs="Times New Roman"/>
                <w:szCs w:val="21"/>
              </w:rPr>
              <w:t>GBq</w:t>
            </w:r>
            <w:proofErr w:type="spellEnd"/>
            <w:r w:rsidRPr="00AD12CD">
              <w:rPr>
                <w:rFonts w:ascii="Times New Roman" w:eastAsia="宋体" w:hAnsi="Times New Roman" w:cs="Times New Roman"/>
                <w:szCs w:val="21"/>
              </w:rPr>
              <w:t xml:space="preserve"> (200 </w:t>
            </w:r>
            <w:proofErr w:type="spellStart"/>
            <w:r w:rsidRPr="00AD12CD">
              <w:rPr>
                <w:rFonts w:ascii="Times New Roman" w:eastAsia="宋体" w:hAnsi="Times New Roman" w:cs="Times New Roman"/>
                <w:szCs w:val="21"/>
              </w:rPr>
              <w:t>mCi</w:t>
            </w:r>
            <w:proofErr w:type="spellEnd"/>
            <w:r w:rsidRPr="00AD12CD">
              <w:rPr>
                <w:rFonts w:ascii="Times New Roman" w:eastAsia="宋体" w:hAnsi="Times New Roman" w:cs="Times New Roman"/>
                <w:szCs w:val="21"/>
              </w:rPr>
              <w:t>)</w:t>
            </w:r>
          </w:p>
          <w:p w14:paraId="67307204" w14:textId="1A02C3EB" w:rsidR="00767D1B" w:rsidRPr="00AD12CD" w:rsidRDefault="00767D1B" w:rsidP="002B623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If recovery is not achieved within 16 weeks to normal range or baseline levels, permanent discontinuation of medication is required</w:t>
            </w:r>
          </w:p>
        </w:tc>
      </w:tr>
      <w:tr w:rsidR="00AD12CD" w:rsidRPr="00AD12CD" w14:paraId="1BC22F64" w14:textId="77777777" w:rsidTr="00981A3D">
        <w:tc>
          <w:tcPr>
            <w:tcW w:w="2765" w:type="dxa"/>
            <w:vMerge/>
          </w:tcPr>
          <w:p w14:paraId="4911ABF2" w14:textId="77777777" w:rsidR="00767D1B" w:rsidRPr="00AD12CD" w:rsidRDefault="00767D1B" w:rsidP="002B623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765" w:type="dxa"/>
          </w:tcPr>
          <w:p w14:paraId="45FE4E96" w14:textId="0A9BDD35" w:rsidR="00767D1B" w:rsidRPr="00AD12CD" w:rsidRDefault="00767D1B" w:rsidP="002B623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Subsequent occurrences of nephrotoxicity</w:t>
            </w:r>
          </w:p>
        </w:tc>
        <w:tc>
          <w:tcPr>
            <w:tcW w:w="2766" w:type="dxa"/>
          </w:tcPr>
          <w:p w14:paraId="4819AB01" w14:textId="684D76D3" w:rsidR="00767D1B" w:rsidRPr="00AD12CD" w:rsidRDefault="00767D1B" w:rsidP="002B623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Permanent discontinuation of medication</w:t>
            </w:r>
          </w:p>
        </w:tc>
      </w:tr>
      <w:tr w:rsidR="00AD12CD" w:rsidRPr="00AD12CD" w14:paraId="5C936BDA" w14:textId="77777777" w:rsidTr="00981A3D">
        <w:tc>
          <w:tcPr>
            <w:tcW w:w="2765" w:type="dxa"/>
            <w:vMerge w:val="restart"/>
          </w:tcPr>
          <w:p w14:paraId="03A0C3A2" w14:textId="41725097" w:rsidR="00BD3FC2" w:rsidRPr="00AD12CD" w:rsidRDefault="00BD3FC2" w:rsidP="002B623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Hepatotoxicity</w:t>
            </w:r>
          </w:p>
        </w:tc>
        <w:tc>
          <w:tcPr>
            <w:tcW w:w="2765" w:type="dxa"/>
          </w:tcPr>
          <w:p w14:paraId="663320EA" w14:textId="77777777" w:rsidR="00BD3FC2" w:rsidRPr="00AD12CD" w:rsidRDefault="00BD3FC2" w:rsidP="002B623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First occurrence of hepatotoxicity, defined by any of the following:</w:t>
            </w:r>
          </w:p>
          <w:p w14:paraId="5282A452" w14:textId="77777777" w:rsidR="00BD3FC2" w:rsidRPr="00AD12CD" w:rsidRDefault="00BD3FC2" w:rsidP="002B623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Serum total bilirubin &gt; 3× ULN (Grade 3 or 4);</w:t>
            </w:r>
          </w:p>
          <w:p w14:paraId="497DC916" w14:textId="3020B19C" w:rsidR="00BD3FC2" w:rsidRPr="00AD12CD" w:rsidRDefault="00BD3FC2" w:rsidP="002B623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Serum albumin &lt; 30 g/L</w:t>
            </w:r>
          </w:p>
        </w:tc>
        <w:tc>
          <w:tcPr>
            <w:tcW w:w="2766" w:type="dxa"/>
          </w:tcPr>
          <w:p w14:paraId="367AD012" w14:textId="56BB3E2F" w:rsidR="00BD3FC2" w:rsidRPr="00AD12CD" w:rsidRDefault="00BD3FC2" w:rsidP="00AB6DF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Suspend medication</w:t>
            </w:r>
          </w:p>
          <w:p w14:paraId="208D00A8" w14:textId="114DB833" w:rsidR="00BD3FC2" w:rsidRPr="00AD12CD" w:rsidRDefault="00BD3FC2" w:rsidP="00AB6DF5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 xml:space="preserve">If recovery to normal range or baseline levels occurs within 16 weeks, medication can be resumed using a reduced dose of 3.7 </w:t>
            </w:r>
            <w:proofErr w:type="spellStart"/>
            <w:r w:rsidRPr="00AD12CD">
              <w:rPr>
                <w:rFonts w:ascii="Times New Roman" w:eastAsia="宋体" w:hAnsi="Times New Roman" w:cs="Times New Roman"/>
                <w:szCs w:val="21"/>
              </w:rPr>
              <w:t>GBq</w:t>
            </w:r>
            <w:proofErr w:type="spellEnd"/>
            <w:r w:rsidRPr="00AD12CD">
              <w:rPr>
                <w:rFonts w:ascii="Times New Roman" w:eastAsia="宋体" w:hAnsi="Times New Roman" w:cs="Times New Roman"/>
                <w:szCs w:val="21"/>
              </w:rPr>
              <w:t xml:space="preserve"> (100 </w:t>
            </w:r>
            <w:proofErr w:type="spellStart"/>
            <w:r w:rsidRPr="00AD12CD">
              <w:rPr>
                <w:rFonts w:ascii="Times New Roman" w:eastAsia="宋体" w:hAnsi="Times New Roman" w:cs="Times New Roman"/>
                <w:szCs w:val="21"/>
              </w:rPr>
              <w:t>mCi</w:t>
            </w:r>
            <w:proofErr w:type="spellEnd"/>
            <w:r w:rsidRPr="00AD12CD">
              <w:rPr>
                <w:rFonts w:ascii="Times New Roman" w:eastAsia="宋体" w:hAnsi="Times New Roman" w:cs="Times New Roman"/>
                <w:szCs w:val="21"/>
              </w:rPr>
              <w:t xml:space="preserve">). If no further hepatotoxicity occurs at the reduced dose, the next dose can be increased to 7.4 </w:t>
            </w:r>
            <w:proofErr w:type="spellStart"/>
            <w:r w:rsidRPr="00AD12CD">
              <w:rPr>
                <w:rFonts w:ascii="Times New Roman" w:eastAsia="宋体" w:hAnsi="Times New Roman" w:cs="Times New Roman"/>
                <w:szCs w:val="21"/>
              </w:rPr>
              <w:t>GBq</w:t>
            </w:r>
            <w:proofErr w:type="spellEnd"/>
            <w:r w:rsidRPr="00AD12CD">
              <w:rPr>
                <w:rFonts w:ascii="Times New Roman" w:eastAsia="宋体" w:hAnsi="Times New Roman" w:cs="Times New Roman"/>
                <w:szCs w:val="21"/>
              </w:rPr>
              <w:t xml:space="preserve"> (200 </w:t>
            </w:r>
            <w:proofErr w:type="spellStart"/>
            <w:r w:rsidRPr="00AD12CD">
              <w:rPr>
                <w:rFonts w:ascii="Times New Roman" w:eastAsia="宋体" w:hAnsi="Times New Roman" w:cs="Times New Roman"/>
                <w:szCs w:val="21"/>
              </w:rPr>
              <w:t>mCi</w:t>
            </w:r>
            <w:proofErr w:type="spellEnd"/>
            <w:r w:rsidRPr="00AD12CD">
              <w:rPr>
                <w:rFonts w:ascii="Times New Roman" w:eastAsia="宋体" w:hAnsi="Times New Roman" w:cs="Times New Roman"/>
                <w:szCs w:val="21"/>
              </w:rPr>
              <w:t>)</w:t>
            </w:r>
          </w:p>
          <w:p w14:paraId="79982369" w14:textId="51CD8ED1" w:rsidR="00BD3FC2" w:rsidRPr="00AD12CD" w:rsidRDefault="00BD3FC2" w:rsidP="00AB6DF5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If recovery is not achieved within 16 weeks to normal range or baseline levels, permanent discontinuation</w:t>
            </w:r>
            <w:r w:rsidR="00AB6DF5" w:rsidRPr="00AD12CD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AD12CD">
              <w:rPr>
                <w:rFonts w:ascii="Times New Roman" w:eastAsia="宋体" w:hAnsi="Times New Roman" w:cs="Times New Roman"/>
                <w:szCs w:val="21"/>
              </w:rPr>
              <w:t>of medication is required</w:t>
            </w:r>
          </w:p>
        </w:tc>
      </w:tr>
      <w:tr w:rsidR="00AD12CD" w:rsidRPr="00AD12CD" w14:paraId="643678A9" w14:textId="77777777" w:rsidTr="00981A3D">
        <w:tc>
          <w:tcPr>
            <w:tcW w:w="2765" w:type="dxa"/>
            <w:vMerge/>
          </w:tcPr>
          <w:p w14:paraId="1E9D7C04" w14:textId="77777777" w:rsidR="00BD3FC2" w:rsidRPr="00AD12CD" w:rsidRDefault="00BD3FC2" w:rsidP="002B623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765" w:type="dxa"/>
          </w:tcPr>
          <w:p w14:paraId="1AAB558F" w14:textId="28B4C55F" w:rsidR="00BD3FC2" w:rsidRPr="00AD12CD" w:rsidRDefault="00BD3FC2" w:rsidP="002B623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Subsequent occurrences of hepatotoxicity</w:t>
            </w:r>
          </w:p>
        </w:tc>
        <w:tc>
          <w:tcPr>
            <w:tcW w:w="2766" w:type="dxa"/>
          </w:tcPr>
          <w:p w14:paraId="39FE19F4" w14:textId="45D5E4EA" w:rsidR="00BD3FC2" w:rsidRPr="00AD12CD" w:rsidRDefault="00BD3FC2" w:rsidP="002B623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Permanent discontinuation of medication</w:t>
            </w:r>
          </w:p>
        </w:tc>
      </w:tr>
      <w:tr w:rsidR="00AD12CD" w:rsidRPr="00AD12CD" w14:paraId="37D0508A" w14:textId="77777777" w:rsidTr="00981A3D">
        <w:tc>
          <w:tcPr>
            <w:tcW w:w="2765" w:type="dxa"/>
            <w:vMerge w:val="restart"/>
          </w:tcPr>
          <w:p w14:paraId="18BFCF20" w14:textId="0D33DCF3" w:rsidR="00BD3FC2" w:rsidRPr="00AD12CD" w:rsidRDefault="00BD3FC2" w:rsidP="002B623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Other Non-Hematologic Toxicities</w:t>
            </w:r>
          </w:p>
        </w:tc>
        <w:tc>
          <w:tcPr>
            <w:tcW w:w="2765" w:type="dxa"/>
          </w:tcPr>
          <w:p w14:paraId="1179CF67" w14:textId="6F9374BF" w:rsidR="00BD3FC2" w:rsidRPr="00AD12CD" w:rsidRDefault="002B623F" w:rsidP="002B623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First occurrence of Grade 3 or 4</w:t>
            </w:r>
          </w:p>
        </w:tc>
        <w:tc>
          <w:tcPr>
            <w:tcW w:w="2766" w:type="dxa"/>
          </w:tcPr>
          <w:p w14:paraId="28D65239" w14:textId="47C2F09C" w:rsidR="002B623F" w:rsidRPr="00AD12CD" w:rsidRDefault="002B623F" w:rsidP="002B623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Suspend medication</w:t>
            </w:r>
          </w:p>
          <w:p w14:paraId="78A14E2C" w14:textId="56079B53" w:rsidR="0008217E" w:rsidRPr="00AD12CD" w:rsidRDefault="002B623F" w:rsidP="0008217E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If recovery to Grade 0-2 occurs within 16 weeks, medication can be resumed, using a reduced dose</w:t>
            </w:r>
            <w:r w:rsidRPr="00AD12CD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AD12CD">
              <w:rPr>
                <w:rFonts w:ascii="Times New Roman" w:eastAsia="宋体" w:hAnsi="Times New Roman" w:cs="Times New Roman"/>
                <w:szCs w:val="21"/>
              </w:rPr>
              <w:t xml:space="preserve">of 3.7 </w:t>
            </w:r>
            <w:proofErr w:type="spellStart"/>
            <w:r w:rsidRPr="00AD12CD">
              <w:rPr>
                <w:rFonts w:ascii="Times New Roman" w:eastAsia="宋体" w:hAnsi="Times New Roman" w:cs="Times New Roman"/>
                <w:szCs w:val="21"/>
              </w:rPr>
              <w:t>GBq</w:t>
            </w:r>
            <w:proofErr w:type="spellEnd"/>
            <w:r w:rsidRPr="00AD12CD">
              <w:rPr>
                <w:rFonts w:ascii="Times New Roman" w:eastAsia="宋体" w:hAnsi="Times New Roman" w:cs="Times New Roman"/>
                <w:szCs w:val="21"/>
              </w:rPr>
              <w:t xml:space="preserve"> (100 </w:t>
            </w:r>
            <w:proofErr w:type="spellStart"/>
            <w:r w:rsidRPr="00AD12CD">
              <w:rPr>
                <w:rFonts w:ascii="Times New Roman" w:eastAsia="宋体" w:hAnsi="Times New Roman" w:cs="Times New Roman"/>
                <w:szCs w:val="21"/>
              </w:rPr>
              <w:t>mCi</w:t>
            </w:r>
            <w:proofErr w:type="spellEnd"/>
            <w:r w:rsidRPr="00AD12CD">
              <w:rPr>
                <w:rFonts w:ascii="Times New Roman" w:eastAsia="宋体" w:hAnsi="Times New Roman" w:cs="Times New Roman"/>
                <w:szCs w:val="21"/>
              </w:rPr>
              <w:t>)</w:t>
            </w:r>
            <w:r w:rsidR="0008217E" w:rsidRPr="00AD12CD">
              <w:rPr>
                <w:rFonts w:ascii="Times New Roman" w:eastAsia="宋体" w:hAnsi="Times New Roman" w:cs="Times New Roman" w:hint="eastAsia"/>
                <w:szCs w:val="21"/>
              </w:rPr>
              <w:t xml:space="preserve">. </w:t>
            </w:r>
            <w:r w:rsidRPr="00AD12CD">
              <w:rPr>
                <w:rFonts w:ascii="Times New Roman" w:eastAsia="宋体" w:hAnsi="Times New Roman" w:cs="Times New Roman"/>
                <w:szCs w:val="21"/>
              </w:rPr>
              <w:t xml:space="preserve">If no further </w:t>
            </w:r>
            <w:r w:rsidRPr="00AD12CD">
              <w:rPr>
                <w:rFonts w:ascii="Times New Roman" w:eastAsia="宋体" w:hAnsi="Times New Roman" w:cs="Times New Roman"/>
                <w:szCs w:val="21"/>
              </w:rPr>
              <w:lastRenderedPageBreak/>
              <w:t xml:space="preserve">Grade 3 or 4 toxicity occurs at the reduced dose, the next dose can be increased to 7.4 </w:t>
            </w:r>
            <w:proofErr w:type="spellStart"/>
            <w:r w:rsidRPr="00AD12CD">
              <w:rPr>
                <w:rFonts w:ascii="Times New Roman" w:eastAsia="宋体" w:hAnsi="Times New Roman" w:cs="Times New Roman"/>
                <w:szCs w:val="21"/>
              </w:rPr>
              <w:t>GBq</w:t>
            </w:r>
            <w:proofErr w:type="spellEnd"/>
            <w:r w:rsidRPr="00AD12CD">
              <w:rPr>
                <w:rFonts w:ascii="Times New Roman" w:eastAsia="宋体" w:hAnsi="Times New Roman" w:cs="Times New Roman"/>
                <w:szCs w:val="21"/>
              </w:rPr>
              <w:t xml:space="preserve"> (200 </w:t>
            </w:r>
            <w:proofErr w:type="spellStart"/>
            <w:r w:rsidRPr="00AD12CD">
              <w:rPr>
                <w:rFonts w:ascii="Times New Roman" w:eastAsia="宋体" w:hAnsi="Times New Roman" w:cs="Times New Roman"/>
                <w:szCs w:val="21"/>
              </w:rPr>
              <w:t>mCi</w:t>
            </w:r>
            <w:proofErr w:type="spellEnd"/>
            <w:r w:rsidRPr="00AD12CD">
              <w:rPr>
                <w:rFonts w:ascii="Times New Roman" w:eastAsia="宋体" w:hAnsi="Times New Roman" w:cs="Times New Roman"/>
                <w:szCs w:val="21"/>
              </w:rPr>
              <w:t>)</w:t>
            </w:r>
          </w:p>
          <w:p w14:paraId="09164E8E" w14:textId="6F6C9A47" w:rsidR="00BD3FC2" w:rsidRPr="00AD12CD" w:rsidRDefault="002B623F" w:rsidP="0008217E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If recovery is not achieved within 16 weeks to Grade 0-2,</w:t>
            </w:r>
            <w:r w:rsidR="0008217E" w:rsidRPr="00AD12CD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AD12CD">
              <w:rPr>
                <w:rFonts w:ascii="Times New Roman" w:eastAsia="宋体" w:hAnsi="Times New Roman" w:cs="Times New Roman"/>
                <w:szCs w:val="21"/>
              </w:rPr>
              <w:t>permanent discontinuation of medication is required</w:t>
            </w:r>
          </w:p>
        </w:tc>
      </w:tr>
      <w:tr w:rsidR="00AD12CD" w:rsidRPr="00AD12CD" w14:paraId="7D9E092D" w14:textId="77777777" w:rsidTr="00981A3D">
        <w:tc>
          <w:tcPr>
            <w:tcW w:w="2765" w:type="dxa"/>
            <w:vMerge/>
          </w:tcPr>
          <w:p w14:paraId="4DAE8564" w14:textId="77777777" w:rsidR="00BD3FC2" w:rsidRPr="00AD12CD" w:rsidRDefault="00BD3FC2" w:rsidP="002B623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765" w:type="dxa"/>
          </w:tcPr>
          <w:p w14:paraId="3B401D34" w14:textId="20094E2D" w:rsidR="00BD3FC2" w:rsidRPr="00AD12CD" w:rsidRDefault="002B623F" w:rsidP="002B623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Subsequent occurrences of Grade 3 or 4 toxicity</w:t>
            </w:r>
          </w:p>
        </w:tc>
        <w:tc>
          <w:tcPr>
            <w:tcW w:w="2766" w:type="dxa"/>
          </w:tcPr>
          <w:p w14:paraId="25AD1F7F" w14:textId="11F4199B" w:rsidR="00BD3FC2" w:rsidRPr="00AD12CD" w:rsidRDefault="002B623F" w:rsidP="002B623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D12CD">
              <w:rPr>
                <w:rFonts w:ascii="Times New Roman" w:eastAsia="宋体" w:hAnsi="Times New Roman" w:cs="Times New Roman"/>
                <w:szCs w:val="21"/>
              </w:rPr>
              <w:t>Permanent discontinuation of medication</w:t>
            </w:r>
          </w:p>
        </w:tc>
      </w:tr>
    </w:tbl>
    <w:p w14:paraId="386034A7" w14:textId="7B4E55AE" w:rsidR="0054416B" w:rsidRPr="00AD12CD" w:rsidRDefault="003D339C" w:rsidP="002B623F">
      <w:pPr>
        <w:spacing w:line="480" w:lineRule="auto"/>
        <w:rPr>
          <w:rFonts w:ascii="Times New Roman" w:eastAsia="宋体" w:hAnsi="Times New Roman" w:cs="Times New Roman"/>
          <w:szCs w:val="21"/>
        </w:rPr>
      </w:pPr>
      <w:r w:rsidRPr="00AD12CD">
        <w:rPr>
          <w:rFonts w:ascii="Times New Roman" w:eastAsia="宋体" w:hAnsi="Times New Roman" w:cs="Times New Roman"/>
          <w:b/>
          <w:bCs/>
          <w:szCs w:val="21"/>
        </w:rPr>
        <w:t>*</w:t>
      </w:r>
      <w:r w:rsidR="002B623F" w:rsidRPr="00AD12CD">
        <w:rPr>
          <w:rFonts w:ascii="Times New Roman" w:eastAsia="宋体" w:hAnsi="Times New Roman" w:cs="Times New Roman"/>
          <w:szCs w:val="21"/>
        </w:rPr>
        <w:t>The definition of severity grading can be referred to in the latest version of the Common Terminology Criteria for Adverse Events (NCI-CTCAE Version 5.0).</w:t>
      </w:r>
    </w:p>
    <w:p w14:paraId="293A43AA" w14:textId="77777777" w:rsidR="00017583" w:rsidRPr="00AD12CD" w:rsidRDefault="00017583" w:rsidP="002B623F">
      <w:pPr>
        <w:spacing w:line="480" w:lineRule="auto"/>
        <w:rPr>
          <w:rFonts w:ascii="Times New Roman" w:eastAsia="宋体" w:hAnsi="Times New Roman" w:cs="Times New Roman"/>
          <w:szCs w:val="21"/>
        </w:rPr>
      </w:pPr>
    </w:p>
    <w:p w14:paraId="03AF2E43" w14:textId="7330DDD6" w:rsidR="00017583" w:rsidRPr="00AD12CD" w:rsidRDefault="00017583" w:rsidP="00017583">
      <w:pPr>
        <w:spacing w:line="480" w:lineRule="auto"/>
        <w:jc w:val="center"/>
        <w:rPr>
          <w:rFonts w:ascii="Times New Roman" w:eastAsia="宋体" w:hAnsi="Times New Roman" w:cs="Times New Roman"/>
          <w:szCs w:val="21"/>
        </w:rPr>
      </w:pPr>
      <w:r w:rsidRPr="00AD12CD">
        <w:rPr>
          <w:rFonts w:ascii="Times New Roman" w:eastAsia="宋体" w:hAnsi="Times New Roman" w:cs="Times New Roman"/>
          <w:noProof/>
          <w:szCs w:val="21"/>
        </w:rPr>
        <w:lastRenderedPageBreak/>
        <w:drawing>
          <wp:inline distT="0" distB="0" distL="0" distR="0" wp14:anchorId="5D39CB6F" wp14:editId="38276EA9">
            <wp:extent cx="5264150" cy="7346950"/>
            <wp:effectExtent l="0" t="0" r="0" b="0"/>
            <wp:docPr id="9975329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734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401BE" w14:textId="3CC21F81" w:rsidR="00017583" w:rsidRPr="00AD12CD" w:rsidRDefault="00017583" w:rsidP="00017583">
      <w:pPr>
        <w:rPr>
          <w:rFonts w:ascii="Times New Roman" w:eastAsia="宋体" w:hAnsi="Times New Roman" w:cs="Times New Roman"/>
          <w:sz w:val="24"/>
          <w:szCs w:val="24"/>
        </w:rPr>
      </w:pPr>
      <w:r w:rsidRPr="00AD12CD">
        <w:rPr>
          <w:rFonts w:ascii="Times New Roman" w:eastAsia="宋体" w:hAnsi="Times New Roman" w:cs="Times New Roman"/>
          <w:b/>
          <w:bCs/>
          <w:sz w:val="24"/>
          <w:szCs w:val="24"/>
        </w:rPr>
        <w:t>Supplement</w:t>
      </w:r>
      <w:r w:rsidRPr="00AD12C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al</w:t>
      </w:r>
      <w:r w:rsidRPr="00AD12C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Fig</w:t>
      </w:r>
      <w:r w:rsidRPr="00AD12C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 1</w:t>
      </w:r>
      <w:r w:rsidRPr="00AD12C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AD12CD">
        <w:rPr>
          <w:rFonts w:ascii="Times New Roman" w:eastAsia="宋体" w:hAnsi="Times New Roman" w:cs="Times New Roman"/>
          <w:sz w:val="24"/>
          <w:szCs w:val="24"/>
        </w:rPr>
        <w:t>The EDR-1m value</w:t>
      </w:r>
      <w:r w:rsidR="009A4BC1" w:rsidRPr="00AD12CD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 decay line graph with error bar</w:t>
      </w:r>
      <w:r w:rsidR="00904EB4" w:rsidRPr="00AD12CD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 after [177</w:t>
      </w:r>
      <w:proofErr w:type="gramStart"/>
      <w:r w:rsidRPr="00AD12CD">
        <w:rPr>
          <w:rFonts w:ascii="Times New Roman" w:eastAsia="宋体" w:hAnsi="Times New Roman" w:cs="Times New Roman"/>
          <w:sz w:val="24"/>
          <w:szCs w:val="24"/>
        </w:rPr>
        <w:t>Lu]Lu</w:t>
      </w:r>
      <w:proofErr w:type="gramEnd"/>
      <w:r w:rsidRPr="00AD12CD">
        <w:rPr>
          <w:rFonts w:ascii="Times New Roman" w:eastAsia="宋体" w:hAnsi="Times New Roman" w:cs="Times New Roman"/>
          <w:sz w:val="24"/>
          <w:szCs w:val="24"/>
        </w:rPr>
        <w:t xml:space="preserve">-DOTA-TATE treatments for the patients. </w:t>
      </w:r>
      <w:r w:rsidRPr="00AD12CD">
        <w:rPr>
          <w:rFonts w:ascii="Times New Roman" w:eastAsia="宋体" w:hAnsi="Times New Roman" w:cs="Times New Roman"/>
          <w:b/>
          <w:bCs/>
          <w:sz w:val="24"/>
          <w:szCs w:val="24"/>
        </w:rPr>
        <w:t>A-D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 The EDR-1m value</w:t>
      </w:r>
      <w:r w:rsidR="009A4BC1" w:rsidRPr="00AD12CD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 decay line curve at various time points from the first to fourth </w:t>
      </w:r>
      <w:r w:rsidR="009A4BC1" w:rsidRPr="00AD12CD">
        <w:rPr>
          <w:rFonts w:ascii="Times New Roman" w:eastAsia="宋体" w:hAnsi="Times New Roman" w:cs="Times New Roman" w:hint="eastAsia"/>
          <w:sz w:val="24"/>
          <w:szCs w:val="24"/>
        </w:rPr>
        <w:t xml:space="preserve">treatment </w:t>
      </w:r>
      <w:r w:rsidRPr="00AD12CD">
        <w:rPr>
          <w:rFonts w:ascii="Times New Roman" w:eastAsia="宋体" w:hAnsi="Times New Roman" w:cs="Times New Roman"/>
          <w:sz w:val="24"/>
          <w:szCs w:val="24"/>
        </w:rPr>
        <w:t>cycle</w:t>
      </w:r>
      <w:r w:rsidR="009A4BC1" w:rsidRPr="00AD12C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for patients. </w:t>
      </w:r>
      <w:r w:rsidRPr="00AD12CD">
        <w:rPr>
          <w:rFonts w:ascii="Times New Roman" w:eastAsia="宋体" w:hAnsi="Times New Roman" w:cs="Times New Roman"/>
          <w:b/>
          <w:bCs/>
          <w:sz w:val="24"/>
          <w:szCs w:val="24"/>
        </w:rPr>
        <w:t>E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9A4BC1" w:rsidRPr="00AD12CD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Pr="00AD12CD">
        <w:rPr>
          <w:rFonts w:ascii="Times New Roman" w:eastAsia="宋体" w:hAnsi="Times New Roman" w:cs="Times New Roman"/>
          <w:sz w:val="24"/>
          <w:szCs w:val="24"/>
        </w:rPr>
        <w:t>ll the four cycles</w:t>
      </w:r>
      <w:r w:rsidR="009A4BC1" w:rsidRPr="00AD12CD">
        <w:rPr>
          <w:rFonts w:ascii="Times New Roman" w:eastAsia="宋体" w:hAnsi="Times New Roman" w:cs="Times New Roman"/>
          <w:sz w:val="24"/>
          <w:szCs w:val="24"/>
        </w:rPr>
        <w:t>’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 EDR-1m value</w:t>
      </w:r>
      <w:r w:rsidR="009A4BC1" w:rsidRPr="00AD12CD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 decay line curve of all patients. </w:t>
      </w:r>
      <w:r w:rsidRPr="00AD12CD">
        <w:rPr>
          <w:rFonts w:ascii="Times New Roman" w:eastAsia="宋体" w:hAnsi="Times New Roman" w:cs="Times New Roman"/>
          <w:b/>
          <w:bCs/>
          <w:sz w:val="24"/>
          <w:szCs w:val="24"/>
        </w:rPr>
        <w:t>F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9A4BC1" w:rsidRPr="00AD12CD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Pr="00AD12CD">
        <w:rPr>
          <w:rFonts w:ascii="Times New Roman" w:eastAsia="宋体" w:hAnsi="Times New Roman" w:cs="Times New Roman"/>
          <w:sz w:val="24"/>
          <w:szCs w:val="24"/>
        </w:rPr>
        <w:t>he decay line curve of the four cycles</w:t>
      </w:r>
      <w:r w:rsidR="009A4BC1" w:rsidRPr="00AD12CD">
        <w:rPr>
          <w:rFonts w:ascii="Times New Roman" w:eastAsia="宋体" w:hAnsi="Times New Roman" w:cs="Times New Roman"/>
          <w:sz w:val="24"/>
          <w:szCs w:val="24"/>
        </w:rPr>
        <w:t>’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 mean EDR-1m </w:t>
      </w:r>
      <w:r w:rsidR="009A4BC1" w:rsidRPr="00AD12CD">
        <w:rPr>
          <w:rFonts w:ascii="Times New Roman" w:eastAsia="宋体" w:hAnsi="Times New Roman" w:cs="Times New Roman" w:hint="eastAsia"/>
          <w:sz w:val="24"/>
          <w:szCs w:val="24"/>
        </w:rPr>
        <w:t xml:space="preserve">value </w:t>
      </w:r>
      <w:r w:rsidRPr="00AD12CD">
        <w:rPr>
          <w:rFonts w:ascii="Times New Roman" w:eastAsia="宋体" w:hAnsi="Times New Roman" w:cs="Times New Roman"/>
          <w:sz w:val="24"/>
          <w:szCs w:val="24"/>
        </w:rPr>
        <w:t>in different patient</w:t>
      </w:r>
      <w:r w:rsidR="009A4BC1" w:rsidRPr="00AD12CD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. </w:t>
      </w:r>
    </w:p>
    <w:p w14:paraId="3C8E14D6" w14:textId="798D089F" w:rsidR="00017583" w:rsidRPr="00AD12CD" w:rsidRDefault="00017583" w:rsidP="00017583">
      <w:pPr>
        <w:rPr>
          <w:rFonts w:ascii="Times New Roman" w:eastAsia="宋体" w:hAnsi="Times New Roman" w:cs="Times New Roman"/>
          <w:szCs w:val="21"/>
        </w:rPr>
      </w:pPr>
      <w:r w:rsidRPr="00AD12CD">
        <w:rPr>
          <w:rFonts w:ascii="Times New Roman" w:eastAsia="宋体" w:hAnsi="Times New Roman" w:cs="Times New Roman"/>
          <w:szCs w:val="21"/>
        </w:rPr>
        <w:t xml:space="preserve"> </w:t>
      </w:r>
    </w:p>
    <w:p w14:paraId="31C22C10" w14:textId="77777777" w:rsidR="00017583" w:rsidRPr="00AD12CD" w:rsidRDefault="00017583" w:rsidP="00017583">
      <w:pPr>
        <w:rPr>
          <w:rFonts w:ascii="Times New Roman" w:eastAsia="宋体" w:hAnsi="Times New Roman" w:cs="Times New Roman"/>
          <w:szCs w:val="21"/>
        </w:rPr>
      </w:pPr>
    </w:p>
    <w:p w14:paraId="10ED9B10" w14:textId="23B2BBE0" w:rsidR="00017583" w:rsidRPr="00AD12CD" w:rsidRDefault="00017583" w:rsidP="00017583">
      <w:pPr>
        <w:spacing w:line="480" w:lineRule="auto"/>
        <w:jc w:val="center"/>
        <w:rPr>
          <w:rFonts w:ascii="Times New Roman" w:eastAsia="宋体" w:hAnsi="Times New Roman" w:cs="Times New Roman"/>
          <w:szCs w:val="21"/>
        </w:rPr>
      </w:pPr>
      <w:r w:rsidRPr="00AD12CD">
        <w:rPr>
          <w:rFonts w:ascii="Times New Roman" w:eastAsia="宋体" w:hAnsi="Times New Roman" w:cs="Times New Roman" w:hint="eastAsia"/>
          <w:noProof/>
          <w:szCs w:val="21"/>
        </w:rPr>
        <w:drawing>
          <wp:inline distT="0" distB="0" distL="0" distR="0" wp14:anchorId="616D46C0" wp14:editId="6F089ACC">
            <wp:extent cx="5264150" cy="6585585"/>
            <wp:effectExtent l="0" t="0" r="0" b="0"/>
            <wp:docPr id="15304422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658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4FAAD" w14:textId="00A8A3F8" w:rsidR="00017583" w:rsidRPr="00AD12CD" w:rsidRDefault="00017583" w:rsidP="00017583">
      <w:pPr>
        <w:rPr>
          <w:rFonts w:ascii="Times New Roman" w:eastAsia="宋体" w:hAnsi="Times New Roman" w:cs="Times New Roman"/>
          <w:sz w:val="24"/>
          <w:szCs w:val="24"/>
        </w:rPr>
      </w:pPr>
      <w:r w:rsidRPr="00AD12CD">
        <w:rPr>
          <w:rFonts w:ascii="Times New Roman" w:eastAsia="宋体" w:hAnsi="Times New Roman" w:cs="Times New Roman"/>
          <w:b/>
          <w:bCs/>
          <w:sz w:val="24"/>
          <w:szCs w:val="24"/>
        </w:rPr>
        <w:t>Supplement</w:t>
      </w:r>
      <w:r w:rsidRPr="00AD12C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al</w:t>
      </w:r>
      <w:r w:rsidRPr="00AD12C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Fig</w:t>
      </w:r>
      <w:r w:rsidRPr="00AD12C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 2</w:t>
      </w:r>
      <w:r w:rsidRPr="00AD12C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AD12CD">
        <w:rPr>
          <w:rFonts w:ascii="Times New Roman" w:eastAsia="宋体" w:hAnsi="Times New Roman" w:cs="Times New Roman"/>
          <w:sz w:val="24"/>
          <w:szCs w:val="24"/>
        </w:rPr>
        <w:t>The EDR</w:t>
      </w:r>
      <w:r w:rsidR="00904EB4" w:rsidRPr="00AD12C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AD12CD">
        <w:rPr>
          <w:rFonts w:ascii="Times New Roman" w:eastAsia="宋体" w:hAnsi="Times New Roman" w:cs="Times New Roman"/>
          <w:sz w:val="24"/>
          <w:szCs w:val="24"/>
        </w:rPr>
        <w:t>value</w:t>
      </w:r>
      <w:r w:rsidR="00904EB4" w:rsidRPr="00AD12CD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 decay line graph with error bar</w:t>
      </w:r>
      <w:r w:rsidR="00904EB4" w:rsidRPr="00AD12CD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AD12C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AD12CD">
        <w:rPr>
          <w:rFonts w:ascii="Times New Roman" w:eastAsia="宋体" w:hAnsi="Times New Roman" w:cs="Times New Roman"/>
          <w:sz w:val="24"/>
          <w:szCs w:val="24"/>
        </w:rPr>
        <w:t>during</w:t>
      </w:r>
      <w:r w:rsidR="00904EB4" w:rsidRPr="00AD12CD">
        <w:rPr>
          <w:rFonts w:ascii="Times New Roman" w:eastAsia="宋体" w:hAnsi="Times New Roman" w:cs="Times New Roman" w:hint="eastAsia"/>
          <w:sz w:val="24"/>
          <w:szCs w:val="24"/>
        </w:rPr>
        <w:t xml:space="preserve"> the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904EB4" w:rsidRPr="00AD12CD">
        <w:rPr>
          <w:rFonts w:ascii="Times New Roman" w:eastAsia="宋体" w:hAnsi="Times New Roman" w:cs="Times New Roman"/>
          <w:sz w:val="24"/>
          <w:szCs w:val="24"/>
        </w:rPr>
        <w:t>[177</w:t>
      </w:r>
      <w:proofErr w:type="gramStart"/>
      <w:r w:rsidR="00904EB4" w:rsidRPr="00AD12CD">
        <w:rPr>
          <w:rFonts w:ascii="Times New Roman" w:eastAsia="宋体" w:hAnsi="Times New Roman" w:cs="Times New Roman"/>
          <w:sz w:val="24"/>
          <w:szCs w:val="24"/>
        </w:rPr>
        <w:t>Lu]Lu</w:t>
      </w:r>
      <w:proofErr w:type="gramEnd"/>
      <w:r w:rsidR="00904EB4" w:rsidRPr="00AD12CD">
        <w:rPr>
          <w:rFonts w:ascii="Times New Roman" w:eastAsia="宋体" w:hAnsi="Times New Roman" w:cs="Times New Roman"/>
          <w:sz w:val="24"/>
          <w:szCs w:val="24"/>
        </w:rPr>
        <w:t>-DOTA-TATE</w:t>
      </w:r>
      <w:r w:rsidR="00904EB4" w:rsidRPr="00AD12C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administration. </w:t>
      </w:r>
      <w:r w:rsidRPr="00AD12CD">
        <w:rPr>
          <w:rFonts w:ascii="Times New Roman" w:eastAsia="宋体" w:hAnsi="Times New Roman" w:cs="Times New Roman"/>
          <w:b/>
          <w:bCs/>
          <w:sz w:val="24"/>
          <w:szCs w:val="24"/>
        </w:rPr>
        <w:t>A-D</w:t>
      </w:r>
      <w:r w:rsidRPr="00AD12C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bookmarkStart w:id="1" w:name="OLE_LINK1"/>
      <w:r w:rsidRPr="00AD12CD">
        <w:rPr>
          <w:rFonts w:ascii="Times New Roman" w:eastAsia="宋体" w:hAnsi="Times New Roman" w:cs="Times New Roman"/>
          <w:sz w:val="24"/>
          <w:szCs w:val="24"/>
        </w:rPr>
        <w:t>EDR value</w:t>
      </w:r>
      <w:r w:rsidR="00C7118B" w:rsidRPr="00AD12CD">
        <w:rPr>
          <w:rFonts w:ascii="Times New Roman" w:eastAsia="宋体" w:hAnsi="Times New Roman" w:cs="Times New Roman" w:hint="eastAsia"/>
          <w:sz w:val="24"/>
          <w:szCs w:val="24"/>
        </w:rPr>
        <w:t>s</w:t>
      </w:r>
      <w:bookmarkEnd w:id="1"/>
      <w:r w:rsidRPr="00AD12CD">
        <w:rPr>
          <w:rFonts w:ascii="Times New Roman" w:eastAsia="宋体" w:hAnsi="Times New Roman" w:cs="Times New Roman"/>
          <w:sz w:val="24"/>
          <w:szCs w:val="24"/>
        </w:rPr>
        <w:t xml:space="preserve"> decay line curve during</w:t>
      </w:r>
      <w:r w:rsidR="00C7118B" w:rsidRPr="00AD12CD">
        <w:rPr>
          <w:rFonts w:ascii="Times New Roman" w:eastAsia="宋体" w:hAnsi="Times New Roman" w:cs="Times New Roman" w:hint="eastAsia"/>
          <w:sz w:val="24"/>
          <w:szCs w:val="24"/>
        </w:rPr>
        <w:t xml:space="preserve"> the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7118B" w:rsidRPr="00AD12CD">
        <w:rPr>
          <w:rFonts w:ascii="Times New Roman" w:eastAsia="宋体" w:hAnsi="Times New Roman" w:cs="Times New Roman"/>
          <w:sz w:val="24"/>
          <w:szCs w:val="24"/>
        </w:rPr>
        <w:t>[177</w:t>
      </w:r>
      <w:proofErr w:type="gramStart"/>
      <w:r w:rsidR="00C7118B" w:rsidRPr="00AD12CD">
        <w:rPr>
          <w:rFonts w:ascii="Times New Roman" w:eastAsia="宋体" w:hAnsi="Times New Roman" w:cs="Times New Roman"/>
          <w:sz w:val="24"/>
          <w:szCs w:val="24"/>
        </w:rPr>
        <w:t>Lu]Lu</w:t>
      </w:r>
      <w:proofErr w:type="gramEnd"/>
      <w:r w:rsidR="00C7118B" w:rsidRPr="00AD12CD">
        <w:rPr>
          <w:rFonts w:ascii="Times New Roman" w:eastAsia="宋体" w:hAnsi="Times New Roman" w:cs="Times New Roman"/>
          <w:sz w:val="24"/>
          <w:szCs w:val="24"/>
        </w:rPr>
        <w:t xml:space="preserve">-DOTA-TATE </w:t>
      </w:r>
      <w:r w:rsidRPr="00AD12CD">
        <w:rPr>
          <w:rFonts w:ascii="Times New Roman" w:eastAsia="宋体" w:hAnsi="Times New Roman" w:cs="Times New Roman"/>
          <w:sz w:val="24"/>
          <w:szCs w:val="24"/>
        </w:rPr>
        <w:t>administration</w:t>
      </w:r>
      <w:r w:rsidRPr="00AD12C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from the first to fourth </w:t>
      </w:r>
      <w:r w:rsidR="00C7118B" w:rsidRPr="00AD12CD">
        <w:rPr>
          <w:rFonts w:ascii="Times New Roman" w:eastAsia="宋体" w:hAnsi="Times New Roman" w:cs="Times New Roman"/>
          <w:sz w:val="24"/>
          <w:szCs w:val="24"/>
        </w:rPr>
        <w:t>treat</w:t>
      </w:r>
      <w:r w:rsidR="00C7118B" w:rsidRPr="00AD12CD">
        <w:rPr>
          <w:rFonts w:ascii="Times New Roman" w:eastAsia="宋体" w:hAnsi="Times New Roman" w:cs="Times New Roman" w:hint="eastAsia"/>
          <w:sz w:val="24"/>
          <w:szCs w:val="24"/>
        </w:rPr>
        <w:t>ment</w:t>
      </w:r>
      <w:r w:rsidR="00C7118B" w:rsidRPr="00AD12C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cycle. </w:t>
      </w:r>
      <w:r w:rsidRPr="00AD12CD">
        <w:rPr>
          <w:rFonts w:ascii="Times New Roman" w:eastAsia="宋体" w:hAnsi="Times New Roman" w:cs="Times New Roman"/>
          <w:b/>
          <w:bCs/>
          <w:sz w:val="24"/>
          <w:szCs w:val="24"/>
        </w:rPr>
        <w:t>E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7118B" w:rsidRPr="00AD12CD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Pr="00AD12CD">
        <w:rPr>
          <w:rFonts w:ascii="Times New Roman" w:eastAsia="宋体" w:hAnsi="Times New Roman" w:cs="Times New Roman"/>
          <w:sz w:val="24"/>
          <w:szCs w:val="24"/>
        </w:rPr>
        <w:t>ll the four cycles</w:t>
      </w:r>
      <w:r w:rsidR="00C7118B" w:rsidRPr="00AD12CD">
        <w:rPr>
          <w:rFonts w:ascii="Times New Roman" w:eastAsia="宋体" w:hAnsi="Times New Roman" w:cs="Times New Roman"/>
          <w:sz w:val="24"/>
          <w:szCs w:val="24"/>
        </w:rPr>
        <w:t>’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 EDR value</w:t>
      </w:r>
      <w:r w:rsidR="00C7118B" w:rsidRPr="00AD12CD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 decay line curve of all patients. </w:t>
      </w:r>
      <w:r w:rsidRPr="00AD12CD">
        <w:rPr>
          <w:rFonts w:ascii="Times New Roman" w:eastAsia="宋体" w:hAnsi="Times New Roman" w:cs="Times New Roman"/>
          <w:b/>
          <w:bCs/>
          <w:sz w:val="24"/>
          <w:szCs w:val="24"/>
        </w:rPr>
        <w:t>F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7118B" w:rsidRPr="00AD12CD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Pr="00AD12CD">
        <w:rPr>
          <w:rFonts w:ascii="Times New Roman" w:eastAsia="宋体" w:hAnsi="Times New Roman" w:cs="Times New Roman"/>
          <w:sz w:val="24"/>
          <w:szCs w:val="24"/>
        </w:rPr>
        <w:t>he</w:t>
      </w:r>
      <w:r w:rsidR="00C7118B" w:rsidRPr="00AD12C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AD12CD">
        <w:rPr>
          <w:rFonts w:ascii="Times New Roman" w:eastAsia="宋体" w:hAnsi="Times New Roman" w:cs="Times New Roman"/>
          <w:sz w:val="24"/>
          <w:szCs w:val="24"/>
        </w:rPr>
        <w:t>decay line curve of the four cycles</w:t>
      </w:r>
      <w:r w:rsidR="00C7118B" w:rsidRPr="00AD12CD">
        <w:rPr>
          <w:rFonts w:ascii="Times New Roman" w:eastAsia="宋体" w:hAnsi="Times New Roman" w:cs="Times New Roman"/>
          <w:sz w:val="24"/>
          <w:szCs w:val="24"/>
        </w:rPr>
        <w:t>’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 mean EDR</w:t>
      </w:r>
      <w:r w:rsidRPr="00AD12CD">
        <w:rPr>
          <w:rFonts w:ascii="Times New Roman" w:eastAsia="宋体" w:hAnsi="Times New Roman" w:cs="Times New Roman" w:hint="eastAsia"/>
          <w:sz w:val="24"/>
          <w:szCs w:val="24"/>
        </w:rPr>
        <w:t xml:space="preserve"> value</w:t>
      </w:r>
      <w:r w:rsidRPr="00AD12CD">
        <w:rPr>
          <w:rFonts w:ascii="Times New Roman" w:eastAsia="宋体" w:hAnsi="Times New Roman" w:cs="Times New Roman"/>
          <w:sz w:val="24"/>
          <w:szCs w:val="24"/>
        </w:rPr>
        <w:t xml:space="preserve"> in different patient</w:t>
      </w:r>
      <w:r w:rsidR="00C7118B" w:rsidRPr="00AD12CD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AD12CD">
        <w:rPr>
          <w:rFonts w:ascii="Times New Roman" w:eastAsia="宋体" w:hAnsi="Times New Roman" w:cs="Times New Roman"/>
          <w:sz w:val="24"/>
          <w:szCs w:val="24"/>
        </w:rPr>
        <w:t>.</w:t>
      </w:r>
    </w:p>
    <w:p w14:paraId="14DC68EC" w14:textId="77777777" w:rsidR="00904EB4" w:rsidRPr="00AD12CD" w:rsidRDefault="00904EB4" w:rsidP="00017583">
      <w:pPr>
        <w:rPr>
          <w:rFonts w:ascii="Times New Roman" w:eastAsia="宋体" w:hAnsi="Times New Roman" w:cs="Times New Roman"/>
          <w:szCs w:val="21"/>
        </w:rPr>
      </w:pPr>
    </w:p>
    <w:p w14:paraId="5419CDEC" w14:textId="77777777" w:rsidR="00904EB4" w:rsidRPr="00AD12CD" w:rsidRDefault="00904EB4" w:rsidP="00017583">
      <w:pPr>
        <w:rPr>
          <w:rFonts w:ascii="Times New Roman" w:eastAsia="宋体" w:hAnsi="Times New Roman" w:cs="Times New Roman"/>
          <w:szCs w:val="21"/>
        </w:rPr>
      </w:pPr>
    </w:p>
    <w:sectPr w:rsidR="00904EB4" w:rsidRPr="00AD12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52BEA" w14:textId="77777777" w:rsidR="009646CF" w:rsidRDefault="009646CF" w:rsidP="0054416B">
      <w:pPr>
        <w:rPr>
          <w:rFonts w:hint="eastAsia"/>
        </w:rPr>
      </w:pPr>
      <w:r>
        <w:separator/>
      </w:r>
    </w:p>
  </w:endnote>
  <w:endnote w:type="continuationSeparator" w:id="0">
    <w:p w14:paraId="43CC7DD9" w14:textId="77777777" w:rsidR="009646CF" w:rsidRDefault="009646CF" w:rsidP="0054416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79E83" w14:textId="77777777" w:rsidR="009646CF" w:rsidRDefault="009646CF" w:rsidP="0054416B">
      <w:pPr>
        <w:rPr>
          <w:rFonts w:hint="eastAsia"/>
        </w:rPr>
      </w:pPr>
      <w:r>
        <w:separator/>
      </w:r>
    </w:p>
  </w:footnote>
  <w:footnote w:type="continuationSeparator" w:id="0">
    <w:p w14:paraId="31D49061" w14:textId="77777777" w:rsidR="009646CF" w:rsidRDefault="009646CF" w:rsidP="0054416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4A362E"/>
    <w:multiLevelType w:val="multilevel"/>
    <w:tmpl w:val="5C54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3F06CC"/>
    <w:multiLevelType w:val="multilevel"/>
    <w:tmpl w:val="E5AE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72073"/>
    <w:multiLevelType w:val="multilevel"/>
    <w:tmpl w:val="2544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D3F9C"/>
    <w:multiLevelType w:val="multilevel"/>
    <w:tmpl w:val="1450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D121AD"/>
    <w:multiLevelType w:val="multilevel"/>
    <w:tmpl w:val="59BA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5B0941"/>
    <w:multiLevelType w:val="multilevel"/>
    <w:tmpl w:val="5DE0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4007C3"/>
    <w:multiLevelType w:val="multilevel"/>
    <w:tmpl w:val="065A2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D0094C"/>
    <w:multiLevelType w:val="multilevel"/>
    <w:tmpl w:val="D406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7309762">
    <w:abstractNumId w:val="3"/>
  </w:num>
  <w:num w:numId="2" w16cid:durableId="732504888">
    <w:abstractNumId w:val="2"/>
  </w:num>
  <w:num w:numId="3" w16cid:durableId="163862043">
    <w:abstractNumId w:val="0"/>
  </w:num>
  <w:num w:numId="4" w16cid:durableId="1331564501">
    <w:abstractNumId w:val="7"/>
  </w:num>
  <w:num w:numId="5" w16cid:durableId="2051223087">
    <w:abstractNumId w:val="5"/>
  </w:num>
  <w:num w:numId="6" w16cid:durableId="1051080309">
    <w:abstractNumId w:val="6"/>
  </w:num>
  <w:num w:numId="7" w16cid:durableId="1946305447">
    <w:abstractNumId w:val="4"/>
  </w:num>
  <w:num w:numId="8" w16cid:durableId="1697193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B73"/>
    <w:rsid w:val="00017583"/>
    <w:rsid w:val="0008217E"/>
    <w:rsid w:val="000B4DB9"/>
    <w:rsid w:val="000F2F01"/>
    <w:rsid w:val="0011638F"/>
    <w:rsid w:val="00116411"/>
    <w:rsid w:val="00166A91"/>
    <w:rsid w:val="002B623F"/>
    <w:rsid w:val="002C0E09"/>
    <w:rsid w:val="003506C7"/>
    <w:rsid w:val="00376347"/>
    <w:rsid w:val="003A288F"/>
    <w:rsid w:val="003D339C"/>
    <w:rsid w:val="00411495"/>
    <w:rsid w:val="00424B73"/>
    <w:rsid w:val="00462973"/>
    <w:rsid w:val="00536F06"/>
    <w:rsid w:val="0054416B"/>
    <w:rsid w:val="00580CAB"/>
    <w:rsid w:val="005944E5"/>
    <w:rsid w:val="005B07F0"/>
    <w:rsid w:val="00611F90"/>
    <w:rsid w:val="00622677"/>
    <w:rsid w:val="00687B5E"/>
    <w:rsid w:val="006B7177"/>
    <w:rsid w:val="006E6CF7"/>
    <w:rsid w:val="007369B4"/>
    <w:rsid w:val="00764E17"/>
    <w:rsid w:val="00767D1B"/>
    <w:rsid w:val="007D1A31"/>
    <w:rsid w:val="007F5F1D"/>
    <w:rsid w:val="00904EB4"/>
    <w:rsid w:val="009646CF"/>
    <w:rsid w:val="00981A3D"/>
    <w:rsid w:val="009A4BC1"/>
    <w:rsid w:val="00A85F4B"/>
    <w:rsid w:val="00AB6DF5"/>
    <w:rsid w:val="00AD12CD"/>
    <w:rsid w:val="00B2391E"/>
    <w:rsid w:val="00BA6596"/>
    <w:rsid w:val="00BD3FC2"/>
    <w:rsid w:val="00C11EC4"/>
    <w:rsid w:val="00C7118B"/>
    <w:rsid w:val="00C86514"/>
    <w:rsid w:val="00DD781B"/>
    <w:rsid w:val="00DE3CAA"/>
    <w:rsid w:val="00E17EF4"/>
    <w:rsid w:val="00FE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C0F51"/>
  <w15:chartTrackingRefBased/>
  <w15:docId w15:val="{800BB043-1A97-412F-AE02-4D71B499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1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16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41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41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416B"/>
    <w:rPr>
      <w:sz w:val="18"/>
      <w:szCs w:val="18"/>
    </w:rPr>
  </w:style>
  <w:style w:type="table" w:styleId="a7">
    <w:name w:val="Table Grid"/>
    <w:basedOn w:val="a1"/>
    <w:uiPriority w:val="39"/>
    <w:rsid w:val="00544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0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616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28</cp:revision>
  <dcterms:created xsi:type="dcterms:W3CDTF">2024-09-02T05:05:00Z</dcterms:created>
  <dcterms:modified xsi:type="dcterms:W3CDTF">2024-10-18T01:22:00Z</dcterms:modified>
</cp:coreProperties>
</file>