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3B" w:rsidRDefault="00695E3B" w:rsidP="00695E3B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SUPPLEMENTARY INFORMATION</w:t>
      </w:r>
    </w:p>
    <w:p w:rsidR="00695E3B" w:rsidRDefault="00695E3B" w:rsidP="00695E3B">
      <w:pPr>
        <w:spacing w:before="240" w:after="240"/>
        <w:rPr>
          <w:b/>
        </w:rPr>
      </w:pPr>
    </w:p>
    <w:p w:rsidR="00695E3B" w:rsidRDefault="00695E3B" w:rsidP="00695E3B">
      <w:pPr>
        <w:spacing w:before="240" w:after="240"/>
      </w:pPr>
      <w:r>
        <w:rPr>
          <w:noProof/>
          <w:lang w:val="en-US"/>
        </w:rPr>
        <w:drawing>
          <wp:inline distT="114300" distB="114300" distL="114300" distR="114300" wp14:anchorId="46D5C7A7" wp14:editId="12593327">
            <wp:extent cx="8229600" cy="35941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5E3B" w:rsidRDefault="00695E3B" w:rsidP="00695E3B">
      <w:pPr>
        <w:spacing w:before="240" w:after="240"/>
      </w:pPr>
      <w:r>
        <w:rPr>
          <w:b/>
        </w:rPr>
        <w:t>Supplementary Figure 1.</w:t>
      </w:r>
      <w:r>
        <w:t xml:space="preserve"> Model equations are shown with respect to model diagram, where units of all compartments are in nanomoles and mass transport equations are nanomole/hour. </w:t>
      </w:r>
    </w:p>
    <w:p w:rsidR="00695E3B" w:rsidRDefault="00695E3B" w:rsidP="00695E3B">
      <w:pPr>
        <w:spacing w:before="240" w:after="240"/>
      </w:pPr>
      <w:r>
        <w:rPr>
          <w:noProof/>
          <w:lang w:val="en-US"/>
        </w:rPr>
        <w:lastRenderedPageBreak/>
        <w:drawing>
          <wp:inline distT="114300" distB="114300" distL="114300" distR="114300" wp14:anchorId="030C1EB6" wp14:editId="0302E0CC">
            <wp:extent cx="5510213" cy="4051859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0213" cy="40518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5E3B" w:rsidRDefault="00695E3B" w:rsidP="00695E3B">
      <w:pPr>
        <w:spacing w:before="240" w:after="240"/>
      </w:pPr>
      <w:r>
        <w:rPr>
          <w:b/>
        </w:rPr>
        <w:t>Supplementary Figure 2.</w:t>
      </w:r>
      <w:r>
        <w:t xml:space="preserve"> Representative size exclusion HPLC of </w:t>
      </w:r>
      <w:r>
        <w:rPr>
          <w:b/>
        </w:rPr>
        <w:t>A)</w:t>
      </w:r>
      <w:r>
        <w:t xml:space="preserve"> [</w:t>
      </w:r>
      <w:r>
        <w:rPr>
          <w:vertAlign w:val="superscript"/>
        </w:rPr>
        <w:t>125</w:t>
      </w:r>
      <w:r>
        <w:t xml:space="preserve">I]SIB-anti-gD </w:t>
      </w:r>
      <w:r>
        <w:rPr>
          <w:b/>
        </w:rPr>
        <w:t>B)</w:t>
      </w:r>
      <w:r>
        <w:t xml:space="preserve"> </w:t>
      </w:r>
      <w:r>
        <w:rPr>
          <w:vertAlign w:val="superscript"/>
        </w:rPr>
        <w:t>111</w:t>
      </w:r>
      <w:r>
        <w:t xml:space="preserve">In-DOTA-anti-gD </w:t>
      </w:r>
      <w:r>
        <w:rPr>
          <w:b/>
        </w:rPr>
        <w:t>C)</w:t>
      </w:r>
      <w:r>
        <w:t xml:space="preserve"> [</w:t>
      </w:r>
      <w:r>
        <w:rPr>
          <w:vertAlign w:val="superscript"/>
        </w:rPr>
        <w:t>125</w:t>
      </w:r>
      <w:r>
        <w:t xml:space="preserve">I]SIB-anti-HER2 </w:t>
      </w:r>
      <w:r>
        <w:rPr>
          <w:b/>
        </w:rPr>
        <w:t>D)</w:t>
      </w:r>
      <w:r>
        <w:t xml:space="preserve"> </w:t>
      </w:r>
      <w:r>
        <w:rPr>
          <w:vertAlign w:val="superscript"/>
        </w:rPr>
        <w:t>111</w:t>
      </w:r>
      <w:r>
        <w:t xml:space="preserve">In-DOTA-anti-HER2 used in imaging study. </w:t>
      </w:r>
    </w:p>
    <w:p w:rsidR="00695E3B" w:rsidRDefault="00695E3B" w:rsidP="00695E3B">
      <w:pPr>
        <w:spacing w:before="240" w:after="240"/>
      </w:pPr>
    </w:p>
    <w:p w:rsidR="00695E3B" w:rsidRDefault="00695E3B" w:rsidP="00695E3B">
      <w:pPr>
        <w:spacing w:before="240" w:after="240"/>
      </w:pPr>
    </w:p>
    <w:p w:rsidR="00695E3B" w:rsidRDefault="00695E3B" w:rsidP="00695E3B">
      <w:pPr>
        <w:spacing w:before="240" w:after="240"/>
        <w:sectPr w:rsidR="00695E3B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:rsidR="00695E3B" w:rsidRDefault="00695E3B" w:rsidP="00695E3B">
      <w:pPr>
        <w:spacing w:before="240" w:after="240"/>
      </w:pPr>
      <w:r>
        <w:rPr>
          <w:noProof/>
          <w:lang w:val="en-US"/>
        </w:rPr>
        <w:lastRenderedPageBreak/>
        <w:drawing>
          <wp:inline distT="114300" distB="114300" distL="114300" distR="114300" wp14:anchorId="207699D3" wp14:editId="00F80878">
            <wp:extent cx="6248778" cy="4367213"/>
            <wp:effectExtent l="0" t="0" r="0" b="0"/>
            <wp:docPr id="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8778" cy="4367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5E3B" w:rsidRDefault="00695E3B" w:rsidP="00695E3B">
      <w:pPr>
        <w:spacing w:before="240" w:after="240"/>
      </w:pPr>
      <w:r>
        <w:rPr>
          <w:b/>
        </w:rPr>
        <w:t>Supplementary Figure 3.</w:t>
      </w:r>
      <w:r>
        <w:t xml:space="preserve"> Gamma counted whole blood from mice at 1, 24 and 168 hours following injection with single intravenous bolus dose of </w:t>
      </w:r>
      <w:r>
        <w:rPr>
          <w:b/>
        </w:rPr>
        <w:t>A)</w:t>
      </w:r>
      <w:r>
        <w:t xml:space="preserve"> [</w:t>
      </w:r>
      <w:r>
        <w:rPr>
          <w:vertAlign w:val="superscript"/>
        </w:rPr>
        <w:t>125</w:t>
      </w:r>
      <w:r>
        <w:t xml:space="preserve">I]SIB-labeled and </w:t>
      </w:r>
      <w:r>
        <w:rPr>
          <w:b/>
        </w:rPr>
        <w:t>B)</w:t>
      </w:r>
      <w:r>
        <w:t xml:space="preserve"> </w:t>
      </w:r>
      <w:r>
        <w:rPr>
          <w:vertAlign w:val="superscript"/>
        </w:rPr>
        <w:t>111</w:t>
      </w:r>
      <w:r>
        <w:t xml:space="preserve">In-DOTA-labeled anti-gD and anti-HER2 antibodies. Tissue concentrations of </w:t>
      </w:r>
      <w:r>
        <w:rPr>
          <w:b/>
        </w:rPr>
        <w:t>C)</w:t>
      </w:r>
      <w:r>
        <w:t xml:space="preserve"> [</w:t>
      </w:r>
      <w:r>
        <w:rPr>
          <w:vertAlign w:val="superscript"/>
        </w:rPr>
        <w:t>125</w:t>
      </w:r>
      <w:r>
        <w:t xml:space="preserve">I]SIB-labeled, </w:t>
      </w:r>
      <w:r>
        <w:rPr>
          <w:b/>
        </w:rPr>
        <w:t>D)</w:t>
      </w:r>
      <w:r>
        <w:t xml:space="preserve"> </w:t>
      </w:r>
      <w:r>
        <w:rPr>
          <w:vertAlign w:val="superscript"/>
        </w:rPr>
        <w:t>111</w:t>
      </w:r>
      <w:r>
        <w:t xml:space="preserve">In-DOTA-labeled and </w:t>
      </w:r>
      <w:r>
        <w:rPr>
          <w:b/>
        </w:rPr>
        <w:t>E)</w:t>
      </w:r>
      <w:r>
        <w:t xml:space="preserve"> catabolized anti-gD and anti-HER2 antibodies (defined as %ID/g) at 168 hours. Catabolized antibody values were calculated as the difference between concentrations of </w:t>
      </w:r>
      <w:r>
        <w:rPr>
          <w:vertAlign w:val="superscript"/>
        </w:rPr>
        <w:t>111</w:t>
      </w:r>
      <w:r>
        <w:t>In-DOTA- and [</w:t>
      </w:r>
      <w:r>
        <w:rPr>
          <w:vertAlign w:val="superscript"/>
        </w:rPr>
        <w:t>125</w:t>
      </w:r>
      <w:r>
        <w:t xml:space="preserve">I]SIB-labeled mAbs (%ID/g </w:t>
      </w:r>
      <w:r>
        <w:rPr>
          <w:vertAlign w:val="superscript"/>
        </w:rPr>
        <w:t>111</w:t>
      </w:r>
      <w:r>
        <w:t xml:space="preserve">In - %ID/g </w:t>
      </w:r>
      <w:r>
        <w:rPr>
          <w:vertAlign w:val="superscript"/>
        </w:rPr>
        <w:t>125</w:t>
      </w:r>
      <w:r>
        <w:t>I). All graphs show mean ± SD error bars of each group with n = 3.</w:t>
      </w:r>
    </w:p>
    <w:p w:rsidR="00695E3B" w:rsidRDefault="00695E3B" w:rsidP="00695E3B">
      <w:pPr>
        <w:spacing w:before="240" w:after="240"/>
      </w:pPr>
      <w:r>
        <w:rPr>
          <w:b/>
        </w:rPr>
        <w:lastRenderedPageBreak/>
        <w:t xml:space="preserve">Supplementary Table 1. </w:t>
      </w:r>
      <w:r>
        <w:t>Fold differences in tumor %ID/g values calculated from SPECT imaging and gamma counting at 168 hours post administration of [</w:t>
      </w:r>
      <w:r>
        <w:rPr>
          <w:vertAlign w:val="superscript"/>
        </w:rPr>
        <w:t>125</w:t>
      </w:r>
      <w:r>
        <w:t xml:space="preserve">I]SIB-labeled, </w:t>
      </w:r>
      <w:r>
        <w:rPr>
          <w:vertAlign w:val="superscript"/>
        </w:rPr>
        <w:t>111</w:t>
      </w:r>
      <w:r>
        <w:t>In-DOTA-labeled and catabolized anti-gD and anti-HER2</w:t>
      </w:r>
    </w:p>
    <w:tbl>
      <w:tblPr>
        <w:tblW w:w="14145" w:type="dxa"/>
        <w:tblInd w:w="-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340"/>
        <w:gridCol w:w="2475"/>
        <w:gridCol w:w="2355"/>
        <w:gridCol w:w="2565"/>
        <w:gridCol w:w="2250"/>
      </w:tblGrid>
      <w:tr w:rsidR="00695E3B" w:rsidTr="00CD49B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%ID/g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 xml:space="preserve"> [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125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I]SIB-anti-HER2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%ID/g [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125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I]SIB-anti-gD</m:t>
                    </m:r>
                  </m:den>
                </m:f>
              </m:oMath>
            </m:oMathPara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 xml:space="preserve">%ID/g 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111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In-DOTA-anti-HER2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 xml:space="preserve">%ID/g 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111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In-DOTA-anti-gD</m:t>
                    </m:r>
                  </m:den>
                </m:f>
              </m:oMath>
            </m:oMathPara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 xml:space="preserve">%ID/g 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111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In-DOTA-anti-gD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%ID/g [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125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I]SIB-anti-gD</m:t>
                    </m:r>
                  </m:den>
                </m:f>
              </m:oMath>
            </m:oMathPara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 xml:space="preserve">%ID/g 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111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In-DOTA-anti-HER2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%ID/g [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125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I]SIB-anti-HER2</m:t>
                    </m:r>
                  </m:den>
                </m:f>
              </m:oMath>
            </m:oMathPara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 xml:space="preserve"> Catabolized anti-HER2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Catabolized anti-gD</m:t>
                    </m:r>
                  </m:den>
                </m:f>
              </m:oMath>
            </m:oMathPara>
          </w:p>
        </w:tc>
      </w:tr>
      <w:tr w:rsidR="00695E3B" w:rsidTr="00CD49B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 xml:space="preserve">SPECT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1.5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3.6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2.1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5.0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5.3</w:t>
            </w:r>
          </w:p>
        </w:tc>
      </w:tr>
      <w:tr w:rsidR="00695E3B" w:rsidTr="00CD49B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Gamma Counting @ 168 hours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2.0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5.0</w:t>
            </w:r>
          </w:p>
        </w:tc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4.7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11.6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6.1</w:t>
            </w:r>
          </w:p>
        </w:tc>
      </w:tr>
    </w:tbl>
    <w:p w:rsidR="00695E3B" w:rsidRDefault="00695E3B" w:rsidP="00695E3B">
      <w:pPr>
        <w:spacing w:before="240" w:after="240"/>
        <w:rPr>
          <w:b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  <w:sz w:val="24"/>
          <w:szCs w:val="24"/>
        </w:rPr>
      </w:pPr>
    </w:p>
    <w:p w:rsidR="00695E3B" w:rsidRDefault="00695E3B" w:rsidP="00695E3B">
      <w:pPr>
        <w:spacing w:before="240" w:after="240"/>
        <w:rPr>
          <w:b/>
        </w:rPr>
      </w:pPr>
      <w:r>
        <w:rPr>
          <w:b/>
        </w:rPr>
        <w:lastRenderedPageBreak/>
        <w:t xml:space="preserve">Supplementary Table 2. </w:t>
      </w:r>
      <w:r>
        <w:t xml:space="preserve">Whole tissue to plasma ratios of intact anti-gD and anti-HER2 from tissue distribution at 168 hours post administration in current paper compared to two previously published sets of data. Plasma concentrations were estimated from blood concentrations </w:t>
      </w:r>
      <w:r>
        <w:rPr>
          <w:i/>
        </w:rPr>
        <w:t xml:space="preserve">via </w:t>
      </w:r>
      <w:r>
        <w:t>mouse hematocrit ratio.</w:t>
      </w:r>
    </w:p>
    <w:tbl>
      <w:tblPr>
        <w:tblW w:w="12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2550"/>
        <w:gridCol w:w="2895"/>
        <w:gridCol w:w="2340"/>
        <w:gridCol w:w="2460"/>
      </w:tblGrid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Tissue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anti-gD % (Mean ± SD)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anti-HER2 % (Mean ± SD)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Shah et al. 2013 (%)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Rafidi et al. 2023 (%)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</w:pP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Lung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16.4 ± 4.0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19.5 ± 4.2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14.9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12-14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Heart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11.6 ± 1.6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11.7 ± 3.3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10.2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9-14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Liver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6.9 ± 0.2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9.5 ± 1.6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12.1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9-11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Kidney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11.6 ± 1.6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12.7 ± 1.4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13.7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10-11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Adipose Tissue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9.2 ± 4.3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6.9 ± 1.6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4.78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4-5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Spleen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21.2 ± 8.3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26.8 ± 8.6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12.8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10-13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Large Intestine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3.2 ± 1.3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3.7 ± 1.1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5.22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4-6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Small Intestine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3.7 ± 1.2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3.8 ± 1.9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5.03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4-6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Stomach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4.1 ± 0.8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5.5 ± 0.7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4.98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4-5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Muscle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2.5 ± 0.9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2.6 ± 1.5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3.97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3-4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Skin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9.0 ± 1.5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12.9 ± 1.9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16.7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9-11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 xml:space="preserve">Brain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0.7 ± 0.2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1.0 ± 0.1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0.351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0.9</w:t>
            </w:r>
          </w:p>
        </w:tc>
      </w:tr>
      <w:tr w:rsidR="00695E3B" w:rsidTr="00CD49B6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Tumor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5.2 ± 1.8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20.1 ± 7.6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-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5E3B" w:rsidRDefault="00695E3B" w:rsidP="00CD49B6">
            <w:pPr>
              <w:widowControl w:val="0"/>
              <w:spacing w:line="240" w:lineRule="auto"/>
              <w:jc w:val="center"/>
            </w:pPr>
            <w:r>
              <w:t>-</w:t>
            </w:r>
          </w:p>
        </w:tc>
      </w:tr>
    </w:tbl>
    <w:p w:rsidR="00695E3B" w:rsidRDefault="00695E3B" w:rsidP="00695E3B">
      <w:pPr>
        <w:spacing w:before="240" w:after="240"/>
        <w:sectPr w:rsidR="00695E3B">
          <w:pgSz w:w="15840" w:h="12240" w:orient="landscape"/>
          <w:pgMar w:top="1440" w:right="1440" w:bottom="1440" w:left="1440" w:header="720" w:footer="720" w:gutter="0"/>
          <w:cols w:space="720"/>
        </w:sectPr>
      </w:pPr>
      <w:bookmarkStart w:id="0" w:name="_GoBack"/>
      <w:bookmarkEnd w:id="0"/>
    </w:p>
    <w:p w:rsidR="00E555F5" w:rsidRDefault="00E555F5"/>
    <w:sectPr w:rsidR="00E55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3B"/>
    <w:rsid w:val="00695E3B"/>
    <w:rsid w:val="00E5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F0412"/>
  <w15:chartTrackingRefBased/>
  <w15:docId w15:val="{B4DAEF04-532E-42F4-8486-7F778F97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95E3B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50E9F-DDBE-42AB-9DC4-E9D4FD9E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1</cp:revision>
  <dcterms:created xsi:type="dcterms:W3CDTF">2025-01-24T19:42:00Z</dcterms:created>
  <dcterms:modified xsi:type="dcterms:W3CDTF">2025-01-24T19:43:00Z</dcterms:modified>
</cp:coreProperties>
</file>