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b/>
          <w:bCs/>
        </w:rPr>
      </w:pPr>
      <w:r>
        <w:rPr>
          <w:rFonts w:ascii="Times New Roman" w:hAnsi="Times New Roman" w:cs="Times New Roman"/>
          <w:b/>
          <w:bCs/>
        </w:rPr>
        <w:t>Supporting Information For</w:t>
      </w:r>
    </w:p>
    <w:p>
      <w:pPr>
        <w:jc w:val="both"/>
        <w:rPr>
          <w:rFonts w:ascii="Times New Roman" w:hAnsi="Times New Roman" w:cs="Times New Roman"/>
          <w:b/>
          <w:bCs/>
          <w:sz w:val="28"/>
          <w:szCs w:val="28"/>
        </w:rPr>
      </w:pPr>
      <w:r>
        <w:rPr>
          <w:rFonts w:ascii="Times New Roman" w:hAnsi="Times New Roman" w:cs="Times New Roman"/>
          <w:b/>
          <w:bCs/>
          <w:sz w:val="28"/>
          <w:szCs w:val="28"/>
        </w:rPr>
        <w:t>A heterodimeric radioligand Labeled with Gallium-68 targeting fibroblast activation protein</w:t>
      </w:r>
    </w:p>
    <w:p>
      <w:pPr>
        <w:jc w:val="both"/>
        <w:rPr>
          <w:rFonts w:ascii="Times New Roman" w:hAnsi="Times New Roman" w:cs="Times New Roman"/>
        </w:rPr>
      </w:pPr>
      <w:bookmarkStart w:id="0" w:name="_Hlk189193717"/>
      <w:r>
        <w:rPr>
          <w:rFonts w:ascii="Times New Roman" w:hAnsi="Times New Roman" w:cs="Times New Roman"/>
        </w:rPr>
        <w:t>Chengde Xie</w:t>
      </w:r>
      <w:r>
        <w:rPr>
          <w:rFonts w:ascii="Times New Roman" w:hAnsi="Times New Roman" w:cs="Times New Roman"/>
          <w:vertAlign w:val="superscript"/>
        </w:rPr>
        <w:t>1</w:t>
      </w:r>
      <w:r>
        <w:rPr>
          <w:rFonts w:ascii="Times New Roman" w:hAnsi="Times New Roman" w:cs="Times New Roman"/>
        </w:rPr>
        <w:t>, Lei Peng</w:t>
      </w:r>
      <w:r>
        <w:rPr>
          <w:rFonts w:ascii="Times New Roman" w:hAnsi="Times New Roman" w:cs="Times New Roman"/>
          <w:vertAlign w:val="superscript"/>
        </w:rPr>
        <w:t>2</w:t>
      </w:r>
      <w:r>
        <w:rPr>
          <w:rFonts w:ascii="Times New Roman" w:hAnsi="Times New Roman" w:cs="Times New Roman"/>
        </w:rPr>
        <w:t>, Hui Nie</w:t>
      </w:r>
      <w:r>
        <w:rPr>
          <w:rFonts w:ascii="Times New Roman" w:hAnsi="Times New Roman" w:cs="Times New Roman"/>
          <w:vertAlign w:val="superscript"/>
        </w:rPr>
        <w:t>2</w:t>
      </w:r>
      <w:r>
        <w:rPr>
          <w:rFonts w:ascii="Times New Roman" w:hAnsi="Times New Roman" w:cs="Times New Roman"/>
        </w:rPr>
        <w:t>, Tianhong Yang</w:t>
      </w:r>
      <w:r>
        <w:rPr>
          <w:rFonts w:ascii="Times New Roman" w:hAnsi="Times New Roman" w:cs="Times New Roman"/>
          <w:vertAlign w:val="superscript"/>
        </w:rPr>
        <w:t>2</w:t>
      </w:r>
      <w:r>
        <w:rPr>
          <w:rFonts w:ascii="Times New Roman" w:hAnsi="Times New Roman" w:cs="Times New Roman"/>
        </w:rPr>
        <w:t xml:space="preserve">, </w:t>
      </w:r>
      <w:r>
        <w:rPr>
          <w:rFonts w:hint="eastAsia" w:ascii="Times New Roman" w:hAnsi="Times New Roman" w:cs="Times New Roman"/>
        </w:rPr>
        <w:t>Renbo Wu</w:t>
      </w:r>
      <w:r>
        <w:rPr>
          <w:rFonts w:ascii="Times New Roman" w:hAnsi="Times New Roman" w:cs="Times New Roman"/>
          <w:vertAlign w:val="superscript"/>
        </w:rPr>
        <w:t>2</w:t>
      </w:r>
      <w:r>
        <w:rPr>
          <w:rFonts w:ascii="Times New Roman" w:hAnsi="Times New Roman" w:cs="Times New Roman"/>
        </w:rPr>
        <w:t>,</w:t>
      </w:r>
      <w:r>
        <w:rPr>
          <w:rFonts w:hint="eastAsia" w:ascii="Times New Roman" w:hAnsi="Times New Roman" w:cs="Times New Roman"/>
        </w:rPr>
        <w:t xml:space="preserve"> </w:t>
      </w:r>
      <w:r>
        <w:rPr>
          <w:rFonts w:ascii="Times New Roman" w:hAnsi="Times New Roman" w:cs="Times New Roman"/>
        </w:rPr>
        <w:t>Dake Zhang</w:t>
      </w:r>
      <w:r>
        <w:rPr>
          <w:rFonts w:ascii="Times New Roman" w:hAnsi="Times New Roman" w:cs="Times New Roman"/>
          <w:vertAlign w:val="superscript"/>
        </w:rPr>
        <w:t>2</w:t>
      </w:r>
      <w:r>
        <w:rPr>
          <w:rFonts w:ascii="Times New Roman" w:hAnsi="Times New Roman" w:cs="Times New Roman"/>
        </w:rPr>
        <w:t>, Fuhua Wen</w:t>
      </w:r>
      <w:r>
        <w:rPr>
          <w:rFonts w:ascii="Times New Roman" w:hAnsi="Times New Roman" w:cs="Times New Roman"/>
          <w:vertAlign w:val="superscript"/>
        </w:rPr>
        <w:t>2</w:t>
      </w:r>
      <w:r>
        <w:rPr>
          <w:rFonts w:ascii="Times New Roman" w:hAnsi="Times New Roman" w:cs="Times New Roman"/>
        </w:rPr>
        <w:t>, Junyu Chen</w:t>
      </w:r>
      <w:r>
        <w:rPr>
          <w:rFonts w:ascii="Times New Roman" w:hAnsi="Times New Roman" w:cs="Times New Roman"/>
          <w:vertAlign w:val="superscript"/>
        </w:rPr>
        <w:t>1</w:t>
      </w:r>
      <w:r>
        <w:rPr>
          <w:rFonts w:ascii="Times New Roman" w:hAnsi="Times New Roman" w:cs="Times New Roman"/>
        </w:rPr>
        <w:t>, Lingyu Xue</w:t>
      </w:r>
      <w:r>
        <w:rPr>
          <w:rFonts w:ascii="Times New Roman" w:hAnsi="Times New Roman" w:cs="Times New Roman"/>
          <w:vertAlign w:val="superscript"/>
        </w:rPr>
        <w:t>2</w:t>
      </w:r>
      <w:r>
        <w:rPr>
          <w:rFonts w:ascii="Times New Roman" w:hAnsi="Times New Roman" w:cs="Times New Roman"/>
        </w:rPr>
        <w:t xml:space="preserve">, </w:t>
      </w:r>
      <w:r>
        <w:rPr>
          <w:rFonts w:hint="eastAsia" w:ascii="Times New Roman" w:hAnsi="Times New Roman" w:cs="Times New Roman"/>
        </w:rPr>
        <w:t>Xiangsong Zhang</w:t>
      </w:r>
      <w:r>
        <w:rPr>
          <w:rFonts w:hint="eastAsia" w:ascii="Times New Roman" w:hAnsi="Times New Roman" w:cs="Times New Roman"/>
          <w:vertAlign w:val="superscript"/>
        </w:rPr>
        <w:t>2</w:t>
      </w:r>
      <w:r>
        <w:rPr>
          <w:rFonts w:hint="eastAsia" w:ascii="Times New Roman" w:hAnsi="Times New Roman" w:cs="Times New Roman"/>
        </w:rPr>
        <w:t xml:space="preserve">, </w:t>
      </w:r>
      <w:r>
        <w:rPr>
          <w:rFonts w:ascii="Times New Roman" w:hAnsi="Times New Roman" w:cs="Times New Roman"/>
        </w:rPr>
        <w:t>Zhihao Zha</w:t>
      </w:r>
      <w:r>
        <w:rPr>
          <w:rFonts w:ascii="Times New Roman" w:hAnsi="Times New Roman" w:cs="Times New Roman"/>
          <w:vertAlign w:val="superscript"/>
        </w:rPr>
        <w:t>2</w:t>
      </w:r>
      <w:r>
        <w:rPr>
          <w:rFonts w:ascii="Times New Roman" w:hAnsi="Times New Roman" w:cs="Times New Roman"/>
        </w:rPr>
        <w:t>†, Jianjun Wang</w:t>
      </w:r>
      <w:r>
        <w:rPr>
          <w:rFonts w:ascii="Times New Roman" w:hAnsi="Times New Roman" w:cs="Times New Roman"/>
          <w:vertAlign w:val="superscript"/>
        </w:rPr>
        <w:t>1</w:t>
      </w:r>
      <w:r>
        <w:rPr>
          <w:rFonts w:ascii="Times New Roman" w:hAnsi="Times New Roman" w:cs="Times New Roman"/>
        </w:rPr>
        <w:t>†</w:t>
      </w:r>
    </w:p>
    <w:bookmarkEnd w:id="0"/>
    <w:p>
      <w:pPr>
        <w:jc w:val="both"/>
        <w:rPr>
          <w:rFonts w:ascii="Times New Roman" w:hAnsi="Times New Roman" w:cs="Times New Roman"/>
        </w:rPr>
      </w:pPr>
      <w:r>
        <w:rPr>
          <w:rFonts w:ascii="Times New Roman" w:hAnsi="Times New Roman" w:cs="Times New Roman"/>
          <w:b/>
          <w:bCs/>
        </w:rPr>
        <w:t xml:space="preserve">Affiliation: </w:t>
      </w:r>
      <w:r>
        <w:rPr>
          <w:rFonts w:ascii="Times New Roman" w:hAnsi="Times New Roman" w:cs="Times New Roman"/>
          <w:vertAlign w:val="superscript"/>
        </w:rPr>
        <w:t>1</w:t>
      </w:r>
      <w:r>
        <w:rPr>
          <w:rFonts w:ascii="Times New Roman" w:hAnsi="Times New Roman" w:cs="Times New Roman"/>
        </w:rPr>
        <w:t xml:space="preserve">MOE Key Laboratory of Resources and EnvironmentalSystems Optimization, College of Environmental Scienceand Engineering, North China Electric Power University. Beijing, 102206, China. </w:t>
      </w:r>
      <w:r>
        <w:rPr>
          <w:rFonts w:ascii="Times New Roman" w:hAnsi="Times New Roman" w:cs="Times New Roman"/>
          <w:vertAlign w:val="superscript"/>
        </w:rPr>
        <w:t>2</w:t>
      </w:r>
      <w:r>
        <w:rPr>
          <w:rFonts w:ascii="Times New Roman" w:hAnsi="Times New Roman" w:cs="Times New Roman"/>
        </w:rPr>
        <w:t>Department of Nuclear Medicine, The First Affiliated Hospital of Sun Yat-sen University, 58# Zhongshan Er Road, Guangzhou, 510080, Guangdong Province, China.</w:t>
      </w:r>
    </w:p>
    <w:p>
      <w:pPr>
        <w:jc w:val="both"/>
        <w:rPr>
          <w:rFonts w:ascii="Times New Roman" w:hAnsi="Times New Roman" w:cs="Times New Roman"/>
        </w:rPr>
      </w:pPr>
      <w:r>
        <w:rPr>
          <w:rFonts w:ascii="Times New Roman" w:hAnsi="Times New Roman" w:cs="Times New Roman"/>
          <w:b/>
          <w:bCs/>
        </w:rPr>
        <w:t>†Address correspondence to:</w:t>
      </w:r>
      <w:r>
        <w:rPr>
          <w:rFonts w:ascii="Times New Roman" w:hAnsi="Times New Roman" w:cs="Times New Roman"/>
        </w:rPr>
        <w:t xml:space="preserve"> Zhihao Zha (zhazhh@mail.sysu.edu.cn) Department of Nuclear Medicine, The First Affiliated Hospital of Sun Yat-Sen University, 58# Zhongshan Er Road, Guangzhou, 510080, Guangdong Province, China. FAX: +86-020-87766335. Jianjun Wang (wangij2016@ncepu.edu.cn). MOE Key Laboratory of Resources and EnvironmentalSystems Optimization, College of Environmental Scienceand Engineering, North China Electric Power University. Beijing, 102206, China.</w:t>
      </w:r>
    </w:p>
    <w:p>
      <w:pPr>
        <w:rPr>
          <w:rFonts w:ascii="Times New Roman" w:hAnsi="Times New Roman" w:cs="Times New Roman"/>
        </w:rPr>
      </w:pPr>
    </w:p>
    <w:p>
      <w:pPr>
        <w:rPr>
          <w:rFonts w:hint="eastAsia" w:ascii="Times New Roman" w:hAnsi="Times New Roman" w:cs="Times New Roman"/>
          <w:b/>
          <w:bCs/>
        </w:rPr>
      </w:pPr>
      <w:r>
        <w:rPr>
          <w:rFonts w:hint="eastAsia" w:ascii="Times New Roman" w:hAnsi="Times New Roman" w:cs="Times New Roman"/>
          <w:b/>
          <w:bCs/>
        </w:rPr>
        <w:t>1.</w:t>
      </w:r>
      <w:r>
        <w:rPr>
          <w:rFonts w:ascii="Times New Roman" w:hAnsi="Times New Roman" w:cs="Times New Roman"/>
          <w:b/>
          <w:bCs/>
        </w:rPr>
        <w:t xml:space="preserve">General procedure for preparation of </w:t>
      </w:r>
      <w:r>
        <w:rPr>
          <w:rFonts w:hint="eastAsia" w:ascii="Times New Roman" w:hAnsi="Times New Roman" w:cs="Times New Roman"/>
          <w:b/>
          <w:bCs/>
        </w:rPr>
        <w:t>BiFAPI</w:t>
      </w:r>
    </w:p>
    <w:p>
      <w:pPr>
        <w:rPr>
          <w:rFonts w:hint="eastAsia" w:ascii="Times New Roman" w:hAnsi="Times New Roman" w:cs="Times New Roman"/>
        </w:rPr>
      </w:pPr>
      <w:r>
        <w:rPr>
          <w:rFonts w:ascii="Times New Roman" w:hAnsi="Times New Roman" w:cs="Times New Roman"/>
        </w:rPr>
        <w:t xml:space="preserve">Compounds </w:t>
      </w:r>
      <w:r>
        <w:rPr>
          <w:rFonts w:ascii="Times New Roman" w:hAnsi="Times New Roman" w:cs="Times New Roman"/>
          <w:b/>
          <w:bCs/>
        </w:rPr>
        <w:t>1</w:t>
      </w:r>
      <w:r>
        <w:rPr>
          <w:rFonts w:ascii="Times New Roman" w:hAnsi="Times New Roman" w:cs="Times New Roman"/>
        </w:rPr>
        <w:t xml:space="preserve"> and </w:t>
      </w:r>
      <w:r>
        <w:rPr>
          <w:rFonts w:ascii="Times New Roman" w:hAnsi="Times New Roman" w:cs="Times New Roman"/>
          <w:b/>
          <w:bCs/>
        </w:rPr>
        <w:t>2</w:t>
      </w:r>
      <w:r>
        <w:rPr>
          <w:rFonts w:ascii="Times New Roman" w:hAnsi="Times New Roman" w:cs="Times New Roman"/>
        </w:rPr>
        <w:t xml:space="preserve"> were synthesized based on previously reported methodologies</w:t>
      </w:r>
      <w:r>
        <w:rPr>
          <w:rFonts w:hint="eastAsia" w:ascii="Times New Roman" w:hAnsi="Times New Roman" w:cs="Times New Roman"/>
        </w:rPr>
        <w:t xml:space="preserve"> </w:t>
      </w:r>
      <w:r>
        <w:rPr>
          <w:rFonts w:hint="eastAsia" w:ascii="Times New Roman" w:hAnsi="Times New Roman" w:cs="Times New Roman"/>
          <w:vertAlign w:val="superscript"/>
        </w:rPr>
        <w:t>[1, 2]</w:t>
      </w:r>
      <w:r>
        <w:rPr>
          <w:rFonts w:ascii="Times New Roman" w:hAnsi="Times New Roman" w:cs="Times New Roman"/>
        </w:rPr>
        <w:t xml:space="preserve">. Upon completion of the synthesis of compound </w:t>
      </w:r>
      <w:r>
        <w:rPr>
          <w:rFonts w:ascii="Times New Roman" w:hAnsi="Times New Roman" w:cs="Times New Roman"/>
          <w:b/>
          <w:bCs/>
        </w:rPr>
        <w:t>1</w:t>
      </w:r>
      <w:r>
        <w:rPr>
          <w:rFonts w:ascii="Times New Roman" w:hAnsi="Times New Roman" w:cs="Times New Roman"/>
        </w:rPr>
        <w:t xml:space="preserve">, the peptide was cleaved from the resin using trifluoroacetic acid (TFA) for a duration exceeding four hours. The resulting filtrate was evaporated to dryness, and cold ether was subsequently added to precipitate the crude peptide, which was then collected via filtration. N-Fmoc-6-aminohexanoic acid was reacted with dicyclohexylcarbodiimide (DCC), hydroxysuccinimide (HOSu), and diisopropylethylamine (DIPEA) in dimethylformamide (DMF), followed by the addition of compound </w:t>
      </w:r>
      <w:r>
        <w:rPr>
          <w:rFonts w:ascii="Times New Roman" w:hAnsi="Times New Roman" w:cs="Times New Roman"/>
          <w:b/>
          <w:bCs/>
        </w:rPr>
        <w:t>1</w:t>
      </w:r>
      <w:r>
        <w:rPr>
          <w:rFonts w:ascii="Times New Roman" w:hAnsi="Times New Roman" w:cs="Times New Roman"/>
        </w:rPr>
        <w:t xml:space="preserve">. The resultant mixture was treated with 20% piperidine in DMF, and the product was purified using semi-preparative high-performance liquid chromatography (HPLC) to yield compound </w:t>
      </w:r>
      <w:r>
        <w:rPr>
          <w:rFonts w:ascii="Times New Roman" w:hAnsi="Times New Roman" w:cs="Times New Roman"/>
          <w:b/>
          <w:bCs/>
        </w:rPr>
        <w:t>3</w:t>
      </w:r>
      <w:r>
        <w:rPr>
          <w:rFonts w:ascii="Times New Roman" w:hAnsi="Times New Roman" w:cs="Times New Roman"/>
        </w:rPr>
        <w:t xml:space="preserve">. Compound </w:t>
      </w:r>
      <w:r>
        <w:rPr>
          <w:rFonts w:ascii="Times New Roman" w:hAnsi="Times New Roman" w:cs="Times New Roman"/>
          <w:b/>
          <w:bCs/>
        </w:rPr>
        <w:t>2</w:t>
      </w:r>
      <w:r>
        <w:rPr>
          <w:rFonts w:ascii="Times New Roman" w:hAnsi="Times New Roman" w:cs="Times New Roman"/>
        </w:rPr>
        <w:t xml:space="preserve"> was reacted with Fmoc-Glu(OT-Bu)-OH in the presence of DCC, 1-hydroxybenzotriazole (HOBt), and N-methylmorpholine (NMM) in DMF. Ethyl acetate (EtOAc) was introduced into the mixture, which was then washed with water and brine. The organic phase was collected, and the solvent was removed under reduced pressure. The residue was treated with TFA, leading to the formation of compound </w:t>
      </w:r>
      <w:r>
        <w:rPr>
          <w:rFonts w:ascii="Times New Roman" w:hAnsi="Times New Roman" w:cs="Times New Roman"/>
          <w:b/>
          <w:bCs/>
        </w:rPr>
        <w:t>4</w:t>
      </w:r>
      <w:r>
        <w:rPr>
          <w:rFonts w:ascii="Times New Roman" w:hAnsi="Times New Roman" w:cs="Times New Roman"/>
        </w:rPr>
        <w:t xml:space="preserve">, which was subsequently purified by semi-preparative HPLC. Compounds </w:t>
      </w:r>
      <w:r>
        <w:rPr>
          <w:rFonts w:ascii="Times New Roman" w:hAnsi="Times New Roman" w:cs="Times New Roman"/>
          <w:b/>
          <w:bCs/>
        </w:rPr>
        <w:t>3</w:t>
      </w:r>
      <w:r>
        <w:rPr>
          <w:rFonts w:ascii="Times New Roman" w:hAnsi="Times New Roman" w:cs="Times New Roman"/>
        </w:rPr>
        <w:t xml:space="preserve"> and </w:t>
      </w:r>
      <w:r>
        <w:rPr>
          <w:rFonts w:ascii="Times New Roman" w:hAnsi="Times New Roman" w:cs="Times New Roman"/>
          <w:b/>
          <w:bCs/>
        </w:rPr>
        <w:t xml:space="preserve">4 </w:t>
      </w:r>
      <w:r>
        <w:rPr>
          <w:rFonts w:ascii="Times New Roman" w:hAnsi="Times New Roman" w:cs="Times New Roman"/>
        </w:rPr>
        <w:t>were condensed in the presence of DCC, HOSu, DIPEA, and DMF, followed by the removal of the Fmoc protecting group through the addition of 20% piperidine in DMF. Compound</w:t>
      </w:r>
      <w:r>
        <w:rPr>
          <w:rFonts w:ascii="Times New Roman" w:hAnsi="Times New Roman" w:cs="Times New Roman"/>
          <w:b/>
          <w:bCs/>
        </w:rPr>
        <w:t xml:space="preserve"> 5</w:t>
      </w:r>
      <w:r>
        <w:rPr>
          <w:rFonts w:ascii="Times New Roman" w:hAnsi="Times New Roman" w:cs="Times New Roman"/>
        </w:rPr>
        <w:t xml:space="preserve"> was purified via semi-preparative HPLC</w:t>
      </w:r>
      <w:r>
        <w:rPr>
          <w:rFonts w:hint="eastAsia" w:ascii="Times New Roman" w:hAnsi="Times New Roman" w:cs="Times New Roman"/>
        </w:rPr>
        <w:t>, and then</w:t>
      </w:r>
      <w:r>
        <w:rPr>
          <w:rFonts w:ascii="Times New Roman" w:hAnsi="Times New Roman" w:cs="Times New Roman"/>
        </w:rPr>
        <w:t xml:space="preserve"> reacted with DOTA-tri(tert-butyl ester) in the presence of DCC, HOSu, DIPEA, and DMF, followed by deprotection with TFA. The final product, BiFAPI, was purified using semi-preparative HPLC. Further characterization of the peptide was conducted using analytical HPLC and online electrospray ionization mass spectrometry (LC-MS, Waters, Milford, MA, USA). The peptides exhibited a purity of over 95% as determined by HPLC</w:t>
      </w:r>
      <w:r>
        <w:rPr>
          <w:rFonts w:hint="eastAsia" w:ascii="Times New Roman" w:hAnsi="Times New Roman" w:cs="Times New Roman"/>
        </w:rPr>
        <w:t xml:space="preserve"> (Fig. S1)</w:t>
      </w:r>
      <w:r>
        <w:rPr>
          <w:rFonts w:ascii="Times New Roman" w:hAnsi="Times New Roman" w:cs="Times New Roman"/>
        </w:rPr>
        <w:t>. High-resolution mass spectrometry (HRMS) analysis</w:t>
      </w:r>
      <w:r>
        <w:rPr>
          <w:rFonts w:hint="eastAsia" w:ascii="Times New Roman" w:hAnsi="Times New Roman" w:cs="Times New Roman"/>
        </w:rPr>
        <w:t xml:space="preserve"> (Fig. S2)</w:t>
      </w:r>
      <w:r>
        <w:rPr>
          <w:rFonts w:ascii="Times New Roman" w:hAnsi="Times New Roman" w:cs="Times New Roman"/>
        </w:rPr>
        <w:t xml:space="preserve"> yielded the following results: calculated for </w:t>
      </w:r>
      <w:r>
        <w:rPr>
          <w:rFonts w:ascii="Times New Roman" w:hAnsi="Times New Roman" w:eastAsia="Times New Roman" w:cs="Times New Roman"/>
          <w:color w:val="auto"/>
          <w:spacing w:val="0"/>
          <w:position w:val="0"/>
          <w:sz w:val="22"/>
          <w:shd w:val="clear" w:fill="auto"/>
        </w:rPr>
        <w:t>C</w:t>
      </w:r>
      <w:r>
        <w:rPr>
          <w:rFonts w:ascii="Times New Roman" w:hAnsi="Times New Roman" w:eastAsia="Times New Roman" w:cs="Times New Roman"/>
          <w:color w:val="auto"/>
          <w:spacing w:val="0"/>
          <w:position w:val="0"/>
          <w:sz w:val="22"/>
          <w:shd w:val="clear" w:fill="auto"/>
          <w:vertAlign w:val="subscript"/>
        </w:rPr>
        <w:t>101</w:t>
      </w:r>
      <w:r>
        <w:rPr>
          <w:rFonts w:ascii="Times New Roman" w:hAnsi="Times New Roman" w:eastAsia="Times New Roman" w:cs="Times New Roman"/>
          <w:color w:val="auto"/>
          <w:spacing w:val="0"/>
          <w:position w:val="0"/>
          <w:sz w:val="22"/>
          <w:shd w:val="clear" w:fill="auto"/>
        </w:rPr>
        <w:t>H</w:t>
      </w:r>
      <w:r>
        <w:rPr>
          <w:rFonts w:ascii="Times New Roman" w:hAnsi="Times New Roman" w:eastAsia="Times New Roman" w:cs="Times New Roman"/>
          <w:color w:val="auto"/>
          <w:spacing w:val="0"/>
          <w:position w:val="0"/>
          <w:sz w:val="22"/>
          <w:shd w:val="clear" w:fill="auto"/>
          <w:vertAlign w:val="subscript"/>
        </w:rPr>
        <w:t>142</w:t>
      </w:r>
      <w:r>
        <w:rPr>
          <w:rFonts w:ascii="Times New Roman" w:hAnsi="Times New Roman" w:eastAsia="Times New Roman" w:cs="Times New Roman"/>
          <w:color w:val="auto"/>
          <w:spacing w:val="0"/>
          <w:position w:val="0"/>
          <w:sz w:val="22"/>
          <w:shd w:val="clear" w:fill="auto"/>
        </w:rPr>
        <w:t>F</w:t>
      </w:r>
      <w:r>
        <w:rPr>
          <w:rFonts w:ascii="Times New Roman" w:hAnsi="Times New Roman" w:eastAsia="Times New Roman" w:cs="Times New Roman"/>
          <w:color w:val="auto"/>
          <w:spacing w:val="0"/>
          <w:position w:val="0"/>
          <w:sz w:val="22"/>
          <w:shd w:val="clear" w:fill="auto"/>
          <w:vertAlign w:val="subscript"/>
        </w:rPr>
        <w:t>2</w:t>
      </w:r>
      <w:r>
        <w:rPr>
          <w:rFonts w:ascii="Times New Roman" w:hAnsi="Times New Roman" w:eastAsia="Times New Roman" w:cs="Times New Roman"/>
          <w:color w:val="auto"/>
          <w:spacing w:val="0"/>
          <w:position w:val="0"/>
          <w:sz w:val="22"/>
          <w:shd w:val="clear" w:fill="auto"/>
        </w:rPr>
        <w:t>N</w:t>
      </w:r>
      <w:r>
        <w:rPr>
          <w:rFonts w:ascii="Times New Roman" w:hAnsi="Times New Roman" w:eastAsia="Times New Roman" w:cs="Times New Roman"/>
          <w:color w:val="auto"/>
          <w:spacing w:val="0"/>
          <w:position w:val="0"/>
          <w:sz w:val="22"/>
          <w:shd w:val="clear" w:fill="auto"/>
          <w:vertAlign w:val="subscript"/>
        </w:rPr>
        <w:t>20</w:t>
      </w:r>
      <w:r>
        <w:rPr>
          <w:rFonts w:ascii="Times New Roman" w:hAnsi="Times New Roman" w:eastAsia="Times New Roman" w:cs="Times New Roman"/>
          <w:color w:val="auto"/>
          <w:spacing w:val="0"/>
          <w:position w:val="0"/>
          <w:sz w:val="22"/>
          <w:shd w:val="clear" w:fill="auto"/>
        </w:rPr>
        <w:t>O</w:t>
      </w:r>
      <w:r>
        <w:rPr>
          <w:rFonts w:ascii="Times New Roman" w:hAnsi="Times New Roman" w:eastAsia="Times New Roman" w:cs="Times New Roman"/>
          <w:color w:val="auto"/>
          <w:spacing w:val="0"/>
          <w:position w:val="0"/>
          <w:sz w:val="22"/>
          <w:shd w:val="clear" w:fill="auto"/>
          <w:vertAlign w:val="subscript"/>
        </w:rPr>
        <w:t>26</w:t>
      </w:r>
      <w:r>
        <w:rPr>
          <w:rFonts w:ascii="Times New Roman" w:hAnsi="Times New Roman" w:eastAsia="Times New Roman" w:cs="Times New Roman"/>
          <w:color w:val="auto"/>
          <w:spacing w:val="0"/>
          <w:position w:val="0"/>
          <w:sz w:val="22"/>
          <w:shd w:val="clear" w:fill="auto"/>
        </w:rPr>
        <w:t>S</w:t>
      </w:r>
      <w:r>
        <w:rPr>
          <w:rFonts w:ascii="Times New Roman" w:hAnsi="Times New Roman" w:eastAsia="Times New Roman" w:cs="Times New Roman"/>
          <w:color w:val="auto"/>
          <w:spacing w:val="0"/>
          <w:position w:val="0"/>
          <w:sz w:val="22"/>
          <w:shd w:val="clear" w:fill="auto"/>
          <w:vertAlign w:val="subscript"/>
        </w:rPr>
        <w:t>3</w:t>
      </w:r>
      <w:r>
        <w:rPr>
          <w:rFonts w:ascii="Times New Roman" w:hAnsi="Times New Roman" w:eastAsia="Times New Roman" w:cs="Times New Roman"/>
          <w:color w:val="auto"/>
          <w:spacing w:val="0"/>
          <w:position w:val="0"/>
          <w:sz w:val="22"/>
          <w:shd w:val="clear" w:fill="auto"/>
        </w:rPr>
        <w:t xml:space="preserve"> (M + 2H)</w:t>
      </w:r>
      <w:r>
        <w:rPr>
          <w:rFonts w:ascii="Times New Roman" w:hAnsi="Times New Roman" w:eastAsia="Times New Roman" w:cs="Times New Roman"/>
          <w:color w:val="auto"/>
          <w:spacing w:val="0"/>
          <w:position w:val="0"/>
          <w:sz w:val="22"/>
          <w:shd w:val="clear" w:fill="auto"/>
          <w:vertAlign w:val="superscript"/>
        </w:rPr>
        <w:t>+2</w:t>
      </w:r>
      <w:r>
        <w:rPr>
          <w:rFonts w:ascii="Times New Roman" w:hAnsi="Times New Roman" w:eastAsia="Times New Roman" w:cs="Times New Roman"/>
          <w:color w:val="auto"/>
          <w:spacing w:val="0"/>
          <w:position w:val="0"/>
          <w:sz w:val="22"/>
          <w:shd w:val="clear" w:fill="auto"/>
        </w:rPr>
        <w:t>/2, 1092.46; found 1092.46.</w:t>
      </w:r>
      <w:bookmarkStart w:id="1" w:name="_GoBack"/>
      <w:bookmarkEnd w:id="1"/>
    </w:p>
    <w:p>
      <w:pPr>
        <w:jc w:val="center"/>
        <w:rPr>
          <w:rFonts w:ascii="Times New Roman" w:hAnsi="Times New Roman" w:cs="Times New Roman"/>
        </w:rPr>
      </w:pPr>
      <w:r>
        <w:rPr>
          <w:rFonts w:ascii="Times New Roman" w:hAnsi="Times New Roman" w:cs="Times New Roman"/>
        </w:rPr>
        <w:object>
          <v:shape id="_x0000_i1025" o:spt="75" type="#_x0000_t75" style="height:387pt;width:415.2pt;" o:ole="t" filled="f" o:preferrelative="t" stroked="f" coordsize="21600,21600">
            <v:path/>
            <v:fill on="f" focussize="0,0"/>
            <v:stroke on="f" joinstyle="miter"/>
            <v:imagedata r:id="rId7" o:title=""/>
            <o:lock v:ext="edit" aspectratio="t"/>
            <w10:wrap type="none"/>
            <w10:anchorlock/>
          </v:shape>
          <o:OLEObject Type="Embed" ProgID="ChemDraw.Document.6.0" ShapeID="_x0000_i1025" DrawAspect="Content" ObjectID="_1468075725" r:id="rId6">
            <o:LockedField>false</o:LockedField>
          </o:OLEObject>
        </w:object>
      </w:r>
    </w:p>
    <w:p>
      <w:pPr>
        <w:jc w:val="center"/>
        <w:rPr>
          <w:rFonts w:hint="eastAsia" w:ascii="Times New Roman" w:hAnsi="Times New Roman" w:cs="Times New Roman"/>
        </w:rPr>
      </w:pPr>
      <w:r>
        <w:rPr>
          <w:rFonts w:hint="eastAsia" w:ascii="Times New Roman" w:hAnsi="Times New Roman" w:cs="Times New Roman"/>
        </w:rPr>
        <w:t>Scheme. S1 Synthesis of BiFAPI</w:t>
      </w:r>
    </w:p>
    <w:p>
      <w:pPr>
        <w:jc w:val="center"/>
        <w:rPr>
          <w:rFonts w:ascii="Times New Roman" w:hAnsi="Times New Roman" w:cs="Times New Roman"/>
        </w:rPr>
      </w:pPr>
    </w:p>
    <w:p>
      <w:pPr>
        <w:numPr>
          <w:ilvl w:val="0"/>
          <w:numId w:val="1"/>
        </w:numPr>
        <w:rPr>
          <w:rFonts w:ascii="Times New Roman" w:hAnsi="Times New Roman" w:cs="Times New Roman"/>
          <w:b/>
          <w:bCs/>
        </w:rPr>
      </w:pPr>
      <w:r>
        <w:rPr>
          <w:rFonts w:ascii="Times New Roman" w:hAnsi="Times New Roman" w:cs="Times New Roman"/>
          <w:b/>
          <w:bCs/>
        </w:rPr>
        <w:t>S</w:t>
      </w:r>
      <w:r>
        <w:rPr>
          <w:rFonts w:hint="eastAsia" w:ascii="Times New Roman" w:hAnsi="Times New Roman" w:cs="Times New Roman"/>
          <w:b/>
          <w:bCs/>
        </w:rPr>
        <w:t>upplemental</w:t>
      </w:r>
      <w:r>
        <w:rPr>
          <w:rFonts w:ascii="Times New Roman" w:hAnsi="Times New Roman" w:cs="Times New Roman"/>
          <w:b/>
          <w:bCs/>
        </w:rPr>
        <w:t xml:space="preserve"> </w:t>
      </w:r>
      <w:r>
        <w:rPr>
          <w:rFonts w:hint="eastAsia" w:ascii="Times New Roman" w:hAnsi="Times New Roman" w:cs="Times New Roman"/>
          <w:b/>
          <w:bCs/>
        </w:rPr>
        <w:t>Figures</w:t>
      </w:r>
    </w:p>
    <w:p>
      <w:pPr>
        <w:pStyle w:val="33"/>
        <w:spacing w:before="0" w:after="0" w:line="360" w:lineRule="auto"/>
        <w:jc w:val="center"/>
        <w:rPr>
          <w:rFonts w:ascii="Times New Roman" w:hAnsi="Times New Roman" w:eastAsiaTheme="minorEastAsia"/>
          <w:b/>
          <w:sz w:val="20"/>
          <w:szCs w:val="20"/>
        </w:rPr>
      </w:pPr>
      <w:r>
        <w:rPr>
          <w:rFonts w:ascii="Times New Roman" w:hAnsi="Times New Roman" w:eastAsiaTheme="minorEastAsia"/>
          <w:b/>
          <w:sz w:val="20"/>
          <w:szCs w:val="20"/>
        </w:rPr>
        <w:drawing>
          <wp:inline distT="0" distB="0" distL="0" distR="0">
            <wp:extent cx="5274310" cy="2730500"/>
            <wp:effectExtent l="0" t="0" r="2540" b="0"/>
            <wp:docPr id="19635321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32164" name="图片 1"/>
                    <pic:cNvPicPr>
                      <a:picLocks noChangeAspect="1"/>
                    </pic:cNvPicPr>
                  </pic:nvPicPr>
                  <pic:blipFill>
                    <a:blip r:embed="rId8"/>
                    <a:stretch>
                      <a:fillRect/>
                    </a:stretch>
                  </pic:blipFill>
                  <pic:spPr>
                    <a:xfrm>
                      <a:off x="0" y="0"/>
                      <a:ext cx="5274310" cy="2730500"/>
                    </a:xfrm>
                    <a:prstGeom prst="rect">
                      <a:avLst/>
                    </a:prstGeom>
                  </pic:spPr>
                </pic:pic>
              </a:graphicData>
            </a:graphic>
          </wp:inline>
        </w:drawing>
      </w:r>
    </w:p>
    <w:p>
      <w:pPr>
        <w:pStyle w:val="33"/>
        <w:spacing w:before="0" w:after="0" w:line="360" w:lineRule="auto"/>
        <w:jc w:val="center"/>
        <w:rPr>
          <w:rFonts w:ascii="Times New Roman" w:hAnsi="Times New Roman" w:eastAsia="宋体"/>
          <w:b/>
          <w:bCs/>
          <w:sz w:val="20"/>
          <w:szCs w:val="20"/>
        </w:rPr>
      </w:pPr>
      <w:r>
        <w:rPr>
          <w:rFonts w:ascii="Times New Roman" w:hAnsi="Times New Roman"/>
          <w:b/>
          <w:sz w:val="20"/>
          <w:szCs w:val="20"/>
        </w:rPr>
        <w:t>Fig</w:t>
      </w:r>
      <w:r>
        <w:rPr>
          <w:rFonts w:hint="eastAsia" w:ascii="Times New Roman" w:hAnsi="Times New Roman" w:eastAsia="宋体"/>
          <w:b/>
          <w:sz w:val="20"/>
          <w:szCs w:val="20"/>
        </w:rPr>
        <w:t>.</w:t>
      </w:r>
      <w:r>
        <w:rPr>
          <w:rFonts w:ascii="Times New Roman" w:hAnsi="Times New Roman" w:eastAsia="宋体"/>
          <w:b/>
          <w:sz w:val="20"/>
          <w:szCs w:val="20"/>
        </w:rPr>
        <w:t xml:space="preserve"> </w:t>
      </w:r>
      <w:r>
        <w:rPr>
          <w:rFonts w:ascii="Times New Roman" w:hAnsi="Times New Roman"/>
          <w:b/>
          <w:sz w:val="20"/>
          <w:szCs w:val="20"/>
        </w:rPr>
        <w:t>S</w:t>
      </w:r>
      <w:r>
        <w:rPr>
          <w:rFonts w:hint="eastAsia" w:ascii="Times New Roman" w:hAnsi="Times New Roman" w:eastAsia="宋体"/>
          <w:b/>
          <w:sz w:val="20"/>
          <w:szCs w:val="20"/>
        </w:rPr>
        <w:t>1</w:t>
      </w:r>
      <w:r>
        <w:rPr>
          <w:rFonts w:ascii="Times New Roman" w:hAnsi="Times New Roman"/>
          <w:sz w:val="20"/>
          <w:szCs w:val="20"/>
        </w:rPr>
        <w:t xml:space="preserve"> </w:t>
      </w:r>
      <w:r>
        <w:rPr>
          <w:rFonts w:ascii="Times New Roman" w:hAnsi="Times New Roman"/>
          <w:bCs/>
          <w:sz w:val="20"/>
          <w:szCs w:val="20"/>
        </w:rPr>
        <w:t xml:space="preserve">HPLC trace of </w:t>
      </w:r>
      <w:r>
        <w:rPr>
          <w:rFonts w:ascii="Times New Roman" w:hAnsi="Times New Roman" w:eastAsia="宋体"/>
          <w:bCs/>
          <w:sz w:val="20"/>
          <w:szCs w:val="20"/>
        </w:rPr>
        <w:t xml:space="preserve">nonradioactive </w:t>
      </w:r>
      <w:r>
        <w:rPr>
          <w:rFonts w:hint="eastAsia" w:ascii="Times New Roman" w:hAnsi="Times New Roman" w:eastAsia="宋体"/>
          <w:bCs/>
          <w:sz w:val="20"/>
          <w:szCs w:val="20"/>
        </w:rPr>
        <w:t>probe</w:t>
      </w:r>
      <w:r>
        <w:rPr>
          <w:rFonts w:ascii="Times New Roman" w:hAnsi="Times New Roman"/>
          <w:bCs/>
          <w:sz w:val="20"/>
          <w:szCs w:val="20"/>
        </w:rPr>
        <w:t xml:space="preserve"> </w:t>
      </w:r>
      <w:r>
        <w:rPr>
          <w:rFonts w:hint="eastAsia" w:ascii="Times New Roman" w:hAnsi="Times New Roman" w:eastAsia="宋体"/>
          <w:bCs/>
          <w:sz w:val="20"/>
          <w:szCs w:val="20"/>
        </w:rPr>
        <w:t>BiFAPI</w:t>
      </w:r>
    </w:p>
    <w:p>
      <w:pPr>
        <w:pStyle w:val="33"/>
        <w:spacing w:before="0" w:after="0" w:line="360" w:lineRule="auto"/>
        <w:jc w:val="center"/>
        <w:rPr>
          <w:rFonts w:hint="eastAsia" w:ascii="Times New Roman" w:hAnsi="Times New Roman"/>
          <w:bCs/>
          <w:sz w:val="20"/>
          <w:szCs w:val="20"/>
        </w:rPr>
      </w:pPr>
    </w:p>
    <w:p>
      <w:pPr>
        <w:jc w:val="center"/>
        <w:rPr>
          <w:rFonts w:ascii="Times New Roman" w:hAnsi="Times New Roman" w:cs="Times New Roman"/>
        </w:rPr>
      </w:pPr>
      <w:r>
        <w:rPr>
          <w:rFonts w:ascii="Times New Roman" w:hAnsi="Times New Roman" w:cs="Times New Roman"/>
        </w:rPr>
        <w:drawing>
          <wp:inline distT="0" distB="0" distL="0" distR="0">
            <wp:extent cx="5274310" cy="3898900"/>
            <wp:effectExtent l="0" t="0" r="2540" b="6350"/>
            <wp:docPr id="9400763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076381" name="图片 1"/>
                    <pic:cNvPicPr>
                      <a:picLocks noChangeAspect="1"/>
                    </pic:cNvPicPr>
                  </pic:nvPicPr>
                  <pic:blipFill>
                    <a:blip r:embed="rId9"/>
                    <a:stretch>
                      <a:fillRect/>
                    </a:stretch>
                  </pic:blipFill>
                  <pic:spPr>
                    <a:xfrm>
                      <a:off x="0" y="0"/>
                      <a:ext cx="5274310" cy="3898900"/>
                    </a:xfrm>
                    <a:prstGeom prst="rect">
                      <a:avLst/>
                    </a:prstGeom>
                  </pic:spPr>
                </pic:pic>
              </a:graphicData>
            </a:graphic>
          </wp:inline>
        </w:drawing>
      </w:r>
    </w:p>
    <w:p>
      <w:pPr>
        <w:jc w:val="center"/>
        <w:rPr>
          <w:rFonts w:hint="eastAsia" w:ascii="Times New Roman" w:hAnsi="Times New Roman" w:cs="Times New Roman"/>
        </w:rPr>
      </w:pPr>
      <w:r>
        <w:rPr>
          <w:rFonts w:ascii="Times New Roman" w:hAnsi="Times New Roman" w:cs="Times New Roman"/>
          <w:b/>
        </w:rPr>
        <w:t>Fig</w:t>
      </w:r>
      <w:r>
        <w:rPr>
          <w:rFonts w:hint="eastAsia" w:ascii="Times New Roman" w:hAnsi="Times New Roman" w:cs="Times New Roman"/>
          <w:b/>
        </w:rPr>
        <w:t>.</w:t>
      </w:r>
      <w:r>
        <w:rPr>
          <w:rFonts w:ascii="Times New Roman" w:hAnsi="Times New Roman" w:cs="Times New Roman"/>
          <w:b/>
        </w:rPr>
        <w:t xml:space="preserve"> S</w:t>
      </w:r>
      <w:r>
        <w:rPr>
          <w:rFonts w:hint="eastAsia" w:ascii="Times New Roman" w:hAnsi="Times New Roman" w:cs="Times New Roman"/>
          <w:b/>
        </w:rPr>
        <w:t>2</w:t>
      </w:r>
      <w:r>
        <w:rPr>
          <w:rFonts w:ascii="Times New Roman" w:hAnsi="Times New Roman" w:cs="Times New Roman"/>
        </w:rPr>
        <w:t xml:space="preserve"> </w:t>
      </w:r>
      <w:r>
        <w:rPr>
          <w:rFonts w:hint="eastAsia" w:ascii="Times New Roman" w:hAnsi="Times New Roman" w:cs="Times New Roman"/>
        </w:rPr>
        <w:t>LC</w:t>
      </w:r>
      <w:r>
        <w:rPr>
          <w:rFonts w:ascii="Times New Roman" w:hAnsi="Times New Roman" w:cs="Times New Roman"/>
          <w:bCs/>
        </w:rPr>
        <w:t xml:space="preserve">-MS of nonradioactive </w:t>
      </w:r>
      <w:r>
        <w:rPr>
          <w:rFonts w:hint="eastAsia" w:ascii="Times New Roman" w:hAnsi="Times New Roman" w:cs="Times New Roman"/>
          <w:bCs/>
        </w:rPr>
        <w:t>probe</w:t>
      </w:r>
      <w:r>
        <w:rPr>
          <w:rFonts w:ascii="Times New Roman" w:hAnsi="Times New Roman" w:cs="Times New Roman"/>
          <w:bCs/>
        </w:rPr>
        <w:t xml:space="preserve"> </w:t>
      </w:r>
      <w:r>
        <w:rPr>
          <w:rFonts w:hint="eastAsia" w:ascii="Times New Roman" w:hAnsi="Times New Roman" w:cs="Times New Roman"/>
          <w:bCs/>
        </w:rPr>
        <w:t>BiFAPI</w:t>
      </w:r>
    </w:p>
    <w:p>
      <w:pPr>
        <w:jc w:val="center"/>
        <w:rPr>
          <w:rFonts w:ascii="Times New Roman" w:hAnsi="Times New Roman" w:cs="Times New Roman"/>
        </w:rPr>
      </w:pPr>
    </w:p>
    <w:p>
      <w:pPr>
        <w:jc w:val="center"/>
        <w:rPr>
          <w:rFonts w:ascii="Times New Roman" w:hAnsi="Times New Roman" w:cs="Times New Roman"/>
        </w:rPr>
      </w:pPr>
      <w:r>
        <w:rPr>
          <w:rFonts w:ascii="Times New Roman" w:hAnsi="Times New Roman" w:cs="Times New Roman"/>
        </w:rPr>
        <w:drawing>
          <wp:inline distT="0" distB="0" distL="0" distR="0">
            <wp:extent cx="5265420" cy="1470660"/>
            <wp:effectExtent l="0" t="0" r="0" b="0"/>
            <wp:docPr id="160100955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009553" name="图片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65420" cy="1470660"/>
                    </a:xfrm>
                    <a:prstGeom prst="rect">
                      <a:avLst/>
                    </a:prstGeom>
                    <a:noFill/>
                    <a:ln>
                      <a:noFill/>
                    </a:ln>
                  </pic:spPr>
                </pic:pic>
              </a:graphicData>
            </a:graphic>
          </wp:inline>
        </w:drawing>
      </w:r>
    </w:p>
    <w:p>
      <w:pPr>
        <w:jc w:val="center"/>
        <w:rPr>
          <w:rFonts w:hint="eastAsia" w:ascii="Times New Roman" w:hAnsi="Times New Roman" w:cs="Times New Roman"/>
        </w:rPr>
      </w:pPr>
      <w:r>
        <w:rPr>
          <w:rFonts w:ascii="Times New Roman" w:hAnsi="Times New Roman" w:cs="Times New Roman"/>
          <w:b/>
          <w:bCs/>
        </w:rPr>
        <w:t>Fig</w:t>
      </w:r>
      <w:r>
        <w:rPr>
          <w:rFonts w:hint="eastAsia" w:ascii="Times New Roman" w:hAnsi="Times New Roman" w:cs="Times New Roman"/>
          <w:b/>
          <w:bCs/>
        </w:rPr>
        <w:t>.</w:t>
      </w:r>
      <w:r>
        <w:rPr>
          <w:rFonts w:ascii="Times New Roman" w:hAnsi="Times New Roman" w:cs="Times New Roman"/>
          <w:b/>
          <w:bCs/>
        </w:rPr>
        <w:t xml:space="preserve"> S</w:t>
      </w:r>
      <w:r>
        <w:rPr>
          <w:rFonts w:hint="eastAsia" w:ascii="Times New Roman" w:hAnsi="Times New Roman" w:cs="Times New Roman"/>
          <w:b/>
          <w:bCs/>
        </w:rPr>
        <w:t>3</w:t>
      </w:r>
      <w:r>
        <w:rPr>
          <w:rFonts w:hint="eastAsia" w:ascii="Times New Roman" w:hAnsi="Times New Roman" w:cs="Times New Roman"/>
        </w:rPr>
        <w:t xml:space="preserve"> </w:t>
      </w:r>
      <w:r>
        <w:rPr>
          <w:rFonts w:ascii="Times New Roman" w:hAnsi="Times New Roman" w:cs="Times New Roman"/>
        </w:rPr>
        <w:t xml:space="preserve">In vitro and in vivo stability of </w:t>
      </w:r>
      <w:r>
        <w:rPr>
          <w:rFonts w:hint="eastAsia" w:ascii="Times New Roman" w:hAnsi="Times New Roman" w:cs="Times New Roman"/>
        </w:rPr>
        <w:t>[</w:t>
      </w:r>
      <w:r>
        <w:rPr>
          <w:rFonts w:hint="eastAsia" w:ascii="Times New Roman" w:hAnsi="Times New Roman" w:cs="Times New Roman"/>
          <w:vertAlign w:val="superscript"/>
        </w:rPr>
        <w:t>68</w:t>
      </w:r>
      <w:r>
        <w:rPr>
          <w:rFonts w:hint="eastAsia" w:ascii="Times New Roman" w:hAnsi="Times New Roman" w:cs="Times New Roman"/>
        </w:rPr>
        <w:t>Ga]Ga-BiFAPI.</w:t>
      </w:r>
    </w:p>
    <w:p>
      <w:pPr>
        <w:jc w:val="center"/>
        <w:rPr>
          <w:rFonts w:hint="eastAsia" w:ascii="Times New Roman" w:hAnsi="Times New Roman" w:cs="Times New Roman"/>
        </w:rPr>
      </w:pPr>
    </w:p>
    <w:p>
      <w:pPr>
        <w:jc w:val="center"/>
        <w:rPr>
          <w:rFonts w:hint="eastAsia" w:ascii="Times New Roman" w:hAnsi="Times New Roman" w:cs="Times New Roman"/>
        </w:rPr>
      </w:pPr>
    </w:p>
    <w:p>
      <w:pPr>
        <w:jc w:val="center"/>
        <w:rPr>
          <w:rFonts w:hint="eastAsia" w:ascii="Times New Roman" w:hAnsi="Times New Roman" w:cs="Times New Roman"/>
        </w:rPr>
      </w:pPr>
      <w:r>
        <w:rPr>
          <w:rFonts w:ascii="Times New Roman" w:hAnsi="Times New Roman" w:cs="Times New Roman"/>
        </w:rPr>
        <w:drawing>
          <wp:inline distT="0" distB="0" distL="0" distR="0">
            <wp:extent cx="3832860" cy="2964180"/>
            <wp:effectExtent l="0" t="0" r="0" b="0"/>
            <wp:docPr id="17451010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0106" name="图片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832860" cy="2964180"/>
                    </a:xfrm>
                    <a:prstGeom prst="rect">
                      <a:avLst/>
                    </a:prstGeom>
                    <a:noFill/>
                    <a:ln>
                      <a:noFill/>
                    </a:ln>
                  </pic:spPr>
                </pic:pic>
              </a:graphicData>
            </a:graphic>
          </wp:inline>
        </w:drawing>
      </w:r>
    </w:p>
    <w:p>
      <w:pPr>
        <w:jc w:val="center"/>
        <w:rPr>
          <w:rFonts w:hint="eastAsia" w:ascii="Times New Roman" w:hAnsi="Times New Roman" w:cs="Times New Roman"/>
        </w:rPr>
      </w:pPr>
      <w:r>
        <w:rPr>
          <w:rFonts w:ascii="Times New Roman" w:hAnsi="Times New Roman" w:cs="Times New Roman"/>
          <w:b/>
          <w:bCs/>
        </w:rPr>
        <w:t>Fig. S</w:t>
      </w:r>
      <w:r>
        <w:rPr>
          <w:rFonts w:hint="eastAsia" w:ascii="Times New Roman" w:hAnsi="Times New Roman" w:cs="Times New Roman"/>
          <w:b/>
          <w:bCs/>
        </w:rPr>
        <w:t>4</w:t>
      </w:r>
      <w:r>
        <w:rPr>
          <w:rFonts w:hint="eastAsia" w:ascii="Times New Roman" w:hAnsi="Times New Roman" w:cs="Times New Roman"/>
        </w:rPr>
        <w:t xml:space="preserve"> </w:t>
      </w:r>
      <w:r>
        <w:rPr>
          <w:rFonts w:ascii="Times New Roman" w:hAnsi="Times New Roman" w:cs="Times New Roman"/>
        </w:rPr>
        <w:t xml:space="preserve">Time-activity curves of </w:t>
      </w:r>
      <w:r>
        <w:rPr>
          <w:rFonts w:hint="eastAsia" w:ascii="Times New Roman" w:hAnsi="Times New Roman" w:cs="Times New Roman"/>
        </w:rPr>
        <w:t xml:space="preserve">the </w:t>
      </w:r>
      <w:r>
        <w:rPr>
          <w:rFonts w:ascii="Times New Roman" w:hAnsi="Times New Roman" w:cs="Times New Roman"/>
        </w:rPr>
        <w:t>tumor</w:t>
      </w:r>
      <w:r>
        <w:rPr>
          <w:rFonts w:hint="eastAsia" w:ascii="Times New Roman" w:hAnsi="Times New Roman" w:cs="Times New Roman"/>
        </w:rPr>
        <w:t>-to-background ratio</w:t>
      </w:r>
      <w:r>
        <w:rPr>
          <w:rFonts w:ascii="Times New Roman" w:hAnsi="Times New Roman" w:cs="Times New Roman"/>
        </w:rPr>
        <w:t xml:space="preserve"> from dynamic imaging in </w:t>
      </w:r>
      <w:r>
        <w:rPr>
          <w:rFonts w:hint="eastAsia" w:ascii="Times New Roman" w:hAnsi="Times New Roman" w:cs="Times New Roman"/>
        </w:rPr>
        <w:t>FTC-133</w:t>
      </w:r>
      <w:r>
        <w:rPr>
          <w:rFonts w:ascii="Times New Roman" w:hAnsi="Times New Roman" w:cs="Times New Roman"/>
        </w:rPr>
        <w:t xml:space="preserve"> tumor-bearing mice</w:t>
      </w:r>
    </w:p>
    <w:p>
      <w:pPr>
        <w:rPr>
          <w:rFonts w:hint="eastAsia" w:ascii="Times New Roman" w:hAnsi="Times New Roman" w:cs="Times New Roman"/>
        </w:rPr>
      </w:pPr>
    </w:p>
    <w:p>
      <w:pPr>
        <w:jc w:val="center"/>
        <w:rPr>
          <w:rFonts w:hint="eastAsia" w:ascii="Times New Roman" w:hAnsi="Times New Roman" w:cs="Times New Roman"/>
        </w:rPr>
      </w:pPr>
      <w:r>
        <w:rPr>
          <w:rFonts w:ascii="Times New Roman" w:hAnsi="Times New Roman" w:cs="Times New Roman"/>
        </w:rPr>
        <w:drawing>
          <wp:inline distT="0" distB="0" distL="0" distR="0">
            <wp:extent cx="3451860" cy="3086100"/>
            <wp:effectExtent l="0" t="0" r="0" b="0"/>
            <wp:docPr id="78077268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772684" name="图片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451860" cy="3086100"/>
                    </a:xfrm>
                    <a:prstGeom prst="rect">
                      <a:avLst/>
                    </a:prstGeom>
                    <a:noFill/>
                    <a:ln>
                      <a:noFill/>
                    </a:ln>
                  </pic:spPr>
                </pic:pic>
              </a:graphicData>
            </a:graphic>
          </wp:inline>
        </w:drawing>
      </w:r>
    </w:p>
    <w:p>
      <w:pPr>
        <w:jc w:val="center"/>
        <w:rPr>
          <w:rFonts w:hint="eastAsia" w:ascii="Times New Roman" w:hAnsi="Times New Roman" w:cs="Times New Roman"/>
        </w:rPr>
      </w:pPr>
      <w:r>
        <w:rPr>
          <w:rFonts w:ascii="Times New Roman" w:hAnsi="Times New Roman" w:cs="Times New Roman"/>
          <w:b/>
          <w:bCs/>
        </w:rPr>
        <w:t>Fig. S</w:t>
      </w:r>
      <w:r>
        <w:rPr>
          <w:rFonts w:hint="eastAsia" w:ascii="Times New Roman" w:hAnsi="Times New Roman" w:cs="Times New Roman"/>
          <w:b/>
          <w:bCs/>
        </w:rPr>
        <w:t>5</w:t>
      </w:r>
      <w:r>
        <w:rPr>
          <w:rFonts w:hint="eastAsia" w:ascii="Times New Roman" w:hAnsi="Times New Roman" w:cs="Times New Roman"/>
        </w:rPr>
        <w:t xml:space="preserve"> T</w:t>
      </w:r>
      <w:r>
        <w:rPr>
          <w:rFonts w:ascii="Times New Roman" w:hAnsi="Times New Roman" w:cs="Times New Roman"/>
        </w:rPr>
        <w:t>umor</w:t>
      </w:r>
      <w:r>
        <w:rPr>
          <w:rFonts w:hint="eastAsia" w:ascii="Times New Roman" w:hAnsi="Times New Roman" w:cs="Times New Roman"/>
        </w:rPr>
        <w:t>-to-background</w:t>
      </w:r>
      <w:r>
        <w:rPr>
          <w:rFonts w:ascii="Times New Roman" w:hAnsi="Times New Roman" w:cs="Times New Roman"/>
        </w:rPr>
        <w:t xml:space="preserve"> ratio of at </w:t>
      </w:r>
      <w:r>
        <w:rPr>
          <w:rFonts w:hint="eastAsia" w:ascii="Times New Roman" w:hAnsi="Times New Roman" w:cs="Times New Roman"/>
        </w:rPr>
        <w:t>10 min</w:t>
      </w:r>
      <w:r>
        <w:rPr>
          <w:rFonts w:ascii="Times New Roman" w:hAnsi="Times New Roman" w:cs="Times New Roman"/>
        </w:rPr>
        <w:t xml:space="preserve">, </w:t>
      </w:r>
      <w:r>
        <w:rPr>
          <w:rFonts w:hint="eastAsia" w:ascii="Times New Roman" w:hAnsi="Times New Roman" w:cs="Times New Roman"/>
        </w:rPr>
        <w:t>30 min</w:t>
      </w:r>
      <w:r>
        <w:rPr>
          <w:rFonts w:ascii="Times New Roman" w:hAnsi="Times New Roman" w:cs="Times New Roman"/>
        </w:rPr>
        <w:t xml:space="preserve">, </w:t>
      </w:r>
      <w:r>
        <w:rPr>
          <w:rFonts w:hint="eastAsia" w:ascii="Times New Roman" w:hAnsi="Times New Roman" w:cs="Times New Roman"/>
        </w:rPr>
        <w:t>60 min</w:t>
      </w:r>
      <w:r>
        <w:rPr>
          <w:rFonts w:ascii="Times New Roman" w:hAnsi="Times New Roman" w:cs="Times New Roman"/>
        </w:rPr>
        <w:t xml:space="preserve">, </w:t>
      </w:r>
      <w:r>
        <w:rPr>
          <w:rFonts w:hint="eastAsia" w:ascii="Times New Roman" w:hAnsi="Times New Roman" w:cs="Times New Roman"/>
        </w:rPr>
        <w:t>120 min</w:t>
      </w:r>
      <w:r>
        <w:rPr>
          <w:rFonts w:ascii="Times New Roman" w:hAnsi="Times New Roman" w:cs="Times New Roman"/>
        </w:rPr>
        <w:t xml:space="preserve"> pi in biodistribution study</w:t>
      </w:r>
    </w:p>
    <w:p>
      <w:pPr>
        <w:jc w:val="center"/>
        <w:rPr>
          <w:rFonts w:hint="eastAsia" w:ascii="Times New Roman" w:hAnsi="Times New Roman" w:cs="Times New Roman"/>
        </w:rPr>
      </w:pPr>
    </w:p>
    <w:p>
      <w:pPr>
        <w:jc w:val="center"/>
        <w:rPr>
          <w:rFonts w:hint="eastAsia" w:ascii="Times New Roman" w:hAnsi="Times New Roman" w:cs="Times New Roman"/>
        </w:rPr>
      </w:pPr>
      <w:r>
        <w:rPr>
          <w:rFonts w:hint="eastAsia" w:ascii="Times New Roman" w:hAnsi="Times New Roman" w:cs="Times New Roman"/>
        </w:rPr>
        <w:drawing>
          <wp:inline distT="0" distB="0" distL="0" distR="0">
            <wp:extent cx="4663440" cy="1653540"/>
            <wp:effectExtent l="0" t="0" r="3810" b="3810"/>
            <wp:docPr id="3928627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62766" name="图片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663440" cy="1653540"/>
                    </a:xfrm>
                    <a:prstGeom prst="rect">
                      <a:avLst/>
                    </a:prstGeom>
                    <a:noFill/>
                    <a:ln>
                      <a:noFill/>
                    </a:ln>
                  </pic:spPr>
                </pic:pic>
              </a:graphicData>
            </a:graphic>
          </wp:inline>
        </w:drawing>
      </w:r>
    </w:p>
    <w:p>
      <w:pPr>
        <w:jc w:val="center"/>
        <w:rPr>
          <w:rFonts w:hint="eastAsia" w:ascii="Times New Roman" w:hAnsi="Times New Roman" w:cs="Times New Roman"/>
        </w:rPr>
      </w:pPr>
      <w:r>
        <w:rPr>
          <w:rFonts w:ascii="Times New Roman" w:hAnsi="Times New Roman" w:cs="Times New Roman"/>
          <w:b/>
          <w:bCs/>
        </w:rPr>
        <w:t>Fig. S</w:t>
      </w:r>
      <w:r>
        <w:rPr>
          <w:rFonts w:hint="eastAsia" w:ascii="Times New Roman" w:hAnsi="Times New Roman" w:cs="Times New Roman"/>
          <w:b/>
          <w:bCs/>
        </w:rPr>
        <w:t>6</w:t>
      </w:r>
      <w:r>
        <w:rPr>
          <w:rFonts w:hint="eastAsia" w:ascii="Times New Roman" w:hAnsi="Times New Roman" w:cs="Times New Roman"/>
        </w:rPr>
        <w:t xml:space="preserve"> </w:t>
      </w:r>
      <w:r>
        <w:rPr>
          <w:rFonts w:ascii="Times New Roman" w:hAnsi="Times New Roman" w:cs="Times New Roman"/>
        </w:rPr>
        <w:t xml:space="preserve">IHC staining of FAP expression in </w:t>
      </w:r>
      <w:r>
        <w:rPr>
          <w:rFonts w:hint="eastAsia" w:ascii="Times New Roman" w:hAnsi="Times New Roman" w:cs="Times New Roman"/>
        </w:rPr>
        <w:t>FTC-133 (</w:t>
      </w:r>
      <w:r>
        <w:rPr>
          <w:rFonts w:hint="eastAsia" w:ascii="Times New Roman" w:hAnsi="Times New Roman" w:cs="Times New Roman"/>
          <w:b/>
          <w:bCs/>
        </w:rPr>
        <w:t>a</w:t>
      </w:r>
      <w:r>
        <w:rPr>
          <w:rFonts w:hint="eastAsia" w:ascii="Times New Roman" w:hAnsi="Times New Roman" w:cs="Times New Roman"/>
        </w:rPr>
        <w:t xml:space="preserve">) and HT1080 </w:t>
      </w:r>
      <w:r>
        <w:rPr>
          <w:rFonts w:ascii="Times New Roman" w:hAnsi="Times New Roman" w:cs="Times New Roman"/>
        </w:rPr>
        <w:t>xenograft</w:t>
      </w:r>
      <w:r>
        <w:rPr>
          <w:rFonts w:hint="eastAsia" w:ascii="Times New Roman" w:hAnsi="Times New Roman" w:cs="Times New Roman"/>
        </w:rPr>
        <w:t xml:space="preserve"> (</w:t>
      </w:r>
      <w:r>
        <w:rPr>
          <w:rFonts w:hint="eastAsia" w:ascii="Times New Roman" w:hAnsi="Times New Roman" w:cs="Times New Roman"/>
          <w:b/>
          <w:bCs/>
        </w:rPr>
        <w:t>b</w:t>
      </w:r>
      <w:r>
        <w:rPr>
          <w:rFonts w:hint="eastAsia" w:ascii="Times New Roman" w:hAnsi="Times New Roman" w:cs="Times New Roman"/>
        </w:rPr>
        <w:t>)</w:t>
      </w:r>
    </w:p>
    <w:p>
      <w:pPr>
        <w:jc w:val="center"/>
        <w:rPr>
          <w:rFonts w:ascii="Times New Roman" w:hAnsi="Times New Roman" w:cs="Times New Roman"/>
          <w:b/>
          <w:bCs/>
        </w:rPr>
      </w:pPr>
    </w:p>
    <w:p>
      <w:pPr>
        <w:rPr>
          <w:rFonts w:ascii="Times New Roman" w:hAnsi="Times New Roman" w:cs="Times New Roman"/>
          <w:b/>
          <w:bCs/>
        </w:rPr>
      </w:pPr>
      <w:r>
        <w:rPr>
          <w:rFonts w:hint="eastAsia" w:ascii="Times New Roman" w:hAnsi="Times New Roman" w:cs="Times New Roman"/>
          <w:b/>
          <w:bCs/>
        </w:rPr>
        <w:t xml:space="preserve">References </w:t>
      </w:r>
    </w:p>
    <w:p>
      <w:pPr>
        <w:rPr>
          <w:rFonts w:ascii="Times New Roman" w:hAnsi="Times New Roman" w:cs="Times New Roman"/>
        </w:rPr>
      </w:pPr>
      <w:r>
        <w:rPr>
          <w:rFonts w:hint="eastAsia" w:ascii="Times New Roman" w:hAnsi="Times New Roman" w:cs="Times New Roman"/>
        </w:rPr>
        <w:t xml:space="preserve">[1] Lindner T, Loktev A, Altmann A, Giesel F, Kratochwil C, Debus J, Jäger D, Mier W, Haberkorn U. Development of Quinoline-Based Theranostic Ligands for the Targeting of Fibroblast Activation Protein. </w:t>
      </w:r>
      <w:r>
        <w:rPr>
          <w:rFonts w:hint="eastAsia" w:ascii="Times New Roman" w:hAnsi="Times New Roman" w:cs="Times New Roman"/>
          <w:i/>
          <w:iCs/>
        </w:rPr>
        <w:t>J Nucl Med.</w:t>
      </w:r>
      <w:r>
        <w:rPr>
          <w:rFonts w:hint="eastAsia" w:ascii="Times New Roman" w:hAnsi="Times New Roman" w:cs="Times New Roman"/>
        </w:rPr>
        <w:t xml:space="preserve"> 2018;59(9):1415-1422.</w:t>
      </w:r>
    </w:p>
    <w:p>
      <w:pPr>
        <w:rPr>
          <w:rFonts w:ascii="Times New Roman" w:hAnsi="Times New Roman" w:cs="Times New Roman"/>
        </w:rPr>
      </w:pPr>
      <w:r>
        <w:rPr>
          <w:rFonts w:hint="eastAsia" w:ascii="Times New Roman" w:hAnsi="Times New Roman" w:cs="Times New Roman"/>
        </w:rPr>
        <w:t xml:space="preserve">[2] </w:t>
      </w:r>
      <w:r>
        <w:rPr>
          <w:rFonts w:ascii="Times New Roman" w:hAnsi="Times New Roman" w:cs="Times New Roman"/>
        </w:rPr>
        <w:t xml:space="preserve">Zboralski D, Hoehne A, Bredenbeck A, Schumann A, Nguyen M, Schneider E, et al. Preclinical evaluation of FAP-2286 for fibroblast activation protein targeted radionuclide imaging and therapy. </w:t>
      </w:r>
      <w:r>
        <w:rPr>
          <w:rFonts w:ascii="Times New Roman" w:hAnsi="Times New Roman" w:cs="Times New Roman"/>
          <w:i/>
          <w:iCs/>
        </w:rPr>
        <w:t>Eur J Nucl Med Mol Imaging.</w:t>
      </w:r>
      <w:r>
        <w:rPr>
          <w:rFonts w:ascii="Times New Roman" w:hAnsi="Times New Roman" w:cs="Times New Roman"/>
        </w:rPr>
        <w:t xml:space="preserve"> 2022;49(11):3651-3667.</w:t>
      </w:r>
    </w:p>
    <w:p>
      <w:pPr>
        <w:rPr>
          <w:rFonts w:hint="eastAsia"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0B6570"/>
    <w:multiLevelType w:val="multilevel"/>
    <w:tmpl w:val="330B6570"/>
    <w:lvl w:ilvl="0" w:tentative="0">
      <w:start w:val="2"/>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yMjdhNjE1OTBkZmZjMDkyOThhNTRiNmE0MGVjMGQifQ=="/>
  </w:docVars>
  <w:rsids>
    <w:rsidRoot w:val="009705DC"/>
    <w:rsid w:val="000415E0"/>
    <w:rsid w:val="00055CA8"/>
    <w:rsid w:val="001065EC"/>
    <w:rsid w:val="001C10D7"/>
    <w:rsid w:val="002253D1"/>
    <w:rsid w:val="00261CD1"/>
    <w:rsid w:val="003A59CC"/>
    <w:rsid w:val="003C4BE2"/>
    <w:rsid w:val="003C6AAC"/>
    <w:rsid w:val="003D0559"/>
    <w:rsid w:val="0045384C"/>
    <w:rsid w:val="005A72F5"/>
    <w:rsid w:val="007720AF"/>
    <w:rsid w:val="007D2771"/>
    <w:rsid w:val="007F4E08"/>
    <w:rsid w:val="007F7513"/>
    <w:rsid w:val="009705DC"/>
    <w:rsid w:val="009B4804"/>
    <w:rsid w:val="009F331E"/>
    <w:rsid w:val="00A27417"/>
    <w:rsid w:val="00A413C5"/>
    <w:rsid w:val="00B52CDB"/>
    <w:rsid w:val="00BD52C9"/>
    <w:rsid w:val="00C12619"/>
    <w:rsid w:val="00C82E60"/>
    <w:rsid w:val="00CC2029"/>
    <w:rsid w:val="00D03533"/>
    <w:rsid w:val="00E32F46"/>
    <w:rsid w:val="00E81842"/>
    <w:rsid w:val="00EC21E6"/>
    <w:rsid w:val="00ED1A5A"/>
    <w:rsid w:val="00ED5838"/>
    <w:rsid w:val="1CCD3D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6"/>
    <w:autoRedefine/>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8"/>
    <w:autoRedefine/>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19"/>
    <w:autoRedefine/>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0"/>
    <w:autoRedefine/>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1"/>
    <w:autoRedefine/>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autoRedefine/>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autoRedefine/>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autoRedefine/>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5"/>
    <w:autoRedefine/>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autoRedefine/>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uiPriority w:val="9"/>
    <w:rPr>
      <w:rFonts w:asciiTheme="majorHAnsi" w:hAnsiTheme="majorHAnsi" w:eastAsiaTheme="majorEastAsia" w:cstheme="majorBidi"/>
      <w:color w:val="2F5597" w:themeColor="accent1" w:themeShade="BF"/>
      <w:sz w:val="48"/>
      <w:szCs w:val="48"/>
    </w:rPr>
  </w:style>
  <w:style w:type="character" w:customStyle="1" w:styleId="16">
    <w:name w:val="标题 2 字符"/>
    <w:basedOn w:val="14"/>
    <w:link w:val="3"/>
    <w:autoRedefine/>
    <w:semiHidden/>
    <w:qFormat/>
    <w:uiPriority w:val="9"/>
    <w:rPr>
      <w:rFonts w:asciiTheme="majorHAnsi" w:hAnsiTheme="majorHAnsi" w:eastAsiaTheme="majorEastAsia" w:cstheme="majorBidi"/>
      <w:color w:val="2F5597" w:themeColor="accent1" w:themeShade="BF"/>
      <w:sz w:val="40"/>
      <w:szCs w:val="40"/>
    </w:rPr>
  </w:style>
  <w:style w:type="character" w:customStyle="1" w:styleId="17">
    <w:name w:val="标题 3 字符"/>
    <w:basedOn w:val="14"/>
    <w:link w:val="4"/>
    <w:semiHidden/>
    <w:uiPriority w:val="9"/>
    <w:rPr>
      <w:rFonts w:asciiTheme="majorHAnsi" w:hAnsiTheme="majorHAnsi" w:eastAsiaTheme="majorEastAsia" w:cstheme="majorBidi"/>
      <w:color w:val="2F5597" w:themeColor="accent1" w:themeShade="BF"/>
      <w:sz w:val="32"/>
      <w:szCs w:val="32"/>
    </w:rPr>
  </w:style>
  <w:style w:type="character" w:customStyle="1" w:styleId="18">
    <w:name w:val="标题 4 字符"/>
    <w:basedOn w:val="14"/>
    <w:link w:val="5"/>
    <w:semiHidden/>
    <w:uiPriority w:val="9"/>
    <w:rPr>
      <w:rFonts w:cstheme="majorBidi"/>
      <w:color w:val="2F5597" w:themeColor="accent1" w:themeShade="BF"/>
      <w:sz w:val="28"/>
      <w:szCs w:val="28"/>
    </w:rPr>
  </w:style>
  <w:style w:type="character" w:customStyle="1" w:styleId="19">
    <w:name w:val="标题 5 字符"/>
    <w:basedOn w:val="14"/>
    <w:link w:val="6"/>
    <w:autoRedefine/>
    <w:semiHidden/>
    <w:qFormat/>
    <w:uiPriority w:val="9"/>
    <w:rPr>
      <w:rFonts w:cstheme="majorBidi"/>
      <w:color w:val="2F5597" w:themeColor="accent1" w:themeShade="BF"/>
      <w:sz w:val="24"/>
    </w:rPr>
  </w:style>
  <w:style w:type="character" w:customStyle="1" w:styleId="20">
    <w:name w:val="标题 6 字符"/>
    <w:basedOn w:val="14"/>
    <w:link w:val="7"/>
    <w:autoRedefine/>
    <w:semiHidden/>
    <w:qFormat/>
    <w:uiPriority w:val="9"/>
    <w:rPr>
      <w:rFonts w:cstheme="majorBidi"/>
      <w:b/>
      <w:bCs/>
      <w:color w:val="2F5597" w:themeColor="accent1" w:themeShade="BF"/>
    </w:rPr>
  </w:style>
  <w:style w:type="character" w:customStyle="1" w:styleId="21">
    <w:name w:val="标题 7 字符"/>
    <w:basedOn w:val="14"/>
    <w:link w:val="8"/>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autoRedefine/>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autoRedefine/>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autoRedefine/>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autoRedefine/>
    <w:qFormat/>
    <w:uiPriority w:val="34"/>
    <w:pPr>
      <w:ind w:left="720"/>
      <w:contextualSpacing/>
    </w:pPr>
  </w:style>
  <w:style w:type="character" w:customStyle="1" w:styleId="29">
    <w:name w:val="Intense Emphasis"/>
    <w:basedOn w:val="14"/>
    <w:autoRedefine/>
    <w:qFormat/>
    <w:uiPriority w:val="21"/>
    <w:rPr>
      <w:i/>
      <w:iCs/>
      <w:color w:val="2F5597" w:themeColor="accent1" w:themeShade="BF"/>
    </w:rPr>
  </w:style>
  <w:style w:type="paragraph" w:styleId="30">
    <w:name w:val="Intense Quote"/>
    <w:basedOn w:val="1"/>
    <w:next w:val="1"/>
    <w:link w:val="31"/>
    <w:autoRedefine/>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明显引用 字符"/>
    <w:basedOn w:val="14"/>
    <w:link w:val="30"/>
    <w:autoRedefine/>
    <w:qFormat/>
    <w:uiPriority w:val="30"/>
    <w:rPr>
      <w:i/>
      <w:iCs/>
      <w:color w:val="2F5597" w:themeColor="accent1" w:themeShade="BF"/>
    </w:rPr>
  </w:style>
  <w:style w:type="character" w:customStyle="1" w:styleId="32">
    <w:name w:val="Intense Reference"/>
    <w:basedOn w:val="14"/>
    <w:autoRedefine/>
    <w:qFormat/>
    <w:uiPriority w:val="32"/>
    <w:rPr>
      <w:b/>
      <w:bCs/>
      <w:smallCaps/>
      <w:color w:val="2F5597" w:themeColor="accent1" w:themeShade="BF"/>
      <w:spacing w:val="5"/>
    </w:rPr>
  </w:style>
  <w:style w:type="paragraph" w:customStyle="1" w:styleId="33">
    <w:name w:val="SchemeCaption"/>
    <w:basedOn w:val="1"/>
    <w:autoRedefine/>
    <w:qFormat/>
    <w:uiPriority w:val="0"/>
    <w:pPr>
      <w:widowControl/>
      <w:spacing w:before="230" w:after="460" w:line="180" w:lineRule="exact"/>
      <w:jc w:val="both"/>
    </w:pPr>
    <w:rPr>
      <w:rFonts w:ascii="Arial" w:hAnsi="Arial" w:eastAsia="MS Mincho" w:cs="Times New Roman"/>
      <w:kern w:val="0"/>
      <w:sz w:val="14"/>
      <w:szCs w:val="14"/>
      <w14:ligatures w14: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639</Words>
  <Characters>3646</Characters>
  <Lines>30</Lines>
  <Paragraphs>8</Paragraphs>
  <TotalTime>0</TotalTime>
  <ScaleCrop>false</ScaleCrop>
  <LinksUpToDate>false</LinksUpToDate>
  <CharactersWithSpaces>4277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2025-01-28T00:22:00Z</dcterms:created>
  <dc:creator>zha zhihao</dc:creator>
  <cp:lastModifiedBy>Josh</cp:lastModifiedBy>
  <dcterms:modified xsi:type="dcterms:W3CDTF">2025-02-05T05:10:15Z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5C7B2281A7D2484D8D5F0A17E83AFA37_12</vt:lpwstr>
  </property>
</Properties>
</file>