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4BB" w:rsidRPr="00C52C85" w:rsidRDefault="00A804BB" w:rsidP="00A804BB">
      <w:pPr>
        <w:jc w:val="center"/>
        <w:rPr>
          <w:rFonts w:ascii="Times New Roman" w:hAnsi="Times New Roman" w:cs="Times New Roman"/>
        </w:rPr>
      </w:pPr>
      <w:r w:rsidRPr="00C52C85">
        <w:rPr>
          <w:rFonts w:ascii="Times New Roman" w:hAnsi="Times New Roman" w:cs="Times New Roman"/>
        </w:rPr>
        <w:t>Supplemental Information</w:t>
      </w:r>
      <w:bookmarkStart w:id="0" w:name="_GoBack"/>
      <w:bookmarkEnd w:id="0"/>
    </w:p>
    <w:p w:rsidR="00A804BB" w:rsidRDefault="00A804BB" w:rsidP="00A804B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Pharmacokinetic Parameters</w:t>
      </w:r>
    </w:p>
    <w:p w:rsidR="00A804BB" w:rsidRDefault="00A804BB" w:rsidP="00A804BB">
      <w:pPr>
        <w:pStyle w:val="Caption"/>
      </w:pPr>
      <w:r w:rsidRPr="00C52C85">
        <w:t xml:space="preserve">Supplementary Table </w:t>
      </w:r>
      <w:r>
        <w:t>1</w:t>
      </w:r>
      <w:r w:rsidRPr="00C52C85">
        <w:t xml:space="preserve">. </w:t>
      </w:r>
      <w:r w:rsidRPr="00643E2B">
        <w:t xml:space="preserve">Derivation of </w:t>
      </w:r>
      <w:r>
        <w:t>P</w:t>
      </w:r>
      <w:r w:rsidRPr="00643E2B">
        <w:t xml:space="preserve">harmacokinetic </w:t>
      </w:r>
      <w:r>
        <w:t>P</w:t>
      </w:r>
      <w:r w:rsidRPr="00643E2B">
        <w:t>arameters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3361"/>
        <w:gridCol w:w="4690"/>
      </w:tblGrid>
      <w:tr w:rsidR="00A804BB" w:rsidRPr="00E02EBA" w:rsidTr="00214172">
        <w:trPr>
          <w:tblHeader/>
        </w:trPr>
        <w:tc>
          <w:tcPr>
            <w:tcW w:w="655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02EBA">
              <w:rPr>
                <w:rFonts w:ascii="Times New Roman" w:hAnsi="Times New Roman" w:cs="Times New Roman"/>
                <w:b/>
                <w:bCs/>
                <w:szCs w:val="21"/>
              </w:rPr>
              <w:t>Parameter</w:t>
            </w:r>
          </w:p>
        </w:tc>
        <w:tc>
          <w:tcPr>
            <w:tcW w:w="1818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02EBA">
              <w:rPr>
                <w:rFonts w:ascii="Times New Roman" w:hAnsi="Times New Roman" w:cs="Times New Roman"/>
                <w:b/>
                <w:bCs/>
                <w:szCs w:val="21"/>
              </w:rPr>
              <w:t>Definition</w:t>
            </w:r>
          </w:p>
        </w:tc>
        <w:tc>
          <w:tcPr>
            <w:tcW w:w="2527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02EBA">
              <w:rPr>
                <w:rFonts w:ascii="Times New Roman" w:hAnsi="Times New Roman" w:cs="Times New Roman"/>
                <w:b/>
                <w:bCs/>
                <w:szCs w:val="21"/>
              </w:rPr>
              <w:t>Method of Determination</w:t>
            </w:r>
          </w:p>
        </w:tc>
      </w:tr>
      <w:tr w:rsidR="00A804BB" w:rsidRPr="00E02EBA" w:rsidTr="00214172">
        <w:tc>
          <w:tcPr>
            <w:tcW w:w="655" w:type="pct"/>
            <w:tcBorders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AUC</w:t>
            </w:r>
            <w:r w:rsidRPr="00E02EBA">
              <w:rPr>
                <w:rFonts w:ascii="Times New Roman" w:hAnsi="Times New Roman" w:cs="Times New Roman"/>
                <w:szCs w:val="21"/>
                <w:vertAlign w:val="subscript"/>
              </w:rPr>
              <w:t>0-t</w:t>
            </w:r>
          </w:p>
        </w:tc>
        <w:tc>
          <w:tcPr>
            <w:tcW w:w="1818" w:type="pct"/>
            <w:tcBorders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Area under the concentration-time curve from 0 to t hours</w:t>
            </w:r>
          </w:p>
        </w:tc>
        <w:tc>
          <w:tcPr>
            <w:tcW w:w="2527" w:type="pct"/>
            <w:tcBorders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  <w:vertAlign w:val="subscript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Linear up to t</w:t>
            </w:r>
            <w:r w:rsidRPr="00E02EBA">
              <w:rPr>
                <w:rFonts w:ascii="Times New Roman" w:hAnsi="Times New Roman" w:cs="Times New Roman"/>
                <w:szCs w:val="21"/>
                <w:vertAlign w:val="subscript"/>
              </w:rPr>
              <w:t>max</w:t>
            </w:r>
            <w:r w:rsidRPr="00E02EBA">
              <w:rPr>
                <w:rFonts w:ascii="Times New Roman" w:hAnsi="Times New Roman" w:cs="Times New Roman"/>
                <w:szCs w:val="21"/>
              </w:rPr>
              <w:t>, log-linear from t</w:t>
            </w:r>
            <w:r w:rsidRPr="00E02EBA">
              <w:rPr>
                <w:rFonts w:ascii="Times New Roman" w:hAnsi="Times New Roman" w:cs="Times New Roman"/>
                <w:szCs w:val="21"/>
                <w:vertAlign w:val="subscript"/>
              </w:rPr>
              <w:t>max</w:t>
            </w:r>
            <w:r w:rsidRPr="00E02EBA">
              <w:rPr>
                <w:rFonts w:ascii="Times New Roman" w:hAnsi="Times New Roman" w:cs="Times New Roman"/>
                <w:szCs w:val="21"/>
              </w:rPr>
              <w:t xml:space="preserve"> down to t</w:t>
            </w:r>
            <w:r w:rsidRPr="00E02EBA">
              <w:rPr>
                <w:rFonts w:ascii="Times New Roman" w:hAnsi="Times New Roman" w:cs="Times New Roman"/>
                <w:szCs w:val="21"/>
                <w:vertAlign w:val="subscript"/>
              </w:rPr>
              <w:t>last</w:t>
            </w:r>
          </w:p>
        </w:tc>
      </w:tr>
      <w:tr w:rsidR="00A804BB" w:rsidRPr="00E02EBA" w:rsidTr="00214172">
        <w:tc>
          <w:tcPr>
            <w:tcW w:w="655" w:type="pct"/>
            <w:tcBorders>
              <w:top w:val="nil"/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AUC</w:t>
            </w:r>
            <w:r w:rsidRPr="00E02EBA">
              <w:rPr>
                <w:rFonts w:ascii="Times New Roman" w:hAnsi="Times New Roman" w:cs="Times New Roman"/>
                <w:szCs w:val="21"/>
                <w:vertAlign w:val="subscript"/>
              </w:rPr>
              <w:t>0-inf</w:t>
            </w:r>
          </w:p>
        </w:tc>
        <w:tc>
          <w:tcPr>
            <w:tcW w:w="1818" w:type="pct"/>
            <w:tcBorders>
              <w:top w:val="nil"/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Area under the concentration-time curve from 0 to infinity</w:t>
            </w:r>
          </w:p>
        </w:tc>
        <w:tc>
          <w:tcPr>
            <w:tcW w:w="2527" w:type="pct"/>
            <w:tcBorders>
              <w:top w:val="nil"/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AUC</w:t>
            </w:r>
            <w:r w:rsidRPr="00E02EBA">
              <w:rPr>
                <w:rFonts w:ascii="Times New Roman" w:hAnsi="Times New Roman" w:cs="Times New Roman"/>
                <w:szCs w:val="21"/>
                <w:vertAlign w:val="subscript"/>
              </w:rPr>
              <w:t>0-t</w:t>
            </w:r>
            <w:r w:rsidRPr="00E02EBA">
              <w:rPr>
                <w:rFonts w:ascii="Times New Roman" w:hAnsi="Times New Roman" w:cs="Times New Roman"/>
                <w:szCs w:val="21"/>
              </w:rPr>
              <w:t xml:space="preserve"> + C</w:t>
            </w:r>
            <w:r w:rsidRPr="00E02EBA">
              <w:rPr>
                <w:rFonts w:ascii="Times New Roman" w:hAnsi="Times New Roman" w:cs="Times New Roman"/>
                <w:szCs w:val="21"/>
                <w:vertAlign w:val="subscript"/>
              </w:rPr>
              <w:t>last</w:t>
            </w:r>
            <w:r w:rsidRPr="00E02EBA">
              <w:rPr>
                <w:rFonts w:ascii="Times New Roman" w:hAnsi="Times New Roman" w:cs="Times New Roman"/>
                <w:szCs w:val="21"/>
              </w:rPr>
              <w:t>/λ</w:t>
            </w:r>
            <w:r w:rsidRPr="00E02EBA">
              <w:rPr>
                <w:rFonts w:ascii="Times New Roman" w:hAnsi="Times New Roman" w:cs="Times New Roman"/>
                <w:szCs w:val="21"/>
                <w:vertAlign w:val="subscript"/>
              </w:rPr>
              <w:t>z</w:t>
            </w:r>
            <w:r w:rsidRPr="00E02EBA">
              <w:rPr>
                <w:rFonts w:ascii="Times New Roman" w:hAnsi="Times New Roman" w:cs="Times New Roman"/>
                <w:szCs w:val="21"/>
              </w:rPr>
              <w:t>, where C</w:t>
            </w:r>
            <w:r w:rsidRPr="00E02EBA">
              <w:rPr>
                <w:rFonts w:ascii="Times New Roman" w:hAnsi="Times New Roman" w:cs="Times New Roman"/>
                <w:szCs w:val="21"/>
                <w:vertAlign w:val="subscript"/>
              </w:rPr>
              <w:t>last</w:t>
            </w:r>
            <w:r w:rsidRPr="00E02EBA">
              <w:rPr>
                <w:rFonts w:ascii="Times New Roman" w:hAnsi="Times New Roman" w:cs="Times New Roman"/>
                <w:szCs w:val="21"/>
              </w:rPr>
              <w:t xml:space="preserve"> is the calculated whole blood concentration at the last quantifiable time point, and λ</w:t>
            </w:r>
            <w:r w:rsidRPr="00E02EBA">
              <w:rPr>
                <w:rFonts w:ascii="Times New Roman" w:hAnsi="Times New Roman" w:cs="Times New Roman"/>
                <w:szCs w:val="21"/>
                <w:vertAlign w:val="subscript"/>
              </w:rPr>
              <w:t>z</w:t>
            </w:r>
            <w:r w:rsidRPr="00E02EBA">
              <w:rPr>
                <w:rFonts w:ascii="Times New Roman" w:hAnsi="Times New Roman" w:cs="Times New Roman"/>
                <w:szCs w:val="21"/>
              </w:rPr>
              <w:t xml:space="preserve"> estimated from the log-linear regression analysis</w:t>
            </w:r>
          </w:p>
        </w:tc>
      </w:tr>
      <w:tr w:rsidR="00A804BB" w:rsidRPr="00E02EBA" w:rsidTr="00214172">
        <w:tc>
          <w:tcPr>
            <w:tcW w:w="655" w:type="pct"/>
            <w:tcBorders>
              <w:top w:val="nil"/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C</w:t>
            </w:r>
            <w:r w:rsidRPr="00E02EBA">
              <w:rPr>
                <w:rFonts w:ascii="Times New Roman" w:hAnsi="Times New Roman" w:cs="Times New Roman"/>
                <w:szCs w:val="21"/>
                <w:vertAlign w:val="subscript"/>
              </w:rPr>
              <w:t>max</w:t>
            </w:r>
          </w:p>
        </w:tc>
        <w:tc>
          <w:tcPr>
            <w:tcW w:w="1818" w:type="pct"/>
            <w:tcBorders>
              <w:top w:val="nil"/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Maximum concentration</w:t>
            </w:r>
          </w:p>
        </w:tc>
        <w:tc>
          <w:tcPr>
            <w:tcW w:w="2527" w:type="pct"/>
            <w:tcBorders>
              <w:top w:val="nil"/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Observed directly from data</w:t>
            </w:r>
          </w:p>
        </w:tc>
      </w:tr>
      <w:tr w:rsidR="00A804BB" w:rsidRPr="00E02EBA" w:rsidTr="00214172">
        <w:tc>
          <w:tcPr>
            <w:tcW w:w="655" w:type="pct"/>
            <w:tcBorders>
              <w:top w:val="nil"/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t</w:t>
            </w:r>
            <w:r w:rsidRPr="00E02EBA">
              <w:rPr>
                <w:rFonts w:ascii="Times New Roman" w:hAnsi="Times New Roman" w:cs="Times New Roman"/>
                <w:szCs w:val="21"/>
                <w:vertAlign w:val="subscript"/>
              </w:rPr>
              <w:t>max</w:t>
            </w:r>
          </w:p>
        </w:tc>
        <w:tc>
          <w:tcPr>
            <w:tcW w:w="1818" w:type="pct"/>
            <w:tcBorders>
              <w:top w:val="nil"/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Time to maximum concentration</w:t>
            </w:r>
          </w:p>
        </w:tc>
        <w:tc>
          <w:tcPr>
            <w:tcW w:w="2527" w:type="pct"/>
            <w:tcBorders>
              <w:top w:val="nil"/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Observed directly from data as time of first occurrence</w:t>
            </w:r>
          </w:p>
        </w:tc>
      </w:tr>
      <w:tr w:rsidR="00A804BB" w:rsidRPr="00E02EBA" w:rsidTr="00214172">
        <w:tc>
          <w:tcPr>
            <w:tcW w:w="655" w:type="pct"/>
            <w:tcBorders>
              <w:top w:val="nil"/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t</w:t>
            </w:r>
            <w:r w:rsidRPr="00E02EBA">
              <w:rPr>
                <w:rFonts w:ascii="Times New Roman" w:hAnsi="Times New Roman" w:cs="Times New Roman"/>
                <w:szCs w:val="21"/>
                <w:vertAlign w:val="subscript"/>
              </w:rPr>
              <w:t>1/2</w:t>
            </w:r>
          </w:p>
        </w:tc>
        <w:tc>
          <w:tcPr>
            <w:tcW w:w="1818" w:type="pct"/>
            <w:tcBorders>
              <w:top w:val="nil"/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Elimination half-life</w:t>
            </w:r>
          </w:p>
        </w:tc>
        <w:tc>
          <w:tcPr>
            <w:tcW w:w="2527" w:type="pct"/>
            <w:tcBorders>
              <w:top w:val="nil"/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0.693/λ</w:t>
            </w:r>
            <w:r w:rsidRPr="00E02EBA">
              <w:rPr>
                <w:rFonts w:ascii="Times New Roman" w:hAnsi="Times New Roman" w:cs="Times New Roman"/>
                <w:szCs w:val="21"/>
                <w:vertAlign w:val="subscript"/>
              </w:rPr>
              <w:t>z</w:t>
            </w:r>
            <w:r w:rsidRPr="00E02EBA">
              <w:rPr>
                <w:rFonts w:ascii="Times New Roman" w:hAnsi="Times New Roman" w:cs="Times New Roman"/>
                <w:szCs w:val="21"/>
              </w:rPr>
              <w:t>, only those data points judged to describe the terminal log-linear decline will be used in the regression</w:t>
            </w:r>
          </w:p>
        </w:tc>
      </w:tr>
      <w:tr w:rsidR="00A804BB" w:rsidRPr="00E02EBA" w:rsidTr="00214172">
        <w:tc>
          <w:tcPr>
            <w:tcW w:w="655" w:type="pct"/>
            <w:tcBorders>
              <w:top w:val="nil"/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λ</w:t>
            </w:r>
            <w:r w:rsidRPr="00E02EBA">
              <w:rPr>
                <w:rFonts w:ascii="Times New Roman" w:hAnsi="Times New Roman" w:cs="Times New Roman"/>
                <w:szCs w:val="21"/>
                <w:vertAlign w:val="subscript"/>
              </w:rPr>
              <w:t>z</w:t>
            </w:r>
          </w:p>
        </w:tc>
        <w:tc>
          <w:tcPr>
            <w:tcW w:w="1818" w:type="pct"/>
            <w:tcBorders>
              <w:top w:val="nil"/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Terminal elimination rate constant</w:t>
            </w:r>
          </w:p>
        </w:tc>
        <w:tc>
          <w:tcPr>
            <w:tcW w:w="2527" w:type="pct"/>
            <w:tcBorders>
              <w:top w:val="nil"/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Calculated by a linear regression through at least 3 data points in the terminal phase of the log-linear concentration-time curve</w:t>
            </w:r>
          </w:p>
        </w:tc>
      </w:tr>
      <w:tr w:rsidR="00A804BB" w:rsidRPr="00E02EBA" w:rsidTr="00214172">
        <w:tc>
          <w:tcPr>
            <w:tcW w:w="655" w:type="pct"/>
            <w:tcBorders>
              <w:top w:val="nil"/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CL</w:t>
            </w:r>
            <w:r w:rsidRPr="00E02EBA">
              <w:rPr>
                <w:rFonts w:ascii="Times New Roman" w:hAnsi="Times New Roman" w:cs="Times New Roman"/>
                <w:szCs w:val="21"/>
                <w:vertAlign w:val="subscript"/>
              </w:rPr>
              <w:t>t</w:t>
            </w:r>
          </w:p>
        </w:tc>
        <w:tc>
          <w:tcPr>
            <w:tcW w:w="1818" w:type="pct"/>
            <w:tcBorders>
              <w:top w:val="nil"/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Total body clearance</w:t>
            </w:r>
          </w:p>
        </w:tc>
        <w:tc>
          <w:tcPr>
            <w:tcW w:w="2527" w:type="pct"/>
            <w:tcBorders>
              <w:top w:val="nil"/>
              <w:bottom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Dose/AUC</w:t>
            </w:r>
            <w:r w:rsidRPr="00E02EBA">
              <w:rPr>
                <w:rFonts w:ascii="Times New Roman" w:hAnsi="Times New Roman" w:cs="Times New Roman"/>
                <w:szCs w:val="21"/>
                <w:vertAlign w:val="subscript"/>
              </w:rPr>
              <w:t>0-inf</w:t>
            </w:r>
          </w:p>
        </w:tc>
      </w:tr>
      <w:tr w:rsidR="00A804BB" w:rsidRPr="00E02EBA" w:rsidTr="00214172">
        <w:tc>
          <w:tcPr>
            <w:tcW w:w="655" w:type="pct"/>
            <w:tcBorders>
              <w:top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Vd</w:t>
            </w:r>
            <w:r w:rsidRPr="00E02EBA">
              <w:rPr>
                <w:rFonts w:ascii="Times New Roman" w:hAnsi="Times New Roman" w:cs="Times New Roman"/>
                <w:szCs w:val="21"/>
                <w:vertAlign w:val="subscript"/>
              </w:rPr>
              <w:t>z</w:t>
            </w:r>
          </w:p>
        </w:tc>
        <w:tc>
          <w:tcPr>
            <w:tcW w:w="1818" w:type="pct"/>
            <w:tcBorders>
              <w:top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</w:rPr>
              <w:t>Volume of distribution</w:t>
            </w:r>
          </w:p>
        </w:tc>
        <w:tc>
          <w:tcPr>
            <w:tcW w:w="2527" w:type="pct"/>
            <w:tcBorders>
              <w:top w:val="nil"/>
            </w:tcBorders>
            <w:vAlign w:val="center"/>
          </w:tcPr>
          <w:p w:rsidR="00A804BB" w:rsidRPr="00E02EBA" w:rsidRDefault="00A804BB" w:rsidP="00214172">
            <w:pPr>
              <w:spacing w:afterLines="50" w:after="120"/>
              <w:rPr>
                <w:rFonts w:ascii="Times New Roman" w:hAnsi="Times New Roman" w:cs="Times New Roman"/>
                <w:szCs w:val="21"/>
              </w:rPr>
            </w:pPr>
            <w:r w:rsidRPr="00E02EBA">
              <w:rPr>
                <w:rFonts w:ascii="Times New Roman" w:hAnsi="Times New Roman" w:cs="Times New Roman"/>
                <w:szCs w:val="21"/>
                <w:lang w:val="de-DE"/>
              </w:rPr>
              <w:t>Dose/(</w:t>
            </w:r>
            <w:r w:rsidRPr="00E02EBA">
              <w:rPr>
                <w:rFonts w:ascii="Times New Roman" w:hAnsi="Times New Roman" w:cs="Times New Roman"/>
                <w:szCs w:val="21"/>
              </w:rPr>
              <w:t xml:space="preserve"> AUC</w:t>
            </w:r>
            <w:r w:rsidRPr="00E02EBA">
              <w:rPr>
                <w:rFonts w:ascii="Times New Roman" w:hAnsi="Times New Roman" w:cs="Times New Roman"/>
                <w:szCs w:val="21"/>
                <w:vertAlign w:val="subscript"/>
              </w:rPr>
              <w:t>0-inf</w:t>
            </w:r>
            <w:r w:rsidRPr="00E02EBA">
              <w:rPr>
                <w:rFonts w:ascii="Times New Roman" w:hAnsi="Times New Roman" w:cs="Times New Roman"/>
                <w:szCs w:val="21"/>
              </w:rPr>
              <w:t>*λ</w:t>
            </w:r>
            <w:r w:rsidRPr="00E02EBA">
              <w:rPr>
                <w:rFonts w:ascii="Times New Roman" w:hAnsi="Times New Roman" w:cs="Times New Roman"/>
                <w:szCs w:val="21"/>
                <w:vertAlign w:val="subscript"/>
              </w:rPr>
              <w:t>z</w:t>
            </w:r>
            <w:r w:rsidRPr="00E02EBA">
              <w:rPr>
                <w:rFonts w:ascii="Times New Roman" w:hAnsi="Times New Roman" w:cs="Times New Roman"/>
                <w:szCs w:val="21"/>
                <w:lang w:val="de-DE"/>
              </w:rPr>
              <w:t>)</w:t>
            </w:r>
          </w:p>
        </w:tc>
      </w:tr>
    </w:tbl>
    <w:p w:rsidR="00A804BB" w:rsidRDefault="00A804BB" w:rsidP="00A804BB">
      <w:pPr>
        <w:rPr>
          <w:rFonts w:ascii="Times New Roman" w:hAnsi="Times New Roman" w:cs="Times New Roman"/>
          <w:b/>
          <w:bCs/>
        </w:rPr>
      </w:pPr>
    </w:p>
    <w:p w:rsidR="00A804BB" w:rsidRDefault="00A804BB" w:rsidP="00A804B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A804BB" w:rsidRPr="00C52C85" w:rsidRDefault="00A804BB" w:rsidP="00A804BB">
      <w:pPr>
        <w:rPr>
          <w:rFonts w:ascii="Times New Roman" w:hAnsi="Times New Roman" w:cs="Times New Roman"/>
          <w:b/>
          <w:bCs/>
        </w:rPr>
      </w:pPr>
      <w:r w:rsidRPr="00C52C85">
        <w:rPr>
          <w:rFonts w:ascii="Times New Roman" w:hAnsi="Times New Roman" w:cs="Times New Roman"/>
          <w:b/>
          <w:bCs/>
        </w:rPr>
        <w:lastRenderedPageBreak/>
        <w:t>Organs Receiving Highest Normalized Doses</w:t>
      </w:r>
    </w:p>
    <w:p w:rsidR="00A804BB" w:rsidRPr="00C52C85" w:rsidRDefault="00A804BB" w:rsidP="00A804BB">
      <w:pPr>
        <w:jc w:val="both"/>
        <w:rPr>
          <w:rFonts w:ascii="Times New Roman" w:hAnsi="Times New Roman" w:cs="Times New Roman"/>
        </w:rPr>
      </w:pPr>
      <w:r w:rsidRPr="00C52C85">
        <w:rPr>
          <w:rFonts w:ascii="Times New Roman" w:hAnsi="Times New Roman" w:cs="Times New Roman"/>
        </w:rPr>
        <w:t>The organs that received the highest normalized absorbed doses (mean [SD]) according to IDAC-Dose v2.1 were the kidneys (1.36 [0.26] mGy/MBq), liver (1.30 [0.21] mGy/MBq), gallbladder wall (0.95 [0.10] mGy/MBq), adrenals (0.86 [0.09] mGy/MBq), and spleen (0.79 [0.11] mGy/MBq).</w:t>
      </w:r>
    </w:p>
    <w:p w:rsidR="00A804BB" w:rsidRPr="00C52C85" w:rsidRDefault="00A804BB" w:rsidP="00A804BB">
      <w:pPr>
        <w:pStyle w:val="Caption"/>
      </w:pPr>
      <w:r w:rsidRPr="00C52C85">
        <w:t xml:space="preserve">Supplementary Table </w:t>
      </w:r>
      <w:r>
        <w:t>2</w:t>
      </w:r>
      <w:r w:rsidRPr="00C52C85">
        <w:t xml:space="preserve">. Normalized Absorbed Dose to Organs Calculated Using IDAC-Dose v2.1 </w:t>
      </w:r>
      <w:r w:rsidRPr="00C52C85">
        <w:rPr>
          <w:color w:val="000000"/>
        </w:rPr>
        <w:t>(</w:t>
      </w:r>
      <w:r w:rsidRPr="00C52C85">
        <w:rPr>
          <w:color w:val="000000"/>
          <w:kern w:val="0"/>
          <w:sz w:val="22"/>
          <w:szCs w:val="22"/>
        </w:rPr>
        <w:t>mGy</w:t>
      </w:r>
      <w:r w:rsidRPr="00C52C85">
        <w:rPr>
          <w:color w:val="000000"/>
        </w:rPr>
        <w:t>/MBq)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2"/>
        <w:gridCol w:w="2388"/>
      </w:tblGrid>
      <w:tr w:rsidR="00A804BB" w:rsidRPr="00C52C85" w:rsidTr="00214172">
        <w:trPr>
          <w:cantSplit/>
          <w:trHeight w:val="575"/>
          <w:tblHeader/>
          <w:jc w:val="center"/>
        </w:trPr>
        <w:tc>
          <w:tcPr>
            <w:tcW w:w="3732" w:type="dxa"/>
            <w:tcBorders>
              <w:left w:val="nil"/>
              <w:bottom w:val="single" w:sz="4" w:space="0" w:color="auto"/>
            </w:tcBorders>
            <w:shd w:val="clear" w:color="auto" w:fill="E7E6E6" w:themeFill="background2"/>
            <w:vAlign w:val="bottom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Organ</w:t>
            </w:r>
          </w:p>
        </w:tc>
        <w:tc>
          <w:tcPr>
            <w:tcW w:w="2388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N = 10</w:t>
            </w:r>
          </w:p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Mean mGy/MBq (SD)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Kidneys</w:t>
            </w:r>
          </w:p>
        </w:tc>
        <w:tc>
          <w:tcPr>
            <w:tcW w:w="2388" w:type="dxa"/>
            <w:tcBorders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1.36 (0.26)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Liver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1.30 (0.21)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Gallbladder wall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0.95 (0.10)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Adrenals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0.86 (0.09)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Spleen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0.79 (0.11)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Pancreas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0.67 (0.05)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Red marrow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0.58 (0.12)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Ureters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0.55 (0.02)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Stomach wall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0.53 (0.06)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Ovaries (n = 4)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0.50 (0.01)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Uterus/cervix (n = 4)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0.49 (0.01)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Oesophagus wall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0.47 (0.04)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Heart wall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0.47 (0.03)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Right colon wall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0.46 (0.02)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Si wall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0.45 (0.05)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Systemic lymph nodes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0.45 (0.04)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Lymphatic nodes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0.44 (0.04)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Colon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0.43 (0.02)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Bronchial bound region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0.41 (0.04)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Alveolar-interstitium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0.41 (0.03)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Bronchiolar sequestered region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0.41 (0.03)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Lungs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0.41 (0.03)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Thoracic lymph nodes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0.41 (0.03)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Prostate (n = 6)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0.41 (0.02)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Bronchial sequestered region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0.40 (0.04)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Left colon wall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0.40 (0.02)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Rectosigmoid colon wall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0.39 (0.04)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Urinary bladder wall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0.39 (0.02)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Extrathoracic lymph nodes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0.38 (0.05)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Thymus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0.38 (0.05)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Cortical bone mineral surface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0.37 (0.06)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Muscle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0.36 (0.04)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Thyroid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0.36 (0.04)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Pituitary gland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0.35 (0.05)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Tonsils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0.35 (0.03)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Adipose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0.35 (0.02)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Breasts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0.34 (0.03)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Oral mucosa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0.32 (0.03)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Testes (n = 6)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0.32 (0.02)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Salivary glands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0.31 (0.04)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Brain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0.31 (0.03)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Et region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0.29 (0.04)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Et2 surface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0.29 (0.04)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Tongue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0.27 (0.02)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Skin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0.25 (0.02)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Eye lenses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0.21 (0.02)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Et1 surface</w:t>
            </w:r>
          </w:p>
        </w:tc>
        <w:tc>
          <w:tcPr>
            <w:tcW w:w="23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0.19 (0.04)</w:t>
            </w:r>
          </w:p>
        </w:tc>
      </w:tr>
      <w:tr w:rsidR="00A804BB" w:rsidRPr="00C52C85" w:rsidTr="00214172">
        <w:trPr>
          <w:cantSplit/>
          <w:jc w:val="center"/>
        </w:trPr>
        <w:tc>
          <w:tcPr>
            <w:tcW w:w="3732" w:type="dxa"/>
            <w:tcBorders>
              <w:top w:val="nil"/>
              <w:lef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Whole-body normalized effective dose </w:t>
            </w:r>
            <w:r w:rsidRPr="00C52C8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(mSv/MBq)</w:t>
            </w:r>
          </w:p>
        </w:tc>
        <w:tc>
          <w:tcPr>
            <w:tcW w:w="2388" w:type="dxa"/>
            <w:tcBorders>
              <w:top w:val="nil"/>
              <w:right w:val="nil"/>
            </w:tcBorders>
            <w:shd w:val="clear" w:color="auto" w:fill="FFFFFF"/>
          </w:tcPr>
          <w:p w:rsidR="00A804BB" w:rsidRPr="00C52C85" w:rsidRDefault="00A804BB" w:rsidP="00214172">
            <w:pPr>
              <w:autoSpaceDE w:val="0"/>
              <w:autoSpaceDN w:val="0"/>
              <w:adjustRightInd w:val="0"/>
              <w:spacing w:afterLines="50" w:after="12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C52C85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0.50 (0.02)</w:t>
            </w:r>
          </w:p>
        </w:tc>
      </w:tr>
    </w:tbl>
    <w:p w:rsidR="00A804BB" w:rsidRPr="00C52C85" w:rsidRDefault="00A804BB" w:rsidP="00A804BB">
      <w:pPr>
        <w:spacing w:line="480" w:lineRule="auto"/>
        <w:rPr>
          <w:rFonts w:ascii="Times New Roman" w:hAnsi="Times New Roman" w:cs="Times New Roman"/>
          <w:noProof/>
          <w:sz w:val="22"/>
          <w:szCs w:val="22"/>
          <w14:ligatures w14:val="none"/>
        </w:rPr>
      </w:pPr>
    </w:p>
    <w:sectPr w:rsidR="00A804BB" w:rsidRPr="00C52C85" w:rsidSect="00A804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4BB"/>
    <w:rsid w:val="000B5B08"/>
    <w:rsid w:val="004A56D2"/>
    <w:rsid w:val="00A8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75510"/>
  <w15:chartTrackingRefBased/>
  <w15:docId w15:val="{65AF59CA-2AD2-4CCC-AD42-7D72B60D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4BB"/>
    <w:pPr>
      <w:spacing w:line="278" w:lineRule="auto"/>
    </w:pPr>
    <w:rPr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qFormat/>
    <w:rsid w:val="00A804BB"/>
    <w:pPr>
      <w:widowControl w:val="0"/>
      <w:spacing w:afterLines="50" w:after="120" w:line="480" w:lineRule="auto"/>
    </w:pPr>
    <w:rPr>
      <w:rFonts w:ascii="Times New Roman" w:eastAsia="SimSun" w:hAnsi="Times New Roman" w:cs="Times New Roman"/>
      <w:b/>
      <w:bCs/>
      <w:lang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80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Varatharaj Sekar</dc:creator>
  <cp:keywords/>
  <dc:description/>
  <cp:lastModifiedBy>Varatharaj Sekar</cp:lastModifiedBy>
  <cp:revision>1</cp:revision>
  <dcterms:created xsi:type="dcterms:W3CDTF">2025-10-22T09:11:00Z</dcterms:created>
  <dcterms:modified xsi:type="dcterms:W3CDTF">2025-10-22T09:13:00Z</dcterms:modified>
</cp:coreProperties>
</file>