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CE17E" w14:textId="77777777" w:rsidR="005058B5" w:rsidRDefault="00000000">
      <w:pPr>
        <w:widowControl/>
        <w:shd w:val="clear" w:color="auto" w:fill="FFFFFF"/>
        <w:spacing w:line="15" w:lineRule="auto"/>
        <w:ind w:firstLine="640"/>
        <w:jc w:val="center"/>
        <w:rPr>
          <w:rFonts w:ascii="Times New Roman" w:eastAsiaTheme="minorEastAsia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Fonts w:ascii="Times New Roman" w:eastAsiaTheme="minorEastAsia" w:hAnsi="Times New Roman" w:cs="Times New Roman" w:hint="eastAsia"/>
          <w:color w:val="404040"/>
          <w:sz w:val="32"/>
          <w:szCs w:val="32"/>
          <w:shd w:val="clear" w:color="auto" w:fill="FFFFFF"/>
        </w:rPr>
        <w:t>Supplement 1</w:t>
      </w:r>
    </w:p>
    <w:p w14:paraId="7AC38BDE" w14:textId="77777777" w:rsidR="005058B5" w:rsidRDefault="00000000">
      <w:pPr>
        <w:widowControl/>
        <w:shd w:val="clear" w:color="auto" w:fill="FFFFFF"/>
        <w:spacing w:line="15" w:lineRule="auto"/>
        <w:rPr>
          <w:rFonts w:ascii="Times New Roman" w:eastAsia="Segoe UI" w:hAnsi="Times New Roman" w:cs="Times New Roman"/>
          <w:color w:val="404040"/>
          <w:shd w:val="clear" w:color="auto" w:fill="FFFFFF"/>
        </w:rPr>
      </w:pPr>
      <w:r>
        <w:rPr>
          <w:rFonts w:ascii="Times New Roman" w:eastAsia="Segoe UI" w:hAnsi="Times New Roman" w:cs="Times New Roman"/>
          <w:color w:val="404040"/>
          <w:shd w:val="clear" w:color="auto" w:fill="FFFFFF"/>
        </w:rPr>
        <w:t>The activity concentration (kBq/mL) was converted to the percentage of injected dose (%ID) using Equation 1 for each VOI.</w:t>
      </w:r>
    </w:p>
    <w:p w14:paraId="3AD9AF79" w14:textId="77777777" w:rsidR="005058B5" w:rsidRDefault="00000000">
      <w:pPr>
        <w:pStyle w:val="a9"/>
        <w:spacing w:line="360" w:lineRule="auto"/>
        <w:ind w:left="2523" w:firstLineChars="200" w:firstLine="480"/>
        <w:jc w:val="left"/>
        <w:rPr>
          <w:rFonts w:ascii="Times New Roman" w:hAnsi="Times New Roman"/>
        </w:rPr>
      </w:pPr>
      <m:oMath>
        <m:r>
          <m:t>%ID=</m:t>
        </m:r>
        <m:f>
          <m:fPr>
            <m:ctrlPr>
              <w:rPr>
                <w:iCs/>
              </w:rPr>
            </m:ctrlPr>
          </m:fPr>
          <m:num>
            <m:sSub>
              <m:sSubPr>
                <m:ctrlPr>
                  <w:rPr>
                    <w:iCs/>
                  </w:rPr>
                </m:ctrlPr>
              </m:sSubPr>
              <m:e>
                <w:bookmarkStart w:id="0" w:name="_Hlk201073477"/>
                <m:r>
                  <m:t>A</m:t>
                </m:r>
              </m:e>
              <m:sub>
                <m:r>
                  <m:t>voxel</m:t>
                </m:r>
                <w:bookmarkEnd w:id="0"/>
              </m:sub>
            </m:sSub>
            <m:r>
              <m:t>×V</m:t>
            </m:r>
          </m:num>
          <m:den>
            <m:sSub>
              <m:sSubPr>
                <m:ctrlPr>
                  <w:rPr>
                    <w:iCs/>
                  </w:rPr>
                </m:ctrlPr>
              </m:sSubPr>
              <m:e>
                <m:r>
                  <m:t>A</m:t>
                </m:r>
              </m:e>
              <m:sub>
                <m:r>
                  <m:t>inj</m:t>
                </m:r>
              </m:sub>
            </m:sSub>
          </m:den>
        </m:f>
        <m:r>
          <m:t>×100%</m:t>
        </m:r>
      </m:oMath>
      <w:r>
        <w:rPr>
          <w:rFonts w:ascii="Times New Roman" w:hAnsi="Times New Roman"/>
          <w:i w:val="0"/>
        </w:rPr>
        <w:tab/>
        <w:t>(1)</w:t>
      </w:r>
    </w:p>
    <w:p w14:paraId="4C2D771E" w14:textId="77777777" w:rsidR="005058B5" w:rsidRDefault="00000000">
      <w:pPr>
        <w:widowControl/>
        <w:shd w:val="clear" w:color="auto" w:fill="FFFFFF"/>
        <w:spacing w:line="15" w:lineRule="auto"/>
        <w:rPr>
          <w:rFonts w:ascii="Times New Roman" w:eastAsia="Segoe UI" w:hAnsi="Times New Roman" w:cs="Times New Roman"/>
          <w:color w:val="404040"/>
          <w:shd w:val="clear" w:color="auto" w:fill="FFFFFF"/>
        </w:rPr>
      </w:pPr>
      <w:r>
        <w:rPr>
          <w:rFonts w:ascii="Times New Roman" w:eastAsia="Segoe UI" w:hAnsi="Times New Roman" w:cs="Times New Roman"/>
          <w:color w:val="404040"/>
          <w:shd w:val="clear" w:color="auto" w:fill="FFFFFF"/>
        </w:rPr>
        <w:t xml:space="preserve">where 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  <w:i/>
          <w:vertAlign w:val="subscript"/>
        </w:rPr>
        <w:t>voxel</w:t>
      </w:r>
      <w:r>
        <w:rPr>
          <w:rFonts w:ascii="Times New Roman" w:eastAsia="Segoe UI" w:hAnsi="Times New Roman" w:cs="Times New Roman"/>
          <w:color w:val="404040"/>
          <w:shd w:val="clear" w:color="auto" w:fill="FFFFFF"/>
        </w:rPr>
        <w:t xml:space="preserve"> denote the activity concentration (Bq/mL), </w:t>
      </w:r>
      <w:r>
        <w:rPr>
          <w:rFonts w:ascii="Times New Roman" w:eastAsia="Segoe UI" w:hAnsi="Times New Roman" w:cs="Times New Roman"/>
          <w:i/>
          <w:color w:val="404040"/>
          <w:shd w:val="clear" w:color="auto" w:fill="FFFFFF"/>
        </w:rPr>
        <w:t>V</w:t>
      </w:r>
      <w:r>
        <w:rPr>
          <w:rFonts w:ascii="Times New Roman" w:eastAsia="Segoe UI" w:hAnsi="Times New Roman" w:cs="Times New Roman"/>
          <w:color w:val="404040"/>
          <w:shd w:val="clear" w:color="auto" w:fill="FFFFFF"/>
        </w:rPr>
        <w:t xml:space="preserve"> is the VOI volume (mL), and </w:t>
      </w:r>
      <w:r>
        <w:rPr>
          <w:rFonts w:ascii="Times New Roman" w:eastAsia="Segoe UI" w:hAnsi="Times New Roman" w:cs="Times New Roman"/>
          <w:i/>
          <w:color w:val="404040"/>
          <w:shd w:val="clear" w:color="auto" w:fill="FFFFFF"/>
        </w:rPr>
        <w:t>A</w:t>
      </w:r>
      <w:r>
        <w:rPr>
          <w:rFonts w:ascii="Times New Roman" w:eastAsia="Segoe UI" w:hAnsi="Times New Roman" w:cs="Times New Roman"/>
          <w:i/>
          <w:color w:val="404040"/>
          <w:shd w:val="clear" w:color="auto" w:fill="FFFFFF"/>
          <w:vertAlign w:val="subscript"/>
        </w:rPr>
        <w:t>inj</w:t>
      </w:r>
      <w:r>
        <w:rPr>
          <w:rFonts w:ascii="Times New Roman" w:eastAsia="Segoe UI" w:hAnsi="Times New Roman" w:cs="Times New Roman"/>
          <w:color w:val="404040"/>
          <w:shd w:val="clear" w:color="auto" w:fill="FFFFFF"/>
        </w:rPr>
        <w:t xml:space="preserve"> is the total injected activity (Bq). All %ID values were corrected for photon attenuation and radionuclide decay. The following organs were analyzed: brain, salivary glands, heart, lungs, stomach, spleen, liver, gallbladder, pancreas, kidneys, colon, and prostate (male) or uterus (female). </w:t>
      </w:r>
    </w:p>
    <w:p w14:paraId="073FA2A7" w14:textId="77777777" w:rsidR="005058B5" w:rsidRDefault="00000000">
      <w:pPr>
        <w:widowControl/>
        <w:shd w:val="clear" w:color="auto" w:fill="FFFFFF"/>
        <w:spacing w:line="15" w:lineRule="auto"/>
        <w:rPr>
          <w:rFonts w:ascii="Times New Roman" w:eastAsia="Segoe UI" w:hAnsi="Times New Roman" w:cs="Times New Roman"/>
          <w:color w:val="404040"/>
          <w:shd w:val="clear" w:color="auto" w:fill="FFFFFF"/>
        </w:rPr>
      </w:pPr>
      <w:r>
        <w:rPr>
          <w:rFonts w:ascii="Times New Roman" w:eastAsia="Segoe UI" w:hAnsi="Times New Roman" w:cs="Times New Roman"/>
          <w:color w:val="404040"/>
          <w:shd w:val="clear" w:color="auto" w:fill="FFFFFF"/>
        </w:rPr>
        <w:t>Time-activity curves (TACs) for these target organs and the whole body were fitted using a mono-exponential function (Equation 2).</w:t>
      </w:r>
    </w:p>
    <w:p w14:paraId="2F4F9199" w14:textId="77777777" w:rsidR="005058B5" w:rsidRDefault="00000000">
      <w:pPr>
        <w:pStyle w:val="a9"/>
        <w:spacing w:line="360" w:lineRule="auto"/>
        <w:ind w:left="2523" w:firstLineChars="200" w:firstLine="440"/>
        <w:jc w:val="left"/>
        <w:rPr>
          <w:rFonts w:ascii="Times New Roman" w:hAnsi="Times New Roman"/>
        </w:rPr>
      </w:pPr>
      <m:oMath>
        <m:r>
          <w:rPr>
            <w:sz w:val="22"/>
          </w:rPr>
          <m:t>%ID</m:t>
        </m:r>
        <m:d>
          <m:dPr>
            <m:ctrlPr>
              <w:rPr>
                <w:sz w:val="22"/>
              </w:rPr>
            </m:ctrlPr>
          </m:dPr>
          <m:e>
            <m:r>
              <w:rPr>
                <w:sz w:val="22"/>
              </w:rPr>
              <m:t>t</m:t>
            </m:r>
          </m:e>
        </m:d>
        <m:r>
          <w:rPr>
            <w:sz w:val="22"/>
          </w:rPr>
          <m:t>=A∙</m:t>
        </m:r>
        <m:sSup>
          <m:sSupPr>
            <m:ctrlPr>
              <w:rPr>
                <w:sz w:val="22"/>
              </w:rPr>
            </m:ctrlPr>
          </m:sSupPr>
          <m:e>
            <m:r>
              <w:rPr>
                <w:sz w:val="22"/>
              </w:rPr>
              <m:t>e</m:t>
            </m:r>
          </m:e>
          <m:sup>
            <m:r>
              <w:rPr>
                <w:sz w:val="22"/>
              </w:rPr>
              <m:t>-at</m:t>
            </m:r>
          </m:sup>
        </m:sSup>
      </m:oMath>
      <w:r>
        <w:rPr>
          <w:rFonts w:ascii="Times New Roman" w:hAnsi="Times New Roman"/>
        </w:rPr>
        <w:tab/>
      </w:r>
      <w:r>
        <w:rPr>
          <w:rFonts w:ascii="Times New Roman" w:hAnsi="Times New Roman"/>
          <w:i w:val="0"/>
          <w:iCs/>
        </w:rPr>
        <w:t>(2)</w:t>
      </w:r>
    </w:p>
    <w:p w14:paraId="1A916583" w14:textId="77777777" w:rsidR="005058B5" w:rsidRDefault="00000000">
      <w:pPr>
        <w:widowControl/>
        <w:shd w:val="clear" w:color="auto" w:fill="FFFFFF"/>
        <w:spacing w:line="15" w:lineRule="auto"/>
        <w:rPr>
          <w:rFonts w:ascii="Times New Roman" w:eastAsia="Segoe UI" w:hAnsi="Times New Roman" w:cs="Times New Roman"/>
          <w:color w:val="404040"/>
          <w:shd w:val="clear" w:color="auto" w:fill="FFFFFF"/>
        </w:rPr>
      </w:pPr>
      <w:r>
        <w:rPr>
          <w:rFonts w:ascii="Times New Roman" w:eastAsia="Segoe UI" w:hAnsi="Times New Roman" w:cs="Times New Roman"/>
          <w:color w:val="404040"/>
          <w:shd w:val="clear" w:color="auto" w:fill="FFFFFF"/>
        </w:rPr>
        <w:t>Time-integrated ac</w:t>
      </w:r>
      <w:r>
        <w:rPr>
          <w:rFonts w:hint="eastAsia"/>
        </w:rPr>
        <w:t xml:space="preserve">tivity coefficients (TIACs) were calculated by integrating the fitted curves from t = 0 to t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∞</w:t>
      </w:r>
      <w:r>
        <w:rPr>
          <w:rFonts w:hint="eastAsia"/>
        </w:rPr>
        <w:t>. For the urinary bladder, TIAC was estimated using the bladder voiding model provided by OLINDA/EXM 1.1 software [16]. Radioactivity in the lower legs and fee</w:t>
      </w:r>
      <w:r>
        <w:rPr>
          <w:rFonts w:ascii="Times New Roman" w:eastAsia="Segoe UI" w:hAnsi="Times New Roman" w:cs="Times New Roman"/>
          <w:color w:val="404040"/>
          <w:shd w:val="clear" w:color="auto" w:fill="FFFFFF"/>
        </w:rPr>
        <w:t xml:space="preserve">t was considered negligible (&lt;1% of total injected dose) and excluded from dosimetry analysis. </w:t>
      </w:r>
    </w:p>
    <w:p w14:paraId="56F01EA4" w14:textId="77777777" w:rsidR="005058B5" w:rsidRDefault="00000000">
      <w:pPr>
        <w:widowControl/>
        <w:shd w:val="clear" w:color="auto" w:fill="FFFFFF"/>
        <w:spacing w:line="15" w:lineRule="auto"/>
        <w:rPr>
          <w:rFonts w:ascii="Times New Roman" w:eastAsia="Segoe UI" w:hAnsi="Times New Roman" w:cs="Times New Roman"/>
          <w:color w:val="404040"/>
          <w:shd w:val="clear" w:color="auto" w:fill="FFFFFF"/>
        </w:rPr>
      </w:pPr>
      <w:r>
        <w:rPr>
          <w:rFonts w:ascii="Times New Roman" w:eastAsia="Segoe UI" w:hAnsi="Times New Roman" w:cs="Times New Roman"/>
          <w:color w:val="404040"/>
          <w:shd w:val="clear" w:color="auto" w:fill="FFFFFF"/>
        </w:rPr>
        <w:t>The TIAC for the remainder of the body was derived using the residual subtraction method (Equation 3):</w:t>
      </w:r>
    </w:p>
    <w:p w14:paraId="54D4616E" w14:textId="77777777" w:rsidR="005058B5" w:rsidRDefault="00000000">
      <w:pPr>
        <w:pStyle w:val="a9"/>
        <w:spacing w:line="360" w:lineRule="auto"/>
        <w:ind w:firstLineChars="200" w:firstLine="48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m:oMath>
        <m:sSub>
          <m:sSubPr>
            <m:ctrlPr/>
          </m:sSubPr>
          <m:e>
            <m:r>
              <m:t>TIAC</m:t>
            </m:r>
          </m:e>
          <m:sub>
            <m:r>
              <m:t>rest</m:t>
            </m:r>
          </m:sub>
        </m:sSub>
        <m:r>
          <m:t>=</m:t>
        </m:r>
        <m:sSub>
          <m:sSubPr>
            <m:ctrlPr/>
          </m:sSubPr>
          <m:e>
            <m:r>
              <m:t>TIAC</m:t>
            </m:r>
          </m:e>
          <m:sub>
            <m:r>
              <m:t>WB</m:t>
            </m:r>
          </m:sub>
        </m:sSub>
        <m:r>
          <m:t>-</m:t>
        </m:r>
        <m:sSub>
          <m:sSubPr>
            <m:ctrlPr/>
          </m:sSubPr>
          <m:e>
            <m:r>
              <m:t>TIAC</m:t>
            </m:r>
          </m:e>
          <m:sub>
            <m:r>
              <m:t>KO</m:t>
            </m:r>
          </m:sub>
        </m:sSub>
      </m:oMath>
      <w:r>
        <w:rPr>
          <w:rFonts w:ascii="Times New Roman" w:hAnsi="Times New Roman"/>
        </w:rPr>
        <w:tab/>
      </w:r>
      <w:r>
        <w:rPr>
          <w:rFonts w:ascii="Times New Roman" w:hAnsi="Times New Roman"/>
          <w:i w:val="0"/>
          <w:iCs/>
        </w:rPr>
        <w:t>(3)</w:t>
      </w:r>
    </w:p>
    <w:p w14:paraId="72AA895B" w14:textId="77777777" w:rsidR="005058B5" w:rsidRDefault="00000000">
      <w:pPr>
        <w:rPr>
          <w:rFonts w:ascii="Times New Roman" w:eastAsiaTheme="minorEastAsia" w:hAnsi="Times New Roman" w:cs="Times New Roman"/>
          <w:color w:val="404040"/>
          <w:shd w:val="clear" w:color="auto" w:fill="FFFFFF"/>
        </w:rPr>
      </w:pPr>
      <w:r>
        <w:rPr>
          <w:rFonts w:ascii="Times New Roman" w:eastAsia="Segoe UI" w:hAnsi="Times New Roman" w:cs="Times New Roman"/>
          <w:color w:val="404040"/>
          <w:shd w:val="clear" w:color="auto" w:fill="FFFFFF"/>
        </w:rPr>
        <w:t xml:space="preserve">where </w:t>
      </w:r>
      <w:r>
        <w:rPr>
          <w:rFonts w:ascii="Times New Roman" w:eastAsia="Segoe UI" w:hAnsi="Times New Roman" w:cs="Times New Roman"/>
          <w:i/>
          <w:iCs/>
          <w:color w:val="404040"/>
          <w:shd w:val="clear" w:color="auto" w:fill="FFFFFF"/>
        </w:rPr>
        <w:t>TIAC</w:t>
      </w:r>
      <w:r>
        <w:rPr>
          <w:rFonts w:ascii="Times New Roman" w:eastAsia="Segoe UI" w:hAnsi="Times New Roman" w:cs="Times New Roman"/>
          <w:i/>
          <w:iCs/>
          <w:color w:val="404040"/>
          <w:shd w:val="clear" w:color="auto" w:fill="FFFFFF"/>
          <w:vertAlign w:val="subscript"/>
        </w:rPr>
        <w:t>rest</w:t>
      </w:r>
      <w:r>
        <w:rPr>
          <w:rFonts w:ascii="Times New Roman" w:eastAsia="Segoe UI" w:hAnsi="Times New Roman" w:cs="Times New Roman"/>
          <w:color w:val="404040"/>
          <w:shd w:val="clear" w:color="auto" w:fill="FFFFFF"/>
        </w:rPr>
        <w:t xml:space="preserve"> denote the time-integrated activity coefficient for the residual tissues,</w:t>
      </w:r>
      <w:r>
        <w:rPr>
          <w:rFonts w:ascii="Times New Roman" w:eastAsiaTheme="minorEastAsia" w:hAnsi="Times New Roman" w:cs="Times New Roman"/>
          <w:color w:val="404040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i/>
          <w:iCs/>
          <w:color w:val="404040"/>
          <w:shd w:val="clear" w:color="auto" w:fill="FFFFFF"/>
        </w:rPr>
        <w:t>TIAC</w:t>
      </w:r>
      <w:r>
        <w:rPr>
          <w:rFonts w:ascii="Times New Roman" w:eastAsia="Segoe UI" w:hAnsi="Times New Roman" w:cs="Times New Roman"/>
          <w:i/>
          <w:iCs/>
          <w:color w:val="404040"/>
          <w:shd w:val="clear" w:color="auto" w:fill="FFFFFF"/>
          <w:vertAlign w:val="subscript"/>
        </w:rPr>
        <w:t>WB</w:t>
      </w:r>
      <w:r>
        <w:rPr>
          <w:rFonts w:ascii="Times New Roman" w:eastAsia="Segoe UI" w:hAnsi="Times New Roman" w:cs="Times New Roman"/>
          <w:color w:val="404040"/>
          <w:shd w:val="clear" w:color="auto" w:fill="FFFFFF"/>
          <w:vertAlign w:val="subscript"/>
        </w:rPr>
        <w:t xml:space="preserve"> </w:t>
      </w:r>
      <w:r>
        <w:rPr>
          <w:rFonts w:ascii="Times New Roman" w:eastAsia="Segoe UI" w:hAnsi="Times New Roman" w:cs="Times New Roman"/>
          <w:color w:val="404040"/>
          <w:shd w:val="clear" w:color="auto" w:fill="FFFFFF"/>
        </w:rPr>
        <w:t xml:space="preserve">is the whole-body TIAC, and </w:t>
      </w:r>
      <w:r>
        <w:rPr>
          <w:rFonts w:ascii="Times New Roman" w:eastAsia="Segoe UI" w:hAnsi="Times New Roman" w:cs="Times New Roman"/>
          <w:i/>
          <w:iCs/>
          <w:color w:val="404040"/>
          <w:shd w:val="clear" w:color="auto" w:fill="FFFFFF"/>
        </w:rPr>
        <w:t>TIAC</w:t>
      </w:r>
      <w:r>
        <w:rPr>
          <w:rFonts w:ascii="Times New Roman" w:eastAsia="Segoe UI" w:hAnsi="Times New Roman" w:cs="Times New Roman"/>
          <w:i/>
          <w:iCs/>
          <w:color w:val="404040"/>
          <w:shd w:val="clear" w:color="auto" w:fill="FFFFFF"/>
          <w:vertAlign w:val="subscript"/>
        </w:rPr>
        <w:t>KO</w:t>
      </w:r>
      <w:r>
        <w:rPr>
          <w:rFonts w:ascii="Times New Roman" w:eastAsia="Segoe UI" w:hAnsi="Times New Roman" w:cs="Times New Roman"/>
          <w:i/>
          <w:iCs/>
          <w:color w:val="404040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color w:val="404040"/>
          <w:shd w:val="clear" w:color="auto" w:fill="FFFFFF"/>
        </w:rPr>
        <w:t>is the sum of TIACs for all target organs and the bladder.</w:t>
      </w:r>
    </w:p>
    <w:p w14:paraId="13646471" w14:textId="77777777" w:rsidR="005058B5" w:rsidRDefault="00000000">
      <w:pPr>
        <w:rPr>
          <w:rFonts w:ascii="Times New Roman" w:eastAsiaTheme="minorEastAsia" w:hAnsi="Times New Roman" w:cs="Times New Roman"/>
          <w:color w:val="404040"/>
          <w:shd w:val="clear" w:color="auto" w:fill="FFFFFF"/>
        </w:rPr>
      </w:pPr>
      <w:r>
        <w:rPr>
          <w:rFonts w:ascii="Times New Roman" w:eastAsiaTheme="minorEastAsia" w:hAnsi="Times New Roman" w:cs="Times New Roman" w:hint="eastAsia"/>
          <w:color w:val="404040"/>
          <w:shd w:val="clear" w:color="auto" w:fill="FFFFFF"/>
        </w:rPr>
        <w:br w:type="page"/>
      </w:r>
    </w:p>
    <w:p w14:paraId="0D6E0A9C" w14:textId="77777777" w:rsidR="005058B5" w:rsidRDefault="00000000">
      <w:pPr>
        <w:widowControl/>
        <w:shd w:val="clear" w:color="auto" w:fill="FFFFFF"/>
        <w:spacing w:line="15" w:lineRule="auto"/>
        <w:ind w:firstLine="640"/>
        <w:jc w:val="center"/>
        <w:rPr>
          <w:rFonts w:ascii="Times New Roman" w:eastAsiaTheme="minorEastAsia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Fonts w:ascii="Times New Roman" w:eastAsiaTheme="minorEastAsia" w:hAnsi="Times New Roman" w:cs="Times New Roman" w:hint="eastAsia"/>
          <w:color w:val="404040"/>
          <w:sz w:val="32"/>
          <w:szCs w:val="32"/>
          <w:shd w:val="clear" w:color="auto" w:fill="FFFFFF"/>
        </w:rPr>
        <w:lastRenderedPageBreak/>
        <w:t>Supplement 2</w:t>
      </w:r>
    </w:p>
    <w:p w14:paraId="5199C80E" w14:textId="77777777" w:rsidR="005058B5" w:rsidRDefault="00000000">
      <w:pPr>
        <w:ind w:firstLineChars="0" w:firstLine="0"/>
        <w:jc w:val="center"/>
      </w:pPr>
      <w:r>
        <w:rPr>
          <w:noProof/>
        </w:rPr>
        <w:drawing>
          <wp:inline distT="0" distB="0" distL="114300" distR="114300" wp14:anchorId="55BCD4B2" wp14:editId="483897C4">
            <wp:extent cx="5271135" cy="3386455"/>
            <wp:effectExtent l="0" t="0" r="190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8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CA292" w14:textId="77777777" w:rsidR="005058B5" w:rsidRDefault="00000000">
      <w:pPr>
        <w:widowControl/>
        <w:shd w:val="clear" w:color="auto" w:fill="FFFFFF"/>
        <w:spacing w:line="15" w:lineRule="auto"/>
        <w:ind w:firstLine="482"/>
        <w:jc w:val="center"/>
      </w:pPr>
      <w:r>
        <w:rPr>
          <w:rFonts w:hint="eastAsia"/>
          <w:b/>
          <w:bCs/>
        </w:rPr>
        <w:t>Fig. 1</w:t>
      </w:r>
      <w:r>
        <w:rPr>
          <w:rFonts w:hint="eastAsia"/>
        </w:rPr>
        <w:t xml:space="preserve"> Radiochemical structure of 68Ga-labeled radiotracers</w:t>
      </w:r>
    </w:p>
    <w:p w14:paraId="7B157A93" w14:textId="77777777" w:rsidR="005058B5" w:rsidRDefault="005058B5">
      <w:pPr>
        <w:widowControl/>
        <w:shd w:val="clear" w:color="auto" w:fill="FFFFFF"/>
        <w:spacing w:line="15" w:lineRule="auto"/>
        <w:jc w:val="center"/>
      </w:pPr>
    </w:p>
    <w:p w14:paraId="020C5ACF" w14:textId="77777777" w:rsidR="005058B5" w:rsidRDefault="005058B5">
      <w:pPr>
        <w:widowControl/>
        <w:shd w:val="clear" w:color="auto" w:fill="FFFFFF"/>
        <w:spacing w:line="15" w:lineRule="auto"/>
      </w:pPr>
    </w:p>
    <w:p w14:paraId="2F045EFD" w14:textId="77777777" w:rsidR="005058B5" w:rsidRDefault="005058B5">
      <w:pPr>
        <w:ind w:firstLine="482"/>
        <w:rPr>
          <w:rFonts w:ascii="Times New Roman" w:eastAsiaTheme="minorEastAsia" w:hAnsi="Times New Roman" w:cs="Times New Roman"/>
          <w:b/>
          <w:bCs/>
          <w:color w:val="404040"/>
          <w:shd w:val="clear" w:color="auto" w:fill="FFFFFF"/>
        </w:rPr>
      </w:pPr>
    </w:p>
    <w:sectPr w:rsidR="005058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95642" w14:textId="77777777" w:rsidR="00E569CE" w:rsidRDefault="00E569CE">
      <w:r>
        <w:separator/>
      </w:r>
    </w:p>
  </w:endnote>
  <w:endnote w:type="continuationSeparator" w:id="0">
    <w:p w14:paraId="6F772F5D" w14:textId="77777777" w:rsidR="00E569CE" w:rsidRDefault="00E56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8B085" w14:textId="77777777" w:rsidR="005058B5" w:rsidRDefault="005058B5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DBD16" w14:textId="77777777" w:rsidR="005058B5" w:rsidRDefault="005058B5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7F428" w14:textId="77777777" w:rsidR="005058B5" w:rsidRDefault="005058B5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20DAC" w14:textId="77777777" w:rsidR="00E569CE" w:rsidRDefault="00E569CE">
      <w:r>
        <w:separator/>
      </w:r>
    </w:p>
  </w:footnote>
  <w:footnote w:type="continuationSeparator" w:id="0">
    <w:p w14:paraId="156CFE75" w14:textId="77777777" w:rsidR="00E569CE" w:rsidRDefault="00E56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516D6" w14:textId="77777777" w:rsidR="005058B5" w:rsidRDefault="005058B5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CAFCA" w14:textId="77777777" w:rsidR="005058B5" w:rsidRDefault="005058B5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721FF" w14:textId="77777777" w:rsidR="005058B5" w:rsidRDefault="005058B5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150"/>
    <w:rsid w:val="00110EAE"/>
    <w:rsid w:val="001A5150"/>
    <w:rsid w:val="001C3159"/>
    <w:rsid w:val="003931B8"/>
    <w:rsid w:val="004E7746"/>
    <w:rsid w:val="005058B5"/>
    <w:rsid w:val="00715F73"/>
    <w:rsid w:val="0081032E"/>
    <w:rsid w:val="00A03EFA"/>
    <w:rsid w:val="00AF7E8C"/>
    <w:rsid w:val="00BB3935"/>
    <w:rsid w:val="00C32584"/>
    <w:rsid w:val="00CA7A41"/>
    <w:rsid w:val="00D04099"/>
    <w:rsid w:val="00DE0C8B"/>
    <w:rsid w:val="00DE7107"/>
    <w:rsid w:val="00E569CE"/>
    <w:rsid w:val="00FD7B6E"/>
    <w:rsid w:val="273E1D31"/>
    <w:rsid w:val="2A9F62B3"/>
    <w:rsid w:val="44C47B2E"/>
    <w:rsid w:val="462640A2"/>
    <w:rsid w:val="4B994494"/>
    <w:rsid w:val="628B5A2B"/>
    <w:rsid w:val="713B43D1"/>
    <w:rsid w:val="777E4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1ACCA"/>
  <w15:docId w15:val="{2E78D17D-4413-43D0-AFF3-8DE0DA63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ind w:firstLineChars="200" w:firstLine="480"/>
      <w:jc w:val="both"/>
    </w:pPr>
    <w:rPr>
      <w:rFonts w:ascii="Cambria" w:hAnsi="Cambria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9">
    <w:name w:val="公式"/>
    <w:basedOn w:val="a"/>
    <w:link w:val="Char"/>
    <w:qFormat/>
    <w:pPr>
      <w:tabs>
        <w:tab w:val="center" w:pos="4200"/>
        <w:tab w:val="right" w:pos="8190"/>
      </w:tabs>
      <w:ind w:firstLineChars="0" w:firstLine="0"/>
    </w:pPr>
    <w:rPr>
      <w:rFonts w:ascii="Cambria Math" w:hAnsi="Cambria Math" w:cs="Times New Roman"/>
      <w:i/>
    </w:rPr>
  </w:style>
  <w:style w:type="character" w:customStyle="1" w:styleId="Char">
    <w:name w:val="公式 Char"/>
    <w:link w:val="a9"/>
    <w:qFormat/>
    <w:rPr>
      <w:rFonts w:ascii="Cambria Math" w:eastAsia="宋体" w:hAnsi="Cambria Math" w:cs="Times New Roman"/>
      <w:i/>
      <w:kern w:val="0"/>
      <w:sz w:val="24"/>
      <w:szCs w:val="24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mbria" w:eastAsia="宋体" w:hAnsi="Cambria" w:cs="宋体"/>
      <w:kern w:val="0"/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rFonts w:ascii="Cambria" w:hAnsi="Cambria" w:cs="宋体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="Cambria" w:hAnsi="Cambria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1297</Characters>
  <Application>Microsoft Office Word</Application>
  <DocSecurity>0</DocSecurity>
  <Lines>10</Lines>
  <Paragraphs>3</Paragraphs>
  <ScaleCrop>false</ScaleCrop>
  <Company>P R C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9f29bf36763d4092b6732c803eb5ed36</dc:creator>
  <cp:lastModifiedBy>Hongxing Yang</cp:lastModifiedBy>
  <cp:revision>2</cp:revision>
  <dcterms:created xsi:type="dcterms:W3CDTF">2025-11-18T00:55:00Z</dcterms:created>
  <dcterms:modified xsi:type="dcterms:W3CDTF">2025-11-18T00:55:00Z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eyJoZGlkIjoiODkwMDVhNWRiZjE0ZTM4Nzg5ODI3NDY2OWM2YmUzNmEiLCJ1c2VySWQiOiIyOTM0OTgyOTkifQ==</vt:lpwstr>
  </property>
  <property fmtid="{D5CDD505-2E9C-101B-9397-08002B2CF9AE}" pid="3" name="KSOProductBuildVer">
    <vt:lpwstr>2052-12.1.0.23125</vt:lpwstr>
  </property>
  <property fmtid="{D5CDD505-2E9C-101B-9397-08002B2CF9AE}" pid="4" name="ICV">
    <vt:lpwstr>0023B1E8885B40E6BD39AB19E58EB73D_13</vt:lpwstr>
  </property>
</Properties>
</file>