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DD2A0C"/>
    <w:p w14:paraId="1985663D">
      <w:pPr>
        <w:rPr>
          <w:rFonts w:hint="eastAsia" w:ascii="Times New Roman" w:hAnsi="Times New Roman" w:eastAsia="宋体" w:cs="Times New Roman"/>
          <w:i w:val="0"/>
          <w:iCs w:val="0"/>
          <w:caps w:val="0"/>
          <w:color w:val="1B1B1B"/>
          <w:spacing w:val="0"/>
          <w:sz w:val="24"/>
          <w:szCs w:val="24"/>
          <w:highlight w:val="none"/>
          <w:shd w:val="clear" w:fill="FFFFFF"/>
          <w:lang w:val="en-US" w:eastAsia="zh-CN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4"/>
          <w:szCs w:val="24"/>
          <w:highlight w:val="none"/>
          <w:shd w:val="clear" w:fill="FFFFFF"/>
          <w:lang w:val="en-US" w:eastAsia="zh-CN"/>
        </w:rPr>
        <w:t>Supplementary Table S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1B1B1B"/>
          <w:spacing w:val="0"/>
          <w:sz w:val="24"/>
          <w:szCs w:val="24"/>
          <w:highlight w:val="none"/>
          <w:shd w:val="clear" w:fill="FFFFFF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4"/>
          <w:szCs w:val="24"/>
          <w:highlight w:val="none"/>
          <w:shd w:val="clear" w:fill="FFFFFF"/>
          <w:lang w:val="en-US" w:eastAsia="zh-CN"/>
        </w:rPr>
        <w:t>. Detailed scoring information and final diagnoses of all participants based on the 2016 ACR/EULAR classification criteria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1B1B1B"/>
          <w:spacing w:val="0"/>
          <w:sz w:val="24"/>
          <w:szCs w:val="24"/>
          <w:highlight w:val="none"/>
          <w:shd w:val="clear" w:fill="FFFFFF"/>
          <w:lang w:val="en-US" w:eastAsia="zh-CN"/>
        </w:rPr>
        <w:t>.</w:t>
      </w:r>
    </w:p>
    <w:p w14:paraId="038889E6">
      <w:pPr>
        <w:rPr>
          <w:rFonts w:hint="eastAsia" w:ascii="Times New Roman" w:hAnsi="Times New Roman" w:eastAsia="宋体" w:cs="Times New Roman"/>
          <w:i w:val="0"/>
          <w:iCs w:val="0"/>
          <w:caps w:val="0"/>
          <w:color w:val="1B1B1B"/>
          <w:spacing w:val="0"/>
          <w:sz w:val="24"/>
          <w:szCs w:val="24"/>
          <w:highlight w:val="none"/>
          <w:shd w:val="clear" w:fill="FFFFFF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0"/>
        <w:gridCol w:w="929"/>
        <w:gridCol w:w="1163"/>
        <w:gridCol w:w="869"/>
        <w:gridCol w:w="798"/>
        <w:gridCol w:w="1132"/>
        <w:gridCol w:w="777"/>
        <w:gridCol w:w="788"/>
        <w:gridCol w:w="1176"/>
      </w:tblGrid>
      <w:tr w14:paraId="6510E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11170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Cambria" w:cs="Times New Roman"/>
                <w:color w:val="1B1B1B"/>
                <w:sz w:val="24"/>
                <w:szCs w:val="24"/>
                <w:shd w:val="clear" w:color="auto" w:fill="FFFFFF"/>
              </w:rPr>
              <w:t>Patient no.</w:t>
            </w:r>
          </w:p>
        </w:tc>
        <w:tc>
          <w:tcPr>
            <w:tcW w:w="92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E6C4C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Group</w:t>
            </w:r>
          </w:p>
        </w:tc>
        <w:tc>
          <w:tcPr>
            <w:tcW w:w="116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FA461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Anti-</w:t>
            </w: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SSA</w:t>
            </w:r>
            <w:r>
              <w:rPr>
                <w:rStyle w:val="6"/>
                <w:rFonts w:hint="default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(3 pts)</w:t>
            </w:r>
          </w:p>
        </w:tc>
        <w:tc>
          <w:tcPr>
            <w:tcW w:w="86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8FC64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LSGB biopsy (3 pts)</w:t>
            </w:r>
          </w:p>
        </w:tc>
        <w:tc>
          <w:tcPr>
            <w:tcW w:w="79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DCD2F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OSS (1 pt)</w:t>
            </w:r>
          </w:p>
        </w:tc>
        <w:tc>
          <w:tcPr>
            <w:tcW w:w="113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E0C5E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Schirmer's (1 pt)</w:t>
            </w:r>
          </w:p>
        </w:tc>
        <w:tc>
          <w:tcPr>
            <w:tcW w:w="77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EA72D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UWS (1 pt)</w:t>
            </w:r>
          </w:p>
        </w:tc>
        <w:tc>
          <w:tcPr>
            <w:tcW w:w="78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495E6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Total Score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14:paraId="0B48CD24">
            <w:pP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Final Diagnosis</w:t>
            </w:r>
          </w:p>
        </w:tc>
      </w:tr>
      <w:tr w14:paraId="7A31C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0" w:type="dxa"/>
            <w:tcBorders>
              <w:left w:val="nil"/>
              <w:bottom w:val="nil"/>
              <w:right w:val="nil"/>
            </w:tcBorders>
          </w:tcPr>
          <w:p w14:paraId="77EF15A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929" w:type="dxa"/>
            <w:tcBorders>
              <w:left w:val="nil"/>
              <w:bottom w:val="nil"/>
              <w:right w:val="nil"/>
            </w:tcBorders>
          </w:tcPr>
          <w:p w14:paraId="7FD03D1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SS</w:t>
            </w:r>
          </w:p>
        </w:tc>
        <w:tc>
          <w:tcPr>
            <w:tcW w:w="1163" w:type="dxa"/>
            <w:tcBorders>
              <w:left w:val="nil"/>
              <w:bottom w:val="nil"/>
              <w:right w:val="nil"/>
            </w:tcBorders>
          </w:tcPr>
          <w:p w14:paraId="3AAA9FF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869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8EF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N/A</w:t>
            </w:r>
          </w:p>
        </w:tc>
        <w:tc>
          <w:tcPr>
            <w:tcW w:w="798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1DA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N/A</w:t>
            </w:r>
          </w:p>
        </w:tc>
        <w:tc>
          <w:tcPr>
            <w:tcW w:w="1132" w:type="dxa"/>
            <w:tcBorders>
              <w:left w:val="nil"/>
              <w:bottom w:val="nil"/>
              <w:right w:val="nil"/>
            </w:tcBorders>
          </w:tcPr>
          <w:p w14:paraId="089230F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777" w:type="dxa"/>
            <w:tcBorders>
              <w:left w:val="nil"/>
              <w:bottom w:val="nil"/>
              <w:right w:val="nil"/>
            </w:tcBorders>
            <w:vAlign w:val="center"/>
          </w:tcPr>
          <w:p w14:paraId="6F343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N/A</w:t>
            </w:r>
          </w:p>
        </w:tc>
        <w:tc>
          <w:tcPr>
            <w:tcW w:w="788" w:type="dxa"/>
            <w:tcBorders>
              <w:left w:val="nil"/>
              <w:bottom w:val="nil"/>
              <w:right w:val="nil"/>
            </w:tcBorders>
          </w:tcPr>
          <w:p w14:paraId="3ECCEAB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4</w:t>
            </w:r>
          </w:p>
        </w:tc>
        <w:tc>
          <w:tcPr>
            <w:tcW w:w="1176" w:type="dxa"/>
            <w:tcBorders>
              <w:left w:val="nil"/>
              <w:bottom w:val="nil"/>
              <w:right w:val="nil"/>
            </w:tcBorders>
          </w:tcPr>
          <w:p w14:paraId="6F132C2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pSS</w:t>
            </w:r>
          </w:p>
        </w:tc>
      </w:tr>
      <w:tr w14:paraId="1B301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</w:tcPr>
          <w:p w14:paraId="4AA1207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</w:tcPr>
          <w:p w14:paraId="2AE52F2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non-SS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5443872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0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BDF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N/A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FF1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N/A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14:paraId="7887C24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89C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N/A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</w:tcPr>
          <w:p w14:paraId="546FCDC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0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14:paraId="680CD06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SLE</w:t>
            </w:r>
          </w:p>
        </w:tc>
      </w:tr>
      <w:tr w14:paraId="2C4C9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</w:tcPr>
          <w:p w14:paraId="461239D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</w:tcPr>
          <w:p w14:paraId="46F8CA5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SS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7472E34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14:paraId="0DF2D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N/A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A47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N/A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14:paraId="3AB2CA1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46A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N/A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</w:tcPr>
          <w:p w14:paraId="345D0D1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14:paraId="42404AE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pSS</w:t>
            </w:r>
          </w:p>
        </w:tc>
      </w:tr>
      <w:tr w14:paraId="04F544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</w:tcPr>
          <w:p w14:paraId="03CDEFC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</w:tcPr>
          <w:p w14:paraId="6D21D3E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SS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189FFC4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14:paraId="4326334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N/A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18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N/A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14:paraId="3298664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E9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N/A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</w:tcPr>
          <w:p w14:paraId="05DD318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14:paraId="5BB3351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pSS</w:t>
            </w:r>
          </w:p>
        </w:tc>
      </w:tr>
      <w:tr w14:paraId="7B2F6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</w:tcPr>
          <w:p w14:paraId="42D2C72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</w:tcPr>
          <w:p w14:paraId="3ABBD6D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SS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4C279BF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14:paraId="3F684AD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N/A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47D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N/A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14:paraId="22B7A56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6B1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N/A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</w:tcPr>
          <w:p w14:paraId="6C60EC8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14:paraId="1764727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pSS</w:t>
            </w:r>
          </w:p>
        </w:tc>
      </w:tr>
      <w:tr w14:paraId="264D7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</w:tcPr>
          <w:p w14:paraId="579A838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</w:tcPr>
          <w:p w14:paraId="13D8C08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SS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57D6A07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14:paraId="624A6D1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N/A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1F4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N/A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14:paraId="449262F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C6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N/A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</w:tcPr>
          <w:p w14:paraId="414C620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14:paraId="49DA33D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pSS</w:t>
            </w:r>
          </w:p>
        </w:tc>
      </w:tr>
      <w:tr w14:paraId="2A0BF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</w:tcPr>
          <w:p w14:paraId="480A3FC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</w:tcPr>
          <w:p w14:paraId="406D5B7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SS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313A1D9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14:paraId="1B44D19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N/A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F46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N/A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14:paraId="5FBAF1D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134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N/A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</w:tcPr>
          <w:p w14:paraId="56C157A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14:paraId="051C2CD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pSS</w:t>
            </w:r>
          </w:p>
        </w:tc>
      </w:tr>
      <w:tr w14:paraId="2BDE3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</w:tcPr>
          <w:p w14:paraId="7A001D6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</w:tcPr>
          <w:p w14:paraId="4D08F02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SS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48B67D2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14:paraId="6E65726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N/A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913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N/A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14:paraId="0391D67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C1A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N/A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</w:tcPr>
          <w:p w14:paraId="339F9C7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14:paraId="52DBBA2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pSS</w:t>
            </w:r>
          </w:p>
        </w:tc>
      </w:tr>
      <w:tr w14:paraId="467E8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</w:tcPr>
          <w:p w14:paraId="512F1E5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</w:tcPr>
          <w:p w14:paraId="626D7CE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SS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037DCB7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14:paraId="6C8935C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N/A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EEA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N/A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14:paraId="473CBE0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403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N/A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</w:tcPr>
          <w:p w14:paraId="6CC9A2B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14:paraId="3B2F5AC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pSS</w:t>
            </w:r>
          </w:p>
        </w:tc>
      </w:tr>
      <w:tr w14:paraId="476AE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</w:tcPr>
          <w:p w14:paraId="657AB97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10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</w:tcPr>
          <w:p w14:paraId="684442F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non-SS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0A3D198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0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14:paraId="6880D71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N/A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424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N/A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14:paraId="216E3DA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D8B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N/A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</w:tcPr>
          <w:p w14:paraId="5B87F9D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0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14:paraId="5FEB31C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RA</w:t>
            </w:r>
          </w:p>
        </w:tc>
      </w:tr>
      <w:tr w14:paraId="16FBC6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</w:tcPr>
          <w:p w14:paraId="7E6D274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11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</w:tcPr>
          <w:p w14:paraId="3A4F314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SS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7562F02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14:paraId="16841A7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N/A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49B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N/A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14:paraId="0DFF6BD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E2D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N/A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</w:tcPr>
          <w:p w14:paraId="7A796B5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14:paraId="168B6E0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pSS</w:t>
            </w:r>
          </w:p>
        </w:tc>
      </w:tr>
      <w:tr w14:paraId="19C8C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</w:tcPr>
          <w:p w14:paraId="08D1FA3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12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</w:tcPr>
          <w:p w14:paraId="2469958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SS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3B3C452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14:paraId="1D33650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N/A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2FD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N/A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14:paraId="3C4FFD1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86D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N/A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</w:tcPr>
          <w:p w14:paraId="628341A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14:paraId="7A441DF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pSS</w:t>
            </w:r>
          </w:p>
        </w:tc>
      </w:tr>
      <w:tr w14:paraId="63EAB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</w:tcPr>
          <w:p w14:paraId="35529EB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13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</w:tcPr>
          <w:p w14:paraId="4A580F5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SS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3923853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14:paraId="196D626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N/A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B91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N/A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14:paraId="4419975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199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N/A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</w:tcPr>
          <w:p w14:paraId="36F14C7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14:paraId="1C105A4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pSS</w:t>
            </w:r>
          </w:p>
        </w:tc>
      </w:tr>
      <w:tr w14:paraId="6504C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</w:tcPr>
          <w:p w14:paraId="7266D94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14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</w:tcPr>
          <w:p w14:paraId="37B26BC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SS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265842D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14:paraId="40312E6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N/A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F0F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N/A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14:paraId="283E5DF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0EE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N/A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</w:tcPr>
          <w:p w14:paraId="70F5AF8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14:paraId="01CF061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pSS</w:t>
            </w:r>
          </w:p>
        </w:tc>
      </w:tr>
      <w:tr w14:paraId="707AD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</w:tcPr>
          <w:p w14:paraId="4935B84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15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</w:tcPr>
          <w:p w14:paraId="48227CF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non-SS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231C51B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0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14:paraId="6B9A4F9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N/A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B6D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N/A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14:paraId="39D8416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AC3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N/A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</w:tcPr>
          <w:p w14:paraId="63EC6AB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0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14:paraId="49691DC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MCTD</w:t>
            </w:r>
          </w:p>
        </w:tc>
      </w:tr>
      <w:tr w14:paraId="58FAE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</w:tcPr>
          <w:p w14:paraId="3A7E7BD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16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</w:tcPr>
          <w:p w14:paraId="17CEE6B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non-SS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1D8A439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0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6D4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803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N/A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708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N/A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BBB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N/A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</w:tcPr>
          <w:p w14:paraId="435CF73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0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14:paraId="7EFE086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RA</w:t>
            </w:r>
          </w:p>
        </w:tc>
      </w:tr>
      <w:tr w14:paraId="08968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</w:tcPr>
          <w:p w14:paraId="059F3A1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17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</w:tcPr>
          <w:p w14:paraId="5FC1CA5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SS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5430134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14:paraId="3F98643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N/A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198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N/A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14:paraId="0D51B18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BBC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N/A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</w:tcPr>
          <w:p w14:paraId="6B49CBF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14:paraId="59A4F3D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pSS</w:t>
            </w:r>
          </w:p>
        </w:tc>
      </w:tr>
      <w:tr w14:paraId="3C3A0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</w:tcPr>
          <w:p w14:paraId="31B9B41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18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</w:tcPr>
          <w:p w14:paraId="4F00853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non-SS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2ABBD0B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0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14:paraId="1A661AE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N/A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D86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N/A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14:paraId="3A5CBB4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EE1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N/A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</w:tcPr>
          <w:p w14:paraId="6D09442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0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14:paraId="3435708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SLE</w:t>
            </w:r>
          </w:p>
        </w:tc>
      </w:tr>
      <w:tr w14:paraId="645DD1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</w:tcPr>
          <w:p w14:paraId="5911845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19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</w:tcPr>
          <w:p w14:paraId="4608A7A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SS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7651BE5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14:paraId="14A595A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N/A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DAB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N/A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14:paraId="5834AEB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359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N/A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</w:tcPr>
          <w:p w14:paraId="774EC5C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14:paraId="30DC3FA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pSS</w:t>
            </w:r>
          </w:p>
        </w:tc>
      </w:tr>
      <w:tr w14:paraId="6CD1C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</w:tcPr>
          <w:p w14:paraId="153776D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20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</w:tcPr>
          <w:p w14:paraId="28B411CC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non-SS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735C09A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0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14:paraId="2480B24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N/A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F85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N/A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14:paraId="605E013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4A3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N/A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</w:tcPr>
          <w:p w14:paraId="7369E13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0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14:paraId="220E9C4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MCTD</w:t>
            </w:r>
          </w:p>
        </w:tc>
      </w:tr>
      <w:tr w14:paraId="28D16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0" w:type="dxa"/>
            <w:tcBorders>
              <w:top w:val="nil"/>
              <w:left w:val="nil"/>
              <w:right w:val="nil"/>
            </w:tcBorders>
          </w:tcPr>
          <w:p w14:paraId="4A2E25F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21</w:t>
            </w:r>
          </w:p>
        </w:tc>
        <w:tc>
          <w:tcPr>
            <w:tcW w:w="929" w:type="dxa"/>
            <w:tcBorders>
              <w:top w:val="nil"/>
              <w:left w:val="nil"/>
              <w:right w:val="nil"/>
            </w:tcBorders>
          </w:tcPr>
          <w:p w14:paraId="1D3891E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SS</w:t>
            </w:r>
          </w:p>
        </w:tc>
        <w:tc>
          <w:tcPr>
            <w:tcW w:w="1163" w:type="dxa"/>
            <w:tcBorders>
              <w:top w:val="nil"/>
              <w:left w:val="nil"/>
              <w:right w:val="nil"/>
            </w:tcBorders>
          </w:tcPr>
          <w:p w14:paraId="31D49A2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869" w:type="dxa"/>
            <w:tcBorders>
              <w:top w:val="nil"/>
              <w:left w:val="nil"/>
              <w:right w:val="nil"/>
            </w:tcBorders>
          </w:tcPr>
          <w:p w14:paraId="2096045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N/A</w:t>
            </w:r>
          </w:p>
        </w:tc>
        <w:tc>
          <w:tcPr>
            <w:tcW w:w="798" w:type="dxa"/>
            <w:tcBorders>
              <w:top w:val="nil"/>
              <w:left w:val="nil"/>
              <w:right w:val="nil"/>
            </w:tcBorders>
            <w:vAlign w:val="center"/>
          </w:tcPr>
          <w:p w14:paraId="485F5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N/A</w:t>
            </w:r>
          </w:p>
        </w:tc>
        <w:tc>
          <w:tcPr>
            <w:tcW w:w="1132" w:type="dxa"/>
            <w:tcBorders>
              <w:top w:val="nil"/>
              <w:left w:val="nil"/>
              <w:right w:val="nil"/>
            </w:tcBorders>
          </w:tcPr>
          <w:p w14:paraId="05A9FA0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777" w:type="dxa"/>
            <w:tcBorders>
              <w:top w:val="nil"/>
              <w:left w:val="nil"/>
              <w:right w:val="nil"/>
            </w:tcBorders>
            <w:vAlign w:val="center"/>
          </w:tcPr>
          <w:p w14:paraId="1A61C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N/A</w:t>
            </w:r>
          </w:p>
        </w:tc>
        <w:tc>
          <w:tcPr>
            <w:tcW w:w="788" w:type="dxa"/>
            <w:tcBorders>
              <w:top w:val="nil"/>
              <w:left w:val="nil"/>
              <w:right w:val="nil"/>
            </w:tcBorders>
          </w:tcPr>
          <w:p w14:paraId="5A4FB03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4</w:t>
            </w:r>
          </w:p>
        </w:tc>
        <w:tc>
          <w:tcPr>
            <w:tcW w:w="1176" w:type="dxa"/>
            <w:tcBorders>
              <w:top w:val="nil"/>
              <w:left w:val="nil"/>
              <w:right w:val="nil"/>
            </w:tcBorders>
          </w:tcPr>
          <w:p w14:paraId="3F9679C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pSS</w:t>
            </w:r>
          </w:p>
        </w:tc>
      </w:tr>
    </w:tbl>
    <w:p w14:paraId="4DA06332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4"/>
          <w:szCs w:val="24"/>
          <w:highlight w:val="none"/>
          <w:shd w:val="clear" w:fill="FFFFFF"/>
          <w:lang w:val="en-US" w:eastAsia="zh-CN"/>
        </w:rPr>
      </w:pPr>
    </w:p>
    <w:p w14:paraId="3676C084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4"/>
          <w:szCs w:val="24"/>
          <w:highlight w:val="none"/>
          <w:shd w:val="clear" w:fill="FFFFFF"/>
          <w:lang w:val="en-US" w:eastAsia="zh-CN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4"/>
          <w:szCs w:val="24"/>
          <w:highlight w:val="none"/>
          <w:shd w:val="clear" w:fill="FFFFFF"/>
          <w:lang w:val="en-US" w:eastAsia="zh-CN"/>
        </w:rPr>
        <w:t>Abbreviations: pSS, primary Sjögren's syndrome; SLE, systemic lupus erythematosus; RA, rheumatoid arthritis; MCTD, mixed connective tissue disease; LSGB, labial salivary gland biopsy; OSS, ocular staining score; UWS, unstimulated whole saliva flow rate. N/A indicates not applicable or not performed. According to the 2016 ACR/EULAR criteria, a diagnosis is established if the total score is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1B1B1B"/>
          <w:spacing w:val="0"/>
          <w:sz w:val="24"/>
          <w:szCs w:val="24"/>
          <w:highlight w:val="none"/>
          <w:shd w:val="clear" w:fill="FFFFFF"/>
          <w:lang w:val="en-US" w:eastAsia="zh-CN"/>
        </w:rPr>
        <w:t xml:space="preserve"> </w:t>
      </w:r>
      <w:r>
        <w:rPr>
          <w:rFonts w:hint="default" w:ascii="Arial" w:hAnsi="Arial" w:eastAsia="宋体" w:cs="Arial"/>
          <w:i w:val="0"/>
          <w:iCs w:val="0"/>
          <w:caps w:val="0"/>
          <w:color w:val="1B1B1B"/>
          <w:spacing w:val="0"/>
          <w:sz w:val="24"/>
          <w:szCs w:val="24"/>
          <w:highlight w:val="none"/>
          <w:shd w:val="clear" w:fill="FFFFFF"/>
          <w:lang w:val="en-US" w:eastAsia="zh-CN"/>
        </w:rPr>
        <w:t>≥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4"/>
          <w:szCs w:val="24"/>
          <w:highlight w:val="none"/>
          <w:shd w:val="clear" w:fill="FFFFFF"/>
          <w:lang w:val="en-US" w:eastAsia="zh-CN"/>
        </w:rPr>
        <w:t xml:space="preserve"> 4. For patients in the SS group, the diagnosis was already firmly established based on strong serological (Anti-SSA = 3) and ocular (Schirmer's test = 1) evidence. Thus, to avoid unnecessary harm, further invasive procedures such as LSGB were not clinically mandated.</w:t>
      </w:r>
    </w:p>
    <w:p w14:paraId="43006CD7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4"/>
          <w:szCs w:val="24"/>
          <w:highlight w:val="none"/>
          <w:shd w:val="clear" w:fill="FFFFFF"/>
          <w:lang w:val="en-US" w:eastAsia="zh-CN"/>
        </w:rPr>
      </w:pPr>
    </w:p>
    <w:p w14:paraId="4311FD72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4"/>
          <w:szCs w:val="24"/>
          <w:highlight w:val="none"/>
          <w:shd w:val="clear" w:fill="FFFFFF"/>
          <w:lang w:val="en-US" w:eastAsia="zh-CN"/>
        </w:rPr>
      </w:pPr>
    </w:p>
    <w:p w14:paraId="73D64D5A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4"/>
          <w:szCs w:val="24"/>
          <w:highlight w:val="none"/>
          <w:shd w:val="clear" w:fill="FFFFFF"/>
          <w:lang w:val="en-US" w:eastAsia="zh-CN"/>
        </w:rPr>
      </w:pPr>
    </w:p>
    <w:p w14:paraId="4D771955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4"/>
          <w:szCs w:val="24"/>
          <w:highlight w:val="none"/>
          <w:shd w:val="clear" w:fill="FFFFFF"/>
          <w:lang w:val="en-US" w:eastAsia="zh-CN"/>
        </w:rPr>
      </w:pPr>
    </w:p>
    <w:p w14:paraId="756F04FB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4"/>
          <w:szCs w:val="24"/>
          <w:highlight w:val="none"/>
          <w:shd w:val="clear" w:fill="FFFFFF"/>
          <w:lang w:val="en-US" w:eastAsia="zh-CN"/>
        </w:rPr>
      </w:pPr>
    </w:p>
    <w:p w14:paraId="4A3AAB9D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4"/>
          <w:szCs w:val="24"/>
          <w:highlight w:val="none"/>
          <w:shd w:val="clear" w:fill="FFFFFF"/>
          <w:lang w:val="en-US" w:eastAsia="zh-CN"/>
        </w:rPr>
      </w:pPr>
    </w:p>
    <w:p w14:paraId="1D06EBF9">
      <w:pPr>
        <w:jc w:val="left"/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4"/>
          <w:szCs w:val="24"/>
          <w:highlight w:val="none"/>
          <w:shd w:val="clear" w:fill="FFFFFF"/>
          <w:lang w:val="en-US" w:eastAsia="zh-CN"/>
        </w:rPr>
      </w:pPr>
      <w:bookmarkStart w:id="0" w:name="_GoBack"/>
      <w:bookmarkEnd w:id="0"/>
    </w:p>
    <w:p w14:paraId="6F337AE2">
      <w:pPr>
        <w:numPr>
          <w:ilvl w:val="0"/>
          <w:numId w:val="0"/>
        </w:numPr>
        <w:jc w:val="center"/>
        <w:rPr>
          <w:rFonts w:hint="default" w:ascii="Times New Roman" w:hAnsi="Times New Roman" w:eastAsia="Cambria" w:cs="Times New Roman"/>
          <w:i w:val="0"/>
          <w:iCs w:val="0"/>
          <w:caps w:val="0"/>
          <w:color w:val="1B1B1B"/>
          <w:spacing w:val="0"/>
          <w:sz w:val="22"/>
          <w:szCs w:val="22"/>
          <w:shd w:val="clear" w:fill="FFFFFF"/>
          <w:lang w:val="en-US" w:eastAsia="zh-CN"/>
        </w:rPr>
      </w:pPr>
    </w:p>
    <w:p w14:paraId="77D4E3D2">
      <w:pPr>
        <w:numPr>
          <w:ilvl w:val="0"/>
          <w:numId w:val="0"/>
        </w:numPr>
        <w:jc w:val="both"/>
        <w:rPr>
          <w:rFonts w:hint="default" w:ascii="Times New Roman" w:hAnsi="Times New Roman" w:eastAsia="Cambria" w:cs="Times New Roman"/>
          <w:b w:val="0"/>
          <w:bCs w:val="0"/>
          <w:i w:val="0"/>
          <w:iCs w:val="0"/>
          <w:caps w:val="0"/>
          <w:color w:val="1B1B1B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Times New Roman" w:hAnsi="Times New Roman" w:eastAsia="Cambria" w:cs="Times New Roman"/>
          <w:i w:val="0"/>
          <w:iCs w:val="0"/>
          <w:caps w:val="0"/>
          <w:color w:val="1B1B1B"/>
          <w:spacing w:val="0"/>
          <w:sz w:val="24"/>
          <w:szCs w:val="24"/>
          <w:shd w:val="clear" w:fill="FFFFFF"/>
          <w:lang w:val="en-US" w:eastAsia="zh-CN"/>
        </w:rPr>
        <w:t>Supplementary Table S</w:t>
      </w:r>
      <w:r>
        <w:rPr>
          <w:rFonts w:hint="eastAsia" w:ascii="Times New Roman" w:hAnsi="Times New Roman" w:eastAsia="Cambria" w:cs="Times New Roman"/>
          <w:i w:val="0"/>
          <w:iCs w:val="0"/>
          <w:caps w:val="0"/>
          <w:color w:val="1B1B1B"/>
          <w:spacing w:val="0"/>
          <w:sz w:val="24"/>
          <w:szCs w:val="24"/>
          <w:shd w:val="clear" w:fill="FFFFFF"/>
          <w:lang w:val="en-US" w:eastAsia="zh-CN"/>
        </w:rPr>
        <w:t>2</w:t>
      </w:r>
      <w:r>
        <w:rPr>
          <w:rFonts w:hint="default" w:ascii="Times New Roman" w:hAnsi="Times New Roman" w:eastAsia="Cambria" w:cs="Times New Roman"/>
          <w:i w:val="0"/>
          <w:iCs w:val="0"/>
          <w:caps w:val="0"/>
          <w:color w:val="1B1B1B"/>
          <w:spacing w:val="0"/>
          <w:sz w:val="24"/>
          <w:szCs w:val="24"/>
          <w:shd w:val="clear" w:fill="FFFFFF"/>
          <w:lang w:val="en-US" w:eastAsia="zh-CN"/>
        </w:rPr>
        <w:t>.  Agreement Between Visual and Semiquantitative Analyses in [</w:t>
      </w:r>
      <w:r>
        <w:rPr>
          <w:rFonts w:hint="default" w:ascii="Times New Roman" w:hAnsi="Times New Roman" w:eastAsia="Cambria" w:cs="Times New Roman"/>
          <w:i w:val="0"/>
          <w:iCs w:val="0"/>
          <w:caps w:val="0"/>
          <w:color w:val="1B1B1B"/>
          <w:spacing w:val="0"/>
          <w:sz w:val="24"/>
          <w:szCs w:val="24"/>
          <w:shd w:val="clear" w:fill="FFFFFF"/>
          <w:vertAlign w:val="superscript"/>
          <w:lang w:val="en-US" w:eastAsia="zh-CN"/>
        </w:rPr>
        <w:t>68</w:t>
      </w:r>
      <w:r>
        <w:rPr>
          <w:rFonts w:hint="default" w:ascii="Times New Roman" w:hAnsi="Times New Roman" w:eastAsia="Cambria" w:cs="Times New Roman"/>
          <w:i w:val="0"/>
          <w:iCs w:val="0"/>
          <w:caps w:val="0"/>
          <w:color w:val="1B1B1B"/>
          <w:spacing w:val="0"/>
          <w:sz w:val="24"/>
          <w:szCs w:val="24"/>
          <w:shd w:val="clear" w:fill="FFFFFF"/>
          <w:lang w:val="en-US" w:eastAsia="zh-CN"/>
        </w:rPr>
        <w:t>Ga]Ga-FAPI-04 PET/CT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2"/>
        <w:gridCol w:w="697"/>
        <w:gridCol w:w="1526"/>
        <w:gridCol w:w="2146"/>
        <w:gridCol w:w="1243"/>
        <w:gridCol w:w="794"/>
        <w:gridCol w:w="794"/>
      </w:tblGrid>
      <w:tr w14:paraId="49F142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2019" w:type="dxa"/>
            <w:gridSpan w:val="2"/>
            <w:vMerge w:val="restart"/>
            <w:tcBorders>
              <w:top w:val="single" w:color="auto" w:sz="12" w:space="0"/>
              <w:left w:val="nil"/>
              <w:bottom w:val="nil"/>
              <w:right w:val="nil"/>
            </w:tcBorders>
          </w:tcPr>
          <w:p w14:paraId="2CF6E80E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parameter</w:t>
            </w:r>
          </w:p>
        </w:tc>
        <w:tc>
          <w:tcPr>
            <w:tcW w:w="3672" w:type="dxa"/>
            <w:gridSpan w:val="2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60849AD2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presence of abnormality (normal / abnormal)</w:t>
            </w:r>
          </w:p>
        </w:tc>
        <w:tc>
          <w:tcPr>
            <w:tcW w:w="1243" w:type="dxa"/>
            <w:vMerge w:val="restart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1A3F1001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M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cNemer test(p value)</w:t>
            </w:r>
          </w:p>
        </w:tc>
        <w:tc>
          <w:tcPr>
            <w:tcW w:w="1588" w:type="dxa"/>
            <w:gridSpan w:val="2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4F02F1F0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Kappa(K)</w:t>
            </w:r>
          </w:p>
        </w:tc>
      </w:tr>
      <w:tr w14:paraId="6E9B0A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2019" w:type="dxa"/>
            <w:gridSpan w:val="2"/>
            <w:vMerge w:val="continue"/>
            <w:tcBorders>
              <w:top w:val="nil"/>
              <w:left w:val="nil"/>
              <w:bottom w:val="single" w:color="auto" w:sz="6" w:space="0"/>
              <w:right w:val="nil"/>
            </w:tcBorders>
          </w:tcPr>
          <w:p w14:paraId="6BEC8EE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5AC6D0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textAlignment w:val="auto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visual analysis</w:t>
            </w:r>
          </w:p>
        </w:tc>
        <w:tc>
          <w:tcPr>
            <w:tcW w:w="2146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 w14:paraId="21B98BF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textAlignment w:val="auto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semiquantitative analysis using cut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off value</w:t>
            </w:r>
          </w:p>
        </w:tc>
        <w:tc>
          <w:tcPr>
            <w:tcW w:w="1243" w:type="dxa"/>
            <w:vMerge w:val="continue"/>
            <w:tcBorders>
              <w:top w:val="nil"/>
              <w:left w:val="nil"/>
              <w:bottom w:val="single" w:color="auto" w:sz="6" w:space="0"/>
              <w:right w:val="nil"/>
            </w:tcBorders>
          </w:tcPr>
          <w:p w14:paraId="1D9220F4">
            <w:p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794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 w14:paraId="6970241F">
            <w:p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sz w:val="24"/>
                <w:szCs w:val="24"/>
                <w:lang w:val="en-US" w:eastAsia="zh-CN"/>
              </w:rPr>
              <w:t>P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value</w:t>
            </w:r>
          </w:p>
        </w:tc>
        <w:tc>
          <w:tcPr>
            <w:tcW w:w="794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 w14:paraId="2A0590BD">
            <w:p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k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value</w:t>
            </w:r>
          </w:p>
        </w:tc>
      </w:tr>
      <w:tr w14:paraId="25BBA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22" w:type="dxa"/>
            <w:vMerge w:val="restart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6719DF5D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PG at 10 mins</w:t>
            </w:r>
          </w:p>
        </w:tc>
        <w:tc>
          <w:tcPr>
            <w:tcW w:w="697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4CA09230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right</w:t>
            </w:r>
          </w:p>
        </w:tc>
        <w:tc>
          <w:tcPr>
            <w:tcW w:w="1526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67A3DAC3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5/16</w:t>
            </w:r>
          </w:p>
        </w:tc>
        <w:tc>
          <w:tcPr>
            <w:tcW w:w="2146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564760C1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11/10</w:t>
            </w:r>
          </w:p>
        </w:tc>
        <w:tc>
          <w:tcPr>
            <w:tcW w:w="1243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586E2C44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0.031</w:t>
            </w:r>
          </w:p>
        </w:tc>
        <w:tc>
          <w:tcPr>
            <w:tcW w:w="794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51EDAB93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0.015</w:t>
            </w:r>
          </w:p>
        </w:tc>
        <w:tc>
          <w:tcPr>
            <w:tcW w:w="794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647991C3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0.442</w:t>
            </w:r>
          </w:p>
        </w:tc>
      </w:tr>
      <w:tr w14:paraId="1C54B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1322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B4BC5A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</w:tcPr>
          <w:p w14:paraId="15D0D706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left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64764EE6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5/16</w:t>
            </w: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</w:tcPr>
          <w:p w14:paraId="2CF24FF9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6/15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14:paraId="5591E915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14:paraId="1496260F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 xml:space="preserve">0.004  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14:paraId="033FEB17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0.632</w:t>
            </w:r>
          </w:p>
        </w:tc>
      </w:tr>
      <w:tr w14:paraId="6E7019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132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6CA73A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SM</w:t>
            </w: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 xml:space="preserve"> at 10 mins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</w:tcPr>
          <w:p w14:paraId="1500EA6B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right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133AED96">
            <w:pPr>
              <w:jc w:val="center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9/12</w:t>
            </w: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</w:tcPr>
          <w:p w14:paraId="3924A6AB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11/10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14:paraId="01118FB9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0.5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14:paraId="39EBE1BC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 xml:space="preserve">&lt;0.001 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14:paraId="068F4B45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0.811</w:t>
            </w:r>
          </w:p>
        </w:tc>
      </w:tr>
      <w:tr w14:paraId="4DD07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1322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59D62A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</w:tcPr>
          <w:p w14:paraId="26407FC8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left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52E0C9CD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10/11</w:t>
            </w: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</w:tcPr>
          <w:p w14:paraId="68071DE6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12/9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14:paraId="78E54265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0.625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14:paraId="4B341A47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 xml:space="preserve">0.004 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14:paraId="32F6BE26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0.622</w:t>
            </w:r>
          </w:p>
        </w:tc>
      </w:tr>
      <w:tr w14:paraId="6FE69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7436DA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lang w:val="en-US" w:eastAsia="zh-CN"/>
              </w:rPr>
              <w:t xml:space="preserve">SL </w:t>
            </w: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at 10 mins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</w:tcPr>
          <w:p w14:paraId="52C9C3F6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right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791F7575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11/10</w:t>
            </w: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</w:tcPr>
          <w:p w14:paraId="1DA7E653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11/10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14:paraId="077E6011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14:paraId="4AD6D8BF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&lt;0.001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14:paraId="0220CEF2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0.809</w:t>
            </w:r>
          </w:p>
        </w:tc>
      </w:tr>
      <w:tr w14:paraId="1375D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2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042E1B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</w:tcPr>
          <w:p w14:paraId="169FF0AC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left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1256D3F7">
            <w:pPr>
              <w:jc w:val="center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11/10</w:t>
            </w: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</w:tcPr>
          <w:p w14:paraId="61C785E6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11/10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14:paraId="77C23A75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14:paraId="099B5AA5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 xml:space="preserve">0.005 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14:paraId="4D294D3A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0.618</w:t>
            </w:r>
          </w:p>
        </w:tc>
      </w:tr>
      <w:tr w14:paraId="49DC2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17E2FB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PG at 40 mins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</w:tcPr>
          <w:p w14:paraId="66B349AD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right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52B096AA">
            <w:pPr>
              <w:jc w:val="center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10/11</w:t>
            </w: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</w:tcPr>
          <w:p w14:paraId="3475D227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13/8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14:paraId="4E359CF5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0.25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14:paraId="63241DC4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0.001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14:paraId="581F8D4C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0.717</w:t>
            </w:r>
          </w:p>
        </w:tc>
      </w:tr>
      <w:tr w14:paraId="00A18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2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6F7319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</w:tcPr>
          <w:p w14:paraId="3960DC3B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left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71852AA6">
            <w:pPr>
              <w:jc w:val="center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10/11</w:t>
            </w: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</w:tcPr>
          <w:p w14:paraId="381AE5D0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9/12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14:paraId="01BED431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14:paraId="14FF82BA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&lt;0.001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14:paraId="360EC75B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0.904</w:t>
            </w:r>
          </w:p>
        </w:tc>
      </w:tr>
      <w:tr w14:paraId="6E9AC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97F00A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SM</w:t>
            </w: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 xml:space="preserve"> at 40 mins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</w:tcPr>
          <w:p w14:paraId="009C918E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right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794DA7C4">
            <w:pPr>
              <w:jc w:val="center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13/8</w:t>
            </w: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</w:tcPr>
          <w:p w14:paraId="626C631C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12/9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14:paraId="27B52420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14:paraId="6927CCE0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&lt;0.001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14:paraId="5B379FC6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0.901</w:t>
            </w:r>
          </w:p>
        </w:tc>
      </w:tr>
      <w:tr w14:paraId="73B79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2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F0FE2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</w:tcPr>
          <w:p w14:paraId="2100FA8D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left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47D1BA7F">
            <w:pPr>
              <w:jc w:val="center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14/7</w:t>
            </w: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</w:tcPr>
          <w:p w14:paraId="796C9A90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12/9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14:paraId="63343F8E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0.5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14:paraId="45C2626A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&lt;0.001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14:paraId="18EC6819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0.800</w:t>
            </w:r>
          </w:p>
        </w:tc>
      </w:tr>
      <w:tr w14:paraId="48193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1CE7D2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lang w:val="en-US" w:eastAsia="zh-CN"/>
              </w:rPr>
              <w:t xml:space="preserve">SL </w:t>
            </w: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at 40 mins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</w:tcPr>
          <w:p w14:paraId="514DA5D2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right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0EFE7A78">
            <w:pPr>
              <w:jc w:val="center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19/2</w:t>
            </w: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</w:tcPr>
          <w:p w14:paraId="213F5526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12/9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14:paraId="54C2AE71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0.016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14:paraId="41206D56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0.086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14:paraId="1A4C3CD1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0.246</w:t>
            </w:r>
          </w:p>
        </w:tc>
      </w:tr>
      <w:tr w14:paraId="592C2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2" w:type="dxa"/>
            <w:vMerge w:val="continue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4C6808EE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568265F8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left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3A928F2A">
            <w:pPr>
              <w:jc w:val="center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19/2</w:t>
            </w:r>
          </w:p>
        </w:tc>
        <w:tc>
          <w:tcPr>
            <w:tcW w:w="2146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2FBA8D43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5/16</w:t>
            </w:r>
          </w:p>
        </w:tc>
        <w:tc>
          <w:tcPr>
            <w:tcW w:w="1243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115BCE02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&lt;0.001</w:t>
            </w:r>
          </w:p>
        </w:tc>
        <w:tc>
          <w:tcPr>
            <w:tcW w:w="794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25D52080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0.406</w:t>
            </w:r>
          </w:p>
        </w:tc>
        <w:tc>
          <w:tcPr>
            <w:tcW w:w="794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76A5B832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0.064</w:t>
            </w:r>
          </w:p>
        </w:tc>
      </w:tr>
    </w:tbl>
    <w:p w14:paraId="6C1CFED8">
      <w:pPr>
        <w:rPr>
          <w:rFonts w:hint="default" w:ascii="Times New Roman" w:hAnsi="Times New Roman" w:eastAsia="Cambria" w:cs="Times New Roman"/>
          <w:i w:val="0"/>
          <w:iCs w:val="0"/>
          <w:caps w:val="0"/>
          <w:color w:val="1B1B1B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Times New Roman" w:hAnsi="Times New Roman" w:eastAsia="Cambria" w:cs="Times New Roman"/>
          <w:i w:val="0"/>
          <w:iCs w:val="0"/>
          <w:caps w:val="0"/>
          <w:color w:val="1B1B1B"/>
          <w:spacing w:val="0"/>
          <w:sz w:val="24"/>
          <w:szCs w:val="24"/>
          <w:shd w:val="clear" w:fill="FFFFFF"/>
          <w:lang w:val="en-US" w:eastAsia="zh-CN"/>
        </w:rPr>
        <w:t>PG = parotid gland; SM = submandibular gland; SL = sublingual gland</w:t>
      </w:r>
    </w:p>
    <w:p w14:paraId="697CF7D9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4"/>
          <w:szCs w:val="24"/>
          <w:highlight w:val="none"/>
          <w:shd w:val="clear" w:fill="FFFFFF"/>
          <w:lang w:val="en-US" w:eastAsia="zh-CN"/>
        </w:rPr>
      </w:pPr>
    </w:p>
    <w:p w14:paraId="67A7E61B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4"/>
          <w:szCs w:val="24"/>
          <w:highlight w:val="none"/>
          <w:shd w:val="clear" w:fill="FFFFFF"/>
          <w:lang w:val="en-US" w:eastAsia="zh-CN"/>
        </w:rPr>
      </w:pPr>
    </w:p>
    <w:p w14:paraId="4B7EADBD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4"/>
          <w:szCs w:val="24"/>
          <w:highlight w:val="none"/>
          <w:shd w:val="clear" w:fill="FFFFFF"/>
          <w:lang w:val="en-US" w:eastAsia="zh-CN"/>
        </w:rPr>
      </w:pPr>
    </w:p>
    <w:p w14:paraId="1DB35C03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4"/>
          <w:szCs w:val="24"/>
          <w:highlight w:val="none"/>
          <w:shd w:val="clear" w:fill="FFFFFF"/>
          <w:lang w:val="en-US" w:eastAsia="zh-CN"/>
        </w:rPr>
      </w:pPr>
    </w:p>
    <w:p w14:paraId="178544F3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4"/>
          <w:szCs w:val="24"/>
          <w:highlight w:val="none"/>
          <w:shd w:val="clear" w:fill="FFFFFF"/>
          <w:lang w:val="en-US" w:eastAsia="zh-CN"/>
        </w:rPr>
      </w:pPr>
    </w:p>
    <w:p w14:paraId="4751101C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4"/>
          <w:szCs w:val="24"/>
          <w:highlight w:val="none"/>
          <w:shd w:val="clear" w:fill="FFFFFF"/>
          <w:lang w:val="en-US" w:eastAsia="zh-CN"/>
        </w:rPr>
      </w:pPr>
    </w:p>
    <w:p w14:paraId="43C70B6E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4"/>
          <w:szCs w:val="24"/>
          <w:highlight w:val="none"/>
          <w:shd w:val="clear" w:fill="FFFFFF"/>
          <w:lang w:val="en-US" w:eastAsia="zh-CN"/>
        </w:rPr>
      </w:pPr>
    </w:p>
    <w:p w14:paraId="39A4B9FB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4"/>
          <w:szCs w:val="24"/>
          <w:highlight w:val="none"/>
          <w:shd w:val="clear" w:fill="FFFFFF"/>
          <w:lang w:val="en-US" w:eastAsia="zh-CN"/>
        </w:rPr>
      </w:pPr>
    </w:p>
    <w:p w14:paraId="4AEC2C97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4"/>
          <w:szCs w:val="24"/>
          <w:highlight w:val="none"/>
          <w:shd w:val="clear" w:fill="FFFFFF"/>
          <w:lang w:val="en-US" w:eastAsia="zh-CN"/>
        </w:rPr>
      </w:pPr>
    </w:p>
    <w:p w14:paraId="21001A66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4"/>
          <w:szCs w:val="24"/>
          <w:highlight w:val="none"/>
          <w:shd w:val="clear" w:fill="FFFFFF"/>
          <w:lang w:val="en-US" w:eastAsia="zh-CN"/>
        </w:rPr>
      </w:pPr>
    </w:p>
    <w:p w14:paraId="1247DBD5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4"/>
          <w:szCs w:val="24"/>
          <w:highlight w:val="none"/>
          <w:shd w:val="clear" w:fill="FFFFFF"/>
          <w:lang w:val="en-US" w:eastAsia="zh-CN"/>
        </w:rPr>
      </w:pPr>
    </w:p>
    <w:p w14:paraId="07D19AA6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4"/>
          <w:szCs w:val="24"/>
          <w:highlight w:val="none"/>
          <w:shd w:val="clear" w:fill="FFFFFF"/>
          <w:lang w:val="en-US" w:eastAsia="zh-CN"/>
        </w:rPr>
      </w:pPr>
    </w:p>
    <w:p w14:paraId="4E4CE423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4"/>
          <w:szCs w:val="24"/>
          <w:highlight w:val="none"/>
          <w:shd w:val="clear" w:fill="FFFFFF"/>
          <w:lang w:val="en-US" w:eastAsia="zh-CN"/>
        </w:rPr>
      </w:pPr>
    </w:p>
    <w:p w14:paraId="0B4B1B19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4"/>
          <w:szCs w:val="24"/>
          <w:highlight w:val="none"/>
          <w:shd w:val="clear" w:fill="FFFFFF"/>
          <w:lang w:val="en-US" w:eastAsia="zh-CN"/>
        </w:rPr>
      </w:pPr>
    </w:p>
    <w:p w14:paraId="48C5F734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4"/>
          <w:szCs w:val="24"/>
          <w:highlight w:val="none"/>
          <w:shd w:val="clear" w:fill="FFFFFF"/>
          <w:lang w:val="en-US" w:eastAsia="zh-CN"/>
        </w:rPr>
      </w:pPr>
    </w:p>
    <w:p w14:paraId="50135E25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4"/>
          <w:szCs w:val="24"/>
          <w:highlight w:val="none"/>
          <w:shd w:val="clear" w:fill="FFFFFF"/>
          <w:lang w:val="en-US" w:eastAsia="zh-CN"/>
        </w:rPr>
      </w:pPr>
    </w:p>
    <w:p w14:paraId="4860E358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4"/>
          <w:szCs w:val="24"/>
          <w:highlight w:val="none"/>
          <w:shd w:val="clear" w:fill="FFFFFF"/>
          <w:lang w:val="en-US" w:eastAsia="zh-CN"/>
        </w:rPr>
      </w:pPr>
    </w:p>
    <w:p w14:paraId="6435F8E9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4"/>
          <w:szCs w:val="24"/>
          <w:highlight w:val="none"/>
          <w:shd w:val="clear" w:fill="FFFFFF"/>
          <w:lang w:val="en-US" w:eastAsia="zh-CN"/>
        </w:rPr>
      </w:pPr>
    </w:p>
    <w:p w14:paraId="6284FE93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4"/>
          <w:szCs w:val="24"/>
          <w:highlight w:val="none"/>
          <w:shd w:val="clear" w:fill="FFFFFF"/>
          <w:lang w:val="en-US" w:eastAsia="zh-CN"/>
        </w:rPr>
      </w:pPr>
    </w:p>
    <w:p w14:paraId="6430312A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4"/>
          <w:szCs w:val="24"/>
          <w:highlight w:val="none"/>
          <w:shd w:val="clear" w:fill="FFFFFF"/>
          <w:lang w:val="en-US" w:eastAsia="zh-CN"/>
        </w:rPr>
      </w:pPr>
    </w:p>
    <w:p w14:paraId="1ABE9344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4"/>
          <w:szCs w:val="24"/>
          <w:highlight w:val="none"/>
          <w:shd w:val="clear" w:fill="FFFFFF"/>
          <w:lang w:val="en-US" w:eastAsia="zh-CN"/>
        </w:rPr>
      </w:pPr>
    </w:p>
    <w:p w14:paraId="63FEE808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4"/>
          <w:szCs w:val="24"/>
          <w:highlight w:val="none"/>
          <w:shd w:val="clear" w:fill="FFFFFF"/>
          <w:lang w:val="en-US" w:eastAsia="zh-CN"/>
        </w:rPr>
      </w:pPr>
    </w:p>
    <w:p w14:paraId="39D3BA4E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4"/>
          <w:szCs w:val="24"/>
          <w:highlight w:val="none"/>
          <w:shd w:val="clear" w:fill="FFFFFF"/>
          <w:lang w:val="en-US" w:eastAsia="zh-CN"/>
        </w:rPr>
      </w:pPr>
    </w:p>
    <w:p w14:paraId="0E01644C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4"/>
          <w:szCs w:val="24"/>
          <w:highlight w:val="none"/>
          <w:shd w:val="clear" w:fill="FFFFFF"/>
          <w:lang w:val="en-US" w:eastAsia="zh-CN"/>
        </w:rPr>
      </w:pPr>
    </w:p>
    <w:p w14:paraId="2543FC43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4"/>
          <w:szCs w:val="24"/>
          <w:highlight w:val="none"/>
          <w:shd w:val="clear" w:fill="FFFFFF"/>
          <w:lang w:val="en-US" w:eastAsia="zh-CN"/>
        </w:rPr>
      </w:pPr>
    </w:p>
    <w:p w14:paraId="2FE5CE12"/>
    <w:p w14:paraId="69725414">
      <w:pPr>
        <w:numPr>
          <w:ilvl w:val="0"/>
          <w:numId w:val="0"/>
        </w:numPr>
        <w:rPr>
          <w:rFonts w:hint="default" w:ascii="Times New Roman" w:hAnsi="Times New Roman" w:eastAsia="Cambria" w:cs="Times New Roman"/>
          <w:i w:val="0"/>
          <w:iCs w:val="0"/>
          <w:caps w:val="0"/>
          <w:color w:val="1B1B1B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Times New Roman" w:hAnsi="Times New Roman" w:eastAsia="Cambria" w:cs="Times New Roman"/>
          <w:i w:val="0"/>
          <w:iCs w:val="0"/>
          <w:caps w:val="0"/>
          <w:color w:val="1B1B1B"/>
          <w:spacing w:val="0"/>
          <w:sz w:val="24"/>
          <w:szCs w:val="24"/>
          <w:shd w:val="clear" w:fill="FFFFFF"/>
          <w:lang w:val="en-US" w:eastAsia="zh-CN"/>
        </w:rPr>
        <w:t>Supplementary Table S</w:t>
      </w:r>
      <w:r>
        <w:rPr>
          <w:rFonts w:hint="eastAsia" w:ascii="Times New Roman" w:hAnsi="Times New Roman" w:eastAsia="Cambria" w:cs="Times New Roman"/>
          <w:i w:val="0"/>
          <w:iCs w:val="0"/>
          <w:caps w:val="0"/>
          <w:color w:val="1B1B1B"/>
          <w:spacing w:val="0"/>
          <w:sz w:val="24"/>
          <w:szCs w:val="24"/>
          <w:shd w:val="clear" w:fill="FFFFFF"/>
          <w:lang w:val="en-US" w:eastAsia="zh-CN"/>
        </w:rPr>
        <w:t>3</w:t>
      </w:r>
      <w:r>
        <w:rPr>
          <w:rFonts w:hint="default" w:ascii="Times New Roman" w:hAnsi="Times New Roman" w:eastAsia="Cambria" w:cs="Times New Roman"/>
          <w:i w:val="0"/>
          <w:iCs w:val="0"/>
          <w:caps w:val="0"/>
          <w:color w:val="1B1B1B"/>
          <w:spacing w:val="0"/>
          <w:sz w:val="24"/>
          <w:szCs w:val="24"/>
          <w:shd w:val="clear" w:fill="FFFFFF"/>
          <w:lang w:val="en-US" w:eastAsia="zh-CN"/>
        </w:rPr>
        <w:t>.  Comparison of Diagnostic Performance Between [</w:t>
      </w:r>
      <w:r>
        <w:rPr>
          <w:rFonts w:hint="default" w:ascii="Times New Roman" w:hAnsi="Times New Roman" w:eastAsia="Cambria" w:cs="Times New Roman"/>
          <w:i w:val="0"/>
          <w:iCs w:val="0"/>
          <w:caps w:val="0"/>
          <w:color w:val="1B1B1B"/>
          <w:spacing w:val="0"/>
          <w:sz w:val="24"/>
          <w:szCs w:val="24"/>
          <w:shd w:val="clear" w:fill="FFFFFF"/>
          <w:vertAlign w:val="superscript"/>
          <w:lang w:val="en-US" w:eastAsia="zh-CN"/>
        </w:rPr>
        <w:t>68</w:t>
      </w:r>
      <w:r>
        <w:rPr>
          <w:rFonts w:hint="default" w:ascii="Times New Roman" w:hAnsi="Times New Roman" w:eastAsia="Cambria" w:cs="Times New Roman"/>
          <w:i w:val="0"/>
          <w:iCs w:val="0"/>
          <w:caps w:val="0"/>
          <w:color w:val="1B1B1B"/>
          <w:spacing w:val="0"/>
          <w:sz w:val="24"/>
          <w:szCs w:val="24"/>
          <w:shd w:val="clear" w:fill="FFFFFF"/>
          <w:lang w:val="en-US" w:eastAsia="zh-CN"/>
        </w:rPr>
        <w:t>Ga]Ga-FAPI-04 PET/CT and SGS</w:t>
      </w:r>
    </w:p>
    <w:tbl>
      <w:tblPr>
        <w:tblStyle w:val="3"/>
        <w:tblW w:w="86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1"/>
        <w:gridCol w:w="685"/>
        <w:gridCol w:w="1277"/>
        <w:gridCol w:w="1503"/>
        <w:gridCol w:w="1290"/>
        <w:gridCol w:w="1390"/>
        <w:gridCol w:w="1044"/>
      </w:tblGrid>
      <w:tr w14:paraId="51723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2096" w:type="dxa"/>
            <w:gridSpan w:val="2"/>
            <w:vMerge w:val="restart"/>
            <w:tcBorders>
              <w:top w:val="single" w:color="auto" w:sz="12" w:space="0"/>
              <w:left w:val="nil"/>
              <w:bottom w:val="nil"/>
              <w:right w:val="nil"/>
            </w:tcBorders>
            <w:vAlign w:val="top"/>
          </w:tcPr>
          <w:p w14:paraId="15827E96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semiquantitative analysis</w:t>
            </w:r>
          </w:p>
        </w:tc>
        <w:tc>
          <w:tcPr>
            <w:tcW w:w="4070" w:type="dxa"/>
            <w:gridSpan w:val="3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124DE420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AUC (mean ± standard error)</w:t>
            </w:r>
          </w:p>
        </w:tc>
        <w:tc>
          <w:tcPr>
            <w:tcW w:w="2434" w:type="dxa"/>
            <w:gridSpan w:val="2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7E7A8046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Cambria" w:cs="Times New Roman"/>
                <w:i/>
                <w:iCs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P</w:t>
            </w: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 xml:space="preserve"> value between AUCs</w:t>
            </w:r>
          </w:p>
        </w:tc>
      </w:tr>
      <w:tr w14:paraId="3EBB5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096" w:type="dxa"/>
            <w:gridSpan w:val="2"/>
            <w:vMerge w:val="continue"/>
            <w:tcBorders>
              <w:top w:val="nil"/>
              <w:left w:val="nil"/>
              <w:bottom w:val="single" w:color="auto" w:sz="6" w:space="0"/>
              <w:right w:val="nil"/>
            </w:tcBorders>
            <w:vAlign w:val="top"/>
          </w:tcPr>
          <w:p w14:paraId="308CADED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277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top"/>
          </w:tcPr>
          <w:p w14:paraId="58044B2B">
            <w:pPr>
              <w:numPr>
                <w:ilvl w:val="0"/>
                <w:numId w:val="0"/>
              </w:numPr>
              <w:ind w:firstLine="400" w:firstLineChars="200"/>
              <w:jc w:val="both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FAPI</w:t>
            </w:r>
          </w:p>
        </w:tc>
        <w:tc>
          <w:tcPr>
            <w:tcW w:w="1503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top"/>
          </w:tcPr>
          <w:p w14:paraId="22BA8544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cutoff of FAPI</w:t>
            </w:r>
          </w:p>
        </w:tc>
        <w:tc>
          <w:tcPr>
            <w:tcW w:w="129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top"/>
          </w:tcPr>
          <w:p w14:paraId="3A9E9517">
            <w:pPr>
              <w:numPr>
                <w:ilvl w:val="0"/>
                <w:numId w:val="0"/>
              </w:numPr>
              <w:ind w:firstLine="200" w:firstLineChars="100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SGS</w:t>
            </w:r>
          </w:p>
        </w:tc>
        <w:tc>
          <w:tcPr>
            <w:tcW w:w="139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top"/>
          </w:tcPr>
          <w:p w14:paraId="5E9451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FAPI vs. SGS</w:t>
            </w:r>
          </w:p>
        </w:tc>
        <w:tc>
          <w:tcPr>
            <w:tcW w:w="1044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top"/>
          </w:tcPr>
          <w:p w14:paraId="6A337F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textAlignment w:val="auto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cutoff of FAPI vs. SGS</w:t>
            </w:r>
          </w:p>
        </w:tc>
      </w:tr>
      <w:tr w14:paraId="4CED50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1" w:type="dxa"/>
            <w:vMerge w:val="restart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4C8F4C74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PG at 10 mins</w:t>
            </w:r>
          </w:p>
        </w:tc>
        <w:tc>
          <w:tcPr>
            <w:tcW w:w="685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5DFA1C53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right</w:t>
            </w:r>
          </w:p>
        </w:tc>
        <w:tc>
          <w:tcPr>
            <w:tcW w:w="1277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17E25D67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0.667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±0.143</w:t>
            </w:r>
          </w:p>
        </w:tc>
        <w:tc>
          <w:tcPr>
            <w:tcW w:w="1503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6FDCACD6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0.717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±0.106</w:t>
            </w:r>
          </w:p>
        </w:tc>
        <w:tc>
          <w:tcPr>
            <w:tcW w:w="1290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6712E4CA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0.600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±0.125</w:t>
            </w:r>
          </w:p>
        </w:tc>
        <w:tc>
          <w:tcPr>
            <w:tcW w:w="1390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018103F5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0.706</w:t>
            </w:r>
          </w:p>
        </w:tc>
        <w:tc>
          <w:tcPr>
            <w:tcW w:w="1044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1604D71E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0.497</w:t>
            </w:r>
          </w:p>
        </w:tc>
      </w:tr>
      <w:tr w14:paraId="39B7B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1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BE44002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E39F9AF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left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46EE283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0.633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±0.151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6D24071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0.650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±0.124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DF31053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0.517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±0.130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36D8205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0.317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E2BB0AA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0.082</w:t>
            </w:r>
          </w:p>
        </w:tc>
      </w:tr>
      <w:tr w14:paraId="49E2C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F6113A1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SM at 10 mins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E5C219B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kern w:val="2"/>
                <w:sz w:val="20"/>
                <w:szCs w:val="20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right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A4D5D52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0.839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±0.088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2A0A2B1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0.833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±0.063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7D5C234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0.567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±0.125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EEDEC98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0.076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D758ADB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0.066</w:t>
            </w:r>
          </w:p>
        </w:tc>
      </w:tr>
      <w:tr w14:paraId="05D69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1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8D548B9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E5AD360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kern w:val="2"/>
                <w:sz w:val="20"/>
                <w:szCs w:val="20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left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57513A7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0.811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±0.097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1F3146E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0.800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±0.065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7B05BB3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0.633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±0.124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3E24174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0.314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330007F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0.246</w:t>
            </w:r>
          </w:p>
        </w:tc>
      </w:tr>
      <w:tr w14:paraId="27E36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2A7B219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PG at 40 mins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7A220D7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kern w:val="2"/>
                <w:sz w:val="20"/>
                <w:szCs w:val="20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right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106B39E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0.572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±0.153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022B0B2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0.650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±0.107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B231E10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0.600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±0.125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6ADC414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0.885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E385D40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0.771</w:t>
            </w:r>
          </w:p>
        </w:tc>
      </w:tr>
      <w:tr w14:paraId="28FC0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1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931EA6D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EB9EB76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kern w:val="2"/>
                <w:sz w:val="20"/>
                <w:szCs w:val="20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left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4D56940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0.589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±0.159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85C1C02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0.667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±0.123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7F30863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0.517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±0.130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434E1EE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0.589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328EE18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0.201</w:t>
            </w:r>
          </w:p>
        </w:tc>
      </w:tr>
      <w:tr w14:paraId="433C69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C951AB9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SM at 40 mins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A44B927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kern w:val="2"/>
                <w:sz w:val="20"/>
                <w:szCs w:val="20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right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C6F95DA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0.822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±0.094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8308271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0.800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±0.065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48D229A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0.567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±0.125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C2355C1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0.059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D9FCC9C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Cambria" w:cs="Times New Roman"/>
                <w:b/>
                <w:bCs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0.081</w:t>
            </w:r>
          </w:p>
        </w:tc>
      </w:tr>
      <w:tr w14:paraId="6BFF7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1" w:type="dxa"/>
            <w:vMerge w:val="continue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772EC56F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 w14:paraId="1941CB5F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kern w:val="2"/>
                <w:sz w:val="20"/>
                <w:szCs w:val="20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left</w:t>
            </w:r>
          </w:p>
        </w:tc>
        <w:tc>
          <w:tcPr>
            <w:tcW w:w="1277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13376057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0.800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±0.100</w:t>
            </w:r>
          </w:p>
        </w:tc>
        <w:tc>
          <w:tcPr>
            <w:tcW w:w="1503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46F48FDF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0.800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±0.065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3C84DF94">
            <w:pPr>
              <w:numPr>
                <w:ilvl w:val="0"/>
                <w:numId w:val="0"/>
              </w:numP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0.633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±0.124</w:t>
            </w:r>
          </w:p>
        </w:tc>
        <w:tc>
          <w:tcPr>
            <w:tcW w:w="139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400EB0FC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0.268</w:t>
            </w:r>
          </w:p>
        </w:tc>
        <w:tc>
          <w:tcPr>
            <w:tcW w:w="1044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2049A084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0.186</w:t>
            </w:r>
          </w:p>
        </w:tc>
      </w:tr>
    </w:tbl>
    <w:p w14:paraId="09735079">
      <w:pPr>
        <w:rPr>
          <w:rFonts w:hint="default" w:ascii="Times New Roman" w:hAnsi="Times New Roman" w:eastAsia="Cambria" w:cs="Times New Roman"/>
          <w:i w:val="0"/>
          <w:iCs w:val="0"/>
          <w:caps w:val="0"/>
          <w:color w:val="1B1B1B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Times New Roman" w:hAnsi="Times New Roman" w:eastAsia="Cambria" w:cs="Times New Roman"/>
          <w:i w:val="0"/>
          <w:iCs w:val="0"/>
          <w:caps w:val="0"/>
          <w:color w:val="1B1B1B"/>
          <w:spacing w:val="0"/>
          <w:sz w:val="24"/>
          <w:szCs w:val="24"/>
          <w:shd w:val="clear" w:fill="FFFFFF"/>
          <w:lang w:val="en-US" w:eastAsia="zh-CN"/>
        </w:rPr>
        <w:t>PG = parotid gland; SM = submandibular gland.</w:t>
      </w:r>
    </w:p>
    <w:p w14:paraId="7261BD8A"/>
    <w:p w14:paraId="1855EC57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4"/>
          <w:szCs w:val="24"/>
          <w:highlight w:val="none"/>
          <w:shd w:val="clear" w:fill="FFFFFF"/>
          <w:lang w:val="en-US" w:eastAsia="zh-CN"/>
        </w:rPr>
      </w:pPr>
    </w:p>
    <w:p w14:paraId="31299CCE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4"/>
          <w:szCs w:val="24"/>
          <w:highlight w:val="none"/>
          <w:shd w:val="clear" w:fill="FFFFFF"/>
          <w:lang w:val="en-US" w:eastAsia="zh-CN"/>
        </w:rPr>
      </w:pPr>
    </w:p>
    <w:p w14:paraId="3B63E674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4"/>
          <w:szCs w:val="24"/>
          <w:highlight w:val="none"/>
          <w:shd w:val="clear" w:fill="FFFFFF"/>
          <w:lang w:val="en-US" w:eastAsia="zh-CN"/>
        </w:rPr>
      </w:pPr>
    </w:p>
    <w:p w14:paraId="6C8E3AF5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4"/>
          <w:szCs w:val="24"/>
          <w:highlight w:val="none"/>
          <w:shd w:val="clear" w:fill="FFFFFF"/>
          <w:lang w:val="en-US" w:eastAsia="zh-CN"/>
        </w:rPr>
      </w:pPr>
    </w:p>
    <w:p w14:paraId="2C4B69AC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4"/>
          <w:szCs w:val="24"/>
          <w:highlight w:val="none"/>
          <w:shd w:val="clear" w:fill="FFFFFF"/>
          <w:lang w:val="en-US" w:eastAsia="zh-CN"/>
        </w:rPr>
      </w:pPr>
    </w:p>
    <w:p w14:paraId="7159B54D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4"/>
          <w:szCs w:val="24"/>
          <w:highlight w:val="none"/>
          <w:shd w:val="clear" w:fill="FFFFFF"/>
          <w:lang w:val="en-US" w:eastAsia="zh-CN"/>
        </w:rPr>
      </w:pPr>
    </w:p>
    <w:p w14:paraId="68AAED6D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4"/>
          <w:szCs w:val="24"/>
          <w:highlight w:val="none"/>
          <w:shd w:val="clear" w:fill="FFFFFF"/>
          <w:lang w:val="en-US" w:eastAsia="zh-CN"/>
        </w:rPr>
      </w:pPr>
    </w:p>
    <w:p w14:paraId="543EF76A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4"/>
          <w:szCs w:val="24"/>
          <w:highlight w:val="none"/>
          <w:shd w:val="clear" w:fill="FFFFFF"/>
          <w:lang w:val="en-US" w:eastAsia="zh-CN"/>
        </w:rPr>
      </w:pPr>
    </w:p>
    <w:p w14:paraId="467B280C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4"/>
          <w:szCs w:val="24"/>
          <w:highlight w:val="none"/>
          <w:shd w:val="clear" w:fill="FFFFFF"/>
          <w:lang w:val="en-US" w:eastAsia="zh-CN"/>
        </w:rPr>
      </w:pPr>
    </w:p>
    <w:p w14:paraId="77182439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4"/>
          <w:szCs w:val="24"/>
          <w:highlight w:val="none"/>
          <w:shd w:val="clear" w:fill="FFFFFF"/>
          <w:lang w:val="en-US" w:eastAsia="zh-CN"/>
        </w:rPr>
      </w:pPr>
    </w:p>
    <w:p w14:paraId="05BE50B8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4"/>
          <w:szCs w:val="24"/>
          <w:highlight w:val="none"/>
          <w:shd w:val="clear" w:fill="FFFFFF"/>
          <w:lang w:val="en-US" w:eastAsia="zh-CN"/>
        </w:rPr>
      </w:pPr>
    </w:p>
    <w:p w14:paraId="519694F8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4"/>
          <w:szCs w:val="24"/>
          <w:highlight w:val="none"/>
          <w:shd w:val="clear" w:fill="FFFFFF"/>
          <w:lang w:val="en-US" w:eastAsia="zh-CN"/>
        </w:rPr>
      </w:pPr>
    </w:p>
    <w:p w14:paraId="02036DE7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4"/>
          <w:szCs w:val="24"/>
          <w:highlight w:val="none"/>
          <w:shd w:val="clear" w:fill="FFFFFF"/>
          <w:lang w:val="en-US" w:eastAsia="zh-CN"/>
        </w:rPr>
      </w:pPr>
    </w:p>
    <w:p w14:paraId="6E1E50D1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4"/>
          <w:szCs w:val="24"/>
          <w:highlight w:val="none"/>
          <w:shd w:val="clear" w:fill="FFFFFF"/>
          <w:lang w:val="en-US" w:eastAsia="zh-CN"/>
        </w:rPr>
      </w:pPr>
    </w:p>
    <w:p w14:paraId="7E1F0B1A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4"/>
          <w:szCs w:val="24"/>
          <w:highlight w:val="none"/>
          <w:shd w:val="clear" w:fill="FFFFFF"/>
          <w:lang w:val="en-US" w:eastAsia="zh-CN"/>
        </w:rPr>
      </w:pPr>
    </w:p>
    <w:p w14:paraId="5B8165FE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4"/>
          <w:szCs w:val="24"/>
          <w:highlight w:val="none"/>
          <w:shd w:val="clear" w:fill="FFFFFF"/>
          <w:lang w:val="en-US" w:eastAsia="zh-CN"/>
        </w:rPr>
      </w:pPr>
    </w:p>
    <w:p w14:paraId="6074D71F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4"/>
          <w:szCs w:val="24"/>
          <w:highlight w:val="none"/>
          <w:shd w:val="clear" w:fill="FFFFFF"/>
          <w:lang w:val="en-US" w:eastAsia="zh-CN"/>
        </w:rPr>
      </w:pPr>
    </w:p>
    <w:p w14:paraId="1FEE1A9A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4"/>
          <w:szCs w:val="24"/>
          <w:highlight w:val="none"/>
          <w:shd w:val="clear" w:fill="FFFFFF"/>
          <w:lang w:val="en-US" w:eastAsia="zh-CN"/>
        </w:rPr>
      </w:pPr>
    </w:p>
    <w:p w14:paraId="1DE8E25C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4"/>
          <w:szCs w:val="24"/>
          <w:highlight w:val="none"/>
          <w:shd w:val="clear" w:fill="FFFFFF"/>
          <w:lang w:val="en-US" w:eastAsia="zh-CN"/>
        </w:rPr>
      </w:pPr>
    </w:p>
    <w:p w14:paraId="619666A0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4"/>
          <w:szCs w:val="24"/>
          <w:highlight w:val="none"/>
          <w:shd w:val="clear" w:fill="FFFFFF"/>
          <w:lang w:val="en-US" w:eastAsia="zh-CN"/>
        </w:rPr>
      </w:pPr>
    </w:p>
    <w:p w14:paraId="14DFC600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4"/>
          <w:szCs w:val="24"/>
          <w:highlight w:val="none"/>
          <w:shd w:val="clear" w:fill="FFFFFF"/>
          <w:lang w:val="en-US" w:eastAsia="zh-CN"/>
        </w:rPr>
      </w:pPr>
    </w:p>
    <w:p w14:paraId="63BE82B3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4"/>
          <w:szCs w:val="24"/>
          <w:highlight w:val="none"/>
          <w:shd w:val="clear" w:fill="FFFFFF"/>
          <w:lang w:val="en-US" w:eastAsia="zh-CN"/>
        </w:rPr>
      </w:pPr>
    </w:p>
    <w:p w14:paraId="1B60975A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4"/>
          <w:szCs w:val="24"/>
          <w:highlight w:val="none"/>
          <w:shd w:val="clear" w:fill="FFFFFF"/>
          <w:lang w:val="en-US" w:eastAsia="zh-CN"/>
        </w:rPr>
      </w:pPr>
    </w:p>
    <w:p w14:paraId="179AD0BD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4"/>
          <w:szCs w:val="24"/>
          <w:highlight w:val="none"/>
          <w:shd w:val="clear" w:fill="FFFFFF"/>
          <w:lang w:val="en-US" w:eastAsia="zh-CN"/>
        </w:rPr>
      </w:pPr>
    </w:p>
    <w:p w14:paraId="58A9B447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4"/>
          <w:szCs w:val="24"/>
          <w:highlight w:val="none"/>
          <w:shd w:val="clear" w:fill="FFFFFF"/>
          <w:lang w:val="en-US" w:eastAsia="zh-CN"/>
        </w:rPr>
      </w:pPr>
    </w:p>
    <w:p w14:paraId="1AE3E8B5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4"/>
          <w:szCs w:val="24"/>
          <w:highlight w:val="none"/>
          <w:shd w:val="clear" w:fill="FFFFFF"/>
          <w:lang w:val="en-US" w:eastAsia="zh-CN"/>
        </w:rPr>
      </w:pPr>
    </w:p>
    <w:p w14:paraId="17B83496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4"/>
          <w:szCs w:val="24"/>
          <w:highlight w:val="none"/>
          <w:shd w:val="clear" w:fill="FFFFFF"/>
          <w:lang w:val="en-US" w:eastAsia="zh-CN"/>
        </w:rPr>
      </w:pPr>
    </w:p>
    <w:p w14:paraId="06E61460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4"/>
          <w:szCs w:val="24"/>
          <w:highlight w:val="none"/>
          <w:shd w:val="clear" w:fill="FFFFFF"/>
          <w:lang w:val="en-US" w:eastAsia="zh-CN"/>
        </w:rPr>
      </w:pPr>
    </w:p>
    <w:p w14:paraId="6ED93EC6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4"/>
          <w:szCs w:val="24"/>
          <w:highlight w:val="none"/>
          <w:shd w:val="clear" w:fill="FFFFFF"/>
          <w:lang w:val="en-US" w:eastAsia="zh-CN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4"/>
          <w:szCs w:val="24"/>
          <w:highlight w:val="none"/>
          <w:shd w:val="clear" w:fill="FFFFFF"/>
          <w:lang w:val="en-US" w:eastAsia="zh-CN"/>
        </w:rPr>
        <w:t>Supplementary Table S4. Correlation between regional FAPI PET/CT volume parameters and SGS excretion fractions in patients with SS (n = 15)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 w14:paraId="2D7A51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left w:val="nil"/>
              <w:right w:val="nil"/>
            </w:tcBorders>
            <w:vAlign w:val="top"/>
          </w:tcPr>
          <w:p w14:paraId="49E4DD8E">
            <w:pP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Evaluated Gland</w:t>
            </w:r>
          </w:p>
        </w:tc>
        <w:tc>
          <w:tcPr>
            <w:tcW w:w="2130" w:type="dxa"/>
            <w:tcBorders>
              <w:left w:val="nil"/>
              <w:right w:val="nil"/>
            </w:tcBorders>
            <w:vAlign w:val="top"/>
          </w:tcPr>
          <w:p w14:paraId="0147A33C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PET/CT Parameter</w:t>
            </w:r>
          </w:p>
        </w:tc>
        <w:tc>
          <w:tcPr>
            <w:tcW w:w="2131" w:type="dxa"/>
            <w:tcBorders>
              <w:left w:val="nil"/>
              <w:right w:val="nil"/>
            </w:tcBorders>
            <w:vAlign w:val="top"/>
          </w:tcPr>
          <w:p w14:paraId="1503B5D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Correlation Coefficient (r)</w:t>
            </w:r>
          </w:p>
        </w:tc>
        <w:tc>
          <w:tcPr>
            <w:tcW w:w="2131" w:type="dxa"/>
            <w:tcBorders>
              <w:left w:val="nil"/>
              <w:right w:val="nil"/>
            </w:tcBorders>
            <w:vAlign w:val="top"/>
          </w:tcPr>
          <w:p w14:paraId="64BFB2C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2"/>
                <w:szCs w:val="22"/>
              </w:rPr>
              <w:t>P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-value</w:t>
            </w:r>
          </w:p>
        </w:tc>
      </w:tr>
      <w:tr w14:paraId="2370A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left w:val="nil"/>
              <w:bottom w:val="nil"/>
              <w:right w:val="nil"/>
            </w:tcBorders>
            <w:vAlign w:val="top"/>
          </w:tcPr>
          <w:p w14:paraId="7C036F01">
            <w:pP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Submandibular gland</w:t>
            </w:r>
          </w:p>
        </w:tc>
        <w:tc>
          <w:tcPr>
            <w:tcW w:w="2130" w:type="dxa"/>
            <w:tcBorders>
              <w:left w:val="nil"/>
              <w:bottom w:val="nil"/>
              <w:right w:val="nil"/>
            </w:tcBorders>
            <w:vAlign w:val="top"/>
          </w:tcPr>
          <w:p w14:paraId="77D13768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131" w:type="dxa"/>
            <w:tcBorders>
              <w:left w:val="nil"/>
              <w:bottom w:val="nil"/>
              <w:right w:val="nil"/>
            </w:tcBorders>
            <w:vAlign w:val="top"/>
          </w:tcPr>
          <w:p w14:paraId="16346C7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131" w:type="dxa"/>
            <w:tcBorders>
              <w:left w:val="nil"/>
              <w:bottom w:val="nil"/>
              <w:right w:val="nil"/>
            </w:tcBorders>
            <w:vAlign w:val="top"/>
          </w:tcPr>
          <w:p w14:paraId="501A7CC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3014F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EC61900">
            <w:pP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4B0F0A3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Early FTV (10 min)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EFD9D4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0.594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E2700E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0.019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  <w:vertAlign w:val="superscript"/>
                <w:lang w:val="en-US" w:eastAsia="zh-CN"/>
              </w:rPr>
              <w:t>*</w:t>
            </w:r>
          </w:p>
        </w:tc>
      </w:tr>
      <w:tr w14:paraId="211F5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7B514BF">
            <w:pP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2213E9F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Delayed FTV (40 min)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788546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0.591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D7530B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0.020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  <w:vertAlign w:val="superscript"/>
                <w:lang w:val="en-US" w:eastAsia="zh-CN"/>
              </w:rPr>
              <w:t>*</w:t>
            </w:r>
          </w:p>
        </w:tc>
      </w:tr>
      <w:tr w14:paraId="1DD38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8E2E38E">
            <w:pP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FED5FE3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Early TLF (10 min)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B7DE0C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0.510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8F4013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0.052</w:t>
            </w:r>
          </w:p>
        </w:tc>
      </w:tr>
      <w:tr w14:paraId="652A6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op w:val="nil"/>
              <w:left w:val="nil"/>
              <w:right w:val="nil"/>
            </w:tcBorders>
            <w:vAlign w:val="top"/>
          </w:tcPr>
          <w:p w14:paraId="7611F2BC">
            <w:pP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tcBorders>
              <w:top w:val="nil"/>
              <w:left w:val="nil"/>
              <w:right w:val="nil"/>
            </w:tcBorders>
            <w:vAlign w:val="top"/>
          </w:tcPr>
          <w:p w14:paraId="421E7E9F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Delayed TLF (40 min)</w:t>
            </w:r>
          </w:p>
        </w:tc>
        <w:tc>
          <w:tcPr>
            <w:tcW w:w="2131" w:type="dxa"/>
            <w:tcBorders>
              <w:top w:val="nil"/>
              <w:left w:val="nil"/>
              <w:right w:val="nil"/>
            </w:tcBorders>
            <w:vAlign w:val="top"/>
          </w:tcPr>
          <w:p w14:paraId="34A7580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0.444</w:t>
            </w:r>
          </w:p>
        </w:tc>
        <w:tc>
          <w:tcPr>
            <w:tcW w:w="2131" w:type="dxa"/>
            <w:tcBorders>
              <w:top w:val="nil"/>
              <w:left w:val="nil"/>
              <w:right w:val="nil"/>
            </w:tcBorders>
            <w:vAlign w:val="top"/>
          </w:tcPr>
          <w:p w14:paraId="0FEE045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0.097</w:t>
            </w:r>
          </w:p>
        </w:tc>
      </w:tr>
      <w:tr w14:paraId="5AB1F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left w:val="nil"/>
              <w:bottom w:val="nil"/>
              <w:right w:val="nil"/>
            </w:tcBorders>
            <w:vAlign w:val="top"/>
          </w:tcPr>
          <w:p w14:paraId="38222890">
            <w:pP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Parotid gland</w:t>
            </w:r>
          </w:p>
        </w:tc>
        <w:tc>
          <w:tcPr>
            <w:tcW w:w="2130" w:type="dxa"/>
            <w:tcBorders>
              <w:left w:val="nil"/>
              <w:bottom w:val="nil"/>
              <w:right w:val="nil"/>
            </w:tcBorders>
            <w:vAlign w:val="top"/>
          </w:tcPr>
          <w:p w14:paraId="37D5FAF1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131" w:type="dxa"/>
            <w:tcBorders>
              <w:left w:val="nil"/>
              <w:bottom w:val="nil"/>
              <w:right w:val="nil"/>
            </w:tcBorders>
            <w:vAlign w:val="top"/>
          </w:tcPr>
          <w:p w14:paraId="36CE5D3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131" w:type="dxa"/>
            <w:tcBorders>
              <w:left w:val="nil"/>
              <w:bottom w:val="nil"/>
              <w:right w:val="nil"/>
            </w:tcBorders>
            <w:vAlign w:val="top"/>
          </w:tcPr>
          <w:p w14:paraId="751B998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765CD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EE0C470">
            <w:pP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5D71860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Early FTV (10 min)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99BAC2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0.029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ED934A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0.919</w:t>
            </w:r>
          </w:p>
        </w:tc>
      </w:tr>
      <w:tr w14:paraId="1AB2B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1705DDF">
            <w:pP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6D01B53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Delayed FTV (40 min)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1304D7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-0.089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1E6721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0.752</w:t>
            </w:r>
          </w:p>
        </w:tc>
      </w:tr>
      <w:tr w14:paraId="18525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DD60783">
            <w:pP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48BE259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Early TLF (10 min)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6E5887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0.068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6D2270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0.810</w:t>
            </w:r>
          </w:p>
        </w:tc>
      </w:tr>
      <w:tr w14:paraId="75A1E0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op w:val="nil"/>
              <w:left w:val="nil"/>
              <w:right w:val="nil"/>
            </w:tcBorders>
            <w:vAlign w:val="top"/>
          </w:tcPr>
          <w:p w14:paraId="4561CB30">
            <w:pP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tcBorders>
              <w:top w:val="nil"/>
              <w:left w:val="nil"/>
              <w:right w:val="nil"/>
            </w:tcBorders>
            <w:vAlign w:val="top"/>
          </w:tcPr>
          <w:p w14:paraId="04DF12F2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Delayed TLF (40 min)</w:t>
            </w:r>
          </w:p>
        </w:tc>
        <w:tc>
          <w:tcPr>
            <w:tcW w:w="2131" w:type="dxa"/>
            <w:tcBorders>
              <w:top w:val="nil"/>
              <w:left w:val="nil"/>
              <w:right w:val="nil"/>
            </w:tcBorders>
            <w:vAlign w:val="top"/>
          </w:tcPr>
          <w:p w14:paraId="718AD69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0.054</w:t>
            </w:r>
          </w:p>
        </w:tc>
        <w:tc>
          <w:tcPr>
            <w:tcW w:w="2131" w:type="dxa"/>
            <w:tcBorders>
              <w:top w:val="nil"/>
              <w:left w:val="nil"/>
              <w:right w:val="nil"/>
            </w:tcBorders>
            <w:vAlign w:val="top"/>
          </w:tcPr>
          <w:p w14:paraId="0EC23A8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0.850</w:t>
            </w:r>
          </w:p>
        </w:tc>
      </w:tr>
    </w:tbl>
    <w:p w14:paraId="57BEB927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2"/>
          <w:szCs w:val="22"/>
          <w:highlight w:val="none"/>
          <w:shd w:val="clear" w:fill="FFFFFF"/>
          <w:lang w:val="en-US" w:eastAsia="zh-CN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2"/>
          <w:szCs w:val="22"/>
          <w:highlight w:val="none"/>
          <w:shd w:val="clear" w:fill="FFFFFF"/>
          <w:lang w:val="en-US" w:eastAsia="zh-CN"/>
        </w:rPr>
        <w:t>r, Spearman's rank correlation coefficient; FTV, FAPI-avid tissue volume; TLF, total lesion FAPI; SGS, salivary gland scintigraphy. * Statistically significant (</w:t>
      </w:r>
      <w:r>
        <w:rPr>
          <w:rFonts w:hint="default" w:ascii="Times New Roman" w:hAnsi="Times New Roman" w:eastAsia="宋体" w:cs="Times New Roman"/>
          <w:i/>
          <w:iCs/>
          <w:caps w:val="0"/>
          <w:color w:val="1B1B1B"/>
          <w:spacing w:val="0"/>
          <w:sz w:val="22"/>
          <w:szCs w:val="22"/>
          <w:highlight w:val="none"/>
          <w:shd w:val="clear" w:fill="FFFFFF"/>
          <w:lang w:val="en-US" w:eastAsia="zh-CN"/>
        </w:rPr>
        <w:t>P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2"/>
          <w:szCs w:val="22"/>
          <w:highlight w:val="none"/>
          <w:shd w:val="clear" w:fill="FFFFFF"/>
          <w:lang w:val="en-US" w:eastAsia="zh-CN"/>
        </w:rPr>
        <w:t xml:space="preserve"> &lt; 0.05). </w:t>
      </w:r>
    </w:p>
    <w:p w14:paraId="51C90508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2"/>
          <w:szCs w:val="22"/>
          <w:highlight w:val="none"/>
          <w:shd w:val="clear" w:fill="FFFFFF"/>
          <w:lang w:val="en-US" w:eastAsia="zh-CN"/>
        </w:rPr>
      </w:pPr>
    </w:p>
    <w:p w14:paraId="040D5092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2"/>
          <w:szCs w:val="22"/>
          <w:highlight w:val="none"/>
          <w:shd w:val="clear" w:fill="FFFFFF"/>
          <w:lang w:val="en-US" w:eastAsia="zh-CN"/>
        </w:rPr>
      </w:pPr>
    </w:p>
    <w:p w14:paraId="23DE6161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2"/>
          <w:szCs w:val="22"/>
          <w:highlight w:val="none"/>
          <w:shd w:val="clear" w:fill="FFFFFF"/>
          <w:lang w:val="en-US" w:eastAsia="zh-CN"/>
        </w:rPr>
      </w:pPr>
    </w:p>
    <w:p w14:paraId="5046CE8F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2"/>
          <w:szCs w:val="22"/>
          <w:highlight w:val="none"/>
          <w:shd w:val="clear" w:fill="FFFFFF"/>
          <w:lang w:val="en-US" w:eastAsia="zh-CN"/>
        </w:rPr>
      </w:pPr>
    </w:p>
    <w:p w14:paraId="3E930F47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2"/>
          <w:szCs w:val="22"/>
          <w:highlight w:val="none"/>
          <w:shd w:val="clear" w:fill="FFFFFF"/>
          <w:lang w:val="en-US" w:eastAsia="zh-CN"/>
        </w:rPr>
      </w:pPr>
    </w:p>
    <w:p w14:paraId="01D61ED6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2"/>
          <w:szCs w:val="22"/>
          <w:highlight w:val="none"/>
          <w:shd w:val="clear" w:fill="FFFFFF"/>
          <w:lang w:val="en-US" w:eastAsia="zh-CN"/>
        </w:rPr>
      </w:pPr>
    </w:p>
    <w:p w14:paraId="15C16CCC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2"/>
          <w:szCs w:val="22"/>
          <w:highlight w:val="none"/>
          <w:shd w:val="clear" w:fill="FFFFFF"/>
          <w:lang w:val="en-US" w:eastAsia="zh-CN"/>
        </w:rPr>
      </w:pPr>
    </w:p>
    <w:p w14:paraId="019884B1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2"/>
          <w:szCs w:val="22"/>
          <w:highlight w:val="none"/>
          <w:shd w:val="clear" w:fill="FFFFFF"/>
          <w:lang w:val="en-US" w:eastAsia="zh-CN"/>
        </w:rPr>
      </w:pPr>
    </w:p>
    <w:p w14:paraId="0000D01B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2"/>
          <w:szCs w:val="22"/>
          <w:highlight w:val="none"/>
          <w:shd w:val="clear" w:fill="FFFFFF"/>
          <w:lang w:val="en-US" w:eastAsia="zh-CN"/>
        </w:rPr>
      </w:pPr>
    </w:p>
    <w:p w14:paraId="4D46F688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2"/>
          <w:szCs w:val="22"/>
          <w:highlight w:val="none"/>
          <w:shd w:val="clear" w:fill="FFFFFF"/>
          <w:lang w:val="en-US" w:eastAsia="zh-CN"/>
        </w:rPr>
      </w:pPr>
    </w:p>
    <w:p w14:paraId="2B23E1B7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2"/>
          <w:szCs w:val="22"/>
          <w:highlight w:val="none"/>
          <w:shd w:val="clear" w:fill="FFFFFF"/>
          <w:lang w:val="en-US" w:eastAsia="zh-CN"/>
        </w:rPr>
      </w:pPr>
    </w:p>
    <w:p w14:paraId="24BAFB34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2"/>
          <w:szCs w:val="22"/>
          <w:highlight w:val="none"/>
          <w:shd w:val="clear" w:fill="FFFFFF"/>
          <w:lang w:val="en-US" w:eastAsia="zh-CN"/>
        </w:rPr>
      </w:pPr>
    </w:p>
    <w:p w14:paraId="3E3D5ECE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2"/>
          <w:szCs w:val="22"/>
          <w:highlight w:val="none"/>
          <w:shd w:val="clear" w:fill="FFFFFF"/>
          <w:lang w:val="en-US" w:eastAsia="zh-CN"/>
        </w:rPr>
      </w:pPr>
    </w:p>
    <w:p w14:paraId="1C34D7FE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2"/>
          <w:szCs w:val="22"/>
          <w:highlight w:val="none"/>
          <w:shd w:val="clear" w:fill="FFFFFF"/>
          <w:lang w:val="en-US" w:eastAsia="zh-CN"/>
        </w:rPr>
      </w:pPr>
    </w:p>
    <w:p w14:paraId="5E9AE221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2"/>
          <w:szCs w:val="22"/>
          <w:highlight w:val="none"/>
          <w:shd w:val="clear" w:fill="FFFFFF"/>
          <w:lang w:val="en-US" w:eastAsia="zh-CN"/>
        </w:rPr>
      </w:pPr>
    </w:p>
    <w:p w14:paraId="23433BC9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2"/>
          <w:szCs w:val="22"/>
          <w:highlight w:val="none"/>
          <w:shd w:val="clear" w:fill="FFFFFF"/>
          <w:lang w:val="en-US" w:eastAsia="zh-CN"/>
        </w:rPr>
      </w:pPr>
    </w:p>
    <w:p w14:paraId="1F1DB209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2"/>
          <w:szCs w:val="22"/>
          <w:highlight w:val="none"/>
          <w:shd w:val="clear" w:fill="FFFFFF"/>
          <w:lang w:val="en-US" w:eastAsia="zh-CN"/>
        </w:rPr>
      </w:pPr>
    </w:p>
    <w:p w14:paraId="184F92A6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2"/>
          <w:szCs w:val="22"/>
          <w:highlight w:val="none"/>
          <w:shd w:val="clear" w:fill="FFFFFF"/>
          <w:lang w:val="en-US" w:eastAsia="zh-CN"/>
        </w:rPr>
      </w:pPr>
    </w:p>
    <w:p w14:paraId="410002D6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2"/>
          <w:szCs w:val="22"/>
          <w:highlight w:val="none"/>
          <w:shd w:val="clear" w:fill="FFFFFF"/>
          <w:lang w:val="en-US" w:eastAsia="zh-CN"/>
        </w:rPr>
      </w:pPr>
    </w:p>
    <w:p w14:paraId="3FFAFFDA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2"/>
          <w:szCs w:val="22"/>
          <w:highlight w:val="none"/>
          <w:shd w:val="clear" w:fill="FFFFFF"/>
          <w:lang w:val="en-US" w:eastAsia="zh-CN"/>
        </w:rPr>
      </w:pPr>
    </w:p>
    <w:p w14:paraId="258B5BA9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2"/>
          <w:szCs w:val="22"/>
          <w:highlight w:val="none"/>
          <w:shd w:val="clear" w:fill="FFFFFF"/>
          <w:lang w:val="en-US" w:eastAsia="zh-CN"/>
        </w:rPr>
      </w:pPr>
    </w:p>
    <w:p w14:paraId="6495AE1D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2"/>
          <w:szCs w:val="22"/>
          <w:highlight w:val="none"/>
          <w:shd w:val="clear" w:fill="FFFFFF"/>
          <w:lang w:val="en-US" w:eastAsia="zh-CN"/>
        </w:rPr>
      </w:pPr>
    </w:p>
    <w:p w14:paraId="6D38326C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2"/>
          <w:szCs w:val="22"/>
          <w:highlight w:val="none"/>
          <w:shd w:val="clear" w:fill="FFFFFF"/>
          <w:lang w:val="en-US" w:eastAsia="zh-CN"/>
        </w:rPr>
      </w:pPr>
    </w:p>
    <w:p w14:paraId="2D21569C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2"/>
          <w:szCs w:val="22"/>
          <w:highlight w:val="none"/>
          <w:shd w:val="clear" w:fill="FFFFFF"/>
          <w:lang w:val="en-US" w:eastAsia="zh-CN"/>
        </w:rPr>
      </w:pPr>
    </w:p>
    <w:p w14:paraId="5DA7D0D3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2"/>
          <w:szCs w:val="22"/>
          <w:highlight w:val="none"/>
          <w:shd w:val="clear" w:fill="FFFFFF"/>
          <w:lang w:val="en-US" w:eastAsia="zh-CN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2"/>
          <w:szCs w:val="22"/>
          <w:highlight w:val="none"/>
          <w:shd w:val="clear" w:fill="FFFFFF"/>
          <w:lang w:val="en-US" w:eastAsia="zh-CN"/>
        </w:rPr>
        <w:t>Supplementary Table S5. Correlation matrix of global FAPI PET/CT parameters and clinical indicators in patients with SS (n = 15)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1705"/>
        <w:gridCol w:w="1705"/>
      </w:tblGrid>
      <w:tr w14:paraId="132F9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tcBorders>
              <w:left w:val="nil"/>
              <w:right w:val="nil"/>
            </w:tcBorders>
            <w:vAlign w:val="top"/>
          </w:tcPr>
          <w:p w14:paraId="6E4D985E">
            <w:pPr>
              <w:rPr>
                <w:rFonts w:hint="default" w:ascii="Cambria" w:hAnsi="Cambria" w:eastAsia="宋体" w:cs="Cambria"/>
                <w:i w:val="0"/>
                <w:iCs w:val="0"/>
                <w:caps w:val="0"/>
                <w:color w:val="1B1B1B"/>
                <w:spacing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B1B1B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Global PET/CT Parameters</w:t>
            </w:r>
          </w:p>
        </w:tc>
        <w:tc>
          <w:tcPr>
            <w:tcW w:w="3408" w:type="dxa"/>
            <w:gridSpan w:val="2"/>
            <w:tcBorders>
              <w:left w:val="nil"/>
              <w:right w:val="nil"/>
            </w:tcBorders>
            <w:vAlign w:val="top"/>
          </w:tcPr>
          <w:p w14:paraId="213E0573">
            <w:pPr>
              <w:jc w:val="center"/>
              <w:rPr>
                <w:rFonts w:hint="default" w:ascii="Cambria" w:hAnsi="Cambria" w:eastAsia="宋体" w:cs="Cambria"/>
                <w:i w:val="0"/>
                <w:iCs w:val="0"/>
                <w:caps w:val="0"/>
                <w:color w:val="1B1B1B"/>
                <w:spacing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ESR</w:t>
            </w:r>
          </w:p>
        </w:tc>
        <w:tc>
          <w:tcPr>
            <w:tcW w:w="3410" w:type="dxa"/>
            <w:gridSpan w:val="2"/>
            <w:tcBorders>
              <w:left w:val="nil"/>
              <w:right w:val="nil"/>
            </w:tcBorders>
            <w:vAlign w:val="top"/>
          </w:tcPr>
          <w:p w14:paraId="1E01D091">
            <w:pPr>
              <w:jc w:val="center"/>
              <w:rPr>
                <w:rFonts w:hint="default" w:ascii="Cambria" w:hAnsi="Cambria" w:eastAsia="宋体" w:cs="Cambria"/>
                <w:i w:val="0"/>
                <w:iCs w:val="0"/>
                <w:caps w:val="0"/>
                <w:color w:val="1B1B1B"/>
                <w:spacing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2"/>
                <w:szCs w:val="22"/>
                <w:lang w:val="en-US" w:eastAsia="zh-CN"/>
              </w:rPr>
              <w:t>IgG</w:t>
            </w:r>
          </w:p>
        </w:tc>
      </w:tr>
      <w:tr w14:paraId="68278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tcBorders>
              <w:left w:val="nil"/>
              <w:right w:val="nil"/>
            </w:tcBorders>
            <w:vAlign w:val="top"/>
          </w:tcPr>
          <w:p w14:paraId="70953C37">
            <w:pPr>
              <w:rPr>
                <w:rFonts w:hint="default" w:ascii="Cambria" w:hAnsi="Cambria" w:eastAsia="宋体" w:cs="Cambria"/>
                <w:i w:val="0"/>
                <w:iCs w:val="0"/>
                <w:caps w:val="0"/>
                <w:color w:val="1B1B1B"/>
                <w:spacing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tcBorders>
              <w:left w:val="nil"/>
              <w:right w:val="nil"/>
            </w:tcBorders>
            <w:vAlign w:val="top"/>
          </w:tcPr>
          <w:p w14:paraId="25582934">
            <w:pPr>
              <w:jc w:val="center"/>
              <w:rPr>
                <w:rFonts w:hint="default" w:ascii="Cambria" w:hAnsi="Cambria" w:eastAsia="宋体" w:cs="Cambria"/>
                <w:i w:val="0"/>
                <w:iCs w:val="0"/>
                <w:caps w:val="0"/>
                <w:color w:val="1B1B1B"/>
                <w:spacing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r</w:t>
            </w:r>
          </w:p>
        </w:tc>
        <w:tc>
          <w:tcPr>
            <w:tcW w:w="1704" w:type="dxa"/>
            <w:tcBorders>
              <w:left w:val="nil"/>
              <w:right w:val="nil"/>
            </w:tcBorders>
            <w:vAlign w:val="top"/>
          </w:tcPr>
          <w:p w14:paraId="0FAD00F5">
            <w:pPr>
              <w:jc w:val="center"/>
              <w:rPr>
                <w:rFonts w:hint="default" w:ascii="Cambria" w:hAnsi="Cambria" w:eastAsia="宋体" w:cs="Cambria"/>
                <w:i w:val="0"/>
                <w:iCs w:val="0"/>
                <w:caps w:val="0"/>
                <w:color w:val="1B1B1B"/>
                <w:spacing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2"/>
                <w:szCs w:val="22"/>
              </w:rPr>
              <w:t>P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-value</w:t>
            </w:r>
            <w:r>
              <w:rPr>
                <w:rFonts w:hint="eastAsia" w:ascii="Times New Roman" w:hAnsi="Times New Roman" w:eastAsia="宋体" w:cs="Times New Roman"/>
                <w:sz w:val="22"/>
                <w:szCs w:val="22"/>
                <w:lang w:val="en-US" w:eastAsia="zh-CN"/>
              </w:rPr>
              <w:t>*</w:t>
            </w:r>
          </w:p>
        </w:tc>
        <w:tc>
          <w:tcPr>
            <w:tcW w:w="1705" w:type="dxa"/>
            <w:tcBorders>
              <w:left w:val="nil"/>
              <w:right w:val="nil"/>
            </w:tcBorders>
            <w:vAlign w:val="top"/>
          </w:tcPr>
          <w:p w14:paraId="67462D83">
            <w:pPr>
              <w:jc w:val="center"/>
              <w:rPr>
                <w:rFonts w:hint="default" w:ascii="Cambria" w:hAnsi="Cambria" w:eastAsia="宋体" w:cs="Cambria"/>
                <w:i w:val="0"/>
                <w:iCs w:val="0"/>
                <w:caps w:val="0"/>
                <w:color w:val="1B1B1B"/>
                <w:spacing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r</w:t>
            </w:r>
          </w:p>
        </w:tc>
        <w:tc>
          <w:tcPr>
            <w:tcW w:w="1705" w:type="dxa"/>
            <w:tcBorders>
              <w:left w:val="nil"/>
              <w:right w:val="nil"/>
            </w:tcBorders>
            <w:vAlign w:val="top"/>
          </w:tcPr>
          <w:p w14:paraId="0C8D0F5B">
            <w:pPr>
              <w:jc w:val="center"/>
              <w:rPr>
                <w:rFonts w:hint="eastAsia" w:ascii="Cambria" w:hAnsi="Cambria" w:eastAsia="宋体" w:cs="Cambria"/>
                <w:i w:val="0"/>
                <w:iCs w:val="0"/>
                <w:caps w:val="0"/>
                <w:color w:val="1B1B1B"/>
                <w:spacing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2"/>
                <w:szCs w:val="22"/>
              </w:rPr>
              <w:t>P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-value</w:t>
            </w:r>
            <w:r>
              <w:rPr>
                <w:rFonts w:hint="eastAsia" w:ascii="Times New Roman" w:hAnsi="Times New Roman" w:eastAsia="宋体" w:cs="Times New Roman"/>
                <w:sz w:val="22"/>
                <w:szCs w:val="22"/>
                <w:lang w:val="en-US" w:eastAsia="zh-CN"/>
              </w:rPr>
              <w:t>*</w:t>
            </w:r>
          </w:p>
        </w:tc>
      </w:tr>
      <w:tr w14:paraId="5398E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tcBorders>
              <w:left w:val="nil"/>
              <w:bottom w:val="nil"/>
              <w:right w:val="nil"/>
            </w:tcBorders>
            <w:vAlign w:val="top"/>
          </w:tcPr>
          <w:p w14:paraId="0BF50FD0">
            <w:pPr>
              <w:rPr>
                <w:rFonts w:hint="default" w:ascii="Cambria" w:hAnsi="Cambria" w:eastAsia="宋体" w:cs="Cambria"/>
                <w:i w:val="0"/>
                <w:iCs w:val="0"/>
                <w:caps w:val="0"/>
                <w:color w:val="1B1B1B"/>
                <w:spacing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>Early global TLF (10 min)</w:t>
            </w:r>
          </w:p>
        </w:tc>
        <w:tc>
          <w:tcPr>
            <w:tcW w:w="1704" w:type="dxa"/>
            <w:tcBorders>
              <w:left w:val="nil"/>
              <w:bottom w:val="nil"/>
              <w:right w:val="nil"/>
            </w:tcBorders>
            <w:vAlign w:val="top"/>
          </w:tcPr>
          <w:p w14:paraId="604F8040">
            <w:pPr>
              <w:jc w:val="center"/>
              <w:rPr>
                <w:rFonts w:hint="default" w:ascii="Cambria" w:hAnsi="Cambria" w:eastAsia="宋体" w:cs="Cambria"/>
                <w:i w:val="0"/>
                <w:iCs w:val="0"/>
                <w:caps w:val="0"/>
                <w:color w:val="1B1B1B"/>
                <w:spacing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Cambria" w:hAnsi="Cambria" w:eastAsia="宋体" w:cs="Cambria"/>
                <w:i w:val="0"/>
                <w:iCs w:val="0"/>
                <w:caps w:val="0"/>
                <w:color w:val="1B1B1B"/>
                <w:spacing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/>
              </w:rPr>
              <w:t>-0.563</w:t>
            </w:r>
          </w:p>
        </w:tc>
        <w:tc>
          <w:tcPr>
            <w:tcW w:w="1704" w:type="dxa"/>
            <w:tcBorders>
              <w:left w:val="nil"/>
              <w:bottom w:val="nil"/>
              <w:right w:val="nil"/>
            </w:tcBorders>
            <w:vAlign w:val="top"/>
          </w:tcPr>
          <w:p w14:paraId="0CFBB6B5">
            <w:pPr>
              <w:jc w:val="center"/>
              <w:rPr>
                <w:rFonts w:hint="default" w:ascii="Cambria" w:hAnsi="Cambria" w:eastAsia="宋体" w:cs="Cambria"/>
                <w:i w:val="0"/>
                <w:iCs w:val="0"/>
                <w:caps w:val="0"/>
                <w:color w:val="1B1B1B"/>
                <w:spacing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Cambria" w:hAnsi="Cambria" w:eastAsia="宋体" w:cs="Cambria"/>
                <w:i w:val="0"/>
                <w:iCs w:val="0"/>
                <w:caps w:val="0"/>
                <w:color w:val="1B1B1B"/>
                <w:spacing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/>
              </w:rPr>
              <w:t>0.029</w:t>
            </w:r>
          </w:p>
        </w:tc>
        <w:tc>
          <w:tcPr>
            <w:tcW w:w="1705" w:type="dxa"/>
            <w:tcBorders>
              <w:left w:val="nil"/>
              <w:bottom w:val="nil"/>
              <w:right w:val="nil"/>
            </w:tcBorders>
            <w:vAlign w:val="top"/>
          </w:tcPr>
          <w:p w14:paraId="498A949A">
            <w:pPr>
              <w:jc w:val="center"/>
              <w:rPr>
                <w:rFonts w:hint="default" w:ascii="Cambria" w:hAnsi="Cambria" w:eastAsia="宋体" w:cs="Cambria"/>
                <w:i w:val="0"/>
                <w:iCs w:val="0"/>
                <w:caps w:val="0"/>
                <w:color w:val="1B1B1B"/>
                <w:spacing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Cambria" w:hAnsi="Cambria" w:eastAsia="宋体" w:cs="Cambria"/>
                <w:i w:val="0"/>
                <w:iCs w:val="0"/>
                <w:caps w:val="0"/>
                <w:color w:val="1B1B1B"/>
                <w:spacing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/>
              </w:rPr>
              <w:t>-0.111</w:t>
            </w:r>
          </w:p>
        </w:tc>
        <w:tc>
          <w:tcPr>
            <w:tcW w:w="1705" w:type="dxa"/>
            <w:tcBorders>
              <w:left w:val="nil"/>
              <w:bottom w:val="nil"/>
              <w:right w:val="nil"/>
            </w:tcBorders>
            <w:vAlign w:val="top"/>
          </w:tcPr>
          <w:p w14:paraId="31711E43">
            <w:pPr>
              <w:jc w:val="center"/>
              <w:rPr>
                <w:rFonts w:hint="default" w:ascii="Cambria" w:hAnsi="Cambria" w:eastAsia="宋体" w:cs="Cambria"/>
                <w:i w:val="0"/>
                <w:iCs w:val="0"/>
                <w:caps w:val="0"/>
                <w:color w:val="1B1B1B"/>
                <w:spacing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Cambria" w:hAnsi="Cambria" w:eastAsia="宋体" w:cs="Cambria"/>
                <w:i w:val="0"/>
                <w:iCs w:val="0"/>
                <w:caps w:val="0"/>
                <w:color w:val="1B1B1B"/>
                <w:spacing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/>
              </w:rPr>
              <w:t>0.694</w:t>
            </w:r>
          </w:p>
        </w:tc>
      </w:tr>
      <w:tr w14:paraId="51DBD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B0070A9">
            <w:pPr>
              <w:rPr>
                <w:rFonts w:hint="default" w:ascii="Cambria" w:hAnsi="Cambria" w:eastAsia="宋体" w:cs="Cambria"/>
                <w:i w:val="0"/>
                <w:iCs w:val="0"/>
                <w:caps w:val="0"/>
                <w:color w:val="1B1B1B"/>
                <w:spacing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>Delayed global TLF (40 min)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CBE3F38">
            <w:pPr>
              <w:jc w:val="center"/>
              <w:rPr>
                <w:rFonts w:hint="default" w:ascii="Cambria" w:hAnsi="Cambria" w:eastAsia="宋体" w:cs="Cambria"/>
                <w:i w:val="0"/>
                <w:iCs w:val="0"/>
                <w:caps w:val="0"/>
                <w:color w:val="1B1B1B"/>
                <w:spacing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Cambria" w:hAnsi="Cambria" w:eastAsia="宋体" w:cs="Cambria"/>
                <w:i w:val="0"/>
                <w:iCs w:val="0"/>
                <w:caps w:val="0"/>
                <w:color w:val="1B1B1B"/>
                <w:spacing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/>
              </w:rPr>
              <w:t>-0.477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298B109">
            <w:pPr>
              <w:jc w:val="center"/>
              <w:rPr>
                <w:rFonts w:hint="default" w:ascii="Cambria" w:hAnsi="Cambria" w:eastAsia="宋体" w:cs="Cambria"/>
                <w:i w:val="0"/>
                <w:iCs w:val="0"/>
                <w:caps w:val="0"/>
                <w:color w:val="1B1B1B"/>
                <w:spacing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Cambria" w:hAnsi="Cambria" w:eastAsia="宋体" w:cs="Cambria"/>
                <w:i w:val="0"/>
                <w:iCs w:val="0"/>
                <w:caps w:val="0"/>
                <w:color w:val="1B1B1B"/>
                <w:spacing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/>
              </w:rPr>
              <w:t>0.072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D5E0B2F">
            <w:pPr>
              <w:jc w:val="center"/>
              <w:rPr>
                <w:rFonts w:hint="default" w:ascii="Cambria" w:hAnsi="Cambria" w:eastAsia="宋体" w:cs="Cambria"/>
                <w:i w:val="0"/>
                <w:iCs w:val="0"/>
                <w:caps w:val="0"/>
                <w:color w:val="1B1B1B"/>
                <w:spacing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Cambria" w:hAnsi="Cambria" w:eastAsia="宋体" w:cs="Cambria"/>
                <w:i w:val="0"/>
                <w:iCs w:val="0"/>
                <w:caps w:val="0"/>
                <w:color w:val="1B1B1B"/>
                <w:spacing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/>
              </w:rPr>
              <w:t>-0.364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40C91E8">
            <w:pPr>
              <w:jc w:val="center"/>
              <w:rPr>
                <w:rFonts w:hint="default" w:ascii="Cambria" w:hAnsi="Cambria" w:eastAsia="宋体" w:cs="Cambria"/>
                <w:i w:val="0"/>
                <w:iCs w:val="0"/>
                <w:caps w:val="0"/>
                <w:color w:val="1B1B1B"/>
                <w:spacing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Cambria" w:hAnsi="Cambria" w:eastAsia="宋体" w:cs="Cambria"/>
                <w:i w:val="0"/>
                <w:iCs w:val="0"/>
                <w:caps w:val="0"/>
                <w:color w:val="1B1B1B"/>
                <w:spacing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/>
              </w:rPr>
              <w:t>0.182</w:t>
            </w:r>
          </w:p>
        </w:tc>
      </w:tr>
      <w:tr w14:paraId="0FA27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0E29406">
            <w:pPr>
              <w:rPr>
                <w:rFonts w:hint="default" w:ascii="Cambria" w:hAnsi="Cambria" w:eastAsia="宋体" w:cs="Cambria"/>
                <w:i w:val="0"/>
                <w:iCs w:val="0"/>
                <w:caps w:val="0"/>
                <w:color w:val="1B1B1B"/>
                <w:spacing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>Early global FTV (10 min)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E3A6EF6">
            <w:pPr>
              <w:jc w:val="center"/>
              <w:rPr>
                <w:rFonts w:hint="default" w:ascii="Cambria" w:hAnsi="Cambria" w:eastAsia="宋体" w:cs="Cambria"/>
                <w:i w:val="0"/>
                <w:iCs w:val="0"/>
                <w:caps w:val="0"/>
                <w:color w:val="1B1B1B"/>
                <w:spacing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Cambria" w:hAnsi="Cambria" w:eastAsia="宋体" w:cs="Cambria"/>
                <w:i w:val="0"/>
                <w:iCs w:val="0"/>
                <w:caps w:val="0"/>
                <w:color w:val="1B1B1B"/>
                <w:spacing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/>
              </w:rPr>
              <w:t>-0.399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B7D5660">
            <w:pPr>
              <w:jc w:val="center"/>
              <w:rPr>
                <w:rFonts w:hint="default" w:ascii="Cambria" w:hAnsi="Cambria" w:eastAsia="宋体" w:cs="Cambria"/>
                <w:i w:val="0"/>
                <w:iCs w:val="0"/>
                <w:caps w:val="0"/>
                <w:color w:val="1B1B1B"/>
                <w:spacing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Cambria" w:hAnsi="Cambria" w:eastAsia="宋体" w:cs="Cambria"/>
                <w:i w:val="0"/>
                <w:iCs w:val="0"/>
                <w:caps w:val="0"/>
                <w:color w:val="1B1B1B"/>
                <w:spacing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/>
              </w:rPr>
              <w:t>0.141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D8F7AAD">
            <w:pPr>
              <w:jc w:val="center"/>
              <w:rPr>
                <w:rFonts w:hint="default" w:ascii="Cambria" w:hAnsi="Cambria" w:eastAsia="宋体" w:cs="Cambria"/>
                <w:i w:val="0"/>
                <w:iCs w:val="0"/>
                <w:caps w:val="0"/>
                <w:color w:val="1B1B1B"/>
                <w:spacing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Cambria" w:hAnsi="Cambria" w:eastAsia="宋体" w:cs="Cambria"/>
                <w:i w:val="0"/>
                <w:iCs w:val="0"/>
                <w:caps w:val="0"/>
                <w:color w:val="1B1B1B"/>
                <w:spacing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/>
              </w:rPr>
              <w:t>0.025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E5B9639">
            <w:pPr>
              <w:jc w:val="center"/>
              <w:rPr>
                <w:rFonts w:hint="default" w:ascii="Cambria" w:hAnsi="Cambria" w:eastAsia="宋体" w:cs="Cambria"/>
                <w:i w:val="0"/>
                <w:iCs w:val="0"/>
                <w:caps w:val="0"/>
                <w:color w:val="1B1B1B"/>
                <w:spacing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Cambria" w:hAnsi="Cambria" w:eastAsia="宋体" w:cs="Cambria"/>
                <w:i w:val="0"/>
                <w:iCs w:val="0"/>
                <w:caps w:val="0"/>
                <w:color w:val="1B1B1B"/>
                <w:spacing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/>
              </w:rPr>
              <w:t>0.930</w:t>
            </w:r>
          </w:p>
        </w:tc>
      </w:tr>
      <w:tr w14:paraId="78FDB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tcBorders>
              <w:top w:val="nil"/>
              <w:left w:val="nil"/>
              <w:right w:val="nil"/>
            </w:tcBorders>
            <w:vAlign w:val="top"/>
          </w:tcPr>
          <w:p w14:paraId="0FAEA8BE">
            <w:pPr>
              <w:rPr>
                <w:rFonts w:hint="default" w:ascii="Cambria" w:hAnsi="Cambria" w:eastAsia="宋体" w:cs="Cambria"/>
                <w:i w:val="0"/>
                <w:iCs w:val="0"/>
                <w:caps w:val="0"/>
                <w:color w:val="1B1B1B"/>
                <w:spacing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>Delayed global FTV (40 min)</w:t>
            </w:r>
          </w:p>
        </w:tc>
        <w:tc>
          <w:tcPr>
            <w:tcW w:w="1704" w:type="dxa"/>
            <w:tcBorders>
              <w:top w:val="nil"/>
              <w:left w:val="nil"/>
              <w:right w:val="nil"/>
            </w:tcBorders>
            <w:vAlign w:val="top"/>
          </w:tcPr>
          <w:p w14:paraId="6D6806B5">
            <w:pPr>
              <w:jc w:val="center"/>
              <w:rPr>
                <w:rFonts w:hint="default" w:ascii="Cambria" w:hAnsi="Cambria" w:eastAsia="宋体" w:cs="Cambria"/>
                <w:i w:val="0"/>
                <w:iCs w:val="0"/>
                <w:caps w:val="0"/>
                <w:color w:val="1B1B1B"/>
                <w:spacing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Cambria" w:hAnsi="Cambria" w:eastAsia="宋体" w:cs="Cambria"/>
                <w:i w:val="0"/>
                <w:iCs w:val="0"/>
                <w:caps w:val="0"/>
                <w:color w:val="1B1B1B"/>
                <w:spacing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/>
              </w:rPr>
              <w:t>-0.293</w:t>
            </w:r>
          </w:p>
        </w:tc>
        <w:tc>
          <w:tcPr>
            <w:tcW w:w="1704" w:type="dxa"/>
            <w:tcBorders>
              <w:top w:val="nil"/>
              <w:left w:val="nil"/>
              <w:right w:val="nil"/>
            </w:tcBorders>
            <w:vAlign w:val="top"/>
          </w:tcPr>
          <w:p w14:paraId="0BEB7AAB">
            <w:pPr>
              <w:jc w:val="center"/>
              <w:rPr>
                <w:rFonts w:hint="default" w:ascii="Cambria" w:hAnsi="Cambria" w:eastAsia="宋体" w:cs="Cambria"/>
                <w:i w:val="0"/>
                <w:iCs w:val="0"/>
                <w:caps w:val="0"/>
                <w:color w:val="1B1B1B"/>
                <w:spacing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Cambria" w:hAnsi="Cambria" w:eastAsia="宋体" w:cs="Cambria"/>
                <w:i w:val="0"/>
                <w:iCs w:val="0"/>
                <w:caps w:val="0"/>
                <w:color w:val="1B1B1B"/>
                <w:spacing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/>
              </w:rPr>
              <w:t>0.289</w:t>
            </w:r>
          </w:p>
        </w:tc>
        <w:tc>
          <w:tcPr>
            <w:tcW w:w="1705" w:type="dxa"/>
            <w:tcBorders>
              <w:top w:val="nil"/>
              <w:left w:val="nil"/>
              <w:right w:val="nil"/>
            </w:tcBorders>
            <w:vAlign w:val="top"/>
          </w:tcPr>
          <w:p w14:paraId="148DA8F2">
            <w:pPr>
              <w:jc w:val="center"/>
              <w:rPr>
                <w:rFonts w:hint="default" w:ascii="Cambria" w:hAnsi="Cambria" w:eastAsia="宋体" w:cs="Cambria"/>
                <w:i w:val="0"/>
                <w:iCs w:val="0"/>
                <w:caps w:val="0"/>
                <w:color w:val="1B1B1B"/>
                <w:spacing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Cambria" w:hAnsi="Cambria" w:eastAsia="宋体" w:cs="Cambria"/>
                <w:i w:val="0"/>
                <w:iCs w:val="0"/>
                <w:caps w:val="0"/>
                <w:color w:val="1B1B1B"/>
                <w:spacing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/>
              </w:rPr>
              <w:t>-0.150</w:t>
            </w:r>
          </w:p>
        </w:tc>
        <w:tc>
          <w:tcPr>
            <w:tcW w:w="1705" w:type="dxa"/>
            <w:tcBorders>
              <w:top w:val="nil"/>
              <w:left w:val="nil"/>
              <w:right w:val="nil"/>
            </w:tcBorders>
            <w:vAlign w:val="top"/>
          </w:tcPr>
          <w:p w14:paraId="5278DF37">
            <w:pPr>
              <w:jc w:val="center"/>
              <w:rPr>
                <w:rFonts w:hint="default" w:ascii="Cambria" w:hAnsi="Cambria" w:eastAsia="宋体" w:cs="Cambria"/>
                <w:i w:val="0"/>
                <w:iCs w:val="0"/>
                <w:caps w:val="0"/>
                <w:color w:val="1B1B1B"/>
                <w:spacing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Cambria" w:hAnsi="Cambria" w:eastAsia="宋体" w:cs="Cambria"/>
                <w:i w:val="0"/>
                <w:iCs w:val="0"/>
                <w:caps w:val="0"/>
                <w:color w:val="1B1B1B"/>
                <w:spacing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/>
              </w:rPr>
              <w:t>0.594</w:t>
            </w:r>
          </w:p>
        </w:tc>
      </w:tr>
    </w:tbl>
    <w:p w14:paraId="18B0DB18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2"/>
          <w:szCs w:val="22"/>
          <w:highlight w:val="none"/>
          <w:shd w:val="clear" w:fill="FFFFFF"/>
          <w:lang w:val="en-US" w:eastAsia="zh-CN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2"/>
          <w:szCs w:val="22"/>
          <w:highlight w:val="none"/>
          <w:shd w:val="clear" w:fill="FFFFFF"/>
          <w:lang w:val="en-US" w:eastAsia="zh-CN"/>
        </w:rPr>
        <w:t>r, Spearman's rank correlation coefficient; * Statistically significant (</w:t>
      </w:r>
      <w:r>
        <w:rPr>
          <w:rFonts w:hint="default" w:ascii="Times New Roman" w:hAnsi="Times New Roman" w:eastAsia="宋体" w:cs="Times New Roman"/>
          <w:i/>
          <w:iCs/>
          <w:caps w:val="0"/>
          <w:color w:val="1B1B1B"/>
          <w:spacing w:val="0"/>
          <w:sz w:val="22"/>
          <w:szCs w:val="22"/>
          <w:highlight w:val="none"/>
          <w:shd w:val="clear" w:fill="FFFFFF"/>
          <w:lang w:val="en-US" w:eastAsia="zh-CN"/>
        </w:rPr>
        <w:t>P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2"/>
          <w:szCs w:val="22"/>
          <w:highlight w:val="none"/>
          <w:shd w:val="clear" w:fill="FFFFFF"/>
          <w:lang w:val="en-US" w:eastAsia="zh-CN"/>
        </w:rPr>
        <w:t xml:space="preserve"> &lt; 0.05); ESR, erythrocyte sedimentation rate; </w:t>
      </w:r>
      <w:r>
        <w:rPr>
          <w:rFonts w:hint="default" w:ascii="Times New Roman" w:hAnsi="Times New Roman" w:eastAsia="宋体" w:cs="Times New Roman"/>
          <w:sz w:val="22"/>
          <w:szCs w:val="22"/>
          <w:lang w:val="en-US" w:eastAsia="zh-CN"/>
        </w:rPr>
        <w:t>IgG, Immunoglobulin G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2"/>
          <w:szCs w:val="22"/>
          <w:highlight w:val="none"/>
          <w:shd w:val="clear" w:fill="FFFFFF"/>
          <w:lang w:val="en-US" w:eastAsia="zh-CN"/>
        </w:rPr>
        <w:t>; TLF, total lesion FAPI; FTV, FAPI-avid tissue volume.</w:t>
      </w:r>
    </w:p>
    <w:p w14:paraId="32641C88">
      <w:p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22"/>
          <w:szCs w:val="22"/>
          <w:highlight w:val="none"/>
          <w:shd w:val="clear" w:fill="FFFFFF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58">
      <wne:fci wne:fciName="FontColorPicker" wne:swArg="0000"/>
    </wne:keymap>
  </wne:keymap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994146"/>
    <w:rsid w:val="154C7A11"/>
    <w:rsid w:val="243D1456"/>
    <w:rsid w:val="2A27590E"/>
    <w:rsid w:val="30A66261"/>
    <w:rsid w:val="65EB2226"/>
    <w:rsid w:val="73245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11"/>
    <w:basedOn w:val="4"/>
    <w:qFormat/>
    <w:uiPriority w:val="0"/>
    <w:rPr>
      <w:rFonts w:hint="eastAsia" w:ascii="宋体" w:hAnsi="宋体" w:eastAsia="宋体" w:cs="宋体"/>
      <w:color w:val="FF0000"/>
      <w:sz w:val="22"/>
      <w:szCs w:val="22"/>
      <w:u w:val="none"/>
    </w:rPr>
  </w:style>
  <w:style w:type="character" w:customStyle="1" w:styleId="6">
    <w:name w:val="font0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microsoft.com/office/2006/relationships/keyMapCustomizations" Target="customizations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711</Words>
  <Characters>3260</Characters>
  <Lines>0</Lines>
  <Paragraphs>0</Paragraphs>
  <TotalTime>7</TotalTime>
  <ScaleCrop>false</ScaleCrop>
  <LinksUpToDate>false</LinksUpToDate>
  <CharactersWithSpaces>3589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2020-12-14T05:22:00Z</dcterms:created>
  <dc:creator>Y7000</dc:creator>
  <cp:lastModifiedBy>回眸＠*灰烬……</cp:lastModifiedBy>
  <dcterms:modified xsi:type="dcterms:W3CDTF">2026-03-18T13:34:54Z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eyJoZGlkIjoiZmYwMzM2YTcyOTgyNjBlYzFhY2E0Yjg0MmZjMWM3Y2IiLCJ1c2VySWQiOiI0MDI3MzU1MTAifQ==</vt:lpwstr>
  </property>
  <property fmtid="{D5CDD505-2E9C-101B-9397-08002B2CF9AE}" pid="4" name="ICV">
    <vt:lpwstr>11075FB53CD942079D32A0CAD74D1D64_12</vt:lpwstr>
  </property>
</Properties>
</file>