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B85AF" w14:textId="77777777" w:rsidR="00EA5981" w:rsidRDefault="00EA5981" w:rsidP="004931CA">
      <w:pPr>
        <w:rPr>
          <w:rFonts w:ascii="Times New Roman" w:hAnsi="Times New Roman" w:cs="Times New Roman"/>
          <w:sz w:val="24"/>
        </w:rPr>
      </w:pPr>
      <w:bookmarkStart w:id="0" w:name="OLE_LINK11"/>
      <w:bookmarkStart w:id="1" w:name="OLE_LINK12"/>
      <w:r>
        <w:rPr>
          <w:rFonts w:ascii="Times New Roman" w:hAnsi="Times New Roman" w:cs="Times New Roman"/>
          <w:sz w:val="24"/>
        </w:rPr>
        <w:t>Dear </w:t>
      </w:r>
      <w:r>
        <w:rPr>
          <w:rFonts w:ascii="Times New Roman" w:hAnsi="Times New Roman" w:cs="Times New Roman" w:hint="eastAsia"/>
          <w:sz w:val="24"/>
        </w:rPr>
        <w:t>Editor</w:t>
      </w:r>
      <w:r>
        <w:rPr>
          <w:rFonts w:ascii="Times New Roman" w:hAnsi="Times New Roman" w:cs="Times New Roman"/>
          <w:sz w:val="24"/>
        </w:rPr>
        <w:t>:</w:t>
      </w:r>
    </w:p>
    <w:p w14:paraId="14F0D370" w14:textId="43BB2D6D" w:rsidR="00EA589A" w:rsidRPr="00EA589A" w:rsidRDefault="00EA589A" w:rsidP="00EA589A">
      <w:pPr>
        <w:rPr>
          <w:rFonts w:ascii="Times New Roman" w:hAnsi="Times New Roman" w:cs="Times New Roman"/>
          <w:sz w:val="24"/>
        </w:rPr>
      </w:pPr>
      <w:r w:rsidRPr="00EA589A">
        <w:rPr>
          <w:rFonts w:ascii="Times New Roman" w:hAnsi="Times New Roman" w:cs="Times New Roman"/>
          <w:sz w:val="24"/>
        </w:rPr>
        <w:t>Thank you for the opportunity to submit a revised version of our manuscript titled “Glypican</w:t>
      </w:r>
      <w:r>
        <w:rPr>
          <w:rFonts w:ascii="Times New Roman" w:hAnsi="Times New Roman" w:cs="Times New Roman" w:hint="eastAsia"/>
          <w:sz w:val="24"/>
        </w:rPr>
        <w:t>-</w:t>
      </w:r>
      <w:r w:rsidRPr="00EA589A">
        <w:rPr>
          <w:rFonts w:ascii="Times New Roman" w:hAnsi="Times New Roman" w:cs="Times New Roman"/>
          <w:sz w:val="24"/>
        </w:rPr>
        <w:t>3 targeted radiopharmaceuticals for hepatocellular carcinoma: a review of molecular platforms” to EJNMMI Research.</w:t>
      </w:r>
    </w:p>
    <w:p w14:paraId="75EC35BE" w14:textId="77777777" w:rsidR="00EA589A" w:rsidRPr="00EA589A" w:rsidRDefault="00EA589A" w:rsidP="00EA589A">
      <w:pPr>
        <w:rPr>
          <w:rFonts w:ascii="Times New Roman" w:hAnsi="Times New Roman" w:cs="Times New Roman"/>
          <w:sz w:val="24"/>
        </w:rPr>
      </w:pPr>
      <w:r w:rsidRPr="00EA589A">
        <w:rPr>
          <w:rFonts w:ascii="Times New Roman" w:hAnsi="Times New Roman" w:cs="Times New Roman"/>
          <w:sz w:val="24"/>
        </w:rPr>
        <w:t>We greatly appreciate the detailed and constructive guidance from you and the reviewers. We have carefully addressed all the comments. All revisions have been highlighted in the manuscript using Track Changes. Please note that all page and line numbers mentioned in our responses below refer to the revised manuscript with Track Changes.</w:t>
      </w:r>
    </w:p>
    <w:p w14:paraId="53E47DF7" w14:textId="3ADE2AC5" w:rsidR="00EA5981" w:rsidRDefault="00EA589A" w:rsidP="00EA589A">
      <w:pPr>
        <w:rPr>
          <w:rFonts w:ascii="Times New Roman" w:hAnsi="Times New Roman" w:cs="Times New Roman"/>
          <w:sz w:val="24"/>
        </w:rPr>
      </w:pPr>
      <w:r w:rsidRPr="00EA589A">
        <w:rPr>
          <w:rFonts w:ascii="Times New Roman" w:hAnsi="Times New Roman" w:cs="Times New Roman"/>
          <w:sz w:val="24"/>
        </w:rPr>
        <w:t>Below, we provide a point-by-point response to the reviewers’ comments.</w:t>
      </w:r>
    </w:p>
    <w:p w14:paraId="7FC13C13" w14:textId="0C42D4B9" w:rsidR="00EA5981" w:rsidRDefault="00EA5981" w:rsidP="004931CA">
      <w:pPr>
        <w:rPr>
          <w:rFonts w:ascii="Times New Roman" w:hAnsi="Times New Roman" w:cs="Times New Roman"/>
          <w:b/>
          <w:bCs/>
          <w:sz w:val="28"/>
          <w:szCs w:val="28"/>
        </w:rPr>
      </w:pPr>
      <w:r>
        <w:rPr>
          <w:rFonts w:ascii="Times New Roman" w:hAnsi="Times New Roman" w:cs="Times New Roman" w:hint="eastAsia"/>
          <w:b/>
          <w:bCs/>
          <w:sz w:val="28"/>
          <w:szCs w:val="28"/>
        </w:rPr>
        <w:t>Response to Editor 1</w:t>
      </w:r>
      <w:r>
        <w:rPr>
          <w:rFonts w:ascii="Times New Roman" w:hAnsi="Times New Roman" w:cs="Times New Roman"/>
          <w:b/>
          <w:bCs/>
          <w:sz w:val="28"/>
          <w:szCs w:val="28"/>
        </w:rPr>
        <w:t>’</w:t>
      </w:r>
      <w:r>
        <w:rPr>
          <w:rFonts w:ascii="Times New Roman" w:hAnsi="Times New Roman" w:cs="Times New Roman" w:hint="eastAsia"/>
          <w:b/>
          <w:bCs/>
          <w:sz w:val="28"/>
          <w:szCs w:val="28"/>
        </w:rPr>
        <w:t>s Comments</w:t>
      </w:r>
    </w:p>
    <w:p w14:paraId="11EFEDD0" w14:textId="77777777" w:rsidR="00EA5981" w:rsidRDefault="00EA5981" w:rsidP="004931CA">
      <w:pPr>
        <w:spacing w:after="180"/>
        <w:rPr>
          <w:rFonts w:ascii="Times New Roman" w:eastAsia="宋体" w:hAnsi="Times New Roman" w:cs="Times New Roman"/>
          <w:color w:val="5B9BD5" w:themeColor="accent5"/>
          <w:kern w:val="0"/>
          <w:sz w:val="24"/>
          <w14:ligatures w14:val="none"/>
        </w:rPr>
      </w:pPr>
      <w:r>
        <w:rPr>
          <w:rFonts w:ascii="Times New Roman" w:eastAsia="宋体" w:hAnsi="Times New Roman" w:cs="Times New Roman" w:hint="eastAsia"/>
          <w:color w:val="5B9BD5" w:themeColor="accent5"/>
          <w:kern w:val="0"/>
          <w:sz w:val="24"/>
          <w14:ligatures w14:val="none"/>
        </w:rPr>
        <w:t>Comment</w:t>
      </w:r>
      <w:r>
        <w:rPr>
          <w:rFonts w:ascii="Times New Roman" w:eastAsia="宋体" w:hAnsi="Times New Roman" w:cs="Times New Roman"/>
          <w:color w:val="5B9BD5" w:themeColor="accent5"/>
          <w:kern w:val="0"/>
          <w:sz w:val="24"/>
          <w14:ligatures w14:val="none"/>
        </w:rPr>
        <w:t xml:space="preserve"> </w:t>
      </w:r>
      <w:r>
        <w:rPr>
          <w:rFonts w:ascii="Times New Roman" w:eastAsia="宋体" w:hAnsi="Times New Roman" w:cs="Times New Roman" w:hint="eastAsia"/>
          <w:color w:val="5B9BD5" w:themeColor="accent5"/>
          <w:kern w:val="0"/>
          <w:sz w:val="24"/>
          <w14:ligatures w14:val="none"/>
        </w:rPr>
        <w:t>1:</w:t>
      </w:r>
    </w:p>
    <w:p w14:paraId="504E98DD" w14:textId="51F550F6" w:rsidR="00C12136" w:rsidRPr="00C12136" w:rsidRDefault="00C12136" w:rsidP="004931CA">
      <w:pPr>
        <w:rPr>
          <w:rFonts w:ascii="Times New Roman" w:hAnsi="Times New Roman" w:cs="Times New Roman"/>
          <w:sz w:val="24"/>
        </w:rPr>
      </w:pPr>
      <w:r w:rsidRPr="00C12136">
        <w:rPr>
          <w:rFonts w:ascii="Times New Roman" w:hAnsi="Times New Roman" w:cs="Times New Roman"/>
          <w:sz w:val="24"/>
        </w:rPr>
        <w:t>Page 54. Figure 2. The biodistribution of 89Zr-αGPC3-F(ab')₂ (A) is shown as bar graphs representing the tumor-to-liver ratio at 4, 24, and 72 h. In Figure 2(A), the tumor-to-liver uptake ratio at 24 h (red color) is lower as compared to 4 h.</w:t>
      </w:r>
    </w:p>
    <w:p w14:paraId="724B3225" w14:textId="77777777" w:rsidR="00C12136" w:rsidRPr="00C12136" w:rsidRDefault="00C12136" w:rsidP="004931CA">
      <w:pPr>
        <w:rPr>
          <w:rFonts w:ascii="Times New Roman" w:hAnsi="Times New Roman" w:cs="Times New Roman"/>
          <w:sz w:val="24"/>
        </w:rPr>
      </w:pPr>
      <w:r w:rsidRPr="00C12136">
        <w:rPr>
          <w:rFonts w:ascii="Times New Roman" w:hAnsi="Times New Roman" w:cs="Times New Roman"/>
          <w:sz w:val="24"/>
        </w:rPr>
        <w:t>While in the main paper, the authors state, "89Zr-αGPC3-F(ab′)2 exhibited relatively small changes in tumor uptake over the first 72 h, rising 30 %ID/g between the 4- and 24-h imaging times and then falling 24.3 %ID/g between the 24- and 72-h imaging sessions"</w:t>
      </w:r>
    </w:p>
    <w:p w14:paraId="52AD8192" w14:textId="77777777" w:rsidR="00C12136" w:rsidRDefault="00C12136" w:rsidP="004931CA">
      <w:pPr>
        <w:rPr>
          <w:rFonts w:ascii="Times New Roman" w:hAnsi="Times New Roman" w:cs="Times New Roman"/>
          <w:sz w:val="24"/>
        </w:rPr>
      </w:pPr>
      <w:r w:rsidRPr="00C12136">
        <w:rPr>
          <w:rFonts w:ascii="Times New Roman" w:hAnsi="Times New Roman" w:cs="Times New Roman"/>
          <w:sz w:val="24"/>
        </w:rPr>
        <w:t>The authors (Sham JG et al.) are encouraged to address this inconsistency with the tumor-to-liver ratio data presented in the figure 2 or revise the statement accordingly.</w:t>
      </w:r>
    </w:p>
    <w:p w14:paraId="06363789" w14:textId="655099AD" w:rsidR="00EA5981" w:rsidRDefault="00EA5981" w:rsidP="004931CA">
      <w:pPr>
        <w:rPr>
          <w:rFonts w:ascii="Times New Roman" w:eastAsia="宋体" w:hAnsi="Times New Roman" w:cs="Times New Roman"/>
          <w:b/>
          <w:bCs/>
          <w:color w:val="000000"/>
          <w:kern w:val="0"/>
          <w:sz w:val="24"/>
          <w14:ligatures w14:val="none"/>
        </w:rPr>
      </w:pPr>
      <w:r>
        <w:rPr>
          <w:rFonts w:ascii="Times New Roman" w:eastAsia="宋体" w:hAnsi="Times New Roman" w:cs="Times New Roman" w:hint="eastAsia"/>
          <w:b/>
          <w:bCs/>
          <w:color w:val="000000"/>
          <w:kern w:val="0"/>
          <w:sz w:val="24"/>
          <w14:ligatures w14:val="none"/>
        </w:rPr>
        <w:t xml:space="preserve">Response: </w:t>
      </w:r>
    </w:p>
    <w:p w14:paraId="4A7D436C" w14:textId="23EE184D" w:rsidR="00C12136" w:rsidRPr="00C12136" w:rsidRDefault="00F059BE" w:rsidP="004931CA">
      <w:pPr>
        <w:rPr>
          <w:rFonts w:ascii="Times New Roman" w:hAnsi="Times New Roman" w:cs="Times New Roman"/>
          <w:sz w:val="24"/>
        </w:rPr>
      </w:pPr>
      <w:r w:rsidRPr="00F059BE">
        <w:rPr>
          <w:rFonts w:ascii="Times New Roman" w:hAnsi="Times New Roman" w:cs="Times New Roman"/>
          <w:sz w:val="24"/>
        </w:rPr>
        <w:t>We thank the reviewer for pointing this out</w:t>
      </w:r>
      <w:r w:rsidR="00C12136" w:rsidRPr="00C12136">
        <w:rPr>
          <w:rFonts w:ascii="Times New Roman" w:hAnsi="Times New Roman" w:cs="Times New Roman"/>
          <w:sz w:val="24"/>
        </w:rPr>
        <w:t>, which allows us to clarify a potential source of confusion regarding the cited data.</w:t>
      </w:r>
    </w:p>
    <w:p w14:paraId="429063D2" w14:textId="50EF1AD3" w:rsidR="00C12136" w:rsidRPr="00C12136" w:rsidRDefault="00C12136" w:rsidP="004931CA">
      <w:pPr>
        <w:rPr>
          <w:rFonts w:ascii="Times New Roman" w:hAnsi="Times New Roman" w:cs="Times New Roman"/>
          <w:sz w:val="24"/>
        </w:rPr>
      </w:pPr>
      <w:r w:rsidRPr="00C12136">
        <w:rPr>
          <w:rFonts w:ascii="Times New Roman" w:hAnsi="Times New Roman" w:cs="Times New Roman"/>
          <w:sz w:val="24"/>
        </w:rPr>
        <w:t xml:space="preserve">Regarding the data in Figure 2A, </w:t>
      </w:r>
      <w:r w:rsidR="00F059BE">
        <w:rPr>
          <w:rFonts w:ascii="Times New Roman" w:hAnsi="Times New Roman" w:cs="Times New Roman" w:hint="eastAsia"/>
          <w:sz w:val="24"/>
        </w:rPr>
        <w:t>the f</w:t>
      </w:r>
      <w:r w:rsidRPr="00C12136">
        <w:rPr>
          <w:rFonts w:ascii="Times New Roman" w:hAnsi="Times New Roman" w:cs="Times New Roman"/>
          <w:sz w:val="24"/>
        </w:rPr>
        <w:t>igure displays two distinct metrics with separate axes: the absolute tissue uptake (solid lines, left Y-axis, unit: %ID/g) and the tumor-to-liver ratio (red bars, right Y-axis). The original authors' statement about "rising 30 %ID/g" specifically described the absolute tumor uptake (the blue line), which indeed slightly increases from 4 to 24 hours. Conversely, as the reviewer correctly observed, the tumor-to-liver ratio (the red bars) decreases during the same period.</w:t>
      </w:r>
    </w:p>
    <w:p w14:paraId="3852441C" w14:textId="77777777" w:rsidR="00C12136" w:rsidRPr="00C12136" w:rsidRDefault="00C12136" w:rsidP="004931CA">
      <w:pPr>
        <w:rPr>
          <w:rFonts w:ascii="Times New Roman" w:hAnsi="Times New Roman" w:cs="Times New Roman"/>
          <w:sz w:val="24"/>
        </w:rPr>
      </w:pPr>
      <w:r w:rsidRPr="00C12136">
        <w:rPr>
          <w:rFonts w:ascii="Times New Roman" w:hAnsi="Times New Roman" w:cs="Times New Roman"/>
          <w:sz w:val="24"/>
        </w:rPr>
        <w:t xml:space="preserve">Although the quoted text is not directly present in our manuscript, we realize that broadly citing "(Figure 2)" in our original text might have caused confusion. To </w:t>
      </w:r>
      <w:r w:rsidRPr="00C12136">
        <w:rPr>
          <w:rFonts w:ascii="Times New Roman" w:hAnsi="Times New Roman" w:cs="Times New Roman"/>
          <w:sz w:val="24"/>
        </w:rPr>
        <w:lastRenderedPageBreak/>
        <w:t>eliminate any ambiguity for future readers, we have made the following revisions:</w:t>
      </w:r>
    </w:p>
    <w:p w14:paraId="470BB153" w14:textId="23FFA8D2" w:rsidR="00C12136" w:rsidRPr="00C12136" w:rsidRDefault="00C12136" w:rsidP="004931CA">
      <w:pPr>
        <w:rPr>
          <w:rFonts w:ascii="Times New Roman" w:hAnsi="Times New Roman" w:cs="Times New Roman"/>
          <w:sz w:val="24"/>
        </w:rPr>
      </w:pPr>
      <w:r w:rsidRPr="00C12136">
        <w:rPr>
          <w:rFonts w:ascii="Times New Roman" w:hAnsi="Times New Roman" w:cs="Times New Roman"/>
          <w:sz w:val="24"/>
        </w:rPr>
        <w:tab/>
        <w:t>1. In the main text</w:t>
      </w:r>
      <w:r w:rsidR="00F059BE">
        <w:rPr>
          <w:rFonts w:ascii="Times New Roman" w:hAnsi="Times New Roman" w:cs="Times New Roman" w:hint="eastAsia"/>
          <w:sz w:val="24"/>
        </w:rPr>
        <w:t xml:space="preserve"> </w:t>
      </w:r>
      <w:r w:rsidR="00F059BE" w:rsidRPr="00F059BE">
        <w:rPr>
          <w:rFonts w:ascii="Times New Roman" w:hAnsi="Times New Roman" w:cs="Times New Roman"/>
          <w:sz w:val="24"/>
        </w:rPr>
        <w:t xml:space="preserve">(Page </w:t>
      </w:r>
      <w:r w:rsidR="00F059BE">
        <w:rPr>
          <w:rFonts w:ascii="Times New Roman" w:hAnsi="Times New Roman" w:cs="Times New Roman" w:hint="eastAsia"/>
          <w:sz w:val="24"/>
        </w:rPr>
        <w:t>7</w:t>
      </w:r>
      <w:r w:rsidR="00F059BE" w:rsidRPr="00F059BE">
        <w:rPr>
          <w:rFonts w:ascii="Times New Roman" w:hAnsi="Times New Roman" w:cs="Times New Roman"/>
          <w:sz w:val="24"/>
        </w:rPr>
        <w:t xml:space="preserve">, Lines </w:t>
      </w:r>
      <w:r w:rsidR="00F059BE">
        <w:rPr>
          <w:rFonts w:ascii="Times New Roman" w:hAnsi="Times New Roman" w:cs="Times New Roman" w:hint="eastAsia"/>
          <w:sz w:val="24"/>
        </w:rPr>
        <w:t xml:space="preserve">132 and </w:t>
      </w:r>
      <w:r w:rsidR="00F059BE" w:rsidRPr="00F059BE">
        <w:rPr>
          <w:rFonts w:ascii="Times New Roman" w:hAnsi="Times New Roman" w:cs="Times New Roman"/>
          <w:sz w:val="24"/>
        </w:rPr>
        <w:t xml:space="preserve">Page </w:t>
      </w:r>
      <w:r w:rsidR="00F059BE">
        <w:rPr>
          <w:rFonts w:ascii="Times New Roman" w:hAnsi="Times New Roman" w:cs="Times New Roman" w:hint="eastAsia"/>
          <w:sz w:val="24"/>
        </w:rPr>
        <w:t>1</w:t>
      </w:r>
      <w:r w:rsidR="00B109F9">
        <w:rPr>
          <w:rFonts w:ascii="Times New Roman" w:hAnsi="Times New Roman" w:cs="Times New Roman" w:hint="eastAsia"/>
          <w:sz w:val="24"/>
        </w:rPr>
        <w:t>1</w:t>
      </w:r>
      <w:r w:rsidR="00F059BE" w:rsidRPr="00F059BE">
        <w:rPr>
          <w:rFonts w:ascii="Times New Roman" w:hAnsi="Times New Roman" w:cs="Times New Roman"/>
          <w:sz w:val="24"/>
        </w:rPr>
        <w:t xml:space="preserve">, Lines </w:t>
      </w:r>
      <w:r w:rsidR="00F059BE">
        <w:rPr>
          <w:rFonts w:ascii="Times New Roman" w:hAnsi="Times New Roman" w:cs="Times New Roman" w:hint="eastAsia"/>
          <w:sz w:val="24"/>
        </w:rPr>
        <w:t>221</w:t>
      </w:r>
      <w:r w:rsidR="00F059BE" w:rsidRPr="00F059BE">
        <w:rPr>
          <w:rFonts w:ascii="Times New Roman" w:hAnsi="Times New Roman" w:cs="Times New Roman"/>
          <w:sz w:val="24"/>
        </w:rPr>
        <w:t>)</w:t>
      </w:r>
      <w:r w:rsidRPr="00C12136">
        <w:rPr>
          <w:rFonts w:ascii="Times New Roman" w:hAnsi="Times New Roman" w:cs="Times New Roman"/>
          <w:sz w:val="24"/>
        </w:rPr>
        <w:t>, we have changed the citation from "(Figure 2)" to "(Figure 2A)" or "(Figure 2B)" to accurately direct readers to the full-size antibody data.</w:t>
      </w:r>
    </w:p>
    <w:p w14:paraId="269E9E1D" w14:textId="77777777" w:rsidR="00C12136" w:rsidRPr="00C12136" w:rsidRDefault="00C12136" w:rsidP="004931CA">
      <w:pPr>
        <w:rPr>
          <w:rFonts w:ascii="Times New Roman" w:hAnsi="Times New Roman" w:cs="Times New Roman"/>
          <w:sz w:val="24"/>
        </w:rPr>
      </w:pPr>
      <w:r w:rsidRPr="00C12136">
        <w:rPr>
          <w:rFonts w:ascii="Times New Roman" w:hAnsi="Times New Roman" w:cs="Times New Roman"/>
          <w:sz w:val="24"/>
        </w:rPr>
        <w:tab/>
        <w:t>2. We have updated the Figure 2 legend to explicitly state what the line curves and bar graphs represent. The legend now reads: "In the quantitative graphs, the solid lines (blue for tumor, green for liver) represent the absolute tissue uptake (%ID/g, left Y-axis), while the bar graphs represent the tumor-to-liver ratio at each time point (right Y-axis)."</w:t>
      </w:r>
    </w:p>
    <w:p w14:paraId="53F76D7E" w14:textId="4775EBEB" w:rsidR="00EA5981" w:rsidRDefault="00EA5981" w:rsidP="004931CA">
      <w:pPr>
        <w:rPr>
          <w:rFonts w:ascii="Times New Roman" w:hAnsi="Times New Roman" w:cs="Times New Roman"/>
          <w:color w:val="5B9BD5" w:themeColor="accent5"/>
          <w:sz w:val="24"/>
        </w:rPr>
      </w:pPr>
      <w:r>
        <w:rPr>
          <w:rFonts w:ascii="Times New Roman" w:hAnsi="Times New Roman" w:cs="Times New Roman" w:hint="eastAsia"/>
          <w:color w:val="5B9BD5" w:themeColor="accent5"/>
          <w:sz w:val="24"/>
        </w:rPr>
        <w:t xml:space="preserve">Comment </w:t>
      </w:r>
      <w:r>
        <w:rPr>
          <w:rFonts w:ascii="Times New Roman" w:hAnsi="Times New Roman" w:cs="Times New Roman"/>
          <w:color w:val="5B9BD5" w:themeColor="accent5"/>
          <w:sz w:val="24"/>
        </w:rPr>
        <w:t>2</w:t>
      </w:r>
      <w:r>
        <w:rPr>
          <w:rFonts w:ascii="Times New Roman" w:hAnsi="Times New Roman" w:cs="Times New Roman" w:hint="eastAsia"/>
          <w:color w:val="5B9BD5" w:themeColor="accent5"/>
          <w:sz w:val="24"/>
        </w:rPr>
        <w:t>:</w:t>
      </w:r>
    </w:p>
    <w:p w14:paraId="7622B148" w14:textId="21FC503D" w:rsidR="00C12136" w:rsidRDefault="00C12136" w:rsidP="004931CA">
      <w:pPr>
        <w:rPr>
          <w:rFonts w:ascii="Times New Roman" w:hAnsi="Times New Roman" w:cs="Times New Roman"/>
          <w:sz w:val="24"/>
        </w:rPr>
      </w:pPr>
      <w:r w:rsidRPr="00C12136">
        <w:rPr>
          <w:rFonts w:ascii="Times New Roman" w:hAnsi="Times New Roman" w:cs="Times New Roman"/>
          <w:sz w:val="24"/>
        </w:rPr>
        <w:t>Page 56.</w:t>
      </w:r>
      <w:r>
        <w:rPr>
          <w:rFonts w:ascii="Times New Roman" w:hAnsi="Times New Roman" w:cs="Times New Roman" w:hint="eastAsia"/>
          <w:sz w:val="24"/>
        </w:rPr>
        <w:t xml:space="preserve"> </w:t>
      </w:r>
      <w:r w:rsidRPr="00C12136">
        <w:rPr>
          <w:rFonts w:ascii="Times New Roman" w:hAnsi="Times New Roman" w:cs="Times New Roman"/>
          <w:sz w:val="24"/>
        </w:rPr>
        <w:t>Figure 3. In the image, the findings were not highlighted with arrows. Authors have copy-pasted the image from the original manuscript where they have mentioned arrows in the legend but not put them in the image. The arrows need to be added to highlight the findings for easier understanding.</w:t>
      </w:r>
    </w:p>
    <w:p w14:paraId="159E2E8F" w14:textId="214F314A" w:rsidR="00EA5981" w:rsidRDefault="00EA5981" w:rsidP="004931CA">
      <w:pPr>
        <w:rPr>
          <w:rFonts w:ascii="Times New Roman" w:eastAsia="宋体" w:hAnsi="Times New Roman" w:cs="Times New Roman"/>
          <w:b/>
          <w:bCs/>
          <w:color w:val="000000"/>
          <w:kern w:val="0"/>
          <w:sz w:val="24"/>
          <w14:ligatures w14:val="none"/>
        </w:rPr>
      </w:pPr>
      <w:r>
        <w:rPr>
          <w:rFonts w:ascii="Times New Roman" w:eastAsia="宋体" w:hAnsi="Times New Roman" w:cs="Times New Roman" w:hint="eastAsia"/>
          <w:b/>
          <w:bCs/>
          <w:color w:val="000000"/>
          <w:kern w:val="0"/>
          <w:sz w:val="24"/>
          <w14:ligatures w14:val="none"/>
        </w:rPr>
        <w:t xml:space="preserve">Response: </w:t>
      </w:r>
    </w:p>
    <w:p w14:paraId="496D9152" w14:textId="77777777" w:rsidR="00B109F9" w:rsidRDefault="00B109F9" w:rsidP="004931CA">
      <w:pPr>
        <w:rPr>
          <w:rFonts w:ascii="Times New Roman" w:hAnsi="Times New Roman" w:cs="Times New Roman"/>
          <w:sz w:val="24"/>
        </w:rPr>
      </w:pPr>
      <w:r w:rsidRPr="00B109F9">
        <w:rPr>
          <w:rFonts w:ascii="Times New Roman" w:hAnsi="Times New Roman" w:cs="Times New Roman"/>
          <w:sz w:val="24"/>
        </w:rPr>
        <w:t>We thank the reviewer for this helpful suggestion. The original image from the cited literature did contain thin red arrows; however, compression during the download process reduced their visibility.</w:t>
      </w:r>
    </w:p>
    <w:p w14:paraId="5E9D6DF4" w14:textId="4F5D4D5C" w:rsidR="00C12136" w:rsidRDefault="00F059BE" w:rsidP="004931CA">
      <w:pPr>
        <w:rPr>
          <w:rFonts w:ascii="Times New Roman" w:hAnsi="Times New Roman" w:cs="Times New Roman"/>
          <w:b/>
          <w:bCs/>
          <w:sz w:val="28"/>
          <w:szCs w:val="28"/>
        </w:rPr>
      </w:pPr>
      <w:r w:rsidRPr="00F059BE">
        <w:rPr>
          <w:rFonts w:ascii="Times New Roman" w:hAnsi="Times New Roman" w:cs="Times New Roman"/>
          <w:sz w:val="24"/>
        </w:rPr>
        <w:t>To resolve this issue, we have extracted a high-resolution version of the figure from the original PDF source. Furthermore, to ensure the findings are clearly visible to readers for easier understanding, we have digitally thickened and enhanced the original arrows in the updated Figure 3. The figure legend has also been slightly updated to mention this enhancement.</w:t>
      </w:r>
    </w:p>
    <w:p w14:paraId="7AFE59EC" w14:textId="4CBF26EC" w:rsidR="00EA5981" w:rsidRPr="00EA5981" w:rsidRDefault="00EA5981" w:rsidP="004931CA">
      <w:pPr>
        <w:rPr>
          <w:rFonts w:ascii="Times New Roman" w:hAnsi="Times New Roman" w:cs="Times New Roman"/>
          <w:b/>
          <w:bCs/>
          <w:sz w:val="28"/>
          <w:szCs w:val="28"/>
        </w:rPr>
      </w:pPr>
      <w:r>
        <w:rPr>
          <w:rFonts w:ascii="Times New Roman" w:hAnsi="Times New Roman" w:cs="Times New Roman" w:hint="eastAsia"/>
          <w:b/>
          <w:bCs/>
          <w:sz w:val="28"/>
          <w:szCs w:val="28"/>
        </w:rPr>
        <w:t>Response to Editor 2</w:t>
      </w:r>
      <w:r>
        <w:rPr>
          <w:rFonts w:ascii="Times New Roman" w:hAnsi="Times New Roman" w:cs="Times New Roman"/>
          <w:b/>
          <w:bCs/>
          <w:sz w:val="28"/>
          <w:szCs w:val="28"/>
        </w:rPr>
        <w:t>’</w:t>
      </w:r>
      <w:r>
        <w:rPr>
          <w:rFonts w:ascii="Times New Roman" w:hAnsi="Times New Roman" w:cs="Times New Roman" w:hint="eastAsia"/>
          <w:b/>
          <w:bCs/>
          <w:sz w:val="28"/>
          <w:szCs w:val="28"/>
        </w:rPr>
        <w:t>s Comments</w:t>
      </w:r>
    </w:p>
    <w:p w14:paraId="332AB2D1" w14:textId="77777777" w:rsidR="00EA5981" w:rsidRDefault="00EA5981" w:rsidP="004931CA">
      <w:pPr>
        <w:spacing w:after="180"/>
        <w:rPr>
          <w:rFonts w:ascii="Times New Roman" w:eastAsia="宋体" w:hAnsi="Times New Roman" w:cs="Times New Roman"/>
          <w:color w:val="5B9BD5" w:themeColor="accent5"/>
          <w:kern w:val="0"/>
          <w:sz w:val="24"/>
          <w14:ligatures w14:val="none"/>
        </w:rPr>
      </w:pPr>
      <w:r>
        <w:rPr>
          <w:rFonts w:ascii="Times New Roman" w:eastAsia="宋体" w:hAnsi="Times New Roman" w:cs="Times New Roman" w:hint="eastAsia"/>
          <w:color w:val="5B9BD5" w:themeColor="accent5"/>
          <w:kern w:val="0"/>
          <w:sz w:val="24"/>
          <w14:ligatures w14:val="none"/>
        </w:rPr>
        <w:t>Comment</w:t>
      </w:r>
      <w:r>
        <w:rPr>
          <w:rFonts w:ascii="Times New Roman" w:eastAsia="宋体" w:hAnsi="Times New Roman" w:cs="Times New Roman"/>
          <w:color w:val="5B9BD5" w:themeColor="accent5"/>
          <w:kern w:val="0"/>
          <w:sz w:val="24"/>
          <w14:ligatures w14:val="none"/>
        </w:rPr>
        <w:t xml:space="preserve"> </w:t>
      </w:r>
      <w:r>
        <w:rPr>
          <w:rFonts w:ascii="Times New Roman" w:eastAsia="宋体" w:hAnsi="Times New Roman" w:cs="Times New Roman" w:hint="eastAsia"/>
          <w:color w:val="5B9BD5" w:themeColor="accent5"/>
          <w:kern w:val="0"/>
          <w:sz w:val="24"/>
          <w14:ligatures w14:val="none"/>
        </w:rPr>
        <w:t>1:</w:t>
      </w:r>
    </w:p>
    <w:p w14:paraId="0006D680" w14:textId="3B466C15" w:rsidR="002A6720" w:rsidRDefault="002A6720" w:rsidP="004931CA">
      <w:pPr>
        <w:rPr>
          <w:rFonts w:ascii="Times New Roman" w:hAnsi="Times New Roman" w:cs="Times New Roman"/>
          <w:sz w:val="24"/>
        </w:rPr>
      </w:pPr>
      <w:r w:rsidRPr="002A6720">
        <w:rPr>
          <w:rFonts w:ascii="Times New Roman" w:hAnsi="Times New Roman" w:cs="Times New Roman"/>
          <w:sz w:val="24"/>
        </w:rPr>
        <w:t>All abbreviations used in the text and abstract should be explained the first time they appear.</w:t>
      </w:r>
    </w:p>
    <w:p w14:paraId="08B58FCF" w14:textId="22BF17E5" w:rsidR="00EA5981" w:rsidRDefault="00EA5981" w:rsidP="004931CA">
      <w:pPr>
        <w:rPr>
          <w:rFonts w:ascii="Times New Roman" w:eastAsia="宋体" w:hAnsi="Times New Roman" w:cs="Times New Roman"/>
          <w:b/>
          <w:bCs/>
          <w:color w:val="000000"/>
          <w:kern w:val="0"/>
          <w:sz w:val="24"/>
          <w14:ligatures w14:val="none"/>
        </w:rPr>
      </w:pPr>
      <w:r>
        <w:rPr>
          <w:rFonts w:ascii="Times New Roman" w:eastAsia="宋体" w:hAnsi="Times New Roman" w:cs="Times New Roman" w:hint="eastAsia"/>
          <w:b/>
          <w:bCs/>
          <w:color w:val="000000"/>
          <w:kern w:val="0"/>
          <w:sz w:val="24"/>
          <w14:ligatures w14:val="none"/>
        </w:rPr>
        <w:t xml:space="preserve">Response: </w:t>
      </w:r>
    </w:p>
    <w:p w14:paraId="166FCC47" w14:textId="17AD23DE" w:rsidR="00B109F9" w:rsidRDefault="00B109F9" w:rsidP="004931CA">
      <w:pPr>
        <w:rPr>
          <w:rFonts w:ascii="Times New Roman" w:hAnsi="Times New Roman" w:cs="Times New Roman"/>
          <w:sz w:val="24"/>
        </w:rPr>
      </w:pPr>
      <w:r w:rsidRPr="00B109F9">
        <w:rPr>
          <w:rFonts w:ascii="Times New Roman" w:hAnsi="Times New Roman" w:cs="Times New Roman"/>
          <w:sz w:val="24"/>
        </w:rPr>
        <w:t xml:space="preserve">We thank the reviewer for bringing this to our attention. </w:t>
      </w:r>
      <w:r w:rsidR="00100E72">
        <w:rPr>
          <w:rFonts w:ascii="Times New Roman" w:hAnsi="Times New Roman" w:cs="Times New Roman" w:hint="eastAsia"/>
          <w:sz w:val="24"/>
        </w:rPr>
        <w:t>W</w:t>
      </w:r>
      <w:r w:rsidRPr="00B109F9">
        <w:rPr>
          <w:rFonts w:ascii="Times New Roman" w:hAnsi="Times New Roman" w:cs="Times New Roman"/>
          <w:sz w:val="24"/>
        </w:rPr>
        <w:t xml:space="preserve">e have conducted a thorough review of the manuscript and ensured that all abbreviations, including GPC-3, PET, CT, and molecular platform terms (e.g., scFv, Fab), are defined at their first mention in both the abstract and the main text. An updated Abbreviations list has also </w:t>
      </w:r>
      <w:r w:rsidRPr="00B109F9">
        <w:rPr>
          <w:rFonts w:ascii="Times New Roman" w:hAnsi="Times New Roman" w:cs="Times New Roman"/>
          <w:sz w:val="24"/>
        </w:rPr>
        <w:lastRenderedPageBreak/>
        <w:t>been provided at the end of the manuscript for clarity</w:t>
      </w:r>
      <w:r w:rsidR="002A6720">
        <w:rPr>
          <w:rFonts w:ascii="Times New Roman" w:hAnsi="Times New Roman" w:cs="Times New Roman" w:hint="eastAsia"/>
          <w:sz w:val="24"/>
        </w:rPr>
        <w:t>.</w:t>
      </w:r>
    </w:p>
    <w:p w14:paraId="0B058BAD" w14:textId="69C3C52A" w:rsidR="00EA5981" w:rsidRDefault="00EA5981" w:rsidP="004931CA">
      <w:pPr>
        <w:rPr>
          <w:rFonts w:ascii="Times New Roman" w:hAnsi="Times New Roman" w:cs="Times New Roman"/>
          <w:color w:val="5B9BD5" w:themeColor="accent5"/>
          <w:sz w:val="24"/>
        </w:rPr>
      </w:pPr>
      <w:r>
        <w:rPr>
          <w:rFonts w:ascii="Times New Roman" w:hAnsi="Times New Roman" w:cs="Times New Roman" w:hint="eastAsia"/>
          <w:color w:val="5B9BD5" w:themeColor="accent5"/>
          <w:sz w:val="24"/>
        </w:rPr>
        <w:t xml:space="preserve">Comment </w:t>
      </w:r>
      <w:r>
        <w:rPr>
          <w:rFonts w:ascii="Times New Roman" w:hAnsi="Times New Roman" w:cs="Times New Roman"/>
          <w:color w:val="5B9BD5" w:themeColor="accent5"/>
          <w:sz w:val="24"/>
        </w:rPr>
        <w:t>2</w:t>
      </w:r>
      <w:r>
        <w:rPr>
          <w:rFonts w:ascii="Times New Roman" w:hAnsi="Times New Roman" w:cs="Times New Roman" w:hint="eastAsia"/>
          <w:color w:val="5B9BD5" w:themeColor="accent5"/>
          <w:sz w:val="24"/>
        </w:rPr>
        <w:t>:</w:t>
      </w:r>
    </w:p>
    <w:p w14:paraId="6ECC259D" w14:textId="712BE0FE" w:rsidR="00EA5981" w:rsidRDefault="00C12136" w:rsidP="004931CA">
      <w:pPr>
        <w:rPr>
          <w:rFonts w:ascii="Times New Roman" w:hAnsi="Times New Roman" w:cs="Times New Roman"/>
          <w:sz w:val="24"/>
        </w:rPr>
      </w:pPr>
      <w:r w:rsidRPr="00C12136">
        <w:rPr>
          <w:rFonts w:ascii="Times New Roman" w:hAnsi="Times New Roman" w:cs="Times New Roman"/>
          <w:sz w:val="24"/>
        </w:rPr>
        <w:t>Line 136 should be checked and rewritten since "in the three PDX models (HepG2, Hep3B, PC3)" is incorrect. HepG2, Hep3B, and PC3 are xenograft models, not patient-derived.</w:t>
      </w:r>
    </w:p>
    <w:p w14:paraId="28CBF9F6" w14:textId="77777777" w:rsidR="00EA5981" w:rsidRDefault="00EA5981" w:rsidP="004931CA">
      <w:pPr>
        <w:rPr>
          <w:rFonts w:ascii="Times New Roman" w:eastAsia="宋体" w:hAnsi="Times New Roman" w:cs="Times New Roman"/>
          <w:b/>
          <w:bCs/>
          <w:color w:val="000000"/>
          <w:kern w:val="0"/>
          <w:sz w:val="24"/>
          <w14:ligatures w14:val="none"/>
        </w:rPr>
      </w:pPr>
      <w:r>
        <w:rPr>
          <w:rFonts w:ascii="Times New Roman" w:eastAsia="宋体" w:hAnsi="Times New Roman" w:cs="Times New Roman" w:hint="eastAsia"/>
          <w:b/>
          <w:bCs/>
          <w:color w:val="000000"/>
          <w:kern w:val="0"/>
          <w:sz w:val="24"/>
          <w14:ligatures w14:val="none"/>
        </w:rPr>
        <w:t xml:space="preserve">Response: </w:t>
      </w:r>
    </w:p>
    <w:p w14:paraId="12B082C8" w14:textId="77777777" w:rsidR="00FF140A" w:rsidRPr="00FF140A" w:rsidRDefault="00FF140A" w:rsidP="004931CA">
      <w:pPr>
        <w:rPr>
          <w:rFonts w:ascii="Times New Roman" w:hAnsi="Times New Roman" w:cs="Times New Roman"/>
          <w:sz w:val="24"/>
        </w:rPr>
      </w:pPr>
      <w:r w:rsidRPr="00FF140A">
        <w:rPr>
          <w:rFonts w:ascii="Times New Roman" w:hAnsi="Times New Roman" w:cs="Times New Roman"/>
          <w:sz w:val="24"/>
        </w:rPr>
        <w:t>We thank the reviewer for pointing out this error. We have corrected the text to accurately reflect the original study by Yang et al.</w:t>
      </w:r>
    </w:p>
    <w:p w14:paraId="1895F173" w14:textId="2BDFDD91" w:rsidR="00FF140A" w:rsidRPr="00FF140A" w:rsidRDefault="00FF140A" w:rsidP="004931CA">
      <w:pPr>
        <w:rPr>
          <w:rFonts w:ascii="Times New Roman" w:hAnsi="Times New Roman" w:cs="Times New Roman"/>
          <w:sz w:val="24"/>
        </w:rPr>
      </w:pPr>
      <w:r w:rsidRPr="00FF140A">
        <w:rPr>
          <w:rFonts w:ascii="Times New Roman" w:hAnsi="Times New Roman" w:cs="Times New Roman"/>
          <w:sz w:val="24"/>
        </w:rPr>
        <w:t>HepG2, Hep3B, and PC3 have been removed from the PDX description, as they are indeed cell line-d</w:t>
      </w:r>
      <w:r w:rsidR="00100E72">
        <w:rPr>
          <w:rFonts w:ascii="Times New Roman" w:hAnsi="Times New Roman" w:cs="Times New Roman"/>
          <w:sz w:val="24"/>
        </w:rPr>
        <w:t xml:space="preserve">erived xenograft (CDX) models. </w:t>
      </w:r>
      <w:r w:rsidR="00100E72">
        <w:rPr>
          <w:rFonts w:ascii="Times New Roman" w:hAnsi="Times New Roman" w:cs="Times New Roman" w:hint="eastAsia"/>
          <w:sz w:val="24"/>
        </w:rPr>
        <w:t>W</w:t>
      </w:r>
      <w:r w:rsidRPr="00FF140A">
        <w:rPr>
          <w:rFonts w:ascii="Times New Roman" w:hAnsi="Times New Roman" w:cs="Times New Roman"/>
          <w:sz w:val="24"/>
        </w:rPr>
        <w:t>e have also clarified that the three PDX models used in their study were established from three different HCC patients, and corrected the time point from 72 h to 168 h to match the original data.</w:t>
      </w:r>
    </w:p>
    <w:p w14:paraId="34412B02" w14:textId="2F829D15" w:rsidR="00EA5981" w:rsidRDefault="00FF140A" w:rsidP="004931CA">
      <w:pPr>
        <w:rPr>
          <w:rFonts w:ascii="Times New Roman" w:hAnsi="Times New Roman" w:cs="Times New Roman"/>
          <w:sz w:val="24"/>
        </w:rPr>
      </w:pPr>
      <w:r w:rsidRPr="00FF140A">
        <w:rPr>
          <w:rFonts w:ascii="Times New Roman" w:hAnsi="Times New Roman" w:cs="Times New Roman"/>
          <w:sz w:val="24"/>
        </w:rPr>
        <w:t xml:space="preserve">The revised sentence (Page </w:t>
      </w:r>
      <w:r>
        <w:rPr>
          <w:rFonts w:ascii="Times New Roman" w:hAnsi="Times New Roman" w:cs="Times New Roman" w:hint="eastAsia"/>
          <w:sz w:val="24"/>
        </w:rPr>
        <w:t>8</w:t>
      </w:r>
      <w:r w:rsidRPr="00FF140A">
        <w:rPr>
          <w:rFonts w:ascii="Times New Roman" w:hAnsi="Times New Roman" w:cs="Times New Roman"/>
          <w:sz w:val="24"/>
        </w:rPr>
        <w:t xml:space="preserve">, Lines </w:t>
      </w:r>
      <w:r>
        <w:rPr>
          <w:rFonts w:ascii="Times New Roman" w:hAnsi="Times New Roman" w:cs="Times New Roman" w:hint="eastAsia"/>
          <w:sz w:val="24"/>
        </w:rPr>
        <w:t>142</w:t>
      </w:r>
      <w:r w:rsidRPr="00FF140A">
        <w:rPr>
          <w:rFonts w:ascii="Times New Roman" w:hAnsi="Times New Roman" w:cs="Times New Roman"/>
          <w:sz w:val="24"/>
        </w:rPr>
        <w:t>-</w:t>
      </w:r>
      <w:r>
        <w:rPr>
          <w:rFonts w:ascii="Times New Roman" w:hAnsi="Times New Roman" w:cs="Times New Roman" w:hint="eastAsia"/>
          <w:sz w:val="24"/>
        </w:rPr>
        <w:t>144</w:t>
      </w:r>
      <w:r w:rsidRPr="00FF140A">
        <w:rPr>
          <w:rFonts w:ascii="Times New Roman" w:hAnsi="Times New Roman" w:cs="Times New Roman"/>
          <w:sz w:val="24"/>
        </w:rPr>
        <w:t>) now reads: "Quantitative analysis revealed progressively higher tumor-to-liver (T/L) ratios over time in all models, reaching 4.21 ± 0.64, 2.78 ± 0.26, and 2.31 ± 0.38 in the three PDX models by 168 hours"</w:t>
      </w:r>
      <w:r w:rsidR="002A6720">
        <w:rPr>
          <w:rFonts w:ascii="Times New Roman" w:hAnsi="Times New Roman" w:cs="Times New Roman" w:hint="eastAsia"/>
          <w:sz w:val="24"/>
        </w:rPr>
        <w:t>.</w:t>
      </w:r>
    </w:p>
    <w:p w14:paraId="431BC0FF" w14:textId="77777777" w:rsidR="00EA5981" w:rsidRDefault="00EA5981" w:rsidP="004931CA">
      <w:pPr>
        <w:rPr>
          <w:rFonts w:ascii="Times New Roman" w:hAnsi="Times New Roman" w:cs="Times New Roman"/>
          <w:color w:val="5B9BD5" w:themeColor="accent5"/>
          <w:sz w:val="24"/>
        </w:rPr>
      </w:pPr>
      <w:r>
        <w:rPr>
          <w:rFonts w:ascii="Times New Roman" w:hAnsi="Times New Roman" w:cs="Times New Roman" w:hint="eastAsia"/>
          <w:color w:val="5B9BD5" w:themeColor="accent5"/>
          <w:sz w:val="24"/>
        </w:rPr>
        <w:t xml:space="preserve">Comment </w:t>
      </w:r>
      <w:r>
        <w:rPr>
          <w:rFonts w:ascii="Times New Roman" w:hAnsi="Times New Roman" w:cs="Times New Roman"/>
          <w:color w:val="5B9BD5" w:themeColor="accent5"/>
          <w:sz w:val="24"/>
        </w:rPr>
        <w:t>3</w:t>
      </w:r>
      <w:r>
        <w:rPr>
          <w:rFonts w:ascii="Times New Roman" w:hAnsi="Times New Roman" w:cs="Times New Roman" w:hint="eastAsia"/>
          <w:color w:val="5B9BD5" w:themeColor="accent5"/>
          <w:sz w:val="24"/>
        </w:rPr>
        <w:t>:</w:t>
      </w:r>
    </w:p>
    <w:p w14:paraId="73AC5792" w14:textId="77777777" w:rsidR="004931CA" w:rsidRDefault="004931CA" w:rsidP="004931CA">
      <w:pPr>
        <w:rPr>
          <w:rFonts w:ascii="Times New Roman" w:hAnsi="Times New Roman" w:cs="Times New Roman"/>
          <w:sz w:val="24"/>
        </w:rPr>
      </w:pPr>
      <w:r w:rsidRPr="004931CA">
        <w:rPr>
          <w:rFonts w:ascii="Times New Roman" w:hAnsi="Times New Roman" w:cs="Times New Roman"/>
          <w:sz w:val="24"/>
        </w:rPr>
        <w:t xml:space="preserve">The paragraph regarding </w:t>
      </w:r>
      <w:r w:rsidRPr="002A6720">
        <w:rPr>
          <w:rFonts w:ascii="Times New Roman" w:hAnsi="Times New Roman" w:cs="Times New Roman"/>
          <w:sz w:val="24"/>
          <w:vertAlign w:val="superscript"/>
        </w:rPr>
        <w:t>68</w:t>
      </w:r>
      <w:r w:rsidRPr="004931CA">
        <w:rPr>
          <w:rFonts w:ascii="Times New Roman" w:hAnsi="Times New Roman" w:cs="Times New Roman"/>
          <w:sz w:val="24"/>
        </w:rPr>
        <w:t xml:space="preserve">Ga-F2/18F-F2 (lines 260-264) is a bit confusing and inconsistent. First, the high liver uptake of </w:t>
      </w:r>
      <w:r w:rsidRPr="002A6720">
        <w:rPr>
          <w:rFonts w:ascii="Times New Roman" w:hAnsi="Times New Roman" w:cs="Times New Roman"/>
          <w:sz w:val="24"/>
          <w:vertAlign w:val="superscript"/>
        </w:rPr>
        <w:t>18</w:t>
      </w:r>
      <w:r w:rsidRPr="004931CA">
        <w:rPr>
          <w:rFonts w:ascii="Times New Roman" w:hAnsi="Times New Roman" w:cs="Times New Roman"/>
          <w:sz w:val="24"/>
        </w:rPr>
        <w:t xml:space="preserve">F-G2 is described. Then, an approach to reduce renal uptake is mentioned, followed by results about </w:t>
      </w:r>
      <w:r w:rsidRPr="002A6720">
        <w:rPr>
          <w:rFonts w:ascii="Times New Roman" w:hAnsi="Times New Roman" w:cs="Times New Roman"/>
          <w:sz w:val="24"/>
          <w:vertAlign w:val="superscript"/>
        </w:rPr>
        <w:t>68</w:t>
      </w:r>
      <w:r w:rsidRPr="004931CA">
        <w:rPr>
          <w:rFonts w:ascii="Times New Roman" w:hAnsi="Times New Roman" w:cs="Times New Roman"/>
          <w:sz w:val="24"/>
        </w:rPr>
        <w:t>Ga-ABDG2. It should be rewritten so that the connections build on one another more effectively.</w:t>
      </w:r>
    </w:p>
    <w:p w14:paraId="7CE67D63" w14:textId="4D8EA066" w:rsidR="00EA5981" w:rsidRDefault="00EA5981" w:rsidP="004931CA">
      <w:pPr>
        <w:rPr>
          <w:rFonts w:ascii="Times New Roman" w:eastAsia="宋体" w:hAnsi="Times New Roman" w:cs="Times New Roman"/>
          <w:b/>
          <w:bCs/>
          <w:color w:val="000000"/>
          <w:kern w:val="0"/>
          <w:sz w:val="24"/>
          <w14:ligatures w14:val="none"/>
        </w:rPr>
      </w:pPr>
      <w:r>
        <w:rPr>
          <w:rFonts w:ascii="Times New Roman" w:eastAsia="宋体" w:hAnsi="Times New Roman" w:cs="Times New Roman" w:hint="eastAsia"/>
          <w:b/>
          <w:bCs/>
          <w:color w:val="000000"/>
          <w:kern w:val="0"/>
          <w:sz w:val="24"/>
          <w14:ligatures w14:val="none"/>
        </w:rPr>
        <w:t>Response:</w:t>
      </w:r>
    </w:p>
    <w:p w14:paraId="1952D248" w14:textId="0F78D05E" w:rsidR="004931CA" w:rsidRPr="004931CA" w:rsidRDefault="004931CA" w:rsidP="004931CA">
      <w:pPr>
        <w:rPr>
          <w:rFonts w:ascii="Times New Roman" w:hAnsi="Times New Roman" w:cs="Times New Roman"/>
          <w:sz w:val="24"/>
        </w:rPr>
      </w:pPr>
      <w:r w:rsidRPr="004931CA">
        <w:rPr>
          <w:rFonts w:ascii="Times New Roman" w:hAnsi="Times New Roman" w:cs="Times New Roman"/>
          <w:sz w:val="24"/>
        </w:rPr>
        <w:t>We appreciate this constructive feedback. We agree that the logical progression between the sections discussing isotope selection and molecular modification needed improvement.</w:t>
      </w:r>
    </w:p>
    <w:p w14:paraId="1959CF81" w14:textId="412625E2" w:rsidR="004931CA" w:rsidRPr="004931CA" w:rsidRDefault="004931CA" w:rsidP="004931CA">
      <w:pPr>
        <w:rPr>
          <w:rFonts w:ascii="Times New Roman" w:hAnsi="Times New Roman" w:cs="Times New Roman"/>
          <w:sz w:val="24"/>
        </w:rPr>
      </w:pPr>
      <w:r w:rsidRPr="004931CA">
        <w:rPr>
          <w:rFonts w:ascii="Times New Roman" w:hAnsi="Times New Roman" w:cs="Times New Roman"/>
          <w:sz w:val="24"/>
        </w:rPr>
        <w:t xml:space="preserve">We have carefully restructured and expanded this paragraph (Page </w:t>
      </w:r>
      <w:r>
        <w:rPr>
          <w:rFonts w:ascii="Times New Roman" w:hAnsi="Times New Roman" w:cs="Times New Roman" w:hint="eastAsia"/>
          <w:sz w:val="24"/>
        </w:rPr>
        <w:t>14</w:t>
      </w:r>
      <w:r w:rsidRPr="004931CA">
        <w:rPr>
          <w:rFonts w:ascii="Times New Roman" w:hAnsi="Times New Roman" w:cs="Times New Roman"/>
          <w:sz w:val="24"/>
        </w:rPr>
        <w:t xml:space="preserve">, Lines </w:t>
      </w:r>
      <w:r>
        <w:rPr>
          <w:rFonts w:ascii="Times New Roman" w:hAnsi="Times New Roman" w:cs="Times New Roman" w:hint="eastAsia"/>
          <w:sz w:val="24"/>
        </w:rPr>
        <w:t>275</w:t>
      </w:r>
      <w:r w:rsidRPr="004931CA">
        <w:rPr>
          <w:rFonts w:ascii="Times New Roman" w:hAnsi="Times New Roman" w:cs="Times New Roman"/>
          <w:sz w:val="24"/>
        </w:rPr>
        <w:t>-</w:t>
      </w:r>
      <w:r>
        <w:rPr>
          <w:rFonts w:ascii="Times New Roman" w:hAnsi="Times New Roman" w:cs="Times New Roman" w:hint="eastAsia"/>
          <w:sz w:val="24"/>
        </w:rPr>
        <w:t>281</w:t>
      </w:r>
      <w:r w:rsidRPr="004931CA">
        <w:rPr>
          <w:rFonts w:ascii="Times New Roman" w:hAnsi="Times New Roman" w:cs="Times New Roman"/>
          <w:sz w:val="24"/>
        </w:rPr>
        <w:t xml:space="preserve">) to clearly separate the two distinct rationales: first, the rationale for isotope selection (comparing </w:t>
      </w:r>
      <w:r w:rsidRPr="002A6720">
        <w:rPr>
          <w:rFonts w:ascii="Times New Roman" w:hAnsi="Times New Roman" w:cs="Times New Roman"/>
          <w:sz w:val="24"/>
          <w:vertAlign w:val="superscript"/>
        </w:rPr>
        <w:t>18</w:t>
      </w:r>
      <w:r w:rsidRPr="004931CA">
        <w:rPr>
          <w:rFonts w:ascii="Times New Roman" w:hAnsi="Times New Roman" w:cs="Times New Roman"/>
          <w:sz w:val="24"/>
        </w:rPr>
        <w:t>F-G2 and [</w:t>
      </w:r>
      <w:r w:rsidRPr="002A6720">
        <w:rPr>
          <w:rFonts w:ascii="Times New Roman" w:hAnsi="Times New Roman" w:cs="Times New Roman"/>
          <w:sz w:val="24"/>
          <w:vertAlign w:val="superscript"/>
        </w:rPr>
        <w:t>68</w:t>
      </w:r>
      <w:r w:rsidRPr="004931CA">
        <w:rPr>
          <w:rFonts w:ascii="Times New Roman" w:hAnsi="Times New Roman" w:cs="Times New Roman"/>
          <w:sz w:val="24"/>
        </w:rPr>
        <w:t>Ga]Ga-NOTA-G2 to avoid high hepatic</w:t>
      </w:r>
      <w:r>
        <w:rPr>
          <w:rFonts w:ascii="Times New Roman" w:hAnsi="Times New Roman" w:cs="Times New Roman" w:hint="eastAsia"/>
          <w:sz w:val="24"/>
        </w:rPr>
        <w:t xml:space="preserve"> </w:t>
      </w:r>
      <w:r w:rsidRPr="004931CA">
        <w:rPr>
          <w:rFonts w:ascii="Times New Roman" w:hAnsi="Times New Roman" w:cs="Times New Roman"/>
          <w:sz w:val="24"/>
        </w:rPr>
        <w:t>uptake), and second, the subsequent molecular modification (introducing the ABD domain to reduce renal uptake and improve pharmacokinetics).</w:t>
      </w:r>
    </w:p>
    <w:p w14:paraId="31654311" w14:textId="4407B029" w:rsidR="00EA5981" w:rsidRDefault="004931CA" w:rsidP="004931CA">
      <w:pPr>
        <w:rPr>
          <w:rFonts w:ascii="Times New Roman" w:hAnsi="Times New Roman" w:cs="Times New Roman"/>
          <w:sz w:val="24"/>
        </w:rPr>
      </w:pPr>
      <w:r w:rsidRPr="004931CA">
        <w:rPr>
          <w:rFonts w:ascii="Times New Roman" w:hAnsi="Times New Roman" w:cs="Times New Roman"/>
          <w:sz w:val="24"/>
        </w:rPr>
        <w:t>The key revised sentences read: "</w:t>
      </w:r>
      <w:r w:rsidRPr="004931CA">
        <w:rPr>
          <w:rFonts w:ascii="Times New Roman" w:hAnsi="Times New Roman" w:cs="Times New Roman"/>
          <w:sz w:val="21"/>
          <w:szCs w:val="21"/>
        </w:rPr>
        <w:t xml:space="preserve">While </w:t>
      </w:r>
      <w:r w:rsidRPr="002A6720">
        <w:rPr>
          <w:rFonts w:ascii="Times New Roman" w:hAnsi="Times New Roman" w:cs="Times New Roman"/>
          <w:sz w:val="21"/>
          <w:szCs w:val="21"/>
          <w:vertAlign w:val="superscript"/>
        </w:rPr>
        <w:t>18</w:t>
      </w:r>
      <w:r w:rsidRPr="004931CA">
        <w:rPr>
          <w:rFonts w:ascii="Times New Roman" w:hAnsi="Times New Roman" w:cs="Times New Roman"/>
          <w:sz w:val="21"/>
          <w:szCs w:val="21"/>
        </w:rPr>
        <w:t>F-G2 exhibited a better tumor-to-muscle ratio than [</w:t>
      </w:r>
      <w:r w:rsidRPr="002A6720">
        <w:rPr>
          <w:rFonts w:ascii="Times New Roman" w:hAnsi="Times New Roman" w:cs="Times New Roman"/>
          <w:sz w:val="21"/>
          <w:szCs w:val="21"/>
          <w:vertAlign w:val="superscript"/>
        </w:rPr>
        <w:t>68</w:t>
      </w:r>
      <w:r w:rsidRPr="004931CA">
        <w:rPr>
          <w:rFonts w:ascii="Times New Roman" w:hAnsi="Times New Roman" w:cs="Times New Roman"/>
          <w:sz w:val="21"/>
          <w:szCs w:val="21"/>
        </w:rPr>
        <w:t xml:space="preserve">Ga]Ga-NOTA-G2 (12.93 ± 3.01 vs 4.65 ± 1.12), it also showed high physiological hepatic uptake (tumor-to-liver ratio = 0.5), which compromises its utility for diagnosing orthotopic liver </w:t>
      </w:r>
      <w:r w:rsidRPr="004931CA">
        <w:rPr>
          <w:rFonts w:ascii="Times New Roman" w:hAnsi="Times New Roman" w:cs="Times New Roman"/>
          <w:sz w:val="21"/>
          <w:szCs w:val="21"/>
        </w:rPr>
        <w:lastRenderedPageBreak/>
        <w:t>tumors. Therefore, [</w:t>
      </w:r>
      <w:r w:rsidRPr="002A6720">
        <w:rPr>
          <w:rFonts w:ascii="Times New Roman" w:hAnsi="Times New Roman" w:cs="Times New Roman"/>
          <w:sz w:val="21"/>
          <w:szCs w:val="21"/>
          <w:vertAlign w:val="superscript"/>
        </w:rPr>
        <w:t>68</w:t>
      </w:r>
      <w:r w:rsidRPr="004931CA">
        <w:rPr>
          <w:rFonts w:ascii="Times New Roman" w:hAnsi="Times New Roman" w:cs="Times New Roman"/>
          <w:sz w:val="21"/>
          <w:szCs w:val="21"/>
        </w:rPr>
        <w:t>Ga]Ga-NOTA-G2 is a more suitable candidate for HCC imaging. Despite the diagnostic potential of [</w:t>
      </w:r>
      <w:r w:rsidRPr="002A6720">
        <w:rPr>
          <w:rFonts w:ascii="Times New Roman" w:hAnsi="Times New Roman" w:cs="Times New Roman"/>
          <w:sz w:val="21"/>
          <w:szCs w:val="21"/>
          <w:vertAlign w:val="superscript"/>
        </w:rPr>
        <w:t>68</w:t>
      </w:r>
      <w:r w:rsidRPr="004931CA">
        <w:rPr>
          <w:rFonts w:ascii="Times New Roman" w:hAnsi="Times New Roman" w:cs="Times New Roman"/>
          <w:sz w:val="21"/>
          <w:szCs w:val="21"/>
        </w:rPr>
        <w:t>Ga]Ga-NOTA-G2, its rapid renal clearance carries the risk of nephrotoxicity, hindering its translation into RIT."</w:t>
      </w:r>
    </w:p>
    <w:p w14:paraId="14CA9FA5" w14:textId="77777777" w:rsidR="00EA5981" w:rsidRDefault="00EA5981" w:rsidP="004931CA">
      <w:pPr>
        <w:rPr>
          <w:rFonts w:ascii="Times New Roman" w:hAnsi="Times New Roman" w:cs="Times New Roman"/>
          <w:color w:val="5B9BD5" w:themeColor="accent5"/>
          <w:sz w:val="24"/>
        </w:rPr>
      </w:pPr>
      <w:r>
        <w:rPr>
          <w:rFonts w:ascii="Times New Roman" w:hAnsi="Times New Roman" w:cs="Times New Roman" w:hint="eastAsia"/>
          <w:color w:val="5B9BD5" w:themeColor="accent5"/>
          <w:sz w:val="24"/>
        </w:rPr>
        <w:t>Comment 4:</w:t>
      </w:r>
    </w:p>
    <w:p w14:paraId="6556B0FD" w14:textId="77777777" w:rsidR="00B16B2D" w:rsidRPr="00B16B2D" w:rsidRDefault="00B16B2D" w:rsidP="004931CA">
      <w:pPr>
        <w:rPr>
          <w:rFonts w:ascii="Times New Roman" w:eastAsia="宋体" w:hAnsi="Times New Roman" w:cs="Times New Roman"/>
          <w:color w:val="000000"/>
          <w:kern w:val="0"/>
          <w:sz w:val="24"/>
          <w14:ligatures w14:val="none"/>
        </w:rPr>
      </w:pPr>
      <w:r w:rsidRPr="00B16B2D">
        <w:rPr>
          <w:rFonts w:ascii="Times New Roman" w:eastAsia="宋体" w:hAnsi="Times New Roman" w:cs="Times New Roman"/>
          <w:color w:val="000000"/>
          <w:kern w:val="0"/>
          <w:sz w:val="24"/>
          <w14:ligatures w14:val="none"/>
        </w:rPr>
        <w:t>The chemical structures, or at least the sequences, of GPC3-targeting peptides should be depicted.</w:t>
      </w:r>
    </w:p>
    <w:p w14:paraId="14B8C3E1" w14:textId="597B2C13" w:rsidR="00EA5981" w:rsidRDefault="00EA5981" w:rsidP="004931CA">
      <w:pPr>
        <w:rPr>
          <w:rFonts w:ascii="Times New Roman" w:eastAsia="宋体" w:hAnsi="Times New Roman" w:cs="Times New Roman"/>
          <w:b/>
          <w:bCs/>
          <w:color w:val="000000"/>
          <w:kern w:val="0"/>
          <w:sz w:val="24"/>
          <w14:ligatures w14:val="none"/>
        </w:rPr>
      </w:pPr>
      <w:r>
        <w:rPr>
          <w:rFonts w:ascii="Times New Roman" w:eastAsia="宋体" w:hAnsi="Times New Roman" w:cs="Times New Roman" w:hint="eastAsia"/>
          <w:b/>
          <w:bCs/>
          <w:color w:val="000000"/>
          <w:kern w:val="0"/>
          <w:sz w:val="24"/>
          <w14:ligatures w14:val="none"/>
        </w:rPr>
        <w:t>Response:</w:t>
      </w:r>
    </w:p>
    <w:p w14:paraId="3561C45A" w14:textId="77777777" w:rsidR="004931CA" w:rsidRDefault="004931CA" w:rsidP="004931CA">
      <w:pPr>
        <w:rPr>
          <w:rFonts w:ascii="Times New Roman" w:hAnsi="Times New Roman" w:cs="Times New Roman"/>
          <w:sz w:val="24"/>
        </w:rPr>
      </w:pPr>
      <w:r w:rsidRPr="004931CA">
        <w:rPr>
          <w:rFonts w:ascii="Times New Roman" w:hAnsi="Times New Roman" w:cs="Times New Roman"/>
          <w:sz w:val="24"/>
        </w:rPr>
        <w:t>We thank the reviewer for this valuable suggestion. We carefully considered drawing the full 2D chemical structures for all the probes. However, we found that several probes contain highly complex structures (e.g., the dual-targeting T2P and the cyclic peptide 10P3Me). More importantly, the exact amino acid sequences or structural formulas for some recent clinical candidates (such as RAYZ-8009 and the F3 peptide) remain proprietary and undisclosed. Therefore, illustrating a unified figure with 2D structures would result in incomplete and potentially misleading representations.</w:t>
      </w:r>
    </w:p>
    <w:p w14:paraId="2EC3A617" w14:textId="0D48BE1D" w:rsidR="00B16B2D" w:rsidRDefault="00C12136" w:rsidP="004931CA">
      <w:pPr>
        <w:rPr>
          <w:rFonts w:ascii="Times New Roman" w:hAnsi="Times New Roman" w:cs="Times New Roman"/>
          <w:sz w:val="24"/>
        </w:rPr>
      </w:pPr>
      <w:r w:rsidRPr="00C12136">
        <w:rPr>
          <w:rFonts w:ascii="Times New Roman" w:hAnsi="Times New Roman" w:cs="Times New Roman"/>
          <w:sz w:val="24"/>
        </w:rPr>
        <w:t>To best address the reviewer's concern and provide clear, accurate information, we have adopted the reviewer's alternative suggestion to depict "at least the sequences." We have introduced a new comprehensive table (Table 2) in the revised manuscript. This table systematically details the parent peptide, the precise amino acid sequence (where publicly available), the spacer/linker types, the chelators, and any additional modifications (e.g., albumin binders, dual-targeting motifs) for each radiopharmaceutical.</w:t>
      </w:r>
    </w:p>
    <w:p w14:paraId="161615C0" w14:textId="51359F2A" w:rsidR="00DD3D26" w:rsidRPr="00DD3D26" w:rsidRDefault="00DD3D26" w:rsidP="004931CA">
      <w:pPr>
        <w:rPr>
          <w:rFonts w:ascii="Times New Roman" w:hAnsi="Times New Roman" w:cs="Times New Roman"/>
          <w:sz w:val="24"/>
        </w:rPr>
      </w:pPr>
      <w:r>
        <w:rPr>
          <w:noProof/>
        </w:rPr>
        <w:drawing>
          <wp:inline distT="0" distB="0" distL="0" distR="0" wp14:anchorId="1127EA46" wp14:editId="28625E8C">
            <wp:extent cx="5274310" cy="2354580"/>
            <wp:effectExtent l="0" t="0" r="2540" b="7620"/>
            <wp:docPr id="17644127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41276" name="图片 1"/>
                    <pic:cNvPicPr>
                      <a:picLocks noChangeAspect="1"/>
                    </pic:cNvPicPr>
                  </pic:nvPicPr>
                  <pic:blipFill>
                    <a:blip r:embed="rId7"/>
                    <a:stretch>
                      <a:fillRect/>
                    </a:stretch>
                  </pic:blipFill>
                  <pic:spPr>
                    <a:xfrm>
                      <a:off x="0" y="0"/>
                      <a:ext cx="5274310" cy="2354580"/>
                    </a:xfrm>
                    <a:prstGeom prst="rect">
                      <a:avLst/>
                    </a:prstGeom>
                  </pic:spPr>
                </pic:pic>
              </a:graphicData>
            </a:graphic>
          </wp:inline>
        </w:drawing>
      </w:r>
    </w:p>
    <w:p w14:paraId="72A76207" w14:textId="6845C500" w:rsidR="00C12136" w:rsidRDefault="00C12136" w:rsidP="004931CA">
      <w:pPr>
        <w:rPr>
          <w:rFonts w:ascii="Times New Roman" w:hAnsi="Times New Roman" w:cs="Times New Roman"/>
          <w:sz w:val="24"/>
        </w:rPr>
      </w:pPr>
      <w:r w:rsidRPr="00C12136">
        <w:rPr>
          <w:rFonts w:ascii="Times New Roman" w:hAnsi="Times New Roman" w:cs="Times New Roman"/>
          <w:sz w:val="24"/>
        </w:rPr>
        <w:t>Furthermore, during our comprehensive re-evaluation of the original literature to compile this table, we found that we had inadvertently omitted the study on the radiotracer 18F-AlF-NOTA-TJ12P2. We have now added the discussion of this probe to the main text</w:t>
      </w:r>
      <w:r w:rsidR="004931CA" w:rsidRPr="004931CA">
        <w:rPr>
          <w:rFonts w:ascii="Times New Roman" w:hAnsi="Times New Roman" w:cs="Times New Roman"/>
          <w:sz w:val="24"/>
        </w:rPr>
        <w:t xml:space="preserve"> (Page </w:t>
      </w:r>
      <w:r w:rsidR="004931CA">
        <w:rPr>
          <w:rFonts w:ascii="Times New Roman" w:hAnsi="Times New Roman" w:cs="Times New Roman" w:hint="eastAsia"/>
          <w:sz w:val="24"/>
        </w:rPr>
        <w:t>17</w:t>
      </w:r>
      <w:r w:rsidR="004931CA" w:rsidRPr="004931CA">
        <w:rPr>
          <w:rFonts w:ascii="Times New Roman" w:hAnsi="Times New Roman" w:cs="Times New Roman"/>
          <w:sz w:val="24"/>
        </w:rPr>
        <w:t xml:space="preserve">, Lines </w:t>
      </w:r>
      <w:r w:rsidR="004931CA">
        <w:rPr>
          <w:rFonts w:ascii="Times New Roman" w:hAnsi="Times New Roman" w:cs="Times New Roman" w:hint="eastAsia"/>
          <w:sz w:val="24"/>
        </w:rPr>
        <w:t>330</w:t>
      </w:r>
      <w:r w:rsidR="004931CA" w:rsidRPr="004931CA">
        <w:rPr>
          <w:rFonts w:ascii="Times New Roman" w:hAnsi="Times New Roman" w:cs="Times New Roman"/>
          <w:sz w:val="24"/>
        </w:rPr>
        <w:t>-</w:t>
      </w:r>
      <w:r w:rsidR="004931CA">
        <w:rPr>
          <w:rFonts w:ascii="Times New Roman" w:hAnsi="Times New Roman" w:cs="Times New Roman" w:hint="eastAsia"/>
          <w:sz w:val="24"/>
        </w:rPr>
        <w:t>336</w:t>
      </w:r>
      <w:r w:rsidR="004931CA" w:rsidRPr="004931CA">
        <w:rPr>
          <w:rFonts w:ascii="Times New Roman" w:hAnsi="Times New Roman" w:cs="Times New Roman"/>
          <w:sz w:val="24"/>
        </w:rPr>
        <w:t>)</w:t>
      </w:r>
      <w:r w:rsidRPr="00C12136">
        <w:rPr>
          <w:rFonts w:ascii="Times New Roman" w:hAnsi="Times New Roman" w:cs="Times New Roman"/>
          <w:sz w:val="24"/>
        </w:rPr>
        <w:t xml:space="preserve"> and appropriately included its content in </w:t>
      </w:r>
      <w:r w:rsidRPr="00C12136">
        <w:rPr>
          <w:rFonts w:ascii="Times New Roman" w:hAnsi="Times New Roman" w:cs="Times New Roman"/>
          <w:sz w:val="24"/>
        </w:rPr>
        <w:lastRenderedPageBreak/>
        <w:t>Table 1.</w:t>
      </w:r>
    </w:p>
    <w:p w14:paraId="77B5CA18" w14:textId="77777777" w:rsidR="00DD3D26" w:rsidRDefault="00DD3D26" w:rsidP="004931CA">
      <w:pPr>
        <w:rPr>
          <w:rFonts w:ascii="Times New Roman" w:hAnsi="Times New Roman" w:cs="Times New Roman"/>
          <w:color w:val="5B9BD5" w:themeColor="accent5"/>
          <w:sz w:val="24"/>
        </w:rPr>
      </w:pPr>
      <w:r>
        <w:rPr>
          <w:noProof/>
        </w:rPr>
        <w:drawing>
          <wp:inline distT="0" distB="0" distL="0" distR="0" wp14:anchorId="5A17EEA1" wp14:editId="7886CF70">
            <wp:extent cx="5274310" cy="890270"/>
            <wp:effectExtent l="0" t="0" r="2540" b="5080"/>
            <wp:docPr id="1418171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17137" name="图片 1"/>
                    <pic:cNvPicPr>
                      <a:picLocks noChangeAspect="1"/>
                    </pic:cNvPicPr>
                  </pic:nvPicPr>
                  <pic:blipFill>
                    <a:blip r:embed="rId8"/>
                    <a:stretch>
                      <a:fillRect/>
                    </a:stretch>
                  </pic:blipFill>
                  <pic:spPr>
                    <a:xfrm>
                      <a:off x="0" y="0"/>
                      <a:ext cx="5274310" cy="890270"/>
                    </a:xfrm>
                    <a:prstGeom prst="rect">
                      <a:avLst/>
                    </a:prstGeom>
                  </pic:spPr>
                </pic:pic>
              </a:graphicData>
            </a:graphic>
          </wp:inline>
        </w:drawing>
      </w:r>
    </w:p>
    <w:p w14:paraId="081B7252" w14:textId="66D0EA34" w:rsidR="00EA5981" w:rsidRDefault="00EA5981" w:rsidP="004931CA">
      <w:pPr>
        <w:rPr>
          <w:rFonts w:ascii="Times New Roman" w:hAnsi="Times New Roman" w:cs="Times New Roman"/>
          <w:color w:val="5B9BD5" w:themeColor="accent5"/>
          <w:sz w:val="24"/>
        </w:rPr>
      </w:pPr>
      <w:r>
        <w:rPr>
          <w:rFonts w:ascii="Times New Roman" w:hAnsi="Times New Roman" w:cs="Times New Roman" w:hint="eastAsia"/>
          <w:color w:val="5B9BD5" w:themeColor="accent5"/>
          <w:sz w:val="24"/>
        </w:rPr>
        <w:t>Comment 5:</w:t>
      </w:r>
    </w:p>
    <w:p w14:paraId="78B8C8C7" w14:textId="77777777" w:rsidR="00C12136" w:rsidRDefault="00C12136" w:rsidP="004931CA">
      <w:pPr>
        <w:rPr>
          <w:rFonts w:ascii="Times New Roman" w:hAnsi="Times New Roman" w:cs="Times New Roman"/>
          <w:sz w:val="24"/>
        </w:rPr>
      </w:pPr>
      <w:r w:rsidRPr="00C12136">
        <w:rPr>
          <w:rFonts w:ascii="Times New Roman" w:hAnsi="Times New Roman" w:cs="Times New Roman"/>
          <w:sz w:val="24"/>
        </w:rPr>
        <w:t>Line 349: "…Wang54…" Please check the reference.</w:t>
      </w:r>
    </w:p>
    <w:p w14:paraId="58808116" w14:textId="0C3F7003" w:rsidR="00EA5981" w:rsidRDefault="00EA5981" w:rsidP="004931CA">
      <w:pPr>
        <w:rPr>
          <w:rFonts w:ascii="Times New Roman" w:eastAsia="宋体" w:hAnsi="Times New Roman" w:cs="Times New Roman"/>
          <w:b/>
          <w:bCs/>
          <w:color w:val="000000"/>
          <w:kern w:val="0"/>
          <w:sz w:val="24"/>
          <w14:ligatures w14:val="none"/>
        </w:rPr>
      </w:pPr>
      <w:r>
        <w:rPr>
          <w:rFonts w:ascii="Times New Roman" w:eastAsia="宋体" w:hAnsi="Times New Roman" w:cs="Times New Roman" w:hint="eastAsia"/>
          <w:b/>
          <w:bCs/>
          <w:color w:val="000000"/>
          <w:kern w:val="0"/>
          <w:sz w:val="24"/>
          <w14:ligatures w14:val="none"/>
        </w:rPr>
        <w:t>Response:</w:t>
      </w:r>
    </w:p>
    <w:p w14:paraId="571F55E1" w14:textId="60BBB118" w:rsidR="00C12136" w:rsidRDefault="00C12136" w:rsidP="004931CA">
      <w:pPr>
        <w:rPr>
          <w:rFonts w:ascii="Times New Roman" w:hAnsi="Times New Roman" w:cs="Times New Roman"/>
          <w:sz w:val="24"/>
        </w:rPr>
      </w:pPr>
      <w:r w:rsidRPr="00C12136">
        <w:rPr>
          <w:rFonts w:ascii="Times New Roman" w:hAnsi="Times New Roman" w:cs="Times New Roman"/>
          <w:sz w:val="24"/>
        </w:rPr>
        <w:t>We thank the reviewer for pointing out this oversight. The superscript "54" was a residual formatting error caused by our reference management software (Zotero) during a formatting update. We have removed the stray superscript in the revised manuscript</w:t>
      </w:r>
      <w:r w:rsidR="00A9651D" w:rsidRPr="00A9651D">
        <w:t xml:space="preserve"> </w:t>
      </w:r>
      <w:r w:rsidR="00A9651D" w:rsidRPr="00A9651D">
        <w:rPr>
          <w:rFonts w:ascii="Times New Roman" w:hAnsi="Times New Roman" w:cs="Times New Roman"/>
          <w:sz w:val="24"/>
        </w:rPr>
        <w:t xml:space="preserve">(Page </w:t>
      </w:r>
      <w:r w:rsidR="00A9651D">
        <w:rPr>
          <w:rFonts w:ascii="Times New Roman" w:hAnsi="Times New Roman" w:cs="Times New Roman" w:hint="eastAsia"/>
          <w:sz w:val="24"/>
        </w:rPr>
        <w:t>20</w:t>
      </w:r>
      <w:r w:rsidR="00A9651D" w:rsidRPr="00A9651D">
        <w:rPr>
          <w:rFonts w:ascii="Times New Roman" w:hAnsi="Times New Roman" w:cs="Times New Roman"/>
          <w:sz w:val="24"/>
        </w:rPr>
        <w:t xml:space="preserve">, Line </w:t>
      </w:r>
      <w:r w:rsidR="00A9651D">
        <w:rPr>
          <w:rFonts w:ascii="Times New Roman" w:hAnsi="Times New Roman" w:cs="Times New Roman" w:hint="eastAsia"/>
          <w:sz w:val="24"/>
        </w:rPr>
        <w:t>401</w:t>
      </w:r>
      <w:r w:rsidR="00A9651D" w:rsidRPr="00A9651D">
        <w:rPr>
          <w:rFonts w:ascii="Times New Roman" w:hAnsi="Times New Roman" w:cs="Times New Roman"/>
          <w:sz w:val="24"/>
        </w:rPr>
        <w:t>)</w:t>
      </w:r>
      <w:r w:rsidRPr="00C12136">
        <w:rPr>
          <w:rFonts w:ascii="Times New Roman" w:hAnsi="Times New Roman" w:cs="Times New Roman"/>
          <w:sz w:val="24"/>
        </w:rPr>
        <w:t>. The correct citation for this study is properly formatted as [46].</w:t>
      </w:r>
    </w:p>
    <w:p w14:paraId="752B2330" w14:textId="36D2FC21" w:rsidR="00EA5981" w:rsidRDefault="00EA5981" w:rsidP="004931CA">
      <w:pPr>
        <w:rPr>
          <w:rFonts w:ascii="Times New Roman" w:hAnsi="Times New Roman" w:cs="Times New Roman"/>
          <w:sz w:val="24"/>
        </w:rPr>
      </w:pPr>
      <w:r>
        <w:rPr>
          <w:rFonts w:ascii="Times New Roman" w:hAnsi="Times New Roman" w:cs="Times New Roman" w:hint="eastAsia"/>
          <w:color w:val="5B9BD5" w:themeColor="accent5"/>
          <w:sz w:val="24"/>
        </w:rPr>
        <w:t>Comment 6:</w:t>
      </w:r>
    </w:p>
    <w:p w14:paraId="7BD944FE" w14:textId="77777777" w:rsidR="00C12136" w:rsidRDefault="00C12136" w:rsidP="004931CA">
      <w:pPr>
        <w:rPr>
          <w:rFonts w:ascii="Times New Roman" w:hAnsi="Times New Roman" w:cs="Times New Roman"/>
          <w:sz w:val="24"/>
        </w:rPr>
      </w:pPr>
      <w:r w:rsidRPr="00C12136">
        <w:rPr>
          <w:rFonts w:ascii="Times New Roman" w:hAnsi="Times New Roman" w:cs="Times New Roman"/>
          <w:sz w:val="24"/>
        </w:rPr>
        <w:t>Line 357-363: The newly published paper of Burger et al. [In Vitro Characterization of the Published Glypican-3-Targeting Peptide TJ12P2 Reveals a Lack of Specificity and Potency. Pharmaceuticals 2025, 18, 1656. https://doi.org/10.3390/ph18111656] should be discussed in this section regarding the binding specificity of the peptide TJ12P2.</w:t>
      </w:r>
    </w:p>
    <w:p w14:paraId="64F55338" w14:textId="7C0F8E76" w:rsidR="00EA5981" w:rsidRDefault="00EA5981" w:rsidP="004931CA">
      <w:pPr>
        <w:rPr>
          <w:rFonts w:ascii="Times New Roman" w:eastAsia="宋体" w:hAnsi="Times New Roman" w:cs="Times New Roman"/>
          <w:b/>
          <w:bCs/>
          <w:color w:val="000000"/>
          <w:kern w:val="0"/>
          <w:sz w:val="24"/>
          <w14:ligatures w14:val="none"/>
        </w:rPr>
      </w:pPr>
      <w:r>
        <w:rPr>
          <w:rFonts w:ascii="Times New Roman" w:eastAsia="宋体" w:hAnsi="Times New Roman" w:cs="Times New Roman" w:hint="eastAsia"/>
          <w:b/>
          <w:bCs/>
          <w:color w:val="000000"/>
          <w:kern w:val="0"/>
          <w:sz w:val="24"/>
          <w14:ligatures w14:val="none"/>
        </w:rPr>
        <w:t>Response:</w:t>
      </w:r>
    </w:p>
    <w:p w14:paraId="08A79290" w14:textId="77777777" w:rsidR="00A9651D" w:rsidRPr="00A9651D" w:rsidRDefault="00A9651D" w:rsidP="00A9651D">
      <w:pPr>
        <w:rPr>
          <w:rFonts w:ascii="Times New Roman" w:hAnsi="Times New Roman" w:cs="Times New Roman"/>
          <w:sz w:val="24"/>
        </w:rPr>
      </w:pPr>
      <w:r w:rsidRPr="00A9651D">
        <w:rPr>
          <w:rFonts w:ascii="Times New Roman" w:hAnsi="Times New Roman" w:cs="Times New Roman"/>
          <w:sz w:val="24"/>
        </w:rPr>
        <w:t>We thank the reviewer for pointing out this highly relevant recent publication. We have incorporated the findings of Burger et al. (2025) into the revised manuscript.</w:t>
      </w:r>
    </w:p>
    <w:p w14:paraId="692C3EF5" w14:textId="77777777" w:rsidR="00A9651D" w:rsidRPr="00A9651D" w:rsidRDefault="00A9651D" w:rsidP="00A9651D">
      <w:pPr>
        <w:rPr>
          <w:rFonts w:ascii="Times New Roman" w:hAnsi="Times New Roman" w:cs="Times New Roman"/>
          <w:sz w:val="24"/>
        </w:rPr>
      </w:pPr>
      <w:r w:rsidRPr="00A9651D">
        <w:rPr>
          <w:rFonts w:ascii="Times New Roman" w:hAnsi="Times New Roman" w:cs="Times New Roman"/>
          <w:sz w:val="24"/>
        </w:rPr>
        <w:t>To provide a broader context, we also included a similar critical study by Berman et al. (2019), which reported comparable specificity issues for the earlier linear peptides L5 and TJ12P1. Specifically, we noted the lack of in vitro specificity for these linear peptides and hypothesized that their previously reported in vivo tumor uptake may be driven by multifaceted systemic dynamics (e.g., the EPR effect or non-specific retention) rather than purely target-driven affinity.</w:t>
      </w:r>
    </w:p>
    <w:p w14:paraId="208A4F56" w14:textId="0C82D8D7" w:rsidR="00A9651D" w:rsidRDefault="00A9651D" w:rsidP="00A9651D">
      <w:pPr>
        <w:rPr>
          <w:rFonts w:ascii="Times New Roman" w:hAnsi="Times New Roman" w:cs="Times New Roman"/>
          <w:sz w:val="24"/>
        </w:rPr>
      </w:pPr>
      <w:r w:rsidRPr="00A9651D">
        <w:rPr>
          <w:rFonts w:ascii="Times New Roman" w:hAnsi="Times New Roman" w:cs="Times New Roman"/>
          <w:sz w:val="24"/>
        </w:rPr>
        <w:t xml:space="preserve">Furthermore, we used these limitations of linear sequences as a transition to explain why the field is actively shifting toward conformationally constrained macrocyclic platforms (e.g., 10P3Me and RAYZ-8009). These revisions have been highlighted in the revised manuscript (Page </w:t>
      </w:r>
      <w:r>
        <w:rPr>
          <w:rFonts w:ascii="Times New Roman" w:hAnsi="Times New Roman" w:cs="Times New Roman" w:hint="eastAsia"/>
          <w:sz w:val="24"/>
        </w:rPr>
        <w:t>19</w:t>
      </w:r>
      <w:r w:rsidRPr="00A9651D">
        <w:rPr>
          <w:rFonts w:ascii="Times New Roman" w:hAnsi="Times New Roman" w:cs="Times New Roman"/>
          <w:sz w:val="24"/>
        </w:rPr>
        <w:t xml:space="preserve">, Lines </w:t>
      </w:r>
      <w:r>
        <w:rPr>
          <w:rFonts w:ascii="Times New Roman" w:hAnsi="Times New Roman" w:cs="Times New Roman" w:hint="eastAsia"/>
          <w:sz w:val="24"/>
        </w:rPr>
        <w:t>382</w:t>
      </w:r>
      <w:r w:rsidRPr="00A9651D">
        <w:rPr>
          <w:rFonts w:ascii="Times New Roman" w:hAnsi="Times New Roman" w:cs="Times New Roman"/>
          <w:sz w:val="24"/>
        </w:rPr>
        <w:t>-</w:t>
      </w:r>
      <w:r>
        <w:rPr>
          <w:rFonts w:ascii="Times New Roman" w:hAnsi="Times New Roman" w:cs="Times New Roman" w:hint="eastAsia"/>
          <w:sz w:val="24"/>
        </w:rPr>
        <w:t>401</w:t>
      </w:r>
      <w:r w:rsidR="00550F11">
        <w:rPr>
          <w:rFonts w:ascii="Times New Roman" w:hAnsi="Times New Roman" w:cs="Times New Roman" w:hint="eastAsia"/>
          <w:sz w:val="24"/>
        </w:rPr>
        <w:t xml:space="preserve"> and </w:t>
      </w:r>
      <w:r w:rsidR="00550F11" w:rsidRPr="00A9651D">
        <w:rPr>
          <w:rFonts w:ascii="Times New Roman" w:hAnsi="Times New Roman" w:cs="Times New Roman"/>
          <w:sz w:val="24"/>
        </w:rPr>
        <w:t xml:space="preserve">Page </w:t>
      </w:r>
      <w:r w:rsidR="00550F11">
        <w:rPr>
          <w:rFonts w:ascii="Times New Roman" w:hAnsi="Times New Roman" w:cs="Times New Roman" w:hint="eastAsia"/>
          <w:sz w:val="24"/>
        </w:rPr>
        <w:t>22</w:t>
      </w:r>
      <w:r w:rsidR="00550F11" w:rsidRPr="00A9651D">
        <w:rPr>
          <w:rFonts w:ascii="Times New Roman" w:hAnsi="Times New Roman" w:cs="Times New Roman"/>
          <w:sz w:val="24"/>
        </w:rPr>
        <w:t xml:space="preserve">, Lines </w:t>
      </w:r>
      <w:r w:rsidR="00550F11">
        <w:rPr>
          <w:rFonts w:ascii="Times New Roman" w:hAnsi="Times New Roman" w:cs="Times New Roman" w:hint="eastAsia"/>
          <w:sz w:val="24"/>
        </w:rPr>
        <w:t>441</w:t>
      </w:r>
      <w:r w:rsidR="00550F11" w:rsidRPr="00A9651D">
        <w:rPr>
          <w:rFonts w:ascii="Times New Roman" w:hAnsi="Times New Roman" w:cs="Times New Roman"/>
          <w:sz w:val="24"/>
        </w:rPr>
        <w:t>-</w:t>
      </w:r>
      <w:r w:rsidR="00550F11">
        <w:rPr>
          <w:rFonts w:ascii="Times New Roman" w:hAnsi="Times New Roman" w:cs="Times New Roman" w:hint="eastAsia"/>
          <w:sz w:val="24"/>
        </w:rPr>
        <w:t>446</w:t>
      </w:r>
      <w:r w:rsidRPr="00A9651D">
        <w:rPr>
          <w:rFonts w:ascii="Times New Roman" w:hAnsi="Times New Roman" w:cs="Times New Roman"/>
          <w:sz w:val="24"/>
        </w:rPr>
        <w:t>).</w:t>
      </w:r>
    </w:p>
    <w:p w14:paraId="24E8B0C8" w14:textId="77777777" w:rsidR="00EA5981" w:rsidRDefault="00EA5981" w:rsidP="004931CA">
      <w:pPr>
        <w:rPr>
          <w:rFonts w:ascii="Times New Roman" w:hAnsi="Times New Roman" w:cs="Times New Roman"/>
          <w:sz w:val="24"/>
        </w:rPr>
      </w:pPr>
      <w:r>
        <w:rPr>
          <w:rFonts w:ascii="Times New Roman" w:hAnsi="Times New Roman" w:cs="Times New Roman" w:hint="eastAsia"/>
          <w:color w:val="5B9BD5" w:themeColor="accent5"/>
          <w:sz w:val="24"/>
        </w:rPr>
        <w:t>Comment 7:</w:t>
      </w:r>
    </w:p>
    <w:p w14:paraId="6AC81415" w14:textId="77777777" w:rsidR="00C12136" w:rsidRDefault="00C12136" w:rsidP="004931CA">
      <w:pPr>
        <w:rPr>
          <w:rFonts w:ascii="Times New Roman" w:hAnsi="Times New Roman" w:cs="Times New Roman"/>
          <w:sz w:val="24"/>
        </w:rPr>
      </w:pPr>
      <w:r w:rsidRPr="00C12136">
        <w:rPr>
          <w:rFonts w:ascii="Times New Roman" w:hAnsi="Times New Roman" w:cs="Times New Roman"/>
          <w:sz w:val="24"/>
        </w:rPr>
        <w:lastRenderedPageBreak/>
        <w:t>Line 457: "A 68Ga-labeled scFv probe recently demonstrated safety and high-contrast visualization…" Which probe are you referring to? Please specify.</w:t>
      </w:r>
    </w:p>
    <w:p w14:paraId="68FAF9A0" w14:textId="61007CFE" w:rsidR="00EA5981" w:rsidRDefault="00EA5981" w:rsidP="004931CA">
      <w:pPr>
        <w:rPr>
          <w:rFonts w:ascii="Times New Roman" w:eastAsia="宋体" w:hAnsi="Times New Roman" w:cs="Times New Roman"/>
          <w:b/>
          <w:bCs/>
          <w:color w:val="000000"/>
          <w:kern w:val="0"/>
          <w:sz w:val="24"/>
          <w14:ligatures w14:val="none"/>
        </w:rPr>
      </w:pPr>
      <w:r>
        <w:rPr>
          <w:rFonts w:ascii="Times New Roman" w:eastAsia="宋体" w:hAnsi="Times New Roman" w:cs="Times New Roman" w:hint="eastAsia"/>
          <w:b/>
          <w:bCs/>
          <w:color w:val="000000"/>
          <w:kern w:val="0"/>
          <w:sz w:val="24"/>
          <w14:ligatures w14:val="none"/>
        </w:rPr>
        <w:t>Response:</w:t>
      </w:r>
    </w:p>
    <w:bookmarkEnd w:id="0"/>
    <w:bookmarkEnd w:id="1"/>
    <w:p w14:paraId="5E20DB63" w14:textId="77777777" w:rsidR="00A9651D" w:rsidRPr="00A9651D" w:rsidRDefault="00A9651D" w:rsidP="00A9651D">
      <w:pPr>
        <w:rPr>
          <w:rFonts w:ascii="Times New Roman" w:hAnsi="Times New Roman" w:cs="Times New Roman"/>
          <w:sz w:val="24"/>
        </w:rPr>
      </w:pPr>
      <w:r w:rsidRPr="00A9651D">
        <w:rPr>
          <w:rFonts w:ascii="Times New Roman" w:hAnsi="Times New Roman" w:cs="Times New Roman"/>
          <w:sz w:val="24"/>
        </w:rPr>
        <w:t>We thank the reviewer for pointing this out. The specific probe we were referring to is [68Ga]Ga-XH-06. We have explicitly specified its name in the revised manuscript to avoid any confusion.</w:t>
      </w:r>
    </w:p>
    <w:p w14:paraId="2D8D5B81" w14:textId="1AFC89F3" w:rsidR="00A9651D" w:rsidRPr="00A9651D" w:rsidRDefault="00A9651D" w:rsidP="00A9651D">
      <w:pPr>
        <w:rPr>
          <w:rFonts w:ascii="Times New Roman" w:hAnsi="Times New Roman" w:cs="Times New Roman"/>
          <w:sz w:val="24"/>
        </w:rPr>
      </w:pPr>
      <w:r w:rsidRPr="00A9651D">
        <w:rPr>
          <w:rFonts w:ascii="Times New Roman" w:hAnsi="Times New Roman" w:cs="Times New Roman"/>
          <w:sz w:val="24"/>
        </w:rPr>
        <w:t xml:space="preserve">The revised text (Page </w:t>
      </w:r>
      <w:r>
        <w:rPr>
          <w:rFonts w:ascii="Times New Roman" w:hAnsi="Times New Roman" w:cs="Times New Roman" w:hint="eastAsia"/>
          <w:sz w:val="24"/>
        </w:rPr>
        <w:t>26</w:t>
      </w:r>
      <w:r w:rsidRPr="00A9651D">
        <w:rPr>
          <w:rFonts w:ascii="Times New Roman" w:hAnsi="Times New Roman" w:cs="Times New Roman"/>
          <w:sz w:val="24"/>
        </w:rPr>
        <w:t xml:space="preserve">, Lines </w:t>
      </w:r>
      <w:r>
        <w:rPr>
          <w:rFonts w:ascii="Times New Roman" w:hAnsi="Times New Roman" w:cs="Times New Roman" w:hint="eastAsia"/>
          <w:sz w:val="24"/>
        </w:rPr>
        <w:t>514</w:t>
      </w:r>
      <w:r w:rsidRPr="00A9651D">
        <w:rPr>
          <w:rFonts w:ascii="Times New Roman" w:hAnsi="Times New Roman" w:cs="Times New Roman"/>
          <w:sz w:val="24"/>
        </w:rPr>
        <w:t>) now reads:</w:t>
      </w:r>
    </w:p>
    <w:p w14:paraId="64786DC7" w14:textId="0C916779" w:rsidR="00EA5981" w:rsidRPr="00EA5981" w:rsidRDefault="00A9651D" w:rsidP="00A9651D">
      <w:r w:rsidRPr="00A9651D">
        <w:rPr>
          <w:rFonts w:ascii="Times New Roman" w:hAnsi="Times New Roman" w:cs="Times New Roman"/>
          <w:sz w:val="24"/>
        </w:rPr>
        <w:t>"</w:t>
      </w:r>
      <w:r w:rsidR="00B16B2D">
        <w:rPr>
          <w:rFonts w:ascii="Times New Roman" w:hAnsi="Times New Roman" w:cs="Times New Roman" w:hint="eastAsia"/>
          <w:sz w:val="24"/>
        </w:rPr>
        <w:t>A</w:t>
      </w:r>
      <w:r w:rsidRPr="00A9651D">
        <w:rPr>
          <w:rFonts w:ascii="Times New Roman" w:hAnsi="Times New Roman" w:cs="Times New Roman"/>
          <w:sz w:val="24"/>
        </w:rPr>
        <w:t xml:space="preserve"> </w:t>
      </w:r>
      <w:r w:rsidRPr="002A6720">
        <w:rPr>
          <w:rFonts w:ascii="Times New Roman" w:hAnsi="Times New Roman" w:cs="Times New Roman"/>
          <w:sz w:val="24"/>
          <w:vertAlign w:val="superscript"/>
        </w:rPr>
        <w:t>68</w:t>
      </w:r>
      <w:r w:rsidRPr="00A9651D">
        <w:rPr>
          <w:rFonts w:ascii="Times New Roman" w:hAnsi="Times New Roman" w:cs="Times New Roman"/>
          <w:sz w:val="24"/>
        </w:rPr>
        <w:t>Ga-labeled scFv probe, [</w:t>
      </w:r>
      <w:r w:rsidRPr="002A6720">
        <w:rPr>
          <w:rFonts w:ascii="Times New Roman" w:hAnsi="Times New Roman" w:cs="Times New Roman"/>
          <w:sz w:val="24"/>
          <w:vertAlign w:val="superscript"/>
        </w:rPr>
        <w:t>68</w:t>
      </w:r>
      <w:r w:rsidRPr="00A9651D">
        <w:rPr>
          <w:rFonts w:ascii="Times New Roman" w:hAnsi="Times New Roman" w:cs="Times New Roman"/>
          <w:sz w:val="24"/>
        </w:rPr>
        <w:t>Ga]Ga-XH-06, recently demonstrated safety and high-contrast visualization at 2.5 hours post-injection in HCC patients</w:t>
      </w:r>
      <w:r>
        <w:rPr>
          <w:rFonts w:ascii="Times New Roman" w:hAnsi="Times New Roman" w:cs="Times New Roman"/>
          <w:sz w:val="24"/>
        </w:rPr>
        <w:t>…</w:t>
      </w:r>
      <w:r w:rsidRPr="00A9651D">
        <w:rPr>
          <w:rFonts w:ascii="Times New Roman" w:hAnsi="Times New Roman" w:cs="Times New Roman"/>
          <w:sz w:val="24"/>
        </w:rPr>
        <w:t>"</w:t>
      </w:r>
    </w:p>
    <w:sectPr w:rsidR="00EA5981" w:rsidRPr="00EA5981" w:rsidSect="00EA598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78D0E" w14:textId="77777777" w:rsidR="00C9775C" w:rsidRDefault="00C9775C" w:rsidP="00B16B2D">
      <w:pPr>
        <w:spacing w:after="0" w:line="240" w:lineRule="auto"/>
      </w:pPr>
      <w:r>
        <w:separator/>
      </w:r>
    </w:p>
  </w:endnote>
  <w:endnote w:type="continuationSeparator" w:id="0">
    <w:p w14:paraId="426D4BE7" w14:textId="77777777" w:rsidR="00C9775C" w:rsidRDefault="00C9775C" w:rsidP="00B16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68795D" w14:textId="77777777" w:rsidR="00C9775C" w:rsidRDefault="00C9775C" w:rsidP="00B16B2D">
      <w:pPr>
        <w:spacing w:after="0" w:line="240" w:lineRule="auto"/>
      </w:pPr>
      <w:r>
        <w:separator/>
      </w:r>
    </w:p>
  </w:footnote>
  <w:footnote w:type="continuationSeparator" w:id="0">
    <w:p w14:paraId="566AC247" w14:textId="77777777" w:rsidR="00C9775C" w:rsidRDefault="00C9775C" w:rsidP="00B16B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C068E"/>
    <w:multiLevelType w:val="hybridMultilevel"/>
    <w:tmpl w:val="46AE1088"/>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426D7F4C"/>
    <w:multiLevelType w:val="hybridMultilevel"/>
    <w:tmpl w:val="61A4504E"/>
    <w:lvl w:ilvl="0" w:tplc="43380656">
      <w:start w:val="1"/>
      <w:numFmt w:val="decimal"/>
      <w:lvlText w:val="%1."/>
      <w:lvlJc w:val="left"/>
      <w:pPr>
        <w:ind w:left="780" w:hanging="36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2" w15:restartNumberingAfterBreak="0">
    <w:nsid w:val="50D65D00"/>
    <w:multiLevelType w:val="hybridMultilevel"/>
    <w:tmpl w:val="48A8CF5E"/>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033503277">
    <w:abstractNumId w:val="2"/>
  </w:num>
  <w:num w:numId="2" w16cid:durableId="173305740">
    <w:abstractNumId w:val="0"/>
  </w:num>
  <w:num w:numId="3" w16cid:durableId="13104733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981"/>
    <w:rsid w:val="00053204"/>
    <w:rsid w:val="000D2234"/>
    <w:rsid w:val="000D31FC"/>
    <w:rsid w:val="00100E72"/>
    <w:rsid w:val="002A6720"/>
    <w:rsid w:val="00424ABE"/>
    <w:rsid w:val="004931CA"/>
    <w:rsid w:val="005266CE"/>
    <w:rsid w:val="00550F11"/>
    <w:rsid w:val="0072695E"/>
    <w:rsid w:val="00793800"/>
    <w:rsid w:val="00A568DA"/>
    <w:rsid w:val="00A9651D"/>
    <w:rsid w:val="00B109F9"/>
    <w:rsid w:val="00B16B2D"/>
    <w:rsid w:val="00C12136"/>
    <w:rsid w:val="00C9775C"/>
    <w:rsid w:val="00D47A2C"/>
    <w:rsid w:val="00DD3D26"/>
    <w:rsid w:val="00DF4BE2"/>
    <w:rsid w:val="00E041E1"/>
    <w:rsid w:val="00EA589A"/>
    <w:rsid w:val="00EA5981"/>
    <w:rsid w:val="00F059BE"/>
    <w:rsid w:val="00FF14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837DEE"/>
  <w15:chartTrackingRefBased/>
  <w15:docId w15:val="{6B32DF76-9970-4473-BBBF-356A93409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5981"/>
    <w:pPr>
      <w:widowControl w:val="0"/>
    </w:pPr>
  </w:style>
  <w:style w:type="paragraph" w:styleId="1">
    <w:name w:val="heading 1"/>
    <w:basedOn w:val="a"/>
    <w:next w:val="a"/>
    <w:link w:val="10"/>
    <w:uiPriority w:val="9"/>
    <w:qFormat/>
    <w:rsid w:val="00EA5981"/>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EA5981"/>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EA5981"/>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EA5981"/>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EA5981"/>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EA5981"/>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EA5981"/>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EA5981"/>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EA5981"/>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EA5981"/>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EA5981"/>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EA5981"/>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EA5981"/>
    <w:rPr>
      <w:rFonts w:cstheme="majorBidi"/>
      <w:color w:val="2F5496" w:themeColor="accent1" w:themeShade="BF"/>
      <w:sz w:val="28"/>
      <w:szCs w:val="28"/>
    </w:rPr>
  </w:style>
  <w:style w:type="character" w:customStyle="1" w:styleId="50">
    <w:name w:val="标题 5 字符"/>
    <w:basedOn w:val="a0"/>
    <w:link w:val="5"/>
    <w:uiPriority w:val="9"/>
    <w:semiHidden/>
    <w:rsid w:val="00EA5981"/>
    <w:rPr>
      <w:rFonts w:cstheme="majorBidi"/>
      <w:color w:val="2F5496" w:themeColor="accent1" w:themeShade="BF"/>
      <w:sz w:val="24"/>
    </w:rPr>
  </w:style>
  <w:style w:type="character" w:customStyle="1" w:styleId="60">
    <w:name w:val="标题 6 字符"/>
    <w:basedOn w:val="a0"/>
    <w:link w:val="6"/>
    <w:uiPriority w:val="9"/>
    <w:semiHidden/>
    <w:rsid w:val="00EA5981"/>
    <w:rPr>
      <w:rFonts w:cstheme="majorBidi"/>
      <w:b/>
      <w:bCs/>
      <w:color w:val="2F5496" w:themeColor="accent1" w:themeShade="BF"/>
    </w:rPr>
  </w:style>
  <w:style w:type="character" w:customStyle="1" w:styleId="70">
    <w:name w:val="标题 7 字符"/>
    <w:basedOn w:val="a0"/>
    <w:link w:val="7"/>
    <w:uiPriority w:val="9"/>
    <w:semiHidden/>
    <w:rsid w:val="00EA5981"/>
    <w:rPr>
      <w:rFonts w:cstheme="majorBidi"/>
      <w:b/>
      <w:bCs/>
      <w:color w:val="595959" w:themeColor="text1" w:themeTint="A6"/>
    </w:rPr>
  </w:style>
  <w:style w:type="character" w:customStyle="1" w:styleId="80">
    <w:name w:val="标题 8 字符"/>
    <w:basedOn w:val="a0"/>
    <w:link w:val="8"/>
    <w:uiPriority w:val="9"/>
    <w:semiHidden/>
    <w:rsid w:val="00EA5981"/>
    <w:rPr>
      <w:rFonts w:cstheme="majorBidi"/>
      <w:color w:val="595959" w:themeColor="text1" w:themeTint="A6"/>
    </w:rPr>
  </w:style>
  <w:style w:type="character" w:customStyle="1" w:styleId="90">
    <w:name w:val="标题 9 字符"/>
    <w:basedOn w:val="a0"/>
    <w:link w:val="9"/>
    <w:uiPriority w:val="9"/>
    <w:semiHidden/>
    <w:rsid w:val="00EA5981"/>
    <w:rPr>
      <w:rFonts w:eastAsiaTheme="majorEastAsia" w:cstheme="majorBidi"/>
      <w:color w:val="595959" w:themeColor="text1" w:themeTint="A6"/>
    </w:rPr>
  </w:style>
  <w:style w:type="paragraph" w:styleId="a3">
    <w:name w:val="Title"/>
    <w:basedOn w:val="a"/>
    <w:next w:val="a"/>
    <w:link w:val="a4"/>
    <w:uiPriority w:val="10"/>
    <w:qFormat/>
    <w:rsid w:val="00EA5981"/>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EA598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A5981"/>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EA598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A5981"/>
    <w:pPr>
      <w:spacing w:before="160"/>
      <w:jc w:val="center"/>
    </w:pPr>
    <w:rPr>
      <w:i/>
      <w:iCs/>
      <w:color w:val="404040" w:themeColor="text1" w:themeTint="BF"/>
    </w:rPr>
  </w:style>
  <w:style w:type="character" w:customStyle="1" w:styleId="a8">
    <w:name w:val="引用 字符"/>
    <w:basedOn w:val="a0"/>
    <w:link w:val="a7"/>
    <w:uiPriority w:val="29"/>
    <w:rsid w:val="00EA5981"/>
    <w:rPr>
      <w:i/>
      <w:iCs/>
      <w:color w:val="404040" w:themeColor="text1" w:themeTint="BF"/>
    </w:rPr>
  </w:style>
  <w:style w:type="paragraph" w:styleId="a9">
    <w:name w:val="List Paragraph"/>
    <w:basedOn w:val="a"/>
    <w:uiPriority w:val="34"/>
    <w:qFormat/>
    <w:rsid w:val="00EA5981"/>
    <w:pPr>
      <w:ind w:left="720"/>
      <w:contextualSpacing/>
    </w:pPr>
  </w:style>
  <w:style w:type="character" w:styleId="aa">
    <w:name w:val="Intense Emphasis"/>
    <w:basedOn w:val="a0"/>
    <w:uiPriority w:val="21"/>
    <w:qFormat/>
    <w:rsid w:val="00EA5981"/>
    <w:rPr>
      <w:i/>
      <w:iCs/>
      <w:color w:val="2F5496" w:themeColor="accent1" w:themeShade="BF"/>
    </w:rPr>
  </w:style>
  <w:style w:type="paragraph" w:styleId="ab">
    <w:name w:val="Intense Quote"/>
    <w:basedOn w:val="a"/>
    <w:next w:val="a"/>
    <w:link w:val="ac"/>
    <w:uiPriority w:val="30"/>
    <w:qFormat/>
    <w:rsid w:val="00EA598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EA5981"/>
    <w:rPr>
      <w:i/>
      <w:iCs/>
      <w:color w:val="2F5496" w:themeColor="accent1" w:themeShade="BF"/>
    </w:rPr>
  </w:style>
  <w:style w:type="character" w:styleId="ad">
    <w:name w:val="Intense Reference"/>
    <w:basedOn w:val="a0"/>
    <w:uiPriority w:val="32"/>
    <w:qFormat/>
    <w:rsid w:val="00EA5981"/>
    <w:rPr>
      <w:b/>
      <w:bCs/>
      <w:smallCaps/>
      <w:color w:val="2F5496" w:themeColor="accent1" w:themeShade="BF"/>
      <w:spacing w:val="5"/>
    </w:rPr>
  </w:style>
  <w:style w:type="paragraph" w:styleId="ae">
    <w:name w:val="Balloon Text"/>
    <w:basedOn w:val="a"/>
    <w:link w:val="af"/>
    <w:uiPriority w:val="99"/>
    <w:semiHidden/>
    <w:unhideWhenUsed/>
    <w:rsid w:val="00100E72"/>
    <w:pPr>
      <w:spacing w:after="0" w:line="240" w:lineRule="auto"/>
    </w:pPr>
    <w:rPr>
      <w:sz w:val="18"/>
      <w:szCs w:val="18"/>
    </w:rPr>
  </w:style>
  <w:style w:type="character" w:customStyle="1" w:styleId="af">
    <w:name w:val="批注框文本 字符"/>
    <w:basedOn w:val="a0"/>
    <w:link w:val="ae"/>
    <w:uiPriority w:val="99"/>
    <w:semiHidden/>
    <w:rsid w:val="00100E72"/>
    <w:rPr>
      <w:sz w:val="18"/>
      <w:szCs w:val="18"/>
    </w:rPr>
  </w:style>
  <w:style w:type="paragraph" w:styleId="af0">
    <w:name w:val="Revision"/>
    <w:hidden/>
    <w:uiPriority w:val="99"/>
    <w:semiHidden/>
    <w:rsid w:val="00B16B2D"/>
    <w:pPr>
      <w:spacing w:after="0" w:line="240" w:lineRule="auto"/>
    </w:pPr>
  </w:style>
  <w:style w:type="paragraph" w:styleId="af1">
    <w:name w:val="header"/>
    <w:basedOn w:val="a"/>
    <w:link w:val="af2"/>
    <w:uiPriority w:val="99"/>
    <w:unhideWhenUsed/>
    <w:rsid w:val="00B16B2D"/>
    <w:pPr>
      <w:tabs>
        <w:tab w:val="center" w:pos="4153"/>
        <w:tab w:val="right" w:pos="8306"/>
      </w:tabs>
      <w:snapToGrid w:val="0"/>
      <w:spacing w:line="240" w:lineRule="auto"/>
      <w:jc w:val="center"/>
    </w:pPr>
    <w:rPr>
      <w:sz w:val="18"/>
      <w:szCs w:val="18"/>
    </w:rPr>
  </w:style>
  <w:style w:type="character" w:customStyle="1" w:styleId="af2">
    <w:name w:val="页眉 字符"/>
    <w:basedOn w:val="a0"/>
    <w:link w:val="af1"/>
    <w:uiPriority w:val="99"/>
    <w:rsid w:val="00B16B2D"/>
    <w:rPr>
      <w:sz w:val="18"/>
      <w:szCs w:val="18"/>
    </w:rPr>
  </w:style>
  <w:style w:type="paragraph" w:styleId="af3">
    <w:name w:val="footer"/>
    <w:basedOn w:val="a"/>
    <w:link w:val="af4"/>
    <w:uiPriority w:val="99"/>
    <w:unhideWhenUsed/>
    <w:rsid w:val="00B16B2D"/>
    <w:pPr>
      <w:tabs>
        <w:tab w:val="center" w:pos="4153"/>
        <w:tab w:val="right" w:pos="8306"/>
      </w:tabs>
      <w:snapToGrid w:val="0"/>
      <w:spacing w:line="240" w:lineRule="auto"/>
    </w:pPr>
    <w:rPr>
      <w:sz w:val="18"/>
      <w:szCs w:val="18"/>
    </w:rPr>
  </w:style>
  <w:style w:type="character" w:customStyle="1" w:styleId="af4">
    <w:name w:val="页脚 字符"/>
    <w:basedOn w:val="a0"/>
    <w:link w:val="af3"/>
    <w:uiPriority w:val="99"/>
    <w:rsid w:val="00B16B2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1574</Words>
  <Characters>8864</Characters>
  <Application>Microsoft Office Word</Application>
  <DocSecurity>0</DocSecurity>
  <Lines>161</Lines>
  <Paragraphs>69</Paragraphs>
  <ScaleCrop>false</ScaleCrop>
  <Company/>
  <LinksUpToDate>false</LinksUpToDate>
  <CharactersWithSpaces>10369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yue sun233627142</dc:creator>
  <cp:keywords/>
  <dc:description/>
  <cp:lastModifiedBy>yue sun233627142</cp:lastModifiedBy>
  <cp:revision>3</cp:revision>
  <dcterms:created xsi:type="dcterms:W3CDTF">2026-05-02T17:56:00Z</dcterms:created>
  <dcterms:modified xsi:type="dcterms:W3CDTF">2026-05-02T17:58:00Z</dcterms:modified>
</cp:coreProperties>
</file>