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  <w:b/>
          <w:bCs/>
        </w:rPr>
      </w:pPr>
      <w:r w:rsidRPr="00FF395B">
        <w:rPr>
          <w:rFonts w:ascii="Times New Roman" w:hAnsi="Times New Roman" w:cs="Times New Roman"/>
          <w:b/>
          <w:bCs/>
        </w:rPr>
        <w:t>Supplementary</w:t>
      </w:r>
      <w:r w:rsidRPr="00FF395B">
        <w:rPr>
          <w:rFonts w:ascii="Times New Roman" w:hAnsi="Times New Roman" w:cs="Times New Roman" w:hint="eastAsia"/>
          <w:b/>
          <w:bCs/>
        </w:rPr>
        <w:t xml:space="preserve"> Materials</w:t>
      </w:r>
    </w:p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  <w:r w:rsidRPr="00FF395B">
        <w:rPr>
          <w:rFonts w:ascii="Times New Roman" w:hAnsi="Times New Roman" w:cs="Times New Roman"/>
          <w:b/>
          <w:bCs/>
        </w:rPr>
        <w:t xml:space="preserve">Table </w:t>
      </w:r>
      <w:r w:rsidRPr="00FF395B">
        <w:rPr>
          <w:rFonts w:ascii="Times New Roman" w:hAnsi="Times New Roman" w:cs="Times New Roman" w:hint="eastAsia"/>
          <w:b/>
          <w:bCs/>
        </w:rPr>
        <w:t>S</w:t>
      </w:r>
      <w:r w:rsidRPr="00FF395B">
        <w:rPr>
          <w:rFonts w:ascii="Times New Roman" w:hAnsi="Times New Roman" w:cs="Times New Roman"/>
          <w:b/>
          <w:bCs/>
        </w:rPr>
        <w:t>1.</w:t>
      </w:r>
      <w:r w:rsidRPr="00FF395B">
        <w:rPr>
          <w:rFonts w:ascii="Times New Roman" w:hAnsi="Times New Roman" w:cs="Times New Roman" w:hint="eastAsia"/>
          <w:b/>
          <w:bCs/>
        </w:rPr>
        <w:t xml:space="preserve"> </w:t>
      </w:r>
      <w:r w:rsidRPr="00FF395B">
        <w:rPr>
          <w:rFonts w:ascii="Times New Roman" w:hAnsi="Times New Roman" w:cs="Times New Roman" w:hint="eastAsia"/>
        </w:rPr>
        <w:t>Comparison of CNR and Q</w:t>
      </w:r>
      <w:r w:rsidRPr="00FF395B">
        <w:rPr>
          <w:rFonts w:ascii="Times New Roman" w:hAnsi="Times New Roman" w:cs="Times New Roman" w:hint="eastAsia"/>
          <w:vertAlign w:val="subscript"/>
        </w:rPr>
        <w:t>H,j</w:t>
      </w:r>
      <w:r w:rsidRPr="00FF395B">
        <w:rPr>
          <w:rFonts w:ascii="Times New Roman" w:hAnsi="Times New Roman" w:cs="Times New Roman" w:hint="eastAsia"/>
        </w:rPr>
        <w:t xml:space="preserve"> for different energy windows and sphere diameters at the acquisition time of 20 s/frame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7"/>
        <w:gridCol w:w="1661"/>
        <w:gridCol w:w="892"/>
        <w:gridCol w:w="892"/>
        <w:gridCol w:w="892"/>
        <w:gridCol w:w="892"/>
        <w:gridCol w:w="892"/>
        <w:gridCol w:w="892"/>
        <w:gridCol w:w="893"/>
        <w:gridCol w:w="893"/>
        <w:gridCol w:w="893"/>
        <w:gridCol w:w="893"/>
        <w:gridCol w:w="893"/>
        <w:gridCol w:w="893"/>
      </w:tblGrid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rFonts w:hint="eastAsia"/>
                <w:b/>
                <w:bCs/>
                <w:sz w:val="22"/>
              </w:rPr>
              <w:t>Energy window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rFonts w:hint="eastAsia"/>
                <w:b/>
                <w:bCs/>
                <w:sz w:val="22"/>
              </w:rPr>
              <w:t>Acquisition time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1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2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rFonts w:hint="eastAsia"/>
                <w:b/>
                <w:bCs/>
                <w:sz w:val="22"/>
              </w:rPr>
              <w:t>Q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H,</w:t>
            </w:r>
            <w:r w:rsidRPr="00FF395B">
              <w:rPr>
                <w:b/>
                <w:bCs/>
                <w:sz w:val="22"/>
                <w:vertAlign w:val="subscript"/>
              </w:rPr>
              <w:t>3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4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5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6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94keV±40%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 xml:space="preserve">20 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190.26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66.15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66.11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43.53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58.06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41.97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46.96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16.33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16.32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10.75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14.33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10.36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80keV±30%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70.29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38.52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26.36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23.31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26.17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27.10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37.42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20.51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14.03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12.41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13.93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14.43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100keV±30%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42.42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25.14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11.25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13.30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9.52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10.05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33.54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19.87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8.90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10.51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7.52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7.95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90keV±20%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48.75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23.76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19.55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19.64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15.79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10.57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33.76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16.46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13.54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13.60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10.93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7.32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110keV±20%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48.51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28.22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16.27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13.11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11.77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16.99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45.09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26.22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15.12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12.18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10.94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15.79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90keV±10%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31.57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20.52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10.94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7.54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17.12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10.82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37.20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24.18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12.89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8.88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20.17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12.75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100keV±10%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31.19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19.42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11.08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9.96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11.50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8.89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40.12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24.97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14.26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12.82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14.79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11.43</w:t>
            </w:r>
          </w:p>
        </w:tc>
      </w:tr>
    </w:tbl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</w:p>
    <w:p w:rsidR="00557951" w:rsidRPr="00FF395B" w:rsidRDefault="00557951" w:rsidP="00557951">
      <w:pPr>
        <w:rPr>
          <w:rFonts w:ascii="Times New Roman" w:hAnsi="Times New Roman" w:cs="Times New Roman"/>
        </w:rPr>
      </w:pPr>
      <w:r w:rsidRPr="00FF395B">
        <w:rPr>
          <w:rFonts w:ascii="Times New Roman" w:hAnsi="Times New Roman" w:cs="Times New Roman"/>
        </w:rPr>
        <w:br w:type="page"/>
      </w:r>
    </w:p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  <w:r w:rsidRPr="00FF395B">
        <w:rPr>
          <w:rFonts w:ascii="Times New Roman" w:hAnsi="Times New Roman" w:cs="Times New Roman"/>
          <w:b/>
          <w:bCs/>
        </w:rPr>
        <w:lastRenderedPageBreak/>
        <w:t>Table S2</w:t>
      </w:r>
      <w:r w:rsidRPr="00FF395B">
        <w:rPr>
          <w:rFonts w:ascii="Times New Roman" w:hAnsi="Times New Roman" w:cs="Times New Roman" w:hint="eastAsia"/>
          <w:b/>
          <w:bCs/>
        </w:rPr>
        <w:t xml:space="preserve">. </w:t>
      </w:r>
      <w:r w:rsidRPr="00FF395B">
        <w:rPr>
          <w:rFonts w:ascii="Times New Roman" w:hAnsi="Times New Roman" w:cs="Times New Roman" w:hint="eastAsia"/>
        </w:rPr>
        <w:t>Comparison of CNR and Q</w:t>
      </w:r>
      <w:r w:rsidRPr="00FF395B">
        <w:rPr>
          <w:rFonts w:ascii="Times New Roman" w:hAnsi="Times New Roman" w:cs="Times New Roman" w:hint="eastAsia"/>
          <w:vertAlign w:val="subscript"/>
        </w:rPr>
        <w:t>H,j</w:t>
      </w:r>
      <w:r w:rsidRPr="00FF395B">
        <w:rPr>
          <w:rFonts w:ascii="Times New Roman" w:hAnsi="Times New Roman" w:cs="Times New Roman" w:hint="eastAsia"/>
        </w:rPr>
        <w:t xml:space="preserve"> for different energy windows and sphere diameters at the acquisition time of 40 s/frame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7"/>
        <w:gridCol w:w="1661"/>
        <w:gridCol w:w="892"/>
        <w:gridCol w:w="892"/>
        <w:gridCol w:w="892"/>
        <w:gridCol w:w="892"/>
        <w:gridCol w:w="892"/>
        <w:gridCol w:w="892"/>
        <w:gridCol w:w="893"/>
        <w:gridCol w:w="893"/>
        <w:gridCol w:w="893"/>
        <w:gridCol w:w="893"/>
        <w:gridCol w:w="893"/>
        <w:gridCol w:w="893"/>
      </w:tblGrid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rFonts w:hint="eastAsia"/>
                <w:b/>
                <w:bCs/>
                <w:sz w:val="22"/>
              </w:rPr>
              <w:t>Energy window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rFonts w:hint="eastAsia"/>
                <w:b/>
                <w:bCs/>
                <w:sz w:val="22"/>
              </w:rPr>
              <w:t>Acquisition time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CNR6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1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2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rFonts w:hint="eastAsia"/>
                <w:b/>
                <w:bCs/>
                <w:sz w:val="22"/>
              </w:rPr>
              <w:t>Q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H,</w:t>
            </w:r>
            <w:r w:rsidRPr="00FF395B">
              <w:rPr>
                <w:b/>
                <w:bCs/>
                <w:sz w:val="22"/>
                <w:vertAlign w:val="subscript"/>
              </w:rPr>
              <w:t>3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4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5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FF395B">
              <w:rPr>
                <w:b/>
                <w:bCs/>
                <w:sz w:val="22"/>
              </w:rPr>
              <w:t>Q</w:t>
            </w:r>
            <w:r w:rsidRPr="00FF395B">
              <w:rPr>
                <w:b/>
                <w:bCs/>
                <w:sz w:val="22"/>
                <w:vertAlign w:val="subscript"/>
              </w:rPr>
              <w:t>H</w:t>
            </w:r>
            <w:r w:rsidRPr="00FF395B">
              <w:rPr>
                <w:rFonts w:hint="eastAsia"/>
                <w:b/>
                <w:bCs/>
                <w:sz w:val="22"/>
                <w:vertAlign w:val="subscript"/>
              </w:rPr>
              <w:t>,</w:t>
            </w:r>
            <w:r w:rsidRPr="00FF395B">
              <w:rPr>
                <w:b/>
                <w:bCs/>
                <w:sz w:val="22"/>
                <w:vertAlign w:val="subscript"/>
              </w:rPr>
              <w:t>6</w:t>
            </w:r>
            <w:r w:rsidRPr="00FF395B">
              <w:rPr>
                <w:b/>
                <w:bCs/>
                <w:sz w:val="22"/>
              </w:rPr>
              <w:t>(%)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94keV±40%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106.01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52.39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40.96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33.26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25.83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19.37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38.64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19.10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14.93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12.12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9.41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7.06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80keV±30%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61.45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30.24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20.48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14.96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17.17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13.33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37.19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18.30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12.40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9.05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10.39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8.07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100keV±30%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120.37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48.49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50.78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28.36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33.07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23.59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40.63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16.37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17.14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9.57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11.16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7.96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90keV±20%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 xml:space="preserve">40 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41.49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20.96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14.61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14.97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13.76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10.24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40.67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20.55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14.32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14.68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13.49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10.04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110keV±20%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 xml:space="preserve">40 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54.48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25.35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21.55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12.72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13.74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9.67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44.94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20.91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17.78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10.49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11.33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7.98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90keV±10%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43.37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25.80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19.98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3.94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3.44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6.76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38.15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22.70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17.58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3.47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3.02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5.95</w:t>
            </w:r>
          </w:p>
        </w:tc>
      </w:tr>
      <w:tr w:rsidR="00557951" w:rsidRPr="00FF395B" w:rsidTr="0076745D">
        <w:trPr>
          <w:trHeight w:val="270"/>
          <w:jc w:val="center"/>
        </w:trPr>
        <w:tc>
          <w:tcPr>
            <w:tcW w:w="563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100keV±10%</w:t>
            </w:r>
          </w:p>
        </w:tc>
        <w:tc>
          <w:tcPr>
            <w:tcW w:w="59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44.69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21.75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21.54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11.51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14.77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15.36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43.49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21.16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20.96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11.20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14.37</w:t>
            </w:r>
          </w:p>
        </w:tc>
        <w:tc>
          <w:tcPr>
            <w:tcW w:w="320" w:type="pct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sz w:val="22"/>
              </w:rPr>
            </w:pPr>
            <w:r w:rsidRPr="00FF395B">
              <w:rPr>
                <w:sz w:val="22"/>
              </w:rPr>
              <w:t>14.94</w:t>
            </w:r>
          </w:p>
        </w:tc>
      </w:tr>
    </w:tbl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</w:p>
    <w:p w:rsidR="00557951" w:rsidRPr="00FF395B" w:rsidRDefault="00557951" w:rsidP="00557951">
      <w:pPr>
        <w:rPr>
          <w:rFonts w:ascii="Times New Roman" w:hAnsi="Times New Roman" w:cs="Times New Roman"/>
        </w:rPr>
      </w:pPr>
      <w:r w:rsidRPr="00FF395B">
        <w:rPr>
          <w:rFonts w:ascii="Times New Roman" w:hAnsi="Times New Roman" w:cs="Times New Roman"/>
        </w:rPr>
        <w:br w:type="page"/>
      </w:r>
    </w:p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  <w:r w:rsidRPr="00FF395B">
        <w:rPr>
          <w:rFonts w:ascii="Times New Roman" w:hAnsi="Times New Roman" w:cs="Times New Roman"/>
          <w:b/>
          <w:bCs/>
        </w:rPr>
        <w:lastRenderedPageBreak/>
        <w:t>Table S3</w:t>
      </w:r>
      <w:r w:rsidRPr="00FF395B">
        <w:rPr>
          <w:rFonts w:ascii="Times New Roman" w:hAnsi="Times New Roman" w:cs="Times New Roman" w:hint="eastAsia"/>
          <w:b/>
          <w:bCs/>
        </w:rPr>
        <w:t xml:space="preserve">. </w:t>
      </w:r>
      <w:r w:rsidRPr="00FF395B">
        <w:rPr>
          <w:rFonts w:ascii="Times New Roman" w:hAnsi="Times New Roman" w:cs="Times New Roman"/>
        </w:rPr>
        <w:t>Comparison of CNR3, Q</w:t>
      </w:r>
      <w:r w:rsidRPr="00FF395B">
        <w:rPr>
          <w:rFonts w:ascii="Times New Roman" w:hAnsi="Times New Roman" w:cs="Times New Roman"/>
          <w:vertAlign w:val="subscript"/>
        </w:rPr>
        <w:t>H</w:t>
      </w:r>
      <w:r w:rsidRPr="00FF395B">
        <w:rPr>
          <w:rFonts w:ascii="Times New Roman" w:hAnsi="Times New Roman" w:cs="Times New Roman" w:hint="eastAsia"/>
          <w:vertAlign w:val="subscript"/>
        </w:rPr>
        <w:t>,</w:t>
      </w:r>
      <w:r w:rsidRPr="00FF395B">
        <w:rPr>
          <w:rFonts w:ascii="Times New Roman" w:hAnsi="Times New Roman" w:cs="Times New Roman"/>
          <w:vertAlign w:val="subscript"/>
        </w:rPr>
        <w:t>3</w:t>
      </w:r>
      <w:r w:rsidRPr="00FF395B">
        <w:rPr>
          <w:rFonts w:ascii="Times New Roman" w:hAnsi="Times New Roman" w:cs="Times New Roman"/>
        </w:rPr>
        <w:t xml:space="preserve"> and COV at different energy windows and acquisition times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7"/>
        <w:gridCol w:w="2327"/>
        <w:gridCol w:w="2326"/>
        <w:gridCol w:w="2326"/>
        <w:gridCol w:w="2326"/>
        <w:gridCol w:w="2326"/>
      </w:tblGrid>
      <w:tr w:rsidR="00557951" w:rsidRPr="00FF395B" w:rsidTr="0076745D">
        <w:trPr>
          <w:trHeight w:val="511"/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95B">
              <w:rPr>
                <w:rFonts w:ascii="Times New Roman" w:hAnsi="Times New Roman" w:cs="Times New Roman" w:hint="eastAsia"/>
                <w:b/>
                <w:bCs/>
              </w:rPr>
              <w:t>Energy window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95B">
              <w:rPr>
                <w:rFonts w:ascii="Times New Roman" w:hAnsi="Times New Roman" w:cs="Times New Roman" w:hint="eastAsia"/>
                <w:b/>
                <w:bCs/>
              </w:rPr>
              <w:t>Acquisition time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95B">
              <w:rPr>
                <w:rFonts w:ascii="Times New Roman" w:hAnsi="Times New Roman" w:cs="Times New Roman"/>
                <w:b/>
                <w:bCs/>
              </w:rPr>
              <w:t>CNR3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95B">
              <w:rPr>
                <w:rFonts w:ascii="Times New Roman" w:hAnsi="Times New Roman" w:cs="Times New Roman"/>
                <w:b/>
                <w:bCs/>
              </w:rPr>
              <w:t>Q</w:t>
            </w:r>
            <w:r w:rsidRPr="00FF395B">
              <w:rPr>
                <w:rFonts w:ascii="Times New Roman" w:hAnsi="Times New Roman" w:cs="Times New Roman"/>
                <w:b/>
                <w:bCs/>
                <w:vertAlign w:val="subscript"/>
              </w:rPr>
              <w:t>H</w:t>
            </w:r>
            <w:r w:rsidRPr="00FF395B">
              <w:rPr>
                <w:rFonts w:ascii="Times New Roman" w:hAnsi="Times New Roman" w:cs="Times New Roman" w:hint="eastAsia"/>
                <w:b/>
                <w:bCs/>
                <w:vertAlign w:val="subscript"/>
              </w:rPr>
              <w:t>,</w:t>
            </w:r>
            <w:r w:rsidRPr="00FF395B">
              <w:rPr>
                <w:rFonts w:ascii="Times New Roman" w:hAnsi="Times New Roman" w:cs="Times New Roman"/>
                <w:b/>
                <w:bCs/>
                <w:vertAlign w:val="subscript"/>
              </w:rPr>
              <w:t>3</w:t>
            </w:r>
            <w:r w:rsidRPr="00FF395B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395B">
              <w:rPr>
                <w:rFonts w:ascii="Times New Roman" w:hAnsi="Times New Roman" w:cs="Times New Roman"/>
                <w:b/>
                <w:bCs/>
              </w:rPr>
              <w:t>COV(%)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szCs w:val="21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szCs w:val="2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Cs w:val="21"/>
                    </w:rPr>
                    <m:t>C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Cs w:val="21"/>
                    </w:rPr>
                    <m:t>lung</m:t>
                  </m:r>
                </m:sub>
              </m:sSub>
            </m:oMath>
            <w:r w:rsidRPr="00FF395B">
              <w:rPr>
                <w:rFonts w:ascii="Times New Roman" w:hAnsi="Times New Roman" w:cs="Times New Roman" w:hint="eastAsia"/>
                <w:b/>
                <w:bCs/>
              </w:rPr>
              <w:t>(</w:t>
            </w:r>
            <w:r w:rsidRPr="00FF395B">
              <w:rPr>
                <w:rFonts w:ascii="Times New Roman" w:hAnsi="Times New Roman" w:cs="Times New Roman"/>
                <w:b/>
                <w:bCs/>
              </w:rPr>
              <w:t>%</w:t>
            </w:r>
            <w:r w:rsidRPr="00FF395B">
              <w:rPr>
                <w:rFonts w:ascii="Times New Roman" w:hAnsi="Times New Roman" w:cs="Times New Roman" w:hint="eastAsia"/>
                <w:b/>
                <w:bCs/>
              </w:rPr>
              <w:t>)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94keV±40%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66.11063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16.31887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2.379058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93.95904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80keV±30%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26.36073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14.03329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5.130838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100.6209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100keV±30%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11.25377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8.897227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7.619788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88.16705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90keV±20%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19.55076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13.54126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6.675467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92.00633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110keV±20%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16.26805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15.11875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8.957086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100.5195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90keV±10%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10.93637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12.88871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11.35853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90.82931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100keV±10%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11.08371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14.25714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12.39748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91.98356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94keV±40%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40.95738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14.92954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3.513181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93.04315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80keV±30%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20.4818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12.3966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5.833387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92.10435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100keV±30%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50.77594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17.13838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3.253104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84.61483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90keV±20%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14.6104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14.32387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9.44897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90.71846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110keV±20%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21.55038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17.77597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7.949952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85.42155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90keV±10%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19.98114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17.57802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8.478828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101.2701</w:t>
            </w:r>
          </w:p>
        </w:tc>
      </w:tr>
      <w:tr w:rsidR="00557951" w:rsidRPr="00FF395B" w:rsidTr="0076745D">
        <w:trPr>
          <w:trHeight w:val="278"/>
          <w:jc w:val="center"/>
        </w:trPr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lastRenderedPageBreak/>
              <w:t>100keV±10%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21.53899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20.95839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9.378188</w:t>
            </w:r>
          </w:p>
        </w:tc>
        <w:tc>
          <w:tcPr>
            <w:tcW w:w="833" w:type="pct"/>
            <w:vAlign w:val="center"/>
          </w:tcPr>
          <w:p w:rsidR="00557951" w:rsidRPr="00FF395B" w:rsidRDefault="00557951" w:rsidP="0076745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95B">
              <w:rPr>
                <w:rFonts w:ascii="Times New Roman" w:hAnsi="Times New Roman" w:cs="Times New Roman"/>
              </w:rPr>
              <w:t>98.16972</w:t>
            </w:r>
          </w:p>
        </w:tc>
      </w:tr>
    </w:tbl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</w:p>
    <w:p w:rsidR="00557951" w:rsidRPr="00FF395B" w:rsidRDefault="00557951" w:rsidP="00557951">
      <w:pPr>
        <w:rPr>
          <w:rFonts w:ascii="Times New Roman" w:hAnsi="Times New Roman" w:cs="Times New Roman"/>
        </w:rPr>
      </w:pPr>
    </w:p>
    <w:tbl>
      <w:tblPr>
        <w:tblW w:w="1182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481"/>
        <w:gridCol w:w="1374"/>
        <w:gridCol w:w="1480"/>
        <w:gridCol w:w="1410"/>
        <w:gridCol w:w="1560"/>
        <w:gridCol w:w="1550"/>
        <w:gridCol w:w="1550"/>
      </w:tblGrid>
      <w:tr w:rsidR="00557951" w:rsidRPr="00FF395B" w:rsidTr="0076745D">
        <w:trPr>
          <w:cantSplit/>
          <w:trHeight w:val="327"/>
          <w:tblHeader/>
          <w:jc w:val="center"/>
        </w:trPr>
        <w:tc>
          <w:tcPr>
            <w:tcW w:w="11823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Table S</w:t>
            </w:r>
            <w:r w:rsidRPr="00FF39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F395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.</w:t>
            </w:r>
            <w:r w:rsidRPr="00FF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</w:rPr>
              <w:t>CNR (40s-20s)</w:t>
            </w:r>
            <w:r w:rsidRPr="00FF395B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Test statistics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</w:tr>
      <w:tr w:rsidR="00557951" w:rsidRPr="00FF395B" w:rsidTr="0076745D">
        <w:trPr>
          <w:cantSplit/>
          <w:trHeight w:val="368"/>
          <w:tblHeader/>
          <w:jc w:val="center"/>
        </w:trPr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94keV±40%</w:t>
            </w:r>
          </w:p>
        </w:tc>
        <w:tc>
          <w:tcPr>
            <w:tcW w:w="1374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80keV±30%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100keV±30%</w:t>
            </w:r>
          </w:p>
        </w:tc>
        <w:tc>
          <w:tcPr>
            <w:tcW w:w="141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90keV±20%</w:t>
            </w:r>
          </w:p>
        </w:tc>
        <w:tc>
          <w:tcPr>
            <w:tcW w:w="156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110keV±20%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100keV±10%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90keV±10%</w:t>
            </w:r>
          </w:p>
        </w:tc>
      </w:tr>
      <w:tr w:rsidR="00557951" w:rsidRPr="00FF395B" w:rsidTr="0076745D">
        <w:trPr>
          <w:cantSplit/>
          <w:trHeight w:val="368"/>
          <w:tblHeader/>
          <w:jc w:val="center"/>
        </w:trPr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4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.105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.314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57951" w:rsidRPr="00FF395B" w:rsidTr="0076745D">
        <w:trPr>
          <w:cantSplit/>
          <w:trHeight w:val="414"/>
          <w:tblHeader/>
          <w:jc w:val="center"/>
        </w:trPr>
        <w:tc>
          <w:tcPr>
            <w:tcW w:w="141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Asymptotic significance (bilateral)</w:t>
            </w:r>
          </w:p>
        </w:tc>
        <w:tc>
          <w:tcPr>
            <w:tcW w:w="14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374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48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.917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.753</w:t>
            </w:r>
          </w:p>
        </w:tc>
      </w:tr>
      <w:tr w:rsidR="00557951" w:rsidRPr="00FF395B" w:rsidTr="0076745D">
        <w:trPr>
          <w:cantSplit/>
          <w:trHeight w:val="368"/>
          <w:tblHeader/>
          <w:jc w:val="center"/>
        </w:trPr>
        <w:tc>
          <w:tcPr>
            <w:tcW w:w="11823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557951" w:rsidRPr="00FF395B" w:rsidRDefault="00557951" w:rsidP="0076745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Based on positive rank</w:t>
            </w:r>
          </w:p>
        </w:tc>
      </w:tr>
      <w:tr w:rsidR="00557951" w:rsidRPr="00FF395B" w:rsidTr="0076745D">
        <w:trPr>
          <w:cantSplit/>
          <w:trHeight w:val="327"/>
          <w:tblHeader/>
          <w:jc w:val="center"/>
        </w:trPr>
        <w:tc>
          <w:tcPr>
            <w:tcW w:w="11823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557951" w:rsidRPr="00FF395B" w:rsidRDefault="00557951" w:rsidP="0076745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Based on negative rank</w:t>
            </w:r>
          </w:p>
        </w:tc>
      </w:tr>
      <w:tr w:rsidR="00557951" w:rsidRPr="00FF395B" w:rsidTr="0076745D">
        <w:trPr>
          <w:cantSplit/>
          <w:trHeight w:val="327"/>
          <w:jc w:val="center"/>
        </w:trPr>
        <w:tc>
          <w:tcPr>
            <w:tcW w:w="11823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557951" w:rsidRPr="00FF395B" w:rsidRDefault="00557951" w:rsidP="0076745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Wilcoxon signed rank test</w:t>
            </w:r>
          </w:p>
        </w:tc>
      </w:tr>
    </w:tbl>
    <w:p w:rsidR="00557951" w:rsidRPr="00FF395B" w:rsidRDefault="00557951" w:rsidP="00557951">
      <w:pPr>
        <w:rPr>
          <w:rFonts w:ascii="Times New Roman" w:hAnsi="Times New Roman" w:cs="Times New Roman"/>
          <w:sz w:val="24"/>
          <w:szCs w:val="24"/>
        </w:rPr>
      </w:pPr>
    </w:p>
    <w:p w:rsidR="00557951" w:rsidRPr="00FF395B" w:rsidRDefault="00557951" w:rsidP="00557951">
      <w:pPr>
        <w:rPr>
          <w:rFonts w:ascii="Times New Roman" w:hAnsi="Times New Roman" w:cs="Times New Roman"/>
          <w:sz w:val="24"/>
          <w:szCs w:val="24"/>
        </w:rPr>
      </w:pPr>
      <w:r w:rsidRPr="00FF395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18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70"/>
        <w:gridCol w:w="1378"/>
        <w:gridCol w:w="1480"/>
        <w:gridCol w:w="1420"/>
        <w:gridCol w:w="1560"/>
        <w:gridCol w:w="1530"/>
        <w:gridCol w:w="1550"/>
      </w:tblGrid>
      <w:tr w:rsidR="00557951" w:rsidRPr="00FF395B" w:rsidTr="0076745D">
        <w:trPr>
          <w:cantSplit/>
          <w:trHeight w:val="311"/>
          <w:tblHeader/>
          <w:jc w:val="center"/>
        </w:trPr>
        <w:tc>
          <w:tcPr>
            <w:tcW w:w="1184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lastRenderedPageBreak/>
              <w:t>Table</w:t>
            </w:r>
            <w:r w:rsidRPr="00FF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95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 w:rsidRPr="00FF39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F395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. 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</w:rPr>
              <w:t>Q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H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</w:rPr>
              <w:t>（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</w:rPr>
              <w:t>40s-20s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</w:rPr>
              <w:t>）</w:t>
            </w:r>
            <w:r w:rsidRPr="00FF395B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Test statistics</w:t>
            </w:r>
            <w:r w:rsidRPr="00FF395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c</w:t>
            </w:r>
          </w:p>
        </w:tc>
      </w:tr>
      <w:tr w:rsidR="00557951" w:rsidRPr="00FF395B" w:rsidTr="0076745D">
        <w:trPr>
          <w:cantSplit/>
          <w:trHeight w:val="350"/>
          <w:tblHeader/>
          <w:jc w:val="center"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94keV±40%</w:t>
            </w:r>
          </w:p>
        </w:tc>
        <w:tc>
          <w:tcPr>
            <w:tcW w:w="1378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80keV±30%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100keV±3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90keV±20%</w:t>
            </w:r>
          </w:p>
        </w:tc>
        <w:tc>
          <w:tcPr>
            <w:tcW w:w="156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110keV±20%</w:t>
            </w:r>
          </w:p>
        </w:tc>
        <w:tc>
          <w:tcPr>
            <w:tcW w:w="153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100keV±10%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90keV±10%</w:t>
            </w:r>
          </w:p>
        </w:tc>
      </w:tr>
      <w:tr w:rsidR="00557951" w:rsidRPr="00FF395B" w:rsidTr="0076745D">
        <w:trPr>
          <w:cantSplit/>
          <w:trHeight w:val="350"/>
          <w:tblHeader/>
          <w:jc w:val="center"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3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-1.363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8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.943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2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-2.201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-1.153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3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.524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8" w:space="0" w:color="000000"/>
              <w:bottom w:val="nil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-1.363</w:t>
            </w:r>
            <w:r w:rsidRPr="00FF39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57951" w:rsidRPr="00FF395B" w:rsidTr="0076745D">
        <w:trPr>
          <w:cantSplit/>
          <w:trHeight w:val="311"/>
          <w:tblHeader/>
          <w:jc w:val="center"/>
        </w:trPr>
        <w:tc>
          <w:tcPr>
            <w:tcW w:w="15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Asymptotic significance (bilateral)</w:t>
            </w:r>
          </w:p>
        </w:tc>
        <w:tc>
          <w:tcPr>
            <w:tcW w:w="13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.173</w:t>
            </w:r>
          </w:p>
        </w:tc>
        <w:tc>
          <w:tcPr>
            <w:tcW w:w="1378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48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.345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.600</w:t>
            </w:r>
          </w:p>
        </w:tc>
        <w:tc>
          <w:tcPr>
            <w:tcW w:w="1550" w:type="dxa"/>
            <w:tcBorders>
              <w:top w:val="nil"/>
              <w:left w:val="single" w:sz="8" w:space="0" w:color="000000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557951" w:rsidRPr="00FF395B" w:rsidRDefault="00557951" w:rsidP="0076745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>.173</w:t>
            </w:r>
          </w:p>
        </w:tc>
      </w:tr>
      <w:tr w:rsidR="00557951" w:rsidRPr="00FF395B" w:rsidTr="0076745D">
        <w:trPr>
          <w:cantSplit/>
          <w:trHeight w:val="350"/>
          <w:tblHeader/>
          <w:jc w:val="center"/>
        </w:trPr>
        <w:tc>
          <w:tcPr>
            <w:tcW w:w="1184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557951" w:rsidRPr="00FF395B" w:rsidRDefault="00557951" w:rsidP="0076745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Based on positive rank</w:t>
            </w:r>
          </w:p>
        </w:tc>
      </w:tr>
      <w:tr w:rsidR="00557951" w:rsidRPr="00FF395B" w:rsidTr="0076745D">
        <w:trPr>
          <w:cantSplit/>
          <w:trHeight w:val="311"/>
          <w:tblHeader/>
          <w:jc w:val="center"/>
        </w:trPr>
        <w:tc>
          <w:tcPr>
            <w:tcW w:w="1184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557951" w:rsidRPr="00FF395B" w:rsidRDefault="00557951" w:rsidP="0076745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Based on negative rank</w:t>
            </w:r>
          </w:p>
        </w:tc>
      </w:tr>
      <w:tr w:rsidR="00557951" w:rsidRPr="00FF395B" w:rsidTr="0076745D">
        <w:trPr>
          <w:cantSplit/>
          <w:trHeight w:val="311"/>
          <w:tblHeader/>
          <w:jc w:val="center"/>
        </w:trPr>
        <w:tc>
          <w:tcPr>
            <w:tcW w:w="11848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557951" w:rsidRPr="00FF395B" w:rsidRDefault="00557951" w:rsidP="0076745D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F395B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Pr="00FF395B">
              <w:rPr>
                <w:rFonts w:ascii="Times New Roman" w:hAnsi="Times New Roman" w:cs="Times New Roman" w:hint="eastAsia"/>
                <w:sz w:val="24"/>
                <w:szCs w:val="24"/>
              </w:rPr>
              <w:t>Wilcoxon signed rank test</w:t>
            </w:r>
          </w:p>
        </w:tc>
      </w:tr>
    </w:tbl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  <w:sectPr w:rsidR="00557951" w:rsidRPr="00FF395B">
          <w:endnotePr>
            <w:numFmt w:val="decimal"/>
          </w:endnotePr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  <w:r w:rsidRPr="00FF395B">
        <w:rPr>
          <w:rFonts w:ascii="Times New Roman" w:hAnsi="Times New Roman" w:cs="Times New Roman" w:hint="eastAsia"/>
          <w:b/>
          <w:bCs/>
        </w:rPr>
        <w:lastRenderedPageBreak/>
        <w:t>Table S6</w:t>
      </w:r>
      <w:r w:rsidRPr="00FF395B">
        <w:rPr>
          <w:rFonts w:ascii="Times New Roman" w:hAnsi="Times New Roman" w:cs="Times New Roman" w:hint="eastAsia"/>
        </w:rPr>
        <w:t xml:space="preserve">. Summary of optimal parameters of </w:t>
      </w:r>
      <w:r w:rsidRPr="00FF395B">
        <w:rPr>
          <w:rFonts w:ascii="Times New Roman" w:hAnsi="Times New Roman" w:cs="Times New Roman"/>
          <w:vertAlign w:val="superscript"/>
        </w:rPr>
        <w:t>90</w:t>
      </w:r>
      <w:r w:rsidRPr="00FF395B">
        <w:rPr>
          <w:rFonts w:ascii="Times New Roman" w:hAnsi="Times New Roman" w:cs="Times New Roman"/>
        </w:rPr>
        <w:t>Y BECT</w:t>
      </w:r>
      <w:r w:rsidRPr="00FF395B">
        <w:rPr>
          <w:rFonts w:ascii="Times New Roman" w:hAnsi="Times New Roman" w:cs="Times New Roman" w:hint="eastAsia"/>
        </w:rPr>
        <w:t xml:space="preserve"> imaging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899"/>
      </w:tblGrid>
      <w:tr w:rsidR="00557951" w:rsidRPr="00FF395B" w:rsidTr="0076745D">
        <w:tc>
          <w:tcPr>
            <w:tcW w:w="3397" w:type="dxa"/>
            <w:tcBorders>
              <w:top w:val="single" w:sz="8" w:space="0" w:color="auto"/>
              <w:bottom w:val="single" w:sz="8" w:space="0" w:color="auto"/>
            </w:tcBorders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sz w:val="22"/>
                <w:vertAlign w:val="superscript"/>
              </w:rPr>
              <w:t>90</w:t>
            </w:r>
            <w:r w:rsidRPr="00FF395B">
              <w:rPr>
                <w:sz w:val="22"/>
              </w:rPr>
              <w:t>Y BECT</w:t>
            </w:r>
            <w:r w:rsidRPr="00FF395B">
              <w:rPr>
                <w:rFonts w:hint="eastAsia"/>
                <w:sz w:val="22"/>
              </w:rPr>
              <w:t xml:space="preserve"> imaging settings</w:t>
            </w:r>
          </w:p>
        </w:tc>
        <w:tc>
          <w:tcPr>
            <w:tcW w:w="4899" w:type="dxa"/>
            <w:tcBorders>
              <w:top w:val="single" w:sz="8" w:space="0" w:color="auto"/>
              <w:bottom w:val="single" w:sz="8" w:space="0" w:color="auto"/>
            </w:tcBorders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rFonts w:hint="eastAsia"/>
                <w:sz w:val="22"/>
              </w:rPr>
              <w:t>Optimal parameters</w:t>
            </w:r>
          </w:p>
        </w:tc>
      </w:tr>
      <w:tr w:rsidR="00557951" w:rsidRPr="00FF395B" w:rsidTr="0076745D">
        <w:tc>
          <w:tcPr>
            <w:tcW w:w="3397" w:type="dxa"/>
            <w:tcBorders>
              <w:top w:val="single" w:sz="8" w:space="0" w:color="auto"/>
            </w:tcBorders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rFonts w:hint="eastAsia"/>
                <w:sz w:val="22"/>
              </w:rPr>
              <w:t>Energy window center and width</w:t>
            </w:r>
          </w:p>
        </w:tc>
        <w:tc>
          <w:tcPr>
            <w:tcW w:w="4899" w:type="dxa"/>
            <w:tcBorders>
              <w:top w:val="single" w:sz="8" w:space="0" w:color="auto"/>
            </w:tcBorders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sz w:val="22"/>
              </w:rPr>
              <w:t>94 keV±40% (56.4–131.6 keV)</w:t>
            </w:r>
          </w:p>
        </w:tc>
      </w:tr>
      <w:tr w:rsidR="00557951" w:rsidRPr="00FF395B" w:rsidTr="0076745D">
        <w:tc>
          <w:tcPr>
            <w:tcW w:w="3397" w:type="dxa"/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rFonts w:hint="eastAsia"/>
                <w:sz w:val="22"/>
              </w:rPr>
              <w:t>Acquisition time</w:t>
            </w:r>
          </w:p>
        </w:tc>
        <w:tc>
          <w:tcPr>
            <w:tcW w:w="4899" w:type="dxa"/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rFonts w:hint="eastAsia"/>
                <w:sz w:val="22"/>
              </w:rPr>
              <w:t>20 seconds / frame</w:t>
            </w:r>
          </w:p>
        </w:tc>
      </w:tr>
      <w:tr w:rsidR="00557951" w:rsidRPr="00FF395B" w:rsidTr="0076745D">
        <w:tc>
          <w:tcPr>
            <w:tcW w:w="3397" w:type="dxa"/>
            <w:tcBorders>
              <w:bottom w:val="single" w:sz="8" w:space="0" w:color="auto"/>
            </w:tcBorders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rFonts w:hint="eastAsia"/>
                <w:sz w:val="22"/>
              </w:rPr>
              <w:t>Collimator</w:t>
            </w:r>
          </w:p>
        </w:tc>
        <w:tc>
          <w:tcPr>
            <w:tcW w:w="4899" w:type="dxa"/>
            <w:tcBorders>
              <w:bottom w:val="single" w:sz="8" w:space="0" w:color="auto"/>
            </w:tcBorders>
          </w:tcPr>
          <w:p w:rsidR="00557951" w:rsidRPr="00FF395B" w:rsidRDefault="00557951" w:rsidP="0076745D">
            <w:pPr>
              <w:spacing w:line="360" w:lineRule="auto"/>
              <w:rPr>
                <w:sz w:val="22"/>
              </w:rPr>
            </w:pPr>
            <w:r w:rsidRPr="00FF395B">
              <w:rPr>
                <w:rFonts w:hint="eastAsia"/>
              </w:rPr>
              <w:t>H</w:t>
            </w:r>
            <w:r w:rsidRPr="00FF395B">
              <w:rPr>
                <w:szCs w:val="21"/>
              </w:rPr>
              <w:t>igh-energy general-purpose collimator</w:t>
            </w:r>
            <w:r w:rsidRPr="00FF395B">
              <w:rPr>
                <w:rFonts w:hint="eastAsia"/>
                <w:szCs w:val="21"/>
              </w:rPr>
              <w:t xml:space="preserve"> (HEGPC)</w:t>
            </w:r>
          </w:p>
        </w:tc>
      </w:tr>
    </w:tbl>
    <w:p w:rsidR="00557951" w:rsidRPr="00FF395B" w:rsidRDefault="00557951" w:rsidP="00557951">
      <w:pPr>
        <w:spacing w:line="360" w:lineRule="auto"/>
        <w:rPr>
          <w:rFonts w:ascii="Times New Roman" w:hAnsi="Times New Roman" w:cs="Times New Roman"/>
        </w:rPr>
      </w:pPr>
    </w:p>
    <w:p w:rsidR="00CE5A2D" w:rsidRDefault="00CE5A2D">
      <w:bookmarkStart w:id="0" w:name="_GoBack"/>
      <w:bookmarkEnd w:id="0"/>
    </w:p>
    <w:sectPr w:rsidR="00CE5A2D"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51"/>
    <w:rsid w:val="00557951"/>
    <w:rsid w:val="005E41F9"/>
    <w:rsid w:val="006C639D"/>
    <w:rsid w:val="00AE21DA"/>
    <w:rsid w:val="00C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2E98A7-FE03-4AE1-A044-791807AC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55795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SORUBARAJAN SELVAM</dc:creator>
  <cp:keywords/>
  <dc:description/>
  <cp:lastModifiedBy>SORUBARAJAN SELVAM</cp:lastModifiedBy>
  <cp:revision>1</cp:revision>
  <dcterms:created xsi:type="dcterms:W3CDTF">2026-06-30T15:34:00Z</dcterms:created>
  <dcterms:modified xsi:type="dcterms:W3CDTF">2026-06-30T15:34:00Z</dcterms:modified>
</cp:coreProperties>
</file>