
<file path=[Content_Types].xml><?xml version="1.0" encoding="utf-8"?>
<Types xmlns="http://schemas.openxmlformats.org/package/2006/content-types">
  <Default Extension="jpeg" ContentType="image/jpeg"/>
  <Default Extension="json" ContentType="application/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8EA0" w14:textId="77777777" w:rsidR="002112A8" w:rsidRDefault="008063FC">
      <w:pPr>
        <w:pStyle w:val="Heading1"/>
        <w:jc w:val="both"/>
        <w:rPr>
          <w:rFonts w:ascii="Calibri" w:hAnsi="Calibri"/>
          <w:color w:val="000000"/>
        </w:rPr>
      </w:pPr>
      <w:bookmarkStart w:id="0" w:name="_Hlk209698363"/>
      <w:bookmarkEnd w:id="0"/>
      <w:r>
        <w:rPr>
          <w:rFonts w:ascii="Calibri" w:hAnsi="Calibri"/>
          <w:color w:val="000000"/>
        </w:rPr>
        <w:t xml:space="preserve">Supplementary Files </w:t>
      </w:r>
    </w:p>
    <w:p w14:paraId="6A8E8EE7" w14:textId="77777777" w:rsidR="002112A8" w:rsidRDefault="002112A8">
      <w:pPr>
        <w:pStyle w:val="NoSpacing"/>
        <w:jc w:val="both"/>
      </w:pPr>
    </w:p>
    <w:p w14:paraId="7A0D1AA4" w14:textId="77777777" w:rsidR="002112A8" w:rsidRDefault="008063FC">
      <w:pPr>
        <w:pStyle w:val="Heading2"/>
        <w:jc w:val="both"/>
        <w:rPr>
          <w:rFonts w:ascii="Calibri" w:hAnsi="Calibri"/>
          <w:b/>
          <w:color w:val="000000"/>
        </w:rPr>
      </w:pPr>
      <w:r>
        <w:rPr>
          <w:rFonts w:ascii="Calibri" w:hAnsi="Calibri"/>
          <w:b/>
          <w:color w:val="000000"/>
        </w:rPr>
        <w:t xml:space="preserve">Supplementary Methods </w:t>
      </w:r>
    </w:p>
    <w:p w14:paraId="63C406E7" w14:textId="77777777" w:rsidR="002112A8" w:rsidRDefault="008063FC">
      <w:pPr>
        <w:jc w:val="both"/>
        <w:rPr>
          <w:rFonts w:ascii="Calibri" w:hAnsi="Calibri"/>
          <w:b/>
          <w:i/>
        </w:rPr>
      </w:pPr>
      <w:r>
        <w:rPr>
          <w:rFonts w:ascii="Calibri" w:hAnsi="Calibri"/>
          <w:b/>
          <w:i/>
        </w:rPr>
        <w:t xml:space="preserve">Scan acquisition and reconstruction </w:t>
      </w:r>
    </w:p>
    <w:p w14:paraId="7249B989" w14:textId="77777777" w:rsidR="002112A8" w:rsidRDefault="008063FC">
      <w:pPr>
        <w:jc w:val="both"/>
        <w:rPr>
          <w:rFonts w:ascii="Calibri" w:hAnsi="Calibri"/>
        </w:rPr>
      </w:pPr>
      <w:r>
        <w:rPr>
          <w:rFonts w:ascii="Calibri" w:hAnsi="Calibri"/>
        </w:rPr>
        <w:t>The [</w:t>
      </w:r>
      <w:r>
        <w:rPr>
          <w:rFonts w:ascii="Calibri" w:hAnsi="Calibri"/>
          <w:vertAlign w:val="superscript"/>
        </w:rPr>
        <w:t>18</w:t>
      </w:r>
      <w:r>
        <w:rPr>
          <w:rFonts w:ascii="Calibri" w:hAnsi="Calibri"/>
        </w:rPr>
        <w:t>F]F-AraG PET/CT-scans were acquired on the 106 cm long axial field of view Biograph Vision Quadra PET/CT system (Siemens Healthineers, Erlangen, Duitsland). First, a low dose CT (120 kV, 30mAs) was made for attenuation correction and anatomical correlation and reconstructed in 3 mm coupes. Then 185 MBq ±10% of [</w:t>
      </w:r>
      <w:r>
        <w:rPr>
          <w:rFonts w:ascii="Calibri" w:hAnsi="Calibri"/>
          <w:vertAlign w:val="superscript"/>
        </w:rPr>
        <w:t>18</w:t>
      </w:r>
      <w:r>
        <w:rPr>
          <w:rFonts w:ascii="Calibri" w:hAnsi="Calibri"/>
        </w:rPr>
        <w:t xml:space="preserve">F]F-AraG was automatically injected with a MEDRAD (Bayer, Leverk usen, Germany) system in two phases (phase 1 0.8 ml/sec, phase 2 2.0 ml/sec). Simultaneously with tracer administration we started the 90 min dynamic PET acquisition. </w:t>
      </w:r>
    </w:p>
    <w:p w14:paraId="115FB302" w14:textId="58296A2D" w:rsidR="002112A8" w:rsidRDefault="008063FC">
      <w:pPr>
        <w:jc w:val="both"/>
        <w:rPr>
          <w:rFonts w:ascii="Calibri" w:hAnsi="Calibri"/>
        </w:rPr>
      </w:pPr>
      <w:r>
        <w:rPr>
          <w:rFonts w:ascii="Calibri" w:hAnsi="Calibri"/>
        </w:rPr>
        <w:t>The [</w:t>
      </w:r>
      <w:r>
        <w:rPr>
          <w:rFonts w:ascii="Calibri" w:hAnsi="Calibri"/>
          <w:vertAlign w:val="superscript"/>
        </w:rPr>
        <w:t>18</w:t>
      </w:r>
      <w:r>
        <w:rPr>
          <w:rFonts w:ascii="Calibri" w:hAnsi="Calibri"/>
        </w:rPr>
        <w:t>F]F-AraG PET acquisitions were corrected for detector normalization, decay, dead time, attenuation, randoms and scatter. The data was iteratively reconstructed with an ordered-subset expectation maximization algorithm</w:t>
      </w:r>
      <w:r>
        <w:rPr>
          <w:rFonts w:ascii="Calibri" w:hAnsi="Calibri"/>
          <w:sz w:val="16"/>
        </w:rPr>
        <w:t xml:space="preserve"> </w:t>
      </w:r>
      <w:r>
        <w:rPr>
          <w:rFonts w:ascii="Calibri" w:hAnsi="Calibri"/>
        </w:rPr>
        <w:t>with</w:t>
      </w:r>
      <w:r>
        <w:rPr>
          <w:rFonts w:ascii="Calibri" w:hAnsi="Calibri"/>
          <w:sz w:val="16"/>
        </w:rPr>
        <w:t xml:space="preserve"> </w:t>
      </w:r>
      <w:r>
        <w:rPr>
          <w:rFonts w:ascii="Calibri" w:hAnsi="Calibri"/>
        </w:rPr>
        <w:t>4 iterations and 5 subsets, using time of flight and point spread function modeling, and application of a 4 mm Gaussian filter for smoothing (EARL2 compliant reconstruction). Scans were reconstructed in 31 frames as 6x20, 6x30, 5x60, 5x240, 6x300, 3x600 second frames. One static reconstruction of the dynamic timeframes between 60 and 70 min was generated for visual assessment of the lesions and calculation of simplified uptake metrics. The final images had a voxel size of 3.3x3.3x2 mm</w:t>
      </w:r>
      <w:r>
        <w:rPr>
          <w:rFonts w:ascii="Calibri" w:hAnsi="Calibri"/>
          <w:vertAlign w:val="superscript"/>
        </w:rPr>
        <w:t>3</w:t>
      </w:r>
      <w:r>
        <w:rPr>
          <w:rFonts w:ascii="Calibri" w:hAnsi="Calibri"/>
        </w:rPr>
        <w:t xml:space="preserve"> and a spatial resolution of about 5 mm full width at half maximum. All PET/CT-scans were acquired and reconstructed according to the guidelines of the European Association of Nuclear Medicine (EARL2). </w:t>
      </w:r>
      <w:r>
        <w:fldChar w:fldCharType="begin"/>
      </w:r>
      <w:r>
        <w:instrText xml:space="preserve"> ADDIN EN.CITE &lt;EndNote&gt;&lt;Cite&gt;&lt;Author&gt;Boellaard&lt;/Author&gt;&lt;Year&gt;2015&lt;/Year&gt;&lt;record&gt;&lt;ref-type name="Journal Article"&gt;17&lt;/ref-type&gt;&lt;pub-location&gt;Department of Radiology &amp;amp; Nuclear Medicine, VU University Medical Centre, De Boelelaan 1117, 1081 HV, Amsterdam, The Netherlands, r.boellaard@vumc.nl.&lt;/pub-location&gt;&lt;pages&gt;328-54&lt;/pages&gt;&lt;volume&gt;42&lt;/volume&gt;&lt;number&gt;2&lt;/number&gt;&lt;dates&gt;&lt;pub-dates&gt;&lt;date&gt;2014/12/03&lt;/date&gt;&lt;/pub-dates&gt;&lt;year&gt;2015&lt;/year&gt;&lt;/dates&gt;&lt;isbn&gt;1619-7089 (Electronic) 1619-7070 (Linking)&lt;/isbn&gt;&lt;custom2&gt;PMC4315529&lt;/custom2&gt;&lt;electronic-resource-num&gt;10.1007/s00259-014-2961-x&lt;/electronic-resource-num&gt;&lt;contributors&gt;&lt;authors&gt;&lt;author&gt;Boellaard, R.&lt;/author&gt;&lt;author&gt;Delgado-Bolton, R.&lt;/author&gt;&lt;author&gt;Oyen, W. J.&lt;/author&gt;&lt;author&gt;Giammarile, F.&lt;/author&gt;&lt;author&gt;Tatsch, K.&lt;/author&gt;&lt;author&gt;Eschner, W.&lt;/author&gt;&lt;author&gt;Verzijlbergen, F. J.&lt;/author&gt;&lt;author&gt;Barrington, S. F.&lt;/author&gt;&lt;author&gt;Pike, L. C.&lt;/author&gt;&lt;author&gt;Weber, W. A.&lt;/author&gt;&lt;author&gt;Stroobants, S.&lt;/author&gt;&lt;author&gt;Delbeke, D.&lt;/author&gt;&lt;author&gt;Donohoe, K. J.&lt;/author&gt;&lt;author&gt;Holbrook, S.&lt;/author&gt;&lt;author&gt;Graham, M. M.&lt;/author&gt;&lt;author&gt;Testanera, G.&lt;/author&gt;&lt;author&gt;Hoekstra, O. S.&lt;/author&gt;&lt;author&gt;Zijlstra, J.&lt;/author&gt;&lt;author&gt;Visser, E.&lt;/author&gt;&lt;author&gt;Hoekstra, C. J.&lt;/author&gt;&lt;author&gt;Pruim, J.&lt;/author&gt;&lt;author&gt;Willemsen, A.&lt;/author&gt;&lt;author&gt;Arends, B.&lt;/author&gt;&lt;author&gt;Kotzerke, J.&lt;/author&gt;&lt;author&gt;Bockisch, A.&lt;/author&gt;&lt;author&gt;Beyer, T.&lt;/author&gt;&lt;author&gt;Chiti, A.&lt;/author&gt;&lt;author&gt;Krause, B. J.&lt;/author&gt;&lt;author&gt;European Association of Nuclear, Medicine&lt;/author&gt;&lt;/authors&gt;&lt;/contributors&gt;&lt;titles&gt;&lt;title&gt;FDG PET/CT: EANM procedure guidelines for tumour imaging: version 2.0&lt;/title&gt;&lt;secondary-title&gt;Eur J Nucl Med Mol Imaging&lt;/secondary-title&gt;&lt;/titles&gt;&lt;urls&gt;&lt;related-urls&gt;&lt;url&gt;https://www.ncbi.nlm.nih.gov/pubmed/25452219&lt;/url&gt;&lt;/related-urls&gt;&lt;/urls&gt;&lt;hash&gt;9a36dc7bb54e2258e22b282876219251&lt;/hash&gt;&lt;/record&gt;&lt;/Cite&gt;&lt;/EndNote&gt;</w:instrText>
      </w:r>
      <w:r>
        <w:fldChar w:fldCharType="separate"/>
      </w:r>
      <w:r>
        <w:rPr>
          <w:rFonts w:ascii="Calibri" w:hAnsi="Calibri"/>
        </w:rPr>
        <w:t>(1)</w:t>
      </w:r>
      <w:r>
        <w:fldChar w:fldCharType="end"/>
      </w:r>
      <w:r>
        <w:rPr>
          <w:rFonts w:ascii="Calibri" w:hAnsi="Calibri"/>
        </w:rPr>
        <w:t xml:space="preserve">  </w:t>
      </w:r>
    </w:p>
    <w:p w14:paraId="38BB7DA9" w14:textId="77777777" w:rsidR="002112A8" w:rsidRDefault="008063FC">
      <w:pPr>
        <w:jc w:val="both"/>
        <w:rPr>
          <w:rFonts w:ascii="Calibri" w:hAnsi="Calibri"/>
          <w:b/>
          <w:i/>
        </w:rPr>
      </w:pPr>
      <w:r>
        <w:rPr>
          <w:rFonts w:ascii="Calibri" w:hAnsi="Calibri"/>
          <w:b/>
          <w:i/>
        </w:rPr>
        <w:t xml:space="preserve">Adjusted scatter correction  </w:t>
      </w:r>
    </w:p>
    <w:p w14:paraId="0BD09D48" w14:textId="005FF6B6" w:rsidR="002112A8" w:rsidRDefault="008063FC">
      <w:pPr>
        <w:jc w:val="both"/>
        <w:rPr>
          <w:rFonts w:ascii="Calibri" w:hAnsi="Calibri"/>
        </w:rPr>
      </w:pPr>
      <w:r>
        <w:rPr>
          <w:rFonts w:ascii="Calibri" w:hAnsi="Calibri"/>
        </w:rPr>
        <w:t>In all three [</w:t>
      </w:r>
      <w:r>
        <w:rPr>
          <w:rFonts w:ascii="Calibri" w:hAnsi="Calibri"/>
          <w:vertAlign w:val="superscript"/>
        </w:rPr>
        <w:t>18</w:t>
      </w:r>
      <w:r>
        <w:rPr>
          <w:rFonts w:ascii="Calibri" w:hAnsi="Calibri"/>
        </w:rPr>
        <w:t xml:space="preserve">F]F-AraG PET-scans of </w:t>
      </w:r>
      <w:r w:rsidR="006A7DB7">
        <w:rPr>
          <w:rFonts w:ascii="Calibri" w:hAnsi="Calibri"/>
        </w:rPr>
        <w:t>patient</w:t>
      </w:r>
      <w:r>
        <w:rPr>
          <w:rFonts w:ascii="Calibri" w:hAnsi="Calibri"/>
        </w:rPr>
        <w:t xml:space="preserve"> D, a strong discrepancy was observed between the whole blood activity concentration measured in the aorta and the blood samples. No differences in acquisition, reconstruction protocol, sampling or sample analysis method were identified that could account for this mismatch</w:t>
      </w:r>
      <w:r w:rsidR="00E812B7">
        <w:rPr>
          <w:rFonts w:ascii="Calibri" w:hAnsi="Calibri"/>
        </w:rPr>
        <w:t xml:space="preserve">. </w:t>
      </w:r>
      <w:r>
        <w:rPr>
          <w:rFonts w:ascii="Calibri" w:hAnsi="Calibri"/>
        </w:rPr>
        <w:t xml:space="preserve">To match the image-derived whole blood activity concentration with the measured blood sample activity concentration, the three scans of </w:t>
      </w:r>
      <w:r w:rsidR="006A7DB7">
        <w:rPr>
          <w:rFonts w:ascii="Calibri" w:hAnsi="Calibri"/>
        </w:rPr>
        <w:t>patient</w:t>
      </w:r>
      <w:r>
        <w:rPr>
          <w:rFonts w:ascii="Calibri" w:hAnsi="Calibri"/>
        </w:rPr>
        <w:t xml:space="preserve"> D were re-reconstructed using prototype research software (E7, Siemens Healthineers, Erlangen, Germany) with absolute scatter correction and an adjusted scatter correction factor, which were subsequently used for further analysis.  </w:t>
      </w:r>
    </w:p>
    <w:p w14:paraId="5D2E8150" w14:textId="77777777" w:rsidR="002112A8" w:rsidRDefault="008063FC">
      <w:pPr>
        <w:jc w:val="both"/>
        <w:rPr>
          <w:rFonts w:ascii="Calibri" w:hAnsi="Calibri"/>
          <w:b/>
          <w:i/>
        </w:rPr>
      </w:pPr>
      <w:r>
        <w:rPr>
          <w:rFonts w:ascii="Calibri" w:hAnsi="Calibri"/>
          <w:b/>
          <w:i/>
        </w:rPr>
        <w:t xml:space="preserve">Blood sampling and measurements  </w:t>
      </w:r>
    </w:p>
    <w:p w14:paraId="5C23AFB4" w14:textId="77777777" w:rsidR="002112A8" w:rsidRDefault="008063FC">
      <w:pPr>
        <w:jc w:val="both"/>
        <w:rPr>
          <w:rFonts w:ascii="Calibri" w:hAnsi="Calibri"/>
        </w:rPr>
      </w:pPr>
      <w:r>
        <w:rPr>
          <w:rFonts w:ascii="Calibri" w:hAnsi="Calibri"/>
        </w:rPr>
        <w:t xml:space="preserve">Arterial blood samples were manually drawn from either the arteria radialis or the arteria ulnaris at 5, 10, 15, 25, 35, 45, 60, 75 and 90 minutes p.i. </w:t>
      </w:r>
    </w:p>
    <w:p w14:paraId="60187DD5" w14:textId="77777777" w:rsidR="002112A8" w:rsidRDefault="008063FC">
      <w:pPr>
        <w:jc w:val="both"/>
        <w:rPr>
          <w:rFonts w:ascii="Calibri" w:hAnsi="Calibri"/>
        </w:rPr>
      </w:pPr>
      <w:r>
        <w:rPr>
          <w:rFonts w:ascii="Calibri" w:hAnsi="Calibri"/>
        </w:rPr>
        <w:t>Each blood sample was measured for radioactivity concentration in whole-blood and in plasma using a well-counter. The well-counter, injection syringe, dose-calibrator and PET-camera were cross-calibrated. Plasma samples were analyzed for polar radiolabeled metabolites of [</w:t>
      </w:r>
      <w:r>
        <w:rPr>
          <w:rFonts w:ascii="Calibri" w:hAnsi="Calibri"/>
          <w:vertAlign w:val="superscript"/>
        </w:rPr>
        <w:t>18</w:t>
      </w:r>
      <w:r>
        <w:rPr>
          <w:rFonts w:ascii="Calibri" w:hAnsi="Calibri"/>
        </w:rPr>
        <w:t xml:space="preserve">F]F-AraG by solid-phase extraction as described previously. </w:t>
      </w:r>
      <w:r>
        <w:fldChar w:fldCharType="begin"/>
      </w:r>
      <w:r>
        <w:instrText xml:space="preserve"> ADDIN EN.CITE &lt;EndNote&gt;&lt;Cite&gt;&lt;Author&gt;Wijngaarden&lt;/Author&gt;&lt;Year&gt;2025&lt;/Year&gt;&lt;record&gt;&lt;ref-type name="Journal Article"&gt;17&lt;/ref-type&gt;&lt;pub-location&gt;Department of Radiology and Nuclear Medicine, Amsterdam UMC Location Vrije Universiteit Amsterdam, Amsterdam, Netherlands. j.e.wijngaarden@amsterdamumc.nl. Cancer Center Amsterdam, Imaging and Biomarkers, Amsterdam, The Netherlands. j.e.wijngaarden@amsterdamumc.nl. Cancer Center Amsterdam, Imaging and Biomarkers, Amsterdam, The Netherlands. Department of Pulmonary Medicine, Amsterdam UMC Location Vrije Universiteit Amsterdam, Amsterdam, The Netherlands. Department of Medical Oncology, Amsterdam UMC Location Vrije Universiteit Amsterdam, Amsterdam, The Netherlands. Department of Radiology and Nuclear Medicine, Amsterdam UMC Location Vrije Universiteit Amsterdam, Amsterdam, Netherlands. Department of Cardiothoracic Surgery, Amsterdam UMC Location Vrije Universiteit Amsterdam, Amsterdam, The Netherlands. CellSight Technologies Incorporated, San Francisco, CA, USA. Department of Translational Medicine &amp;amp; Clinical Pharmacology, Boehringer Ingelheim Pharma GmbH &amp;amp; Co. KG, Biberach an der Riss, Germany.&lt;/pub-location&gt;&lt;pages&gt;719-729&lt;/pages&gt;&lt;volume&gt;52&lt;/volume&gt;&lt;number&gt;2&lt;/number&gt;&lt;dates&gt;&lt;pub-dates&gt;&lt;date&gt;20241008&lt;/date&gt;&lt;/pub-dates&gt;&lt;year&gt;2025&lt;/year&gt;&lt;/dates&gt;&lt;isbn&gt;1619-7089 (Electronic) 1619-7070 (Print) 1619-7070 (Linking)&lt;/isbn&gt;&lt;custom2&gt;PMC11732896&lt;/custom2&gt;&lt;electronic-resource-num&gt;10.1007/s00259-024-06931-3&lt;/electronic-resource-num&gt;&lt;contributors&gt;&lt;authors&gt;&lt;author&gt;Wijngaarden, J. E.&lt;/author&gt;&lt;author&gt;Slebe, M.&lt;/author&gt;&lt;author&gt;Pouw, J. E. E.&lt;/author&gt;&lt;author&gt;Oprea-Lager, D. E.&lt;/author&gt;&lt;author&gt;Schuit, R. C.&lt;/author&gt;&lt;author&gt;Dickhoff, C.&lt;/author&gt;&lt;author&gt;Levi, J.&lt;/author&gt;&lt;author&gt;Windhorst, A. D.&lt;/author&gt;&lt;author&gt;Oordt, Cwmhv&lt;/author&gt;&lt;author&gt;Thiele, A.&lt;/author&gt;&lt;author&gt;Bahce, I.&lt;/author&gt;&lt;author&gt;Boellaard, R.&lt;/author&gt;&lt;author&gt;Yaqub, M.&lt;/author&gt;&lt;/authors&gt;&lt;/contributors&gt;&lt;titles&gt;&lt;title&gt;Pharmacokinetic analysis and simplified uptake measures for tumour lesion [(18)F]F-AraG PET imaging in patients with non-small cell lung cancer&lt;/title&gt;&lt;secondary-title&gt;Eur J Nucl Med Mol Imaging&lt;/secondary-title&gt;&lt;/titles&gt;&lt;urls&gt;&lt;related-urls&gt;&lt;url&gt;https://www.ncbi.nlm.nih.gov/pubmed/39377810&lt;/url&gt;&lt;/related-urls&gt;&lt;/urls&gt;&lt;hash&gt;4ecdb91c59530f9465fbe4726f691908&lt;/hash&gt;&lt;/record&gt;&lt;/Cite&gt;&lt;/EndNote&gt;</w:instrText>
      </w:r>
      <w:r>
        <w:fldChar w:fldCharType="separate"/>
      </w:r>
      <w:r>
        <w:rPr>
          <w:rFonts w:ascii="Calibri" w:hAnsi="Calibri"/>
        </w:rPr>
        <w:t>(2)</w:t>
      </w:r>
      <w:r>
        <w:fldChar w:fldCharType="end"/>
      </w:r>
    </w:p>
    <w:p w14:paraId="26A02E5F" w14:textId="77777777" w:rsidR="002112A8" w:rsidRDefault="008063FC">
      <w:pPr>
        <w:jc w:val="both"/>
        <w:rPr>
          <w:rFonts w:ascii="Calibri" w:hAnsi="Calibri"/>
          <w:b/>
          <w:i/>
        </w:rPr>
      </w:pPr>
      <w:r>
        <w:rPr>
          <w:rFonts w:ascii="Calibri" w:hAnsi="Calibri"/>
          <w:b/>
          <w:i/>
        </w:rPr>
        <w:t xml:space="preserve">Calibrating the blood input function </w:t>
      </w:r>
    </w:p>
    <w:p w14:paraId="6A1FABC1" w14:textId="77777777" w:rsidR="002112A8" w:rsidRDefault="008063FC">
      <w:pPr>
        <w:jc w:val="both"/>
        <w:rPr>
          <w:rFonts w:ascii="Calibri" w:hAnsi="Calibri"/>
        </w:rPr>
      </w:pPr>
      <w:r>
        <w:rPr>
          <w:rFonts w:ascii="Calibri" w:hAnsi="Calibri"/>
        </w:rPr>
        <w:t xml:space="preserve">To generate the image derived input function (IDIF) for the pharmacokinetic modeling, the mean activity concentration measured in the ascending aorta was fitted using an exponential function and scaled based on the mean activity concentration found in the arterial whole blood samples. This was then corrected for the time difference between activity arriving in the ascending aorta and the radial </w:t>
      </w:r>
      <w:r>
        <w:rPr>
          <w:rFonts w:ascii="Calibri" w:hAnsi="Calibri"/>
        </w:rPr>
        <w:lastRenderedPageBreak/>
        <w:t xml:space="preserve">or ulnar arteries. The whole blood IDIF was further corrected for the bi-exponential fit of the plasma-to-blood ratio and the Hill function fit of the parent fraction, excluding any false data points </w:t>
      </w:r>
      <w:r>
        <w:fldChar w:fldCharType="begin"/>
      </w:r>
      <w:r>
        <w:instrText xml:space="preserve"> ADDIN EN.CITE &lt;EndNote&gt;&lt;Cite&gt;&lt;Author&gt;Somvanshi&lt;/Author&gt;&lt;Year&gt;2013&lt;/Year&gt;&lt;record&gt;&lt;ref-type name="Book Section"&gt;5&lt;/ref-type&gt;&lt;pages&gt;892-895&lt;/pages&gt;&lt;dates&gt;&lt;year&gt;2013&lt;/year&gt;&lt;/dates&gt;&lt;pub-location&gt;New York, NY&lt;/pub-location&gt;&lt;publisher&gt;Springer New York&lt;/publisher&gt;&lt;isbn&gt;978-1-4419-9863-7&lt;/isbn&gt;&lt;electronic-resource-num&gt;10.1007/978-1-4419-9863-7_946&lt;/electronic-resource-num&gt;&lt;contributors&gt;&lt;authors&gt;&lt;author&gt;Somvanshi, Pramod R.&lt;/author&gt;&lt;author&gt;Venkatesh, Kareenhalli V.&lt;/author&gt;&lt;/authors&gt;&lt;secondary-authors&gt;&lt;author&gt;Dubitzky, Werner&lt;/author&gt;&lt;author&gt;Wolkenhauer, Olaf&lt;/author&gt;&lt;author&gt;Cho, Kwang-Hyun&lt;/author&gt;&lt;author&gt;Yokota, Hiroki&lt;/author&gt;&lt;/secondary-authors&gt;&lt;/contributors&gt;&lt;titles&gt;&lt;title&gt;Hill Equation&lt;/title&gt;&lt;secondary-title&gt;Encyclopedia of Systems Biology&lt;/secondary-title&gt;&lt;/titles&gt;&lt;urls&gt;&lt;related-urls&gt;&lt;url&gt;https://doi.org/10.1007/978-1-4419-9863-7_946&lt;/url&gt;&lt;/related-urls&gt;&lt;/urls&gt;&lt;hash&gt;3207047ebdeab5d269e07b1dd3fb1bf0&lt;/hash&gt;&lt;/record&gt;&lt;/Cite&gt;&lt;/EndNote&gt;</w:instrText>
      </w:r>
      <w:r>
        <w:fldChar w:fldCharType="separate"/>
      </w:r>
      <w:r>
        <w:rPr>
          <w:rFonts w:ascii="Calibri" w:hAnsi="Calibri"/>
        </w:rPr>
        <w:t>(3)</w:t>
      </w:r>
      <w:r>
        <w:fldChar w:fldCharType="end"/>
      </w:r>
      <w:r>
        <w:rPr>
          <w:rFonts w:ascii="Calibri" w:hAnsi="Calibri"/>
        </w:rPr>
        <w:t xml:space="preserve">. </w:t>
      </w:r>
    </w:p>
    <w:p w14:paraId="5C0D029F" w14:textId="77777777" w:rsidR="002112A8" w:rsidRDefault="008063FC">
      <w:pPr>
        <w:jc w:val="both"/>
        <w:rPr>
          <w:rFonts w:ascii="Calibri" w:hAnsi="Calibri"/>
          <w:b/>
          <w:i/>
        </w:rPr>
      </w:pPr>
      <w:r>
        <w:rPr>
          <w:rFonts w:ascii="Calibri" w:hAnsi="Calibri"/>
          <w:b/>
          <w:i/>
        </w:rPr>
        <w:t>Region delineations</w:t>
      </w:r>
    </w:p>
    <w:p w14:paraId="7A2A8319" w14:textId="13F9F3FF" w:rsidR="002112A8" w:rsidRDefault="008063FC">
      <w:pPr>
        <w:jc w:val="both"/>
        <w:rPr>
          <w:rFonts w:ascii="Calibri" w:hAnsi="Calibri"/>
        </w:rPr>
      </w:pPr>
      <w:r>
        <w:rPr>
          <w:rFonts w:ascii="Calibri" w:hAnsi="Calibri"/>
        </w:rPr>
        <w:t>Uptake in the tumor lesions and organs was determined on the dynamic [</w:t>
      </w:r>
      <w:r>
        <w:rPr>
          <w:rFonts w:ascii="Calibri" w:hAnsi="Calibri"/>
          <w:vertAlign w:val="superscript"/>
        </w:rPr>
        <w:t>18</w:t>
      </w:r>
      <w:r>
        <w:rPr>
          <w:rFonts w:ascii="Calibri" w:hAnsi="Calibri"/>
        </w:rPr>
        <w:t xml:space="preserve">F]F-AraG PET-scans using software for quantitative oncological molecular analysis ACCURATE </w:t>
      </w:r>
      <w:r>
        <w:fldChar w:fldCharType="begin"/>
      </w:r>
      <w:r>
        <w:instrText xml:space="preserve"> ADDIN EN.CITE &lt;EndNote&gt;&lt;Cite&gt;&lt;Author&gt;Boellaard&lt;/Author&gt;&lt;Year&gt;2018&lt;/Year&gt;&lt;record&gt;&lt;ref-type name="Journal Article"&gt;17&lt;/ref-type&gt;&lt;pages&gt;1753&lt;/pages&gt;&lt;volume&gt;59&lt;/volume&gt;&lt;number&gt;supplement 1&lt;/number&gt;&lt;dates&gt;&lt;year&gt;2018&lt;/year&gt;&lt;/dates&gt;&lt;contributors&gt;&lt;authors&gt;&lt;author&gt;Boellaard, Ronald&lt;/author&gt;&lt;/authors&gt;&lt;/contributors&gt;&lt;titles&gt;&lt;title&gt;Quantitative oncology molecular analysis suite: ACCURATE&lt;/title&gt;&lt;secondary-title&gt;Journal of Nuclear Medicine&lt;/secondary-title&gt;&lt;/titles&gt;&lt;urls&gt;&lt;related-urls&gt;&lt;url&gt;http://jnm.snmjournals.org/content/59/supplement_1/1753.abstract&lt;/url&gt;&lt;/related-urls&gt;&lt;/urls&gt;&lt;hash&gt;4d859d715b96468bf34b13aa7a80ffad&lt;/hash&gt;&lt;/record&gt;&lt;/Cite&gt;&lt;/EndNote&gt;</w:instrText>
      </w:r>
      <w:r>
        <w:fldChar w:fldCharType="separate"/>
      </w:r>
      <w:r>
        <w:rPr>
          <w:rFonts w:ascii="Calibri" w:hAnsi="Calibri"/>
        </w:rPr>
        <w:t>(4)</w:t>
      </w:r>
      <w:r>
        <w:fldChar w:fldCharType="end"/>
      </w:r>
      <w:r>
        <w:rPr>
          <w:rFonts w:ascii="Calibri" w:hAnsi="Calibri"/>
        </w:rPr>
        <w:t>. The screening [</w:t>
      </w:r>
      <w:r>
        <w:rPr>
          <w:rFonts w:ascii="Calibri" w:hAnsi="Calibri"/>
          <w:vertAlign w:val="superscript"/>
        </w:rPr>
        <w:t>18</w:t>
      </w:r>
      <w:r>
        <w:rPr>
          <w:rFonts w:ascii="Calibri" w:hAnsi="Calibri"/>
        </w:rPr>
        <w:t>F]F-FDG PET-scan, de diagnostic CT and the within ACCURATE available low dose CT-scan were used for anatomical reference. When tumor lesions or lymph nodes could not be recognized based on the [</w:t>
      </w:r>
      <w:r>
        <w:rPr>
          <w:rFonts w:ascii="Calibri" w:hAnsi="Calibri"/>
          <w:vertAlign w:val="superscript"/>
        </w:rPr>
        <w:t>18</w:t>
      </w:r>
      <w:r>
        <w:rPr>
          <w:rFonts w:ascii="Calibri" w:hAnsi="Calibri"/>
        </w:rPr>
        <w:t xml:space="preserve">F]F-AraG PET-uptake, delineation was done on the low-dose CT-scan.  </w:t>
      </w:r>
    </w:p>
    <w:p w14:paraId="4BF44127" w14:textId="77777777" w:rsidR="002112A8" w:rsidRDefault="008063FC">
      <w:pPr>
        <w:jc w:val="both"/>
        <w:rPr>
          <w:rFonts w:ascii="Calibri" w:hAnsi="Calibri"/>
          <w:u w:val="single"/>
        </w:rPr>
      </w:pPr>
      <w:r>
        <w:rPr>
          <w:rFonts w:ascii="Calibri" w:hAnsi="Calibri"/>
          <w:u w:val="single"/>
        </w:rPr>
        <w:t>Tumor lesions</w:t>
      </w:r>
    </w:p>
    <w:p w14:paraId="747464BC" w14:textId="77777777" w:rsidR="002112A8" w:rsidRDefault="008063FC">
      <w:pPr>
        <w:jc w:val="both"/>
        <w:rPr>
          <w:rFonts w:ascii="Calibri" w:hAnsi="Calibri"/>
        </w:rPr>
      </w:pPr>
      <w:r>
        <w:rPr>
          <w:rFonts w:ascii="Calibri" w:hAnsi="Calibri"/>
        </w:rPr>
        <w:t>A selection of the tumor lesions was delineated on the dynamic [</w:t>
      </w:r>
      <w:r>
        <w:rPr>
          <w:rFonts w:ascii="Calibri" w:hAnsi="Calibri"/>
          <w:vertAlign w:val="superscript"/>
        </w:rPr>
        <w:t>18</w:t>
      </w:r>
      <w:r>
        <w:rPr>
          <w:rFonts w:ascii="Calibri" w:hAnsi="Calibri"/>
        </w:rPr>
        <w:t>F]F-AraG PET/CT-scans. This selection was determined by visual assessment of the tumor lesions on the 60-70 min p.i. time frame. Selection criteria were positive uptake on at least one time point, lesion size ≥ 1cm and reliable demarcation of the tumor lesion on the low dose CT or [</w:t>
      </w:r>
      <w:r>
        <w:rPr>
          <w:rFonts w:ascii="Calibri" w:hAnsi="Calibri"/>
          <w:vertAlign w:val="superscript"/>
        </w:rPr>
        <w:t>18</w:t>
      </w:r>
      <w:r>
        <w:rPr>
          <w:rFonts w:ascii="Calibri" w:hAnsi="Calibri"/>
        </w:rPr>
        <w:t xml:space="preserve">F]F-AraG PET-scan. Tumor lesions were delineated either by automatic contouring or by manually placing a sphere-shaped volume of interest (VOI) of at least 1 cm diameter (=0.5 mL) in the center of a tumor lesion or in the border when the center was photopenic. For heterogeneous tumor lesions, multiple regions were defined separately. </w:t>
      </w:r>
    </w:p>
    <w:p w14:paraId="30496BE5" w14:textId="77777777" w:rsidR="002112A8" w:rsidRDefault="008063FC">
      <w:pPr>
        <w:jc w:val="both"/>
        <w:rPr>
          <w:rFonts w:ascii="Calibri" w:hAnsi="Calibri"/>
          <w:u w:val="single"/>
        </w:rPr>
      </w:pPr>
      <w:r>
        <w:rPr>
          <w:rFonts w:ascii="Calibri" w:hAnsi="Calibri"/>
          <w:u w:val="single"/>
        </w:rPr>
        <w:t>Organs</w:t>
      </w:r>
    </w:p>
    <w:p w14:paraId="0BBD03BD" w14:textId="77777777" w:rsidR="002112A8" w:rsidRDefault="008063FC">
      <w:pPr>
        <w:jc w:val="both"/>
        <w:rPr>
          <w:rFonts w:ascii="Calibri" w:hAnsi="Calibri"/>
        </w:rPr>
      </w:pPr>
      <w:r>
        <w:rPr>
          <w:rFonts w:ascii="Calibri" w:hAnsi="Calibri"/>
        </w:rPr>
        <w:t>Organs were delineated manually or semi-automatically in ACCURATE on the low dose CT with the dynamic [</w:t>
      </w:r>
      <w:r>
        <w:rPr>
          <w:rFonts w:ascii="Calibri" w:hAnsi="Calibri"/>
          <w:vertAlign w:val="superscript"/>
        </w:rPr>
        <w:t>18</w:t>
      </w:r>
      <w:r>
        <w:rPr>
          <w:rFonts w:ascii="Calibri" w:hAnsi="Calibri"/>
        </w:rPr>
        <w:t xml:space="preserve">F]F-AraG PET-uptake as reference. Vessels, tumor lesions and other structures that do not encompass the tissue of interest are avoided when possible. </w:t>
      </w:r>
    </w:p>
    <w:p w14:paraId="6D453170" w14:textId="10388F0E" w:rsidR="002112A8" w:rsidRDefault="008063FC">
      <w:pPr>
        <w:jc w:val="both"/>
        <w:rPr>
          <w:rFonts w:ascii="Calibri" w:hAnsi="Calibri"/>
        </w:rPr>
      </w:pPr>
      <w:r>
        <w:rPr>
          <w:rFonts w:ascii="Calibri" w:hAnsi="Calibri"/>
        </w:rPr>
        <w:t xml:space="preserve">Manual delineation was  done by one of the two methods: The first was placement of a spherical VOI within the organ: adipose tissue (abdominal region), grey matter of the brain, white matter of the brain, pineal gland, lungs (one sphere in both lungs), the liver, non-tumor draining lymph nodes, the spleen, and the muscle (gluteus maximus and medius muscle). For the second manual method several circle shaped VOIs were placed on multiple adjacent axial </w:t>
      </w:r>
      <w:r w:rsidR="001E317D">
        <w:rPr>
          <w:rFonts w:ascii="Calibri" w:hAnsi="Calibri"/>
        </w:rPr>
        <w:t>slices</w:t>
      </w:r>
      <w:r>
        <w:rPr>
          <w:rFonts w:ascii="Calibri" w:hAnsi="Calibri"/>
        </w:rPr>
        <w:t xml:space="preserve">. This applied for the adenoid tonsils, the myocard (left ventricle), the adrenal gland (only left), the bone marrow (lumbal vertebra 3, 4 and 5). </w:t>
      </w:r>
    </w:p>
    <w:p w14:paraId="50425CCC" w14:textId="514CE2E8" w:rsidR="002112A8" w:rsidRDefault="008063FC">
      <w:pPr>
        <w:jc w:val="both"/>
        <w:rPr>
          <w:rFonts w:ascii="Calibri" w:hAnsi="Calibri"/>
        </w:rPr>
      </w:pPr>
      <w:r>
        <w:rPr>
          <w:rFonts w:ascii="Calibri" w:hAnsi="Calibri"/>
          <w:lang w:val="en-GB"/>
        </w:rPr>
        <w:t xml:space="preserve">A semi-automatic delineation method has been applied for high uptake regions with clear demarcation with the background: the choroid plexus, pituitary gland, parotid gland (left), the thyroid (left), the pancreas and the kidneys. Erosion </w:t>
      </w:r>
      <w:r>
        <w:rPr>
          <w:rFonts w:ascii="Calibri" w:hAnsi="Calibri"/>
        </w:rPr>
        <w:t>was</w:t>
      </w:r>
      <w:r>
        <w:rPr>
          <w:rFonts w:ascii="Calibri" w:hAnsi="Calibri"/>
          <w:lang w:val="en-GB"/>
        </w:rPr>
        <w:t xml:space="preserve"> performed to prevent misalignment in case of internal or external motion. An example VOI per organ is visualised in </w:t>
      </w:r>
      <w:r w:rsidR="001E317D">
        <w:rPr>
          <w:rFonts w:ascii="Calibri" w:hAnsi="Calibri"/>
          <w:b/>
          <w:lang w:val="en-GB"/>
        </w:rPr>
        <w:t>S</w:t>
      </w:r>
      <w:r>
        <w:rPr>
          <w:rFonts w:ascii="Calibri" w:hAnsi="Calibri"/>
          <w:b/>
          <w:lang w:val="en-GB"/>
        </w:rPr>
        <w:t>uppl. Fig 1</w:t>
      </w:r>
      <w:r>
        <w:rPr>
          <w:rFonts w:ascii="Calibri" w:hAnsi="Calibri"/>
          <w:lang w:val="en-GB"/>
        </w:rPr>
        <w:t>.</w:t>
      </w:r>
    </w:p>
    <w:p w14:paraId="1CEEEC1B" w14:textId="77777777" w:rsidR="002112A8" w:rsidRDefault="008063FC">
      <w:pPr>
        <w:jc w:val="both"/>
        <w:rPr>
          <w:rFonts w:ascii="Calibri" w:hAnsi="Calibri"/>
          <w:u w:val="single"/>
        </w:rPr>
      </w:pPr>
      <w:r>
        <w:rPr>
          <w:rFonts w:ascii="Calibri" w:hAnsi="Calibri"/>
          <w:u w:val="single"/>
        </w:rPr>
        <w:t>Blood pool</w:t>
      </w:r>
    </w:p>
    <w:p w14:paraId="2014C642" w14:textId="77777777" w:rsidR="002112A8" w:rsidRDefault="008063FC">
      <w:pPr>
        <w:jc w:val="both"/>
        <w:rPr>
          <w:rFonts w:ascii="Calibri" w:hAnsi="Calibri"/>
        </w:rPr>
      </w:pPr>
      <w:r>
        <w:rPr>
          <w:rFonts w:ascii="Calibri" w:hAnsi="Calibri"/>
        </w:rPr>
        <w:t>The activity concentration in the blood was derived by manually placing a circle-shaped VOI with 1cm diameter in 5 adjacent axial coupes in the ascending aorta, resulting in a volume of 0.5 mL.</w:t>
      </w:r>
    </w:p>
    <w:p w14:paraId="580691E4" w14:textId="77777777" w:rsidR="002112A8" w:rsidRDefault="008063FC">
      <w:pPr>
        <w:jc w:val="both"/>
        <w:rPr>
          <w:rFonts w:ascii="Calibri" w:hAnsi="Calibri"/>
          <w:u w:val="single"/>
        </w:rPr>
      </w:pPr>
      <w:r>
        <w:rPr>
          <w:rFonts w:ascii="Calibri" w:hAnsi="Calibri"/>
          <w:u w:val="single"/>
        </w:rPr>
        <w:t>Semi-automatic delineation</w:t>
      </w:r>
    </w:p>
    <w:p w14:paraId="0F17AF59" w14:textId="77777777" w:rsidR="002112A8" w:rsidRDefault="008063FC">
      <w:pPr>
        <w:jc w:val="both"/>
        <w:rPr>
          <w:rFonts w:ascii="Calibri" w:hAnsi="Calibri"/>
        </w:rPr>
      </w:pPr>
      <w:r>
        <w:rPr>
          <w:rFonts w:ascii="Calibri" w:hAnsi="Calibri"/>
        </w:rPr>
        <w:t xml:space="preserve">For the semi-automatic delineation, the majority vote 3 (MV3) method, available in ACCURATE, was used. The MV3 delineation includes all voxels selected by at least three of the four following delineation methods: </w:t>
      </w:r>
    </w:p>
    <w:p w14:paraId="1AAEA2CE" w14:textId="77777777" w:rsidR="002112A8" w:rsidRDefault="008063FC">
      <w:pPr>
        <w:pStyle w:val="ListParagraph"/>
        <w:numPr>
          <w:ilvl w:val="0"/>
          <w:numId w:val="10"/>
        </w:numPr>
        <w:jc w:val="both"/>
        <w:rPr>
          <w:rFonts w:ascii="Calibri" w:hAnsi="Calibri"/>
        </w:rPr>
      </w:pPr>
      <w:r>
        <w:rPr>
          <w:rFonts w:ascii="Calibri" w:hAnsi="Calibri"/>
        </w:rPr>
        <w:t>SUV2.5: Includes all voxels with an SUV greater than 2.5</w:t>
      </w:r>
    </w:p>
    <w:p w14:paraId="38A87887" w14:textId="77777777" w:rsidR="002112A8" w:rsidRDefault="008063FC">
      <w:pPr>
        <w:pStyle w:val="ListParagraph"/>
        <w:numPr>
          <w:ilvl w:val="0"/>
          <w:numId w:val="10"/>
        </w:numPr>
        <w:jc w:val="both"/>
        <w:rPr>
          <w:rFonts w:ascii="Calibri" w:hAnsi="Calibri"/>
        </w:rPr>
      </w:pPr>
      <w:r>
        <w:rPr>
          <w:rFonts w:ascii="Calibri" w:hAnsi="Calibri"/>
        </w:rPr>
        <w:t>SUV4.0: Includes all voxels with an SUV larger than 4.0</w:t>
      </w:r>
    </w:p>
    <w:p w14:paraId="322495A8" w14:textId="77777777" w:rsidR="002112A8" w:rsidRDefault="008063FC">
      <w:pPr>
        <w:pStyle w:val="ListParagraph"/>
        <w:numPr>
          <w:ilvl w:val="0"/>
          <w:numId w:val="10"/>
        </w:numPr>
        <w:jc w:val="both"/>
        <w:rPr>
          <w:rFonts w:ascii="Calibri" w:hAnsi="Calibri"/>
        </w:rPr>
      </w:pPr>
      <w:r>
        <w:rPr>
          <w:rFonts w:ascii="Calibri" w:hAnsi="Calibri"/>
        </w:rPr>
        <w:t xml:space="preserve">41Max: Includes all voxels with an SUV exceeding 41% of the maximum SUV within the VOI. </w:t>
      </w:r>
    </w:p>
    <w:p w14:paraId="408E13DD" w14:textId="77777777" w:rsidR="002112A8" w:rsidRDefault="008063FC">
      <w:pPr>
        <w:pStyle w:val="ListParagraph"/>
        <w:numPr>
          <w:ilvl w:val="0"/>
          <w:numId w:val="10"/>
        </w:numPr>
        <w:jc w:val="both"/>
        <w:rPr>
          <w:rFonts w:ascii="Calibri" w:hAnsi="Calibri"/>
        </w:rPr>
      </w:pPr>
      <w:r>
        <w:rPr>
          <w:rFonts w:ascii="Calibri" w:hAnsi="Calibri"/>
        </w:rPr>
        <w:lastRenderedPageBreak/>
        <w:t xml:space="preserve">A50P: Includes all voxels with an SUV higher than 50% of the sum of the maximum SUV within the delineated VOI and the background. The background is defined as a 1-voxel-thick spherical shell located 2.5 cm from the border of the 70% isocontour of the SUVpeak. </w:t>
      </w:r>
      <w:r>
        <w:fldChar w:fldCharType="begin"/>
      </w:r>
      <w:r>
        <w:instrText xml:space="preserve"> ADDIN EN.CITE &lt;EndNote&gt;&lt;Cite&gt;&lt;Author&gt;Cheebsumon&lt;/Author&gt;&lt;Year&gt;2011&lt;/Year&gt;&lt;record&gt;&lt;ref-type name="Journal Article"&gt;17&lt;/ref-type&gt;&lt;pub-location&gt;Department of Nuclear Medicine &amp;amp; PET Research, VU University Medical Center, PO Box 7057, 1007 MB Amsterdam, The Netherlands.&lt;/pub-location&gt;&lt;pages&gt;2136-44&lt;/pages&gt;&lt;volume&gt;38&lt;/volume&gt;&lt;number&gt;12&lt;/number&gt;&lt;dates&gt;&lt;pub-dates&gt;&lt;date&gt;2011/08/23&lt;/date&gt;&lt;/pub-dates&gt;&lt;year&gt;2011&lt;/year&gt;&lt;/dates&gt;&lt;isbn&gt;1619-7089 (Electronic) 1619-7070 (Linking)&lt;/isbn&gt;&lt;custom2&gt;PMC3228515&lt;/custom2&gt;&lt;electronic-resource-num&gt;10.1007/s00259-011-1899-5&lt;/electronic-resource-num&gt;&lt;contributors&gt;&lt;authors&gt;&lt;author&gt;Cheebsumon, P.&lt;/author&gt;&lt;author&gt;Yaqub, M.&lt;/author&gt;&lt;author&gt;van Velden, F. H.&lt;/author&gt;&lt;author&gt;Hoekstra, O. S.&lt;/author&gt;&lt;author&gt;Lammertsma, A. A.&lt;/author&gt;&lt;author&gt;Boellaard, R.&lt;/author&gt;&lt;/authors&gt;&lt;/contributors&gt;&lt;titles&gt;&lt;title&gt;Impact of [(1)(8)F]FDG PET imaging parameters on automatic tumour delineation: need for improved tumour delineation methodology&lt;/title&gt;&lt;secondary-title&gt;Eur J Nucl Med Mol Imaging&lt;/secondary-title&gt;&lt;/titles&gt;&lt;urls&gt;&lt;related-urls&gt;&lt;url&gt;https://www.ncbi.nlm.nih.gov/pubmed/21858528&lt;/url&gt;&lt;/related-urls&gt;&lt;/urls&gt;&lt;hash&gt;d68512b2b589d3ff61d5adb913f29215&lt;/hash&gt;&lt;/record&gt;&lt;/Cite&gt;&lt;/EndNote&gt;</w:instrText>
      </w:r>
      <w:r>
        <w:fldChar w:fldCharType="separate"/>
      </w:r>
      <w:r>
        <w:rPr>
          <w:rFonts w:ascii="Calibri" w:hAnsi="Calibri"/>
        </w:rPr>
        <w:t>(5)</w:t>
      </w:r>
      <w:r>
        <w:fldChar w:fldCharType="end"/>
      </w:r>
    </w:p>
    <w:p w14:paraId="259CEA37" w14:textId="77777777" w:rsidR="002112A8" w:rsidRDefault="008063FC">
      <w:pPr>
        <w:jc w:val="both"/>
        <w:rPr>
          <w:rFonts w:ascii="Calibri" w:hAnsi="Calibri"/>
        </w:rPr>
      </w:pPr>
      <w:r>
        <w:rPr>
          <w:rFonts w:ascii="Calibri" w:hAnsi="Calibri"/>
        </w:rPr>
        <w:t>To minimize the effects of potential movement, the (semi-)automatically derived VOIs were eroded at least once, and up to twice, following their generation.</w:t>
      </w:r>
    </w:p>
    <w:p w14:paraId="0FD20D29" w14:textId="77777777" w:rsidR="002112A8" w:rsidRDefault="008063FC">
      <w:pPr>
        <w:jc w:val="both"/>
        <w:rPr>
          <w:rFonts w:ascii="Calibri" w:hAnsi="Calibri"/>
          <w:u w:val="single"/>
        </w:rPr>
      </w:pPr>
      <w:r>
        <w:rPr>
          <w:rFonts w:ascii="Calibri" w:hAnsi="Calibri"/>
          <w:u w:val="single"/>
        </w:rPr>
        <w:t>TAC generation</w:t>
      </w:r>
    </w:p>
    <w:p w14:paraId="084F94D2" w14:textId="77777777" w:rsidR="002112A8" w:rsidRDefault="008063FC">
      <w:pPr>
        <w:jc w:val="both"/>
        <w:rPr>
          <w:rFonts w:ascii="Calibri" w:hAnsi="Calibri"/>
        </w:rPr>
      </w:pPr>
      <w:r>
        <w:rPr>
          <w:rFonts w:ascii="Calibri" w:hAnsi="Calibri"/>
        </w:rPr>
        <w:t xml:space="preserve">All delineations (tumor lesions, organs) were checked for both internal as external motion and the delineations were adjusted accordingly in case of motion. For each delineations region, the measured mean activity concentrations over time were derived to generate time-activity curves (TACs).  </w:t>
      </w:r>
    </w:p>
    <w:p w14:paraId="700CF53B" w14:textId="7C9F2D9A" w:rsidR="002112A8" w:rsidRDefault="008063FC">
      <w:pPr>
        <w:jc w:val="both"/>
        <w:rPr>
          <w:rFonts w:ascii="Calibri" w:hAnsi="Calibri"/>
        </w:rPr>
      </w:pPr>
      <w:r>
        <w:rPr>
          <w:rFonts w:ascii="Calibri" w:hAnsi="Calibri"/>
        </w:rPr>
        <w:t xml:space="preserve">The TACs were visually assessed and in case of severe motion, the delineations were checked and corrected. When the motion could not be corrected for, the lesion was excluded from analysis. This was the case for 16 benign lymph nodes and 12 organs: one adipose tissue, one bone marrow, two grey matter brain regions, six white matter brain regions and two adenoid tonsils. Organ delineations with a size smaller than 1 mL were excluded for quantitative analysis, except for the benign lymph nodes, which were all 0.5 mL. The organ TACs can be found in </w:t>
      </w:r>
      <w:r w:rsidR="001E317D">
        <w:rPr>
          <w:rFonts w:ascii="Calibri" w:hAnsi="Calibri"/>
          <w:b/>
        </w:rPr>
        <w:t>S</w:t>
      </w:r>
      <w:r>
        <w:rPr>
          <w:rFonts w:ascii="Calibri" w:hAnsi="Calibri"/>
          <w:b/>
        </w:rPr>
        <w:t>uppl. Fig. 3</w:t>
      </w:r>
      <w:r>
        <w:rPr>
          <w:rFonts w:ascii="Calibri" w:hAnsi="Calibri"/>
        </w:rPr>
        <w:t xml:space="preserve">.    </w:t>
      </w:r>
      <w:r>
        <w:rPr>
          <w:rFonts w:ascii="Calibri" w:hAnsi="Calibri"/>
        </w:rPr>
        <w:br w:type="page"/>
      </w:r>
    </w:p>
    <w:p w14:paraId="3C28DA6F" w14:textId="77777777" w:rsidR="002112A8" w:rsidRDefault="002112A8">
      <w:pPr>
        <w:jc w:val="both"/>
        <w:rPr>
          <w:rFonts w:ascii="Calibri" w:hAnsi="Calibri"/>
        </w:rPr>
      </w:pPr>
    </w:p>
    <w:p w14:paraId="0650B3DD" w14:textId="77777777" w:rsidR="002112A8" w:rsidRDefault="008063FC">
      <w:pPr>
        <w:jc w:val="both"/>
        <w:rPr>
          <w:rFonts w:ascii="Calibri" w:hAnsi="Calibri"/>
          <w:b/>
          <w:i/>
        </w:rPr>
      </w:pPr>
      <w:r>
        <w:rPr>
          <w:rFonts w:ascii="Calibri" w:hAnsi="Calibri"/>
          <w:b/>
          <w:i/>
        </w:rPr>
        <w:t xml:space="preserve">Pharmacokinetic modelling, parameters and simplified uptake measures </w:t>
      </w:r>
    </w:p>
    <w:p w14:paraId="6110C919" w14:textId="77777777" w:rsidR="002112A8" w:rsidRDefault="008063FC">
      <w:pPr>
        <w:pStyle w:val="NormalWeb"/>
        <w:shd w:val="clear" w:color="auto" w:fill="FFFFFF"/>
        <w:spacing w:before="166" w:after="166"/>
        <w:jc w:val="both"/>
        <w:rPr>
          <w:rFonts w:ascii="Calibri" w:hAnsi="Calibri"/>
          <w:sz w:val="22"/>
        </w:rPr>
      </w:pPr>
      <w:r>
        <w:rPr>
          <w:rFonts w:ascii="Calibri" w:hAnsi="Calibri"/>
          <w:sz w:val="22"/>
        </w:rPr>
        <w:t xml:space="preserve">Pharmacokinetic modeling was performed with an in-house software tool developed in MATLAB (MATLAB version 7.04, The MathWorks, Inc., Natick, Massachusetts, United States). The model was utilized to fit the TACs with the corresponding IDIFs using a non-linear least squares algorithm. This was performed with both weighted (tumor regions) and unweighted (organ regions) approaches, incorporating constraints on the pharmacokinetic rate constants. </w:t>
      </w:r>
    </w:p>
    <w:p w14:paraId="5BFFBD8A" w14:textId="77777777" w:rsidR="002112A8" w:rsidRDefault="008063FC">
      <w:pPr>
        <w:pStyle w:val="NormalWeb"/>
        <w:shd w:val="clear" w:color="auto" w:fill="FFFFFF"/>
        <w:spacing w:before="166" w:after="166"/>
        <w:jc w:val="both"/>
        <w:rPr>
          <w:rFonts w:ascii="Calibri" w:hAnsi="Calibri"/>
          <w:sz w:val="22"/>
        </w:rPr>
      </w:pPr>
      <w:r>
        <w:rPr>
          <w:rFonts w:ascii="Calibri" w:hAnsi="Calibri"/>
          <w:sz w:val="22"/>
        </w:rPr>
        <w:t>Up to 4 rate constants were estimated per model fit and additionally the fraction of blood volume (V</w:t>
      </w:r>
      <w:r>
        <w:rPr>
          <w:rFonts w:ascii="Calibri" w:hAnsi="Calibri"/>
          <w:sz w:val="22"/>
          <w:vertAlign w:val="subscript"/>
        </w:rPr>
        <w:t>b</w:t>
      </w:r>
      <w:r>
        <w:rPr>
          <w:rFonts w:ascii="Calibri" w:hAnsi="Calibri"/>
          <w:sz w:val="22"/>
        </w:rPr>
        <w:t>).</w:t>
      </w:r>
    </w:p>
    <w:p w14:paraId="7D1741D4" w14:textId="77777777" w:rsidR="002112A8" w:rsidRDefault="008063FC">
      <w:pPr>
        <w:pStyle w:val="NormalWeb"/>
        <w:numPr>
          <w:ilvl w:val="0"/>
          <w:numId w:val="10"/>
        </w:numPr>
        <w:shd w:val="clear" w:color="auto" w:fill="FFFFFF"/>
        <w:spacing w:before="166" w:after="166"/>
        <w:jc w:val="both"/>
        <w:rPr>
          <w:rFonts w:ascii="Calibri" w:hAnsi="Calibri"/>
          <w:sz w:val="22"/>
        </w:rPr>
      </w:pPr>
      <w:r>
        <w:rPr>
          <w:rFonts w:ascii="Calibri" w:hAnsi="Calibri"/>
          <w:sz w:val="22"/>
        </w:rPr>
        <w:t>K</w:t>
      </w:r>
      <w:r>
        <w:rPr>
          <w:rFonts w:ascii="Calibri" w:hAnsi="Calibri"/>
          <w:sz w:val="22"/>
          <w:vertAlign w:val="subscript"/>
        </w:rPr>
        <w:t>1</w:t>
      </w:r>
      <w:r>
        <w:rPr>
          <w:rFonts w:ascii="Calibri" w:hAnsi="Calibri"/>
          <w:sz w:val="22"/>
        </w:rPr>
        <w:t xml:space="preserve"> indicates the extravasation rate of [</w:t>
      </w:r>
      <w:r>
        <w:rPr>
          <w:rFonts w:ascii="Calibri" w:hAnsi="Calibri"/>
          <w:sz w:val="22"/>
          <w:vertAlign w:val="superscript"/>
        </w:rPr>
        <w:t>18</w:t>
      </w:r>
      <w:r>
        <w:rPr>
          <w:rFonts w:ascii="Calibri" w:hAnsi="Calibri"/>
          <w:sz w:val="22"/>
        </w:rPr>
        <w:t>F]F-AraG and the transport into the cell via nucleoside transporters (perfusion and extraction)</w:t>
      </w:r>
    </w:p>
    <w:p w14:paraId="00455509" w14:textId="77777777" w:rsidR="002112A8" w:rsidRDefault="008063FC">
      <w:pPr>
        <w:pStyle w:val="NormalWeb"/>
        <w:numPr>
          <w:ilvl w:val="0"/>
          <w:numId w:val="10"/>
        </w:numPr>
        <w:shd w:val="clear" w:color="auto" w:fill="FFFFFF"/>
        <w:spacing w:before="166" w:after="166"/>
        <w:jc w:val="both"/>
        <w:rPr>
          <w:rFonts w:ascii="Calibri" w:hAnsi="Calibri"/>
          <w:sz w:val="22"/>
        </w:rPr>
      </w:pPr>
      <w:r>
        <w:rPr>
          <w:rFonts w:ascii="Calibri" w:hAnsi="Calibri"/>
          <w:sz w:val="22"/>
        </w:rPr>
        <w:t>k</w:t>
      </w:r>
      <w:r>
        <w:rPr>
          <w:rFonts w:ascii="Calibri" w:hAnsi="Calibri"/>
          <w:sz w:val="22"/>
          <w:vertAlign w:val="subscript"/>
        </w:rPr>
        <w:t>2</w:t>
      </w:r>
      <w:r>
        <w:rPr>
          <w:rFonts w:ascii="Calibri" w:hAnsi="Calibri"/>
          <w:sz w:val="22"/>
        </w:rPr>
        <w:t xml:space="preserve"> indicates the reverse process of [</w:t>
      </w:r>
      <w:r>
        <w:rPr>
          <w:rFonts w:ascii="Calibri" w:hAnsi="Calibri"/>
          <w:sz w:val="22"/>
          <w:vertAlign w:val="superscript"/>
        </w:rPr>
        <w:t>18</w:t>
      </w:r>
      <w:r>
        <w:rPr>
          <w:rFonts w:ascii="Calibri" w:hAnsi="Calibri"/>
          <w:sz w:val="22"/>
        </w:rPr>
        <w:t xml:space="preserve">F]F-AraG efflux out the cells into the capillaries.  </w:t>
      </w:r>
    </w:p>
    <w:p w14:paraId="7EDBE6D9" w14:textId="77777777" w:rsidR="002112A8" w:rsidRDefault="008063FC">
      <w:pPr>
        <w:pStyle w:val="NormalWeb"/>
        <w:numPr>
          <w:ilvl w:val="0"/>
          <w:numId w:val="10"/>
        </w:numPr>
        <w:shd w:val="clear" w:color="auto" w:fill="FFFFFF"/>
        <w:spacing w:before="166" w:after="166"/>
        <w:jc w:val="both"/>
        <w:rPr>
          <w:rFonts w:ascii="Calibri" w:hAnsi="Calibri"/>
          <w:sz w:val="22"/>
        </w:rPr>
      </w:pPr>
      <w:r>
        <w:rPr>
          <w:rFonts w:ascii="Calibri" w:hAnsi="Calibri"/>
          <w:sz w:val="22"/>
        </w:rPr>
        <w:t>k</w:t>
      </w:r>
      <w:r>
        <w:rPr>
          <w:rFonts w:ascii="Calibri" w:hAnsi="Calibri"/>
          <w:sz w:val="22"/>
          <w:vertAlign w:val="subscript"/>
        </w:rPr>
        <w:t>3</w:t>
      </w:r>
      <w:r>
        <w:rPr>
          <w:rFonts w:ascii="Calibri" w:hAnsi="Calibri"/>
          <w:sz w:val="22"/>
        </w:rPr>
        <w:t xml:space="preserve"> is the rate constant resulting from the phosphorylation of [</w:t>
      </w:r>
      <w:r>
        <w:rPr>
          <w:rFonts w:ascii="Calibri" w:hAnsi="Calibri"/>
          <w:sz w:val="22"/>
          <w:vertAlign w:val="superscript"/>
        </w:rPr>
        <w:t>18</w:t>
      </w:r>
      <w:r>
        <w:rPr>
          <w:rFonts w:ascii="Calibri" w:hAnsi="Calibri"/>
          <w:sz w:val="22"/>
        </w:rPr>
        <w:t xml:space="preserve">F]F-AraG either by dGk (in the mitochondria) or dCk (in the cytoplasm). </w:t>
      </w:r>
    </w:p>
    <w:p w14:paraId="553415F5" w14:textId="77777777" w:rsidR="002112A8" w:rsidRDefault="008063FC">
      <w:pPr>
        <w:pStyle w:val="NormalWeb"/>
        <w:numPr>
          <w:ilvl w:val="0"/>
          <w:numId w:val="10"/>
        </w:numPr>
        <w:shd w:val="clear" w:color="auto" w:fill="FFFFFF"/>
        <w:spacing w:before="166" w:after="166"/>
        <w:jc w:val="both"/>
        <w:rPr>
          <w:rFonts w:ascii="Calibri" w:hAnsi="Calibri"/>
          <w:sz w:val="22"/>
        </w:rPr>
      </w:pPr>
      <w:r>
        <w:rPr>
          <w:rFonts w:ascii="Calibri" w:hAnsi="Calibri"/>
          <w:sz w:val="22"/>
        </w:rPr>
        <w:t>k</w:t>
      </w:r>
      <w:r>
        <w:rPr>
          <w:rFonts w:ascii="Calibri" w:hAnsi="Calibri"/>
          <w:sz w:val="22"/>
          <w:vertAlign w:val="subscript"/>
        </w:rPr>
        <w:t>4</w:t>
      </w:r>
      <w:r>
        <w:rPr>
          <w:rFonts w:ascii="Calibri" w:hAnsi="Calibri"/>
          <w:sz w:val="22"/>
        </w:rPr>
        <w:t xml:space="preserve"> represent the dephosphorylation of [</w:t>
      </w:r>
      <w:r>
        <w:rPr>
          <w:rFonts w:ascii="Calibri" w:hAnsi="Calibri"/>
          <w:sz w:val="22"/>
          <w:vertAlign w:val="superscript"/>
        </w:rPr>
        <w:t>18</w:t>
      </w:r>
      <w:r>
        <w:rPr>
          <w:rFonts w:ascii="Calibri" w:hAnsi="Calibri"/>
          <w:sz w:val="22"/>
        </w:rPr>
        <w:t xml:space="preserve">F]F-AraGTP by SAMHD1. </w:t>
      </w:r>
    </w:p>
    <w:p w14:paraId="4A3B3B49" w14:textId="77777777" w:rsidR="002112A8" w:rsidRDefault="008063FC">
      <w:pPr>
        <w:pStyle w:val="NormalWeb"/>
        <w:shd w:val="clear" w:color="auto" w:fill="FFFFFF"/>
        <w:spacing w:before="166" w:after="166"/>
        <w:jc w:val="both"/>
        <w:rPr>
          <w:rFonts w:ascii="Calibri" w:hAnsi="Calibri"/>
          <w:sz w:val="22"/>
        </w:rPr>
      </w:pPr>
      <w:r>
        <w:rPr>
          <w:rFonts w:ascii="Calibri" w:hAnsi="Calibri"/>
          <w:sz w:val="22"/>
        </w:rPr>
        <w:t>The following macro parameters were calculated based on the estimated rate constants. The V</w:t>
      </w:r>
      <w:r>
        <w:rPr>
          <w:rFonts w:ascii="Calibri" w:hAnsi="Calibri"/>
          <w:sz w:val="22"/>
          <w:vertAlign w:val="subscript"/>
        </w:rPr>
        <w:t>T</w:t>
      </w:r>
      <w:r>
        <w:rPr>
          <w:rFonts w:ascii="Calibri" w:hAnsi="Calibri"/>
          <w:sz w:val="22"/>
        </w:rPr>
        <w:t xml:space="preserve"> for the regions that could be described with a reversible model and the K</w:t>
      </w:r>
      <w:r>
        <w:rPr>
          <w:rFonts w:ascii="Calibri" w:hAnsi="Calibri"/>
          <w:sz w:val="22"/>
          <w:vertAlign w:val="subscript"/>
        </w:rPr>
        <w:t>i</w:t>
      </w:r>
      <w:r>
        <w:rPr>
          <w:rFonts w:ascii="Calibri" w:hAnsi="Calibri"/>
          <w:sz w:val="22"/>
        </w:rPr>
        <w:t xml:space="preserve"> for the regions described with an irreversible model. </w:t>
      </w:r>
    </w:p>
    <w:p w14:paraId="5D5E2CD8" w14:textId="77777777" w:rsidR="002112A8" w:rsidRDefault="00E812B7">
      <w:pPr>
        <w:pStyle w:val="NormalWeb"/>
        <w:shd w:val="clear" w:color="auto" w:fill="FFFFFF"/>
        <w:spacing w:before="166" w:after="166"/>
        <w:jc w:val="both"/>
        <w:rPr>
          <w:rFonts w:ascii="Calibri" w:hAnsi="Calibri"/>
        </w:rPr>
      </w:pPr>
      <m:oMathPara>
        <m:oMath>
          <m:sSub>
            <m:sSubPr>
              <m:ctrlPr>
                <w:rPr>
                  <w:rFonts w:ascii="Cambria Math" w:hAnsi="Cambria Math"/>
                </w:rPr>
              </m:ctrlPr>
            </m:sSubPr>
            <m:e>
              <m:r>
                <w:rPr>
                  <w:rFonts w:ascii="Cambria Math" w:hAnsi="Cambria Math"/>
                  <w:lang w:val="en-GB"/>
                </w:rPr>
                <m:t>V</m:t>
              </m:r>
            </m:e>
            <m:sub>
              <m:r>
                <w:rPr>
                  <w:rFonts w:ascii="Cambria Math" w:hAnsi="Cambria Math"/>
                </w:rPr>
                <m:t>T</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2</m:t>
                  </m:r>
                </m:sub>
              </m:sSub>
            </m:den>
          </m:f>
          <m:d>
            <m:dPr>
              <m:ctrlPr>
                <w:rPr>
                  <w:rFonts w:ascii="Cambria Math" w:hAnsi="Cambria Math"/>
                </w:rPr>
              </m:ctrlPr>
            </m:dPr>
            <m:e>
              <m: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3</m:t>
                      </m:r>
                    </m:sub>
                  </m:sSub>
                </m:num>
                <m:den>
                  <m:sSub>
                    <m:sSubPr>
                      <m:ctrlPr>
                        <w:rPr>
                          <w:rFonts w:ascii="Cambria Math" w:hAnsi="Cambria Math"/>
                        </w:rPr>
                      </m:ctrlPr>
                    </m:sSubPr>
                    <m:e>
                      <m:r>
                        <w:rPr>
                          <w:rFonts w:ascii="Cambria Math" w:hAnsi="Cambria Math"/>
                        </w:rPr>
                        <m:t>k</m:t>
                      </m:r>
                    </m:e>
                    <m:sub>
                      <m:r>
                        <w:rPr>
                          <w:rFonts w:ascii="Cambria Math" w:hAnsi="Cambria Math"/>
                        </w:rPr>
                        <m:t>4</m:t>
                      </m:r>
                    </m:sub>
                  </m:sSub>
                </m:den>
              </m:f>
              <m:r>
                <w:rPr>
                  <w:rFonts w:ascii="Cambria Math" w:hAnsi="Cambria Math"/>
                </w:rPr>
                <m:t xml:space="preserve"> </m:t>
              </m:r>
            </m:e>
          </m:d>
        </m:oMath>
      </m:oMathPara>
    </w:p>
    <w:p w14:paraId="2F428EC6" w14:textId="77777777" w:rsidR="002112A8" w:rsidRDefault="00E812B7">
      <w:pPr>
        <w:pStyle w:val="NormalWeb"/>
        <w:shd w:val="clear" w:color="auto" w:fill="FFFFFF"/>
        <w:spacing w:before="166" w:after="166"/>
        <w:jc w:val="both"/>
        <w:rPr>
          <w:rFonts w:ascii="Calibri" w:hAnsi="Calibri"/>
        </w:rPr>
      </w:pPr>
      <m:oMathPara>
        <m:oMath>
          <m:sSub>
            <m:sSubPr>
              <m:ctrlPr>
                <w:rPr>
                  <w:rFonts w:ascii="Cambria Math" w:hAnsi="Cambria Math"/>
                </w:rPr>
              </m:ctrlPr>
            </m:sSubPr>
            <m:e>
              <m:r>
                <w:rPr>
                  <w:rFonts w:ascii="Cambria Math" w:hAnsi="Cambria Math"/>
                  <w:lang w:val="en-GB"/>
                </w:rPr>
                <m:t xml:space="preserve"> </m:t>
              </m:r>
              <m:r>
                <w:rPr>
                  <w:rFonts w:ascii="Cambria Math" w:hAnsi="Cambria Math"/>
                </w:rPr>
                <m:t>K</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3</m:t>
                  </m:r>
                </m:sub>
              </m:sSub>
            </m:num>
            <m:den>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3</m:t>
                  </m:r>
                </m:sub>
              </m:sSub>
            </m:den>
          </m:f>
        </m:oMath>
      </m:oMathPara>
    </w:p>
    <w:p w14:paraId="70545690" w14:textId="77777777" w:rsidR="002112A8" w:rsidRDefault="002112A8">
      <w:pPr>
        <w:pStyle w:val="NormalWeb"/>
        <w:shd w:val="clear" w:color="auto" w:fill="FFFFFF"/>
        <w:spacing w:before="166" w:after="166"/>
        <w:jc w:val="both"/>
        <w:rPr>
          <w:rFonts w:ascii="Calibri" w:hAnsi="Calibri"/>
          <w:sz w:val="22"/>
        </w:rPr>
      </w:pPr>
    </w:p>
    <w:p w14:paraId="6E89C147" w14:textId="77777777" w:rsidR="002112A8" w:rsidRDefault="008063FC">
      <w:pPr>
        <w:pStyle w:val="NormalWeb"/>
        <w:shd w:val="clear" w:color="auto" w:fill="FFFFFF"/>
        <w:spacing w:before="166" w:after="166"/>
        <w:jc w:val="both"/>
        <w:rPr>
          <w:rFonts w:ascii="Calibri" w:hAnsi="Calibri"/>
          <w:sz w:val="22"/>
        </w:rPr>
      </w:pPr>
      <w:r>
        <w:rPr>
          <w:rFonts w:ascii="Calibri" w:hAnsi="Calibri"/>
          <w:sz w:val="22"/>
        </w:rPr>
        <w:t xml:space="preserve">The simplified uptake measure standardized uptake value (SUV) was calculated as </w:t>
      </w:r>
    </w:p>
    <w:p w14:paraId="35C8C172" w14:textId="77777777" w:rsidR="002112A8" w:rsidRDefault="008063FC">
      <w:pPr>
        <w:pStyle w:val="NormalWeb"/>
        <w:shd w:val="clear" w:color="auto" w:fill="FFFFFF"/>
        <w:spacing w:before="166" w:after="166"/>
        <w:jc w:val="center"/>
        <w:rPr>
          <w:rFonts w:ascii="Calibri" w:hAnsi="Calibri"/>
          <w:sz w:val="22"/>
        </w:rPr>
      </w:pPr>
      <m:oMathPara>
        <m:oMath>
          <m:r>
            <w:rPr>
              <w:rFonts w:ascii="Cambria Math" w:hAnsi="Cambria Math"/>
              <w:sz w:val="22"/>
            </w:rPr>
            <m:t>SUV=</m:t>
          </m:r>
          <m:f>
            <m:fPr>
              <m:ctrlPr>
                <w:rPr>
                  <w:rFonts w:ascii="Cambria Math" w:hAnsi="Cambria Math"/>
                </w:rPr>
              </m:ctrlPr>
            </m:fPr>
            <m:num>
              <m:r>
                <w:rPr>
                  <w:rFonts w:ascii="Cambria Math" w:hAnsi="Cambria Math"/>
                  <w:sz w:val="22"/>
                </w:rPr>
                <m:t>A</m:t>
              </m:r>
              <m:sSub>
                <m:sSubPr>
                  <m:ctrlPr>
                    <w:rPr>
                      <w:rFonts w:ascii="Cambria Math" w:hAnsi="Cambria Math"/>
                    </w:rPr>
                  </m:ctrlPr>
                </m:sSubPr>
                <m:e>
                  <m:r>
                    <w:rPr>
                      <w:rFonts w:ascii="Cambria Math" w:hAnsi="Cambria Math"/>
                      <w:sz w:val="22"/>
                    </w:rPr>
                    <m:t>C</m:t>
                  </m:r>
                </m:e>
                <m:sub>
                  <m:r>
                    <w:rPr>
                      <w:rFonts w:ascii="Cambria Math" w:hAnsi="Cambria Math"/>
                      <w:sz w:val="22"/>
                    </w:rPr>
                    <m:t>peak</m:t>
                  </m:r>
                </m:sub>
              </m:sSub>
            </m:num>
            <m:den>
              <m:r>
                <w:rPr>
                  <w:rFonts w:ascii="Cambria Math" w:hAnsi="Cambria Math"/>
                  <w:sz w:val="22"/>
                </w:rPr>
                <m:t>IA*BW</m:t>
              </m:r>
            </m:den>
          </m:f>
        </m:oMath>
      </m:oMathPara>
    </w:p>
    <w:p w14:paraId="4C89F31C" w14:textId="77777777" w:rsidR="002112A8" w:rsidRDefault="008063FC">
      <w:pPr>
        <w:pStyle w:val="NormalWeb"/>
        <w:shd w:val="clear" w:color="auto" w:fill="FFFFFF"/>
        <w:spacing w:before="166" w:after="166"/>
        <w:jc w:val="both"/>
        <w:rPr>
          <w:rFonts w:ascii="Calibri" w:hAnsi="Calibri"/>
        </w:rPr>
      </w:pPr>
      <w:r>
        <w:rPr>
          <w:rFonts w:ascii="Calibri" w:hAnsi="Calibri"/>
          <w:sz w:val="22"/>
        </w:rPr>
        <w:t>With IA representing the injected activity and BW denoting body weight, expressed either as lean body mass (SUV</w:t>
      </w:r>
      <w:r>
        <w:rPr>
          <w:rFonts w:ascii="Calibri" w:hAnsi="Calibri"/>
          <w:sz w:val="22"/>
          <w:vertAlign w:val="subscript"/>
        </w:rPr>
        <w:t>LBM</w:t>
      </w:r>
      <w:r>
        <w:rPr>
          <w:rFonts w:ascii="Calibri" w:hAnsi="Calibri"/>
          <w:sz w:val="22"/>
        </w:rPr>
        <w:t xml:space="preserve">) calculated using the Janmahasatian equation </w:t>
      </w:r>
      <w:r>
        <w:fldChar w:fldCharType="begin"/>
      </w:r>
      <w:r>
        <w:instrText xml:space="preserve"> ADDIN EN.CITE &lt;EndNote&gt;&lt;Cite&gt;&lt;Author&gt;Janmahasatian&lt;/Author&gt;&lt;Year&gt;2005&lt;/Year&gt;&lt;record&gt;&lt;ref-type name="Journal Article"&gt;17&lt;/ref-type&gt;&lt;pub-location&gt;School of Pharmacy, University of Queensland, Brisbane, Queensland, Australia.&lt;/pub-location&gt;&lt;pages&gt;1051-65&lt;/pages&gt;&lt;volume&gt;44&lt;/volume&gt;&lt;number&gt;10&lt;/number&gt;&lt;dates&gt;&lt;year&gt;2005&lt;/year&gt;&lt;/dates&gt;&lt;isbn&gt;0312-5963 (Print) 0312-5963 (Linking)&lt;/isbn&gt;&lt;electronic-resource-num&gt;10.2165/00003088-200544100-00004&lt;/electronic-resource-num&gt;&lt;contributors&gt;&lt;authors&gt;&lt;author&gt;Janmahasatian, S.&lt;/author&gt;&lt;author&gt;Duffull, S. B.&lt;/author&gt;&lt;author&gt;Ash, S.&lt;/author&gt;&lt;author&gt;Ward, L. C.&lt;/author&gt;&lt;author&gt;Byrne, N. M.&lt;/author&gt;&lt;author&gt;Green, B.&lt;/author&gt;&lt;/authors&gt;&lt;/contributors&gt;&lt;titles&gt;&lt;title&gt;Quantification of lean bodyweight&lt;/title&gt;&lt;secondary-title&gt;Clin Pharmacokinet&lt;/secondary-title&gt;&lt;/titles&gt;&lt;urls&gt;&lt;related-urls&gt;&lt;url&gt;https://www.ncbi.nlm.nih.gov/pubmed/16176118&lt;/url&gt;&lt;/related-urls&gt;&lt;/urls&gt;&lt;hash&gt;d9a06d08af2b83379260151ce60feb0f&lt;/hash&gt;&lt;/record&gt;&lt;/Cite&gt;&lt;/EndNote&gt;</w:instrText>
      </w:r>
      <w:r>
        <w:fldChar w:fldCharType="separate"/>
      </w:r>
      <w:r>
        <w:rPr>
          <w:rFonts w:ascii="Calibri" w:hAnsi="Calibri"/>
          <w:sz w:val="22"/>
        </w:rPr>
        <w:t>(6)</w:t>
      </w:r>
      <w:r>
        <w:fldChar w:fldCharType="end"/>
      </w:r>
      <w:r>
        <w:rPr>
          <w:rFonts w:ascii="Calibri" w:hAnsi="Calibri"/>
          <w:sz w:val="22"/>
        </w:rPr>
        <w:t>, the total body weight (SUV</w:t>
      </w:r>
      <w:r>
        <w:rPr>
          <w:rFonts w:ascii="Calibri" w:hAnsi="Calibri"/>
          <w:sz w:val="22"/>
          <w:vertAlign w:val="subscript"/>
        </w:rPr>
        <w:t>BW</w:t>
      </w:r>
      <w:r>
        <w:rPr>
          <w:rFonts w:ascii="Calibri" w:hAnsi="Calibri"/>
          <w:sz w:val="22"/>
        </w:rPr>
        <w:t>), or the body surface area (SUV</w:t>
      </w:r>
      <w:r>
        <w:rPr>
          <w:rFonts w:ascii="Calibri" w:hAnsi="Calibri"/>
          <w:sz w:val="22"/>
          <w:vertAlign w:val="subscript"/>
        </w:rPr>
        <w:t>BSA</w:t>
      </w:r>
      <w:r>
        <w:rPr>
          <w:rFonts w:ascii="Calibri" w:hAnsi="Calibri"/>
          <w:sz w:val="22"/>
        </w:rPr>
        <w:t xml:space="preserve">) derived from the </w:t>
      </w:r>
      <w:r>
        <w:rPr>
          <w:rFonts w:ascii="Calibri" w:hAnsi="Calibri"/>
          <w:color w:val="000000"/>
          <w:sz w:val="22"/>
        </w:rPr>
        <w:t xml:space="preserve">Du Bois </w:t>
      </w:r>
      <w:r>
        <w:rPr>
          <w:rFonts w:ascii="Calibri" w:hAnsi="Calibri"/>
          <w:sz w:val="22"/>
        </w:rPr>
        <w:t xml:space="preserve">formula </w:t>
      </w:r>
      <w:r>
        <w:fldChar w:fldCharType="begin"/>
      </w:r>
      <w:r>
        <w:instrText xml:space="preserve"> ADDIN EN.CITE &lt;EndNote&gt;&lt;Cite&gt;&lt;Author&gt;Burton&lt;/Author&gt;&lt;Year&gt;2008&lt;/Year&gt;&lt;record&gt;&lt;ref-type name="Journal Article"&gt;17&lt;/ref-type&gt;&lt;pub-location&gt;Institute of Biomedical and Life Sciences, University of Glasgow, UK. R.F.Burton@bio.gla.ac.uk&lt;/pub-location&gt;&lt;pages&gt;170-84&lt;/pages&gt;&lt;volume&gt;35&lt;/volume&gt;&lt;number&gt;2&lt;/number&gt;&lt;dates&gt;&lt;year&gt;2008&lt;/year&gt;&lt;pub-dates&gt;&lt;date&gt;Mar-Apr&lt;/date&gt;&lt;/pub-dates&gt;&lt;/dates&gt;&lt;isbn&gt;1464-5033 (Electronic) 0301-4460 (Linking)&lt;/isbn&gt;&lt;electronic-resource-num&gt;10.1080/03014460801908439&lt;/electronic-resource-num&gt;&lt;contributors&gt;&lt;authors&gt;&lt;author&gt;Burton, R. F.&lt;/author&gt;&lt;/authors&gt;&lt;/contributors&gt;&lt;titles&gt;&lt;title&gt;Estimating body surface area from mass and height: theory and the formula of Du Bois and Du Bois&lt;/title&gt;&lt;secondary-title&gt;Ann Hum Biol&lt;/secondary-title&gt;&lt;/titles&gt;&lt;urls&gt;&lt;related-urls&gt;&lt;url&gt;https://www.ncbi.nlm.nih.gov/pubmed/18428011&lt;/url&gt;&lt;/related-urls&gt;&lt;/urls&gt;&lt;hash&gt;104f710e6d773dccc052f22d7cc0429a&lt;/hash&gt;&lt;/record&gt;&lt;/Cite&gt;&lt;/EndNote&gt;</w:instrText>
      </w:r>
      <w:r>
        <w:fldChar w:fldCharType="separate"/>
      </w:r>
      <w:r>
        <w:rPr>
          <w:rFonts w:ascii="Calibri" w:hAnsi="Calibri"/>
          <w:sz w:val="22"/>
        </w:rPr>
        <w:t>(7)</w:t>
      </w:r>
      <w:r>
        <w:fldChar w:fldCharType="end"/>
      </w:r>
      <w:r>
        <w:rPr>
          <w:rFonts w:ascii="Calibri" w:hAnsi="Calibri"/>
          <w:sz w:val="22"/>
        </w:rPr>
        <w:t>. AC</w:t>
      </w:r>
      <w:r>
        <w:rPr>
          <w:rFonts w:ascii="Calibri" w:hAnsi="Calibri"/>
          <w:sz w:val="22"/>
          <w:vertAlign w:val="subscript"/>
        </w:rPr>
        <w:t>peak</w:t>
      </w:r>
      <w:r>
        <w:rPr>
          <w:rFonts w:ascii="Calibri" w:hAnsi="Calibri"/>
          <w:sz w:val="22"/>
        </w:rPr>
        <w:t xml:space="preserve"> is defined as the highest mean activity concentration per 1 mL within the entire VOI.  </w:t>
      </w:r>
    </w:p>
    <w:p w14:paraId="6340521C" w14:textId="77777777" w:rsidR="002112A8" w:rsidRDefault="002112A8">
      <w:pPr>
        <w:pStyle w:val="NormalWeb"/>
        <w:shd w:val="clear" w:color="auto" w:fill="FFFFFF"/>
        <w:spacing w:before="166" w:after="166"/>
        <w:jc w:val="both"/>
        <w:rPr>
          <w:rFonts w:ascii="Calibri" w:hAnsi="Calibri"/>
        </w:rPr>
      </w:pPr>
    </w:p>
    <w:p w14:paraId="359AED51" w14:textId="77777777" w:rsidR="002112A8" w:rsidRDefault="002112A8">
      <w:pPr>
        <w:pStyle w:val="NormalWeb"/>
        <w:shd w:val="clear" w:color="auto" w:fill="FFFFFF"/>
        <w:spacing w:before="166" w:after="166"/>
        <w:jc w:val="both"/>
        <w:rPr>
          <w:rFonts w:ascii="Calibri" w:hAnsi="Calibri"/>
        </w:rPr>
      </w:pPr>
    </w:p>
    <w:p w14:paraId="138EFA8B" w14:textId="77777777" w:rsidR="002112A8" w:rsidRDefault="002112A8">
      <w:pPr>
        <w:pStyle w:val="NormalWeb"/>
        <w:shd w:val="clear" w:color="auto" w:fill="FFFFFF"/>
        <w:spacing w:before="166" w:after="166"/>
        <w:jc w:val="both"/>
        <w:rPr>
          <w:rFonts w:ascii="Calibri" w:hAnsi="Calibri"/>
        </w:rPr>
      </w:pPr>
    </w:p>
    <w:p w14:paraId="6F2E7039" w14:textId="77777777" w:rsidR="002112A8" w:rsidRDefault="002112A8">
      <w:pPr>
        <w:pStyle w:val="NormalWeb"/>
        <w:shd w:val="clear" w:color="auto" w:fill="FFFFFF"/>
        <w:spacing w:before="166" w:after="166"/>
        <w:jc w:val="both"/>
        <w:rPr>
          <w:rFonts w:ascii="Calibri" w:hAnsi="Calibri"/>
        </w:rPr>
      </w:pPr>
    </w:p>
    <w:p w14:paraId="639430B8" w14:textId="77777777" w:rsidR="002112A8" w:rsidRDefault="002112A8">
      <w:pPr>
        <w:pStyle w:val="NormalWeb"/>
        <w:shd w:val="clear" w:color="auto" w:fill="FFFFFF"/>
        <w:spacing w:before="166" w:after="166"/>
        <w:jc w:val="both"/>
        <w:rPr>
          <w:rFonts w:ascii="Calibri" w:hAnsi="Calibri"/>
        </w:rPr>
      </w:pPr>
    </w:p>
    <w:p w14:paraId="471DDFFB" w14:textId="77777777" w:rsidR="002112A8" w:rsidRDefault="008063FC">
      <w:pPr>
        <w:pStyle w:val="NormalWeb"/>
        <w:shd w:val="clear" w:color="auto" w:fill="FFFFFF"/>
        <w:spacing w:before="166" w:after="166"/>
        <w:jc w:val="both"/>
        <w:rPr>
          <w:rFonts w:ascii="Calibri" w:hAnsi="Calibri"/>
          <w:b/>
        </w:rPr>
      </w:pPr>
      <w:r>
        <w:rPr>
          <w:rFonts w:ascii="Calibri" w:hAnsi="Calibri"/>
          <w:b/>
        </w:rPr>
        <w:lastRenderedPageBreak/>
        <w:t xml:space="preserve">Supplementary Figures </w:t>
      </w:r>
    </w:p>
    <w:p w14:paraId="6026718E" w14:textId="77777777" w:rsidR="002112A8" w:rsidRDefault="002112A8">
      <w:pPr>
        <w:jc w:val="both"/>
        <w:rPr>
          <w:rFonts w:ascii="Calibri" w:hAnsi="Calibri"/>
        </w:rPr>
      </w:pPr>
    </w:p>
    <w:p w14:paraId="3DDF3877" w14:textId="77777777" w:rsidR="002112A8" w:rsidRDefault="008063FC">
      <w:pPr>
        <w:jc w:val="both"/>
        <w:rPr>
          <w:rFonts w:ascii="Calibri" w:hAnsi="Calibri"/>
        </w:rPr>
      </w:pPr>
      <w:r>
        <w:rPr>
          <w:rFonts w:ascii="Calibri" w:hAnsi="Calibri"/>
          <w:noProof/>
        </w:rPr>
        <w:drawing>
          <wp:inline distT="0" distB="0" distL="0" distR="0" wp14:anchorId="54CDE156" wp14:editId="794A92A8">
            <wp:extent cx="6211570" cy="6274435"/>
            <wp:effectExtent l="0" t="0" r="0" b="0"/>
            <wp:docPr id="1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rcRect b="10900"/>
                    <a:stretch/>
                  </pic:blipFill>
                  <pic:spPr>
                    <a:xfrm>
                      <a:off x="0" y="0"/>
                      <a:ext cx="6211570" cy="6274435"/>
                    </a:xfrm>
                    <a:prstGeom prst="rect">
                      <a:avLst/>
                    </a:prstGeom>
                  </pic:spPr>
                </pic:pic>
              </a:graphicData>
            </a:graphic>
          </wp:inline>
        </w:drawing>
      </w:r>
    </w:p>
    <w:p w14:paraId="37860BF1" w14:textId="77777777" w:rsidR="002112A8" w:rsidRDefault="002112A8">
      <w:pPr>
        <w:jc w:val="both"/>
        <w:rPr>
          <w:rFonts w:ascii="Calibri" w:hAnsi="Calibri"/>
        </w:rPr>
      </w:pPr>
    </w:p>
    <w:p w14:paraId="2C84E6CE" w14:textId="01A555ED" w:rsidR="002112A8" w:rsidRDefault="008063FC">
      <w:pPr>
        <w:jc w:val="both"/>
        <w:rPr>
          <w:rFonts w:ascii="Calibri" w:hAnsi="Calibri"/>
        </w:rPr>
      </w:pPr>
      <w:r>
        <w:rPr>
          <w:rFonts w:ascii="Calibri" w:hAnsi="Calibri"/>
          <w:b/>
        </w:rPr>
        <w:t>Supplementary Figure 1 organ delineation method</w:t>
      </w:r>
      <w:r>
        <w:rPr>
          <w:rFonts w:ascii="Calibri" w:hAnsi="Calibri"/>
        </w:rPr>
        <w:t>; Per organ an example is visualized of the delineation on the axial slice of both the low dose CT-scan (left) and a static frame of the [</w:t>
      </w:r>
      <w:r>
        <w:rPr>
          <w:rFonts w:ascii="Calibri" w:hAnsi="Calibri"/>
          <w:vertAlign w:val="superscript"/>
        </w:rPr>
        <w:t>18</w:t>
      </w:r>
      <w:r>
        <w:rPr>
          <w:rFonts w:ascii="Calibri" w:hAnsi="Calibri"/>
        </w:rPr>
        <w:t>F]F-AraG PET (right). The VOI is indicated in red. The yellow spots represent the SUV</w:t>
      </w:r>
      <w:r>
        <w:rPr>
          <w:rFonts w:ascii="Calibri" w:hAnsi="Calibri"/>
          <w:vertAlign w:val="subscript"/>
        </w:rPr>
        <w:t>max</w:t>
      </w:r>
      <w:r>
        <w:rPr>
          <w:rFonts w:ascii="Calibri" w:hAnsi="Calibri"/>
        </w:rPr>
        <w:t>; the voxel with the highest uptake. Volumes ≤ 1mL were excluded from quantitative analysis. SUV: standardized uptake value.</w:t>
      </w:r>
    </w:p>
    <w:p w14:paraId="019746E7" w14:textId="77777777" w:rsidR="002112A8" w:rsidRDefault="008063FC">
      <w:pPr>
        <w:rPr>
          <w:rFonts w:ascii="Calibri" w:hAnsi="Calibri"/>
        </w:rPr>
      </w:pPr>
      <w:r>
        <w:rPr>
          <w:rFonts w:ascii="Calibri" w:hAnsi="Calibri"/>
        </w:rPr>
        <w:br w:type="page"/>
      </w:r>
    </w:p>
    <w:p w14:paraId="2387CC22" w14:textId="723D340E" w:rsidR="002112A8" w:rsidRDefault="006D6E09">
      <w:pPr>
        <w:jc w:val="both"/>
        <w:rPr>
          <w:rFonts w:ascii="Calibri" w:hAnsi="Calibri"/>
        </w:rPr>
      </w:pPr>
      <w:r>
        <w:rPr>
          <w:rFonts w:ascii="Calibri" w:hAnsi="Calibri"/>
          <w:noProof/>
        </w:rPr>
        <w:lastRenderedPageBreak/>
        <w:drawing>
          <wp:inline distT="0" distB="0" distL="0" distR="0" wp14:anchorId="55D39DCE" wp14:editId="4130B8AC">
            <wp:extent cx="6157088" cy="7839075"/>
            <wp:effectExtent l="0" t="0" r="0" b="0"/>
            <wp:docPr id="1205268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8122" cy="7865856"/>
                    </a:xfrm>
                    <a:prstGeom prst="rect">
                      <a:avLst/>
                    </a:prstGeom>
                    <a:noFill/>
                    <a:ln>
                      <a:noFill/>
                    </a:ln>
                  </pic:spPr>
                </pic:pic>
              </a:graphicData>
            </a:graphic>
          </wp:inline>
        </w:drawing>
      </w:r>
    </w:p>
    <w:p w14:paraId="73D4C116" w14:textId="49380E97" w:rsidR="002112A8" w:rsidRDefault="008063FC">
      <w:pPr>
        <w:jc w:val="both"/>
        <w:rPr>
          <w:rFonts w:ascii="Calibri" w:hAnsi="Calibri"/>
        </w:rPr>
      </w:pPr>
      <w:r>
        <w:rPr>
          <w:rFonts w:ascii="Calibri" w:hAnsi="Calibri"/>
          <w:b/>
        </w:rPr>
        <w:t>Supplementary Figure 2 [</w:t>
      </w:r>
      <w:r>
        <w:rPr>
          <w:rFonts w:ascii="Calibri" w:hAnsi="Calibri"/>
          <w:b/>
          <w:vertAlign w:val="superscript"/>
        </w:rPr>
        <w:t>18</w:t>
      </w:r>
      <w:r>
        <w:rPr>
          <w:rFonts w:ascii="Calibri" w:hAnsi="Calibri"/>
          <w:b/>
        </w:rPr>
        <w:t>F]F-AraG in blood;</w:t>
      </w:r>
      <w:r>
        <w:rPr>
          <w:rFonts w:ascii="Calibri" w:hAnsi="Calibri"/>
        </w:rPr>
        <w:t xml:space="preserve"> Pharmacokinetics of [</w:t>
      </w:r>
      <w:r>
        <w:rPr>
          <w:rFonts w:ascii="Calibri" w:hAnsi="Calibri"/>
          <w:vertAlign w:val="superscript"/>
        </w:rPr>
        <w:t>18</w:t>
      </w:r>
      <w:r>
        <w:rPr>
          <w:rFonts w:ascii="Calibri" w:hAnsi="Calibri"/>
        </w:rPr>
        <w:t xml:space="preserve">F]F-AraG in plasma and blood studied per </w:t>
      </w:r>
      <w:r w:rsidR="006A7DB7">
        <w:rPr>
          <w:rFonts w:ascii="Calibri" w:hAnsi="Calibri"/>
        </w:rPr>
        <w:t>patient</w:t>
      </w:r>
      <w:r>
        <w:rPr>
          <w:rFonts w:ascii="Calibri" w:hAnsi="Calibri"/>
        </w:rPr>
        <w:t xml:space="preserve"> (A-D) and per time point (E-H). For each color </w:t>
      </w:r>
      <w:r w:rsidR="006A7DB7">
        <w:rPr>
          <w:rFonts w:ascii="Calibri" w:hAnsi="Calibri"/>
        </w:rPr>
        <w:t>patient</w:t>
      </w:r>
      <w:r>
        <w:rPr>
          <w:rFonts w:ascii="Calibri" w:hAnsi="Calibri"/>
        </w:rPr>
        <w:t xml:space="preserve"> (left column), three time points are visualized and for each color time point (right column) four </w:t>
      </w:r>
      <w:r w:rsidR="006A7DB7">
        <w:rPr>
          <w:rFonts w:ascii="Calibri" w:hAnsi="Calibri"/>
        </w:rPr>
        <w:t>patients</w:t>
      </w:r>
      <w:r>
        <w:rPr>
          <w:rFonts w:ascii="Calibri" w:hAnsi="Calibri"/>
        </w:rPr>
        <w:t xml:space="preserve"> are visualized. SUV</w:t>
      </w:r>
      <w:r>
        <w:rPr>
          <w:rFonts w:ascii="Calibri" w:hAnsi="Calibri"/>
          <w:vertAlign w:val="subscript"/>
        </w:rPr>
        <w:t>BW</w:t>
      </w:r>
      <w:r>
        <w:rPr>
          <w:rFonts w:ascii="Calibri" w:hAnsi="Calibri"/>
        </w:rPr>
        <w:t xml:space="preserve"> = standardized uptake value normalized for body weight, p.i. = post injection, min = minutes.</w:t>
      </w:r>
      <w:r>
        <w:rPr>
          <w:rFonts w:ascii="Calibri" w:hAnsi="Calibri"/>
          <w:b/>
        </w:rPr>
        <w:t xml:space="preserve"> </w:t>
      </w:r>
    </w:p>
    <w:p w14:paraId="44005F31" w14:textId="77CF1946" w:rsidR="002112A8" w:rsidRDefault="00B50FBD">
      <w:pPr>
        <w:jc w:val="both"/>
        <w:rPr>
          <w:rFonts w:ascii="Calibri" w:hAnsi="Calibri"/>
        </w:rPr>
      </w:pPr>
      <w:r>
        <w:rPr>
          <w:rFonts w:ascii="Calibri" w:hAnsi="Calibri"/>
          <w:b/>
          <w:noProof/>
        </w:rPr>
        <w:lastRenderedPageBreak/>
        <w:drawing>
          <wp:anchor distT="0" distB="0" distL="114300" distR="114300" simplePos="0" relativeHeight="251675649" behindDoc="1" locked="0" layoutInCell="1" allowOverlap="1" wp14:anchorId="5F0993C1" wp14:editId="717251FE">
            <wp:simplePos x="0" y="0"/>
            <wp:positionH relativeFrom="margin">
              <wp:align>left</wp:align>
            </wp:positionH>
            <wp:positionV relativeFrom="paragraph">
              <wp:posOffset>-4445</wp:posOffset>
            </wp:positionV>
            <wp:extent cx="5664200" cy="7931129"/>
            <wp:effectExtent l="0" t="0" r="0" b="0"/>
            <wp:wrapNone/>
            <wp:docPr id="1905096694" name="Picture 3"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96694" name="Picture 3" descr="A collage of graph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0296" cy="7939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0B623" w14:textId="00673F42" w:rsidR="002112A8" w:rsidRDefault="002112A8">
      <w:pPr>
        <w:jc w:val="both"/>
        <w:rPr>
          <w:rFonts w:ascii="Calibri" w:hAnsi="Calibri"/>
        </w:rPr>
      </w:pPr>
    </w:p>
    <w:p w14:paraId="7C6846A9" w14:textId="52CCC528" w:rsidR="002112A8" w:rsidRDefault="002112A8">
      <w:pPr>
        <w:jc w:val="both"/>
        <w:rPr>
          <w:rFonts w:ascii="Calibri" w:hAnsi="Calibri"/>
          <w:b/>
        </w:rPr>
      </w:pPr>
    </w:p>
    <w:p w14:paraId="476BBB74" w14:textId="77777777" w:rsidR="002112A8" w:rsidRDefault="002112A8">
      <w:pPr>
        <w:jc w:val="both"/>
        <w:rPr>
          <w:rFonts w:ascii="Calibri" w:hAnsi="Calibri"/>
          <w:b/>
        </w:rPr>
      </w:pPr>
    </w:p>
    <w:p w14:paraId="0B0326F0" w14:textId="77777777" w:rsidR="002112A8" w:rsidRDefault="002112A8">
      <w:pPr>
        <w:jc w:val="both"/>
        <w:rPr>
          <w:rFonts w:ascii="Calibri" w:hAnsi="Calibri"/>
          <w:b/>
        </w:rPr>
      </w:pPr>
    </w:p>
    <w:p w14:paraId="12F977D8" w14:textId="77777777" w:rsidR="002112A8" w:rsidRDefault="002112A8">
      <w:pPr>
        <w:jc w:val="both"/>
        <w:rPr>
          <w:rFonts w:ascii="Calibri" w:hAnsi="Calibri"/>
          <w:b/>
        </w:rPr>
      </w:pPr>
    </w:p>
    <w:p w14:paraId="077744DB" w14:textId="77777777" w:rsidR="002112A8" w:rsidRDefault="002112A8">
      <w:pPr>
        <w:jc w:val="both"/>
        <w:rPr>
          <w:rFonts w:ascii="Calibri" w:hAnsi="Calibri"/>
          <w:b/>
        </w:rPr>
      </w:pPr>
    </w:p>
    <w:p w14:paraId="05993F8F" w14:textId="77777777" w:rsidR="002112A8" w:rsidRDefault="002112A8">
      <w:pPr>
        <w:jc w:val="both"/>
        <w:rPr>
          <w:rFonts w:ascii="Calibri" w:hAnsi="Calibri"/>
          <w:b/>
        </w:rPr>
      </w:pPr>
    </w:p>
    <w:p w14:paraId="6327F4B0" w14:textId="77777777" w:rsidR="002112A8" w:rsidRDefault="002112A8">
      <w:pPr>
        <w:jc w:val="both"/>
        <w:rPr>
          <w:rFonts w:ascii="Calibri" w:hAnsi="Calibri"/>
          <w:b/>
        </w:rPr>
      </w:pPr>
    </w:p>
    <w:p w14:paraId="0EE2F66E" w14:textId="77777777" w:rsidR="002112A8" w:rsidRDefault="002112A8">
      <w:pPr>
        <w:jc w:val="both"/>
        <w:rPr>
          <w:rFonts w:ascii="Calibri" w:hAnsi="Calibri"/>
          <w:b/>
        </w:rPr>
      </w:pPr>
    </w:p>
    <w:p w14:paraId="3414A26B" w14:textId="77777777" w:rsidR="002112A8" w:rsidRDefault="002112A8">
      <w:pPr>
        <w:jc w:val="both"/>
        <w:rPr>
          <w:rFonts w:ascii="Calibri" w:hAnsi="Calibri"/>
          <w:b/>
        </w:rPr>
      </w:pPr>
    </w:p>
    <w:p w14:paraId="16A7AF27" w14:textId="77777777" w:rsidR="002112A8" w:rsidRDefault="002112A8">
      <w:pPr>
        <w:jc w:val="both"/>
        <w:rPr>
          <w:rFonts w:ascii="Calibri" w:hAnsi="Calibri"/>
          <w:b/>
        </w:rPr>
      </w:pPr>
    </w:p>
    <w:p w14:paraId="39F71B33" w14:textId="77777777" w:rsidR="002112A8" w:rsidRDefault="002112A8">
      <w:pPr>
        <w:jc w:val="both"/>
        <w:rPr>
          <w:rFonts w:ascii="Calibri" w:hAnsi="Calibri"/>
          <w:b/>
        </w:rPr>
      </w:pPr>
    </w:p>
    <w:p w14:paraId="57DB3790" w14:textId="77777777" w:rsidR="002112A8" w:rsidRDefault="002112A8">
      <w:pPr>
        <w:jc w:val="both"/>
        <w:rPr>
          <w:rFonts w:ascii="Calibri" w:hAnsi="Calibri"/>
          <w:b/>
        </w:rPr>
      </w:pPr>
    </w:p>
    <w:p w14:paraId="0FEF6675" w14:textId="77777777" w:rsidR="002112A8" w:rsidRDefault="002112A8">
      <w:pPr>
        <w:jc w:val="both"/>
        <w:rPr>
          <w:rFonts w:ascii="Calibri" w:hAnsi="Calibri"/>
          <w:b/>
        </w:rPr>
      </w:pPr>
    </w:p>
    <w:p w14:paraId="6E3A537E" w14:textId="77777777" w:rsidR="002112A8" w:rsidRDefault="002112A8">
      <w:pPr>
        <w:jc w:val="both"/>
        <w:rPr>
          <w:rFonts w:ascii="Calibri" w:hAnsi="Calibri"/>
          <w:b/>
        </w:rPr>
      </w:pPr>
    </w:p>
    <w:p w14:paraId="4EA2036E" w14:textId="77777777" w:rsidR="002112A8" w:rsidRDefault="002112A8">
      <w:pPr>
        <w:jc w:val="both"/>
        <w:rPr>
          <w:rFonts w:ascii="Calibri" w:hAnsi="Calibri"/>
          <w:b/>
        </w:rPr>
      </w:pPr>
    </w:p>
    <w:p w14:paraId="386A7A23" w14:textId="77777777" w:rsidR="002112A8" w:rsidRDefault="002112A8">
      <w:pPr>
        <w:jc w:val="both"/>
        <w:rPr>
          <w:rFonts w:ascii="Calibri" w:hAnsi="Calibri"/>
          <w:b/>
        </w:rPr>
      </w:pPr>
    </w:p>
    <w:p w14:paraId="67DC6F1F" w14:textId="77777777" w:rsidR="002112A8" w:rsidRDefault="002112A8">
      <w:pPr>
        <w:jc w:val="both"/>
        <w:rPr>
          <w:rFonts w:ascii="Calibri" w:hAnsi="Calibri"/>
          <w:b/>
        </w:rPr>
      </w:pPr>
    </w:p>
    <w:p w14:paraId="0E9FF35F" w14:textId="77777777" w:rsidR="002112A8" w:rsidRDefault="002112A8">
      <w:pPr>
        <w:jc w:val="both"/>
        <w:rPr>
          <w:rFonts w:ascii="Calibri" w:hAnsi="Calibri"/>
          <w:b/>
        </w:rPr>
      </w:pPr>
    </w:p>
    <w:p w14:paraId="294847B3" w14:textId="77777777" w:rsidR="002112A8" w:rsidRDefault="002112A8">
      <w:pPr>
        <w:jc w:val="both"/>
        <w:rPr>
          <w:rFonts w:ascii="Calibri" w:hAnsi="Calibri"/>
          <w:b/>
        </w:rPr>
      </w:pPr>
    </w:p>
    <w:p w14:paraId="54F35CBE" w14:textId="77777777" w:rsidR="002112A8" w:rsidRDefault="002112A8">
      <w:pPr>
        <w:jc w:val="both"/>
        <w:rPr>
          <w:rFonts w:ascii="Calibri" w:hAnsi="Calibri"/>
          <w:b/>
        </w:rPr>
      </w:pPr>
    </w:p>
    <w:p w14:paraId="1739C024" w14:textId="77777777" w:rsidR="002112A8" w:rsidRDefault="002112A8">
      <w:pPr>
        <w:jc w:val="both"/>
        <w:rPr>
          <w:rFonts w:ascii="Calibri" w:hAnsi="Calibri"/>
          <w:b/>
        </w:rPr>
      </w:pPr>
    </w:p>
    <w:p w14:paraId="6BFC6502" w14:textId="77777777" w:rsidR="002112A8" w:rsidRDefault="002112A8">
      <w:pPr>
        <w:jc w:val="both"/>
        <w:rPr>
          <w:rFonts w:ascii="Calibri" w:hAnsi="Calibri"/>
          <w:b/>
        </w:rPr>
      </w:pPr>
    </w:p>
    <w:p w14:paraId="02477C48" w14:textId="77777777" w:rsidR="00B50FBD" w:rsidRDefault="00B50FBD">
      <w:pPr>
        <w:jc w:val="both"/>
        <w:rPr>
          <w:rFonts w:ascii="Calibri" w:hAnsi="Calibri"/>
          <w:b/>
        </w:rPr>
      </w:pPr>
    </w:p>
    <w:p w14:paraId="3DD9720E" w14:textId="77777777" w:rsidR="00B50FBD" w:rsidRDefault="00B50FBD">
      <w:pPr>
        <w:jc w:val="both"/>
        <w:rPr>
          <w:rFonts w:ascii="Calibri" w:hAnsi="Calibri"/>
          <w:b/>
        </w:rPr>
      </w:pPr>
    </w:p>
    <w:p w14:paraId="4CBBFE74" w14:textId="77777777" w:rsidR="002112A8" w:rsidRDefault="002112A8">
      <w:pPr>
        <w:jc w:val="both"/>
        <w:rPr>
          <w:rFonts w:ascii="Calibri" w:hAnsi="Calibri"/>
          <w:b/>
        </w:rPr>
      </w:pPr>
    </w:p>
    <w:p w14:paraId="54272DBB" w14:textId="77777777" w:rsidR="00017F01" w:rsidRDefault="00017F01">
      <w:pPr>
        <w:jc w:val="both"/>
        <w:rPr>
          <w:rFonts w:ascii="Calibri" w:hAnsi="Calibri"/>
          <w:b/>
        </w:rPr>
      </w:pPr>
    </w:p>
    <w:p w14:paraId="11C57CAA" w14:textId="2BEE9F1E" w:rsidR="002112A8" w:rsidRDefault="008063FC">
      <w:pPr>
        <w:jc w:val="both"/>
        <w:rPr>
          <w:rFonts w:ascii="Calibri" w:hAnsi="Calibri"/>
          <w:b/>
        </w:rPr>
        <w:sectPr w:rsidR="002112A8">
          <w:footerReference w:type="default" r:id="rId14"/>
          <w:pgSz w:w="11906" w:h="16838"/>
          <w:pgMar w:top="1417" w:right="1417" w:bottom="1417" w:left="1417" w:header="708" w:footer="708" w:gutter="0"/>
          <w:cols w:space="708"/>
          <w:docGrid w:linePitch="360"/>
        </w:sectPr>
      </w:pPr>
      <w:r>
        <w:rPr>
          <w:rFonts w:ascii="Calibri" w:hAnsi="Calibri"/>
          <w:b/>
        </w:rPr>
        <w:t xml:space="preserve">Supplementary Figure 3 Organ TACs; </w:t>
      </w:r>
      <w:r>
        <w:rPr>
          <w:rFonts w:ascii="Calibri" w:hAnsi="Calibri"/>
        </w:rPr>
        <w:t xml:space="preserve">Organ uptake over time for the three time points. No uptake data in the spleen was available for </w:t>
      </w:r>
      <w:r w:rsidR="006A7DB7">
        <w:rPr>
          <w:rFonts w:ascii="Calibri" w:hAnsi="Calibri"/>
        </w:rPr>
        <w:t>patient</w:t>
      </w:r>
      <w:r>
        <w:rPr>
          <w:rFonts w:ascii="Calibri" w:hAnsi="Calibri"/>
        </w:rPr>
        <w:t xml:space="preserve"> B, due to a splenectomy in the medical history. For clarity, only one lymph node per </w:t>
      </w:r>
      <w:r w:rsidR="006A7DB7">
        <w:rPr>
          <w:rFonts w:ascii="Calibri" w:hAnsi="Calibri"/>
        </w:rPr>
        <w:t>patient</w:t>
      </w:r>
      <w:r>
        <w:rPr>
          <w:rFonts w:ascii="Calibri" w:hAnsi="Calibri"/>
        </w:rPr>
        <w:t xml:space="preserve"> was visualized. SUV</w:t>
      </w:r>
      <w:r>
        <w:rPr>
          <w:rFonts w:ascii="Calibri" w:hAnsi="Calibri"/>
          <w:vertAlign w:val="subscript"/>
        </w:rPr>
        <w:t>LBM</w:t>
      </w:r>
      <w:r>
        <w:rPr>
          <w:rFonts w:ascii="Calibri" w:hAnsi="Calibri"/>
        </w:rPr>
        <w:t>: standardized uptake value normalized for lean body mass.</w:t>
      </w:r>
    </w:p>
    <w:tbl>
      <w:tblPr>
        <w:tblStyle w:val="Table"/>
        <w:tblpPr w:leftFromText="180" w:rightFromText="180" w:vertAnchor="page" w:horzAnchor="margin" w:tblpXSpec="center" w:tblpY="1726"/>
        <w:tblW w:w="16146"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1041"/>
        <w:gridCol w:w="759"/>
        <w:gridCol w:w="606"/>
        <w:gridCol w:w="1060"/>
        <w:gridCol w:w="606"/>
        <w:gridCol w:w="1060"/>
        <w:gridCol w:w="606"/>
        <w:gridCol w:w="1060"/>
        <w:gridCol w:w="606"/>
        <w:gridCol w:w="1060"/>
        <w:gridCol w:w="606"/>
        <w:gridCol w:w="1060"/>
        <w:gridCol w:w="624"/>
        <w:gridCol w:w="1198"/>
        <w:gridCol w:w="595"/>
        <w:gridCol w:w="9"/>
        <w:gridCol w:w="781"/>
        <w:gridCol w:w="1218"/>
        <w:gridCol w:w="1591"/>
      </w:tblGrid>
      <w:tr w:rsidR="002112A8" w14:paraId="1DC51E25" w14:textId="77777777" w:rsidTr="008063FC">
        <w:trPr>
          <w:trHeight w:val="366"/>
        </w:trPr>
        <w:tc>
          <w:tcPr>
            <w:tcW w:w="1041"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04C50C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lastRenderedPageBreak/>
              <w:t> </w:t>
            </w:r>
          </w:p>
        </w:tc>
        <w:tc>
          <w:tcPr>
            <w:tcW w:w="759" w:type="dxa"/>
            <w:tcBorders>
              <w:top w:val="single" w:sz="4" w:space="0" w:color="000000"/>
              <w:left w:val="nil"/>
              <w:bottom w:val="single" w:sz="4" w:space="0" w:color="000000"/>
              <w:right w:val="single" w:sz="4" w:space="0" w:color="000000"/>
            </w:tcBorders>
            <w:shd w:val="clear" w:color="auto" w:fill="FFFFFF"/>
            <w:vAlign w:val="bottom"/>
          </w:tcPr>
          <w:p w14:paraId="6AC31BD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666" w:type="dxa"/>
            <w:gridSpan w:val="2"/>
            <w:tcBorders>
              <w:top w:val="single" w:sz="4" w:space="0" w:color="000000"/>
              <w:left w:val="nil"/>
              <w:bottom w:val="single" w:sz="4" w:space="0" w:color="000000"/>
              <w:right w:val="single" w:sz="4" w:space="0" w:color="000000"/>
            </w:tcBorders>
            <w:shd w:val="clear" w:color="auto" w:fill="FFFFFF"/>
            <w:vAlign w:val="center"/>
          </w:tcPr>
          <w:p w14:paraId="5A10AA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Vb</w:t>
            </w:r>
          </w:p>
        </w:tc>
        <w:tc>
          <w:tcPr>
            <w:tcW w:w="1666" w:type="dxa"/>
            <w:gridSpan w:val="2"/>
            <w:tcBorders>
              <w:top w:val="single" w:sz="4" w:space="0" w:color="000000"/>
              <w:left w:val="nil"/>
              <w:bottom w:val="single" w:sz="4" w:space="0" w:color="000000"/>
              <w:right w:val="single" w:sz="4" w:space="0" w:color="000000"/>
            </w:tcBorders>
            <w:shd w:val="clear" w:color="auto" w:fill="FFFFFF"/>
            <w:vAlign w:val="center"/>
          </w:tcPr>
          <w:p w14:paraId="4C6F997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K1</w:t>
            </w:r>
          </w:p>
        </w:tc>
        <w:tc>
          <w:tcPr>
            <w:tcW w:w="1666" w:type="dxa"/>
            <w:gridSpan w:val="2"/>
            <w:tcBorders>
              <w:top w:val="single" w:sz="4" w:space="0" w:color="000000"/>
              <w:left w:val="nil"/>
              <w:bottom w:val="single" w:sz="4" w:space="0" w:color="000000"/>
              <w:right w:val="single" w:sz="4" w:space="0" w:color="000000"/>
            </w:tcBorders>
            <w:shd w:val="clear" w:color="auto" w:fill="FFFFFF"/>
            <w:vAlign w:val="center"/>
          </w:tcPr>
          <w:p w14:paraId="705E568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k2</w:t>
            </w:r>
          </w:p>
        </w:tc>
        <w:tc>
          <w:tcPr>
            <w:tcW w:w="1666" w:type="dxa"/>
            <w:gridSpan w:val="2"/>
            <w:tcBorders>
              <w:top w:val="single" w:sz="4" w:space="0" w:color="000000"/>
              <w:left w:val="nil"/>
              <w:bottom w:val="single" w:sz="4" w:space="0" w:color="000000"/>
              <w:right w:val="single" w:sz="4" w:space="0" w:color="000000"/>
            </w:tcBorders>
            <w:shd w:val="clear" w:color="auto" w:fill="FFFFFF"/>
            <w:vAlign w:val="center"/>
          </w:tcPr>
          <w:p w14:paraId="6E2B122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k3</w:t>
            </w:r>
          </w:p>
        </w:tc>
        <w:tc>
          <w:tcPr>
            <w:tcW w:w="1666" w:type="dxa"/>
            <w:gridSpan w:val="2"/>
            <w:tcBorders>
              <w:top w:val="single" w:sz="4" w:space="0" w:color="000000"/>
              <w:left w:val="nil"/>
              <w:bottom w:val="single" w:sz="4" w:space="0" w:color="000000"/>
              <w:right w:val="single" w:sz="4" w:space="0" w:color="000000"/>
            </w:tcBorders>
            <w:shd w:val="clear" w:color="auto" w:fill="FFFFFF"/>
            <w:vAlign w:val="center"/>
          </w:tcPr>
          <w:p w14:paraId="05650F9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k4</w:t>
            </w:r>
          </w:p>
        </w:tc>
        <w:tc>
          <w:tcPr>
            <w:tcW w:w="2426" w:type="dxa"/>
            <w:gridSpan w:val="4"/>
            <w:tcBorders>
              <w:top w:val="single" w:sz="4" w:space="0" w:color="000000"/>
              <w:left w:val="nil"/>
              <w:bottom w:val="single" w:sz="4" w:space="0" w:color="000000"/>
              <w:right w:val="single" w:sz="4" w:space="0" w:color="000000"/>
            </w:tcBorders>
            <w:shd w:val="clear" w:color="auto" w:fill="FFFFFF"/>
            <w:vAlign w:val="center"/>
          </w:tcPr>
          <w:p w14:paraId="11147D4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w:t>
            </w:r>
            <w:r>
              <w:rPr>
                <w:rFonts w:ascii="Calibri" w:hAnsi="Calibri"/>
                <w:color w:val="000000"/>
                <w:sz w:val="20"/>
                <w:vertAlign w:val="subscript"/>
              </w:rPr>
              <w:t>i</w:t>
            </w:r>
          </w:p>
        </w:tc>
        <w:tc>
          <w:tcPr>
            <w:tcW w:w="3590" w:type="dxa"/>
            <w:gridSpan w:val="3"/>
            <w:tcBorders>
              <w:top w:val="single" w:sz="4" w:space="0" w:color="000000"/>
              <w:left w:val="nil"/>
              <w:bottom w:val="single" w:sz="4" w:space="0" w:color="000000"/>
              <w:right w:val="single" w:sz="4" w:space="0" w:color="000000"/>
            </w:tcBorders>
            <w:shd w:val="clear" w:color="auto" w:fill="FFFFFF"/>
            <w:vAlign w:val="center"/>
          </w:tcPr>
          <w:p w14:paraId="5A161F8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V</w:t>
            </w:r>
            <w:r>
              <w:rPr>
                <w:rFonts w:ascii="Calibri" w:hAnsi="Calibri"/>
                <w:color w:val="000000"/>
                <w:sz w:val="20"/>
                <w:vertAlign w:val="subscript"/>
              </w:rPr>
              <w:t>T</w:t>
            </w:r>
          </w:p>
        </w:tc>
      </w:tr>
      <w:tr w:rsidR="002112A8" w14:paraId="0835D2CE"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center"/>
          </w:tcPr>
          <w:p w14:paraId="2E22349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Organ</w:t>
            </w:r>
          </w:p>
        </w:tc>
        <w:tc>
          <w:tcPr>
            <w:tcW w:w="759" w:type="dxa"/>
            <w:tcBorders>
              <w:top w:val="nil"/>
              <w:left w:val="nil"/>
              <w:bottom w:val="single" w:sz="4" w:space="0" w:color="000000"/>
              <w:right w:val="single" w:sz="4" w:space="0" w:color="000000"/>
            </w:tcBorders>
            <w:shd w:val="clear" w:color="auto" w:fill="FFFFFF"/>
            <w:vAlign w:val="center"/>
          </w:tcPr>
          <w:p w14:paraId="7147E20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Model</w:t>
            </w:r>
          </w:p>
        </w:tc>
        <w:tc>
          <w:tcPr>
            <w:tcW w:w="606" w:type="dxa"/>
            <w:tcBorders>
              <w:top w:val="nil"/>
              <w:left w:val="nil"/>
              <w:bottom w:val="single" w:sz="4" w:space="0" w:color="000000"/>
              <w:right w:val="single" w:sz="4" w:space="0" w:color="000000"/>
            </w:tcBorders>
            <w:shd w:val="clear" w:color="auto" w:fill="FFFFFF"/>
            <w:vAlign w:val="center"/>
          </w:tcPr>
          <w:p w14:paraId="6DB67B8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060" w:type="dxa"/>
            <w:tcBorders>
              <w:top w:val="nil"/>
              <w:left w:val="nil"/>
              <w:bottom w:val="single" w:sz="4" w:space="0" w:color="000000"/>
              <w:right w:val="single" w:sz="4" w:space="0" w:color="000000"/>
            </w:tcBorders>
            <w:shd w:val="clear" w:color="auto" w:fill="FFFFFF"/>
            <w:vAlign w:val="center"/>
          </w:tcPr>
          <w:p w14:paraId="0CAE06B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606" w:type="dxa"/>
            <w:tcBorders>
              <w:top w:val="nil"/>
              <w:left w:val="nil"/>
              <w:bottom w:val="single" w:sz="4" w:space="0" w:color="000000"/>
              <w:right w:val="single" w:sz="4" w:space="0" w:color="000000"/>
            </w:tcBorders>
            <w:shd w:val="clear" w:color="auto" w:fill="FFFFFF"/>
            <w:vAlign w:val="center"/>
          </w:tcPr>
          <w:p w14:paraId="0B44937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060" w:type="dxa"/>
            <w:tcBorders>
              <w:top w:val="nil"/>
              <w:left w:val="nil"/>
              <w:bottom w:val="single" w:sz="4" w:space="0" w:color="000000"/>
              <w:right w:val="single" w:sz="4" w:space="0" w:color="000000"/>
            </w:tcBorders>
            <w:shd w:val="clear" w:color="auto" w:fill="FFFFFF"/>
            <w:vAlign w:val="center"/>
          </w:tcPr>
          <w:p w14:paraId="60DB09A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606" w:type="dxa"/>
            <w:tcBorders>
              <w:top w:val="nil"/>
              <w:left w:val="nil"/>
              <w:bottom w:val="single" w:sz="4" w:space="0" w:color="000000"/>
              <w:right w:val="single" w:sz="4" w:space="0" w:color="000000"/>
            </w:tcBorders>
            <w:shd w:val="clear" w:color="auto" w:fill="FFFFFF"/>
            <w:vAlign w:val="center"/>
          </w:tcPr>
          <w:p w14:paraId="4E0E7DC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060" w:type="dxa"/>
            <w:tcBorders>
              <w:top w:val="nil"/>
              <w:left w:val="nil"/>
              <w:bottom w:val="single" w:sz="4" w:space="0" w:color="000000"/>
              <w:right w:val="single" w:sz="4" w:space="0" w:color="000000"/>
            </w:tcBorders>
            <w:shd w:val="clear" w:color="auto" w:fill="FFFFFF"/>
            <w:vAlign w:val="center"/>
          </w:tcPr>
          <w:p w14:paraId="1CFBE58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606" w:type="dxa"/>
            <w:tcBorders>
              <w:top w:val="nil"/>
              <w:left w:val="nil"/>
              <w:bottom w:val="single" w:sz="4" w:space="0" w:color="000000"/>
              <w:right w:val="single" w:sz="4" w:space="0" w:color="000000"/>
            </w:tcBorders>
            <w:shd w:val="clear" w:color="auto" w:fill="FFFFFF"/>
            <w:vAlign w:val="center"/>
          </w:tcPr>
          <w:p w14:paraId="06A23D2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060" w:type="dxa"/>
            <w:tcBorders>
              <w:top w:val="nil"/>
              <w:left w:val="nil"/>
              <w:bottom w:val="single" w:sz="4" w:space="0" w:color="000000"/>
              <w:right w:val="single" w:sz="4" w:space="0" w:color="000000"/>
            </w:tcBorders>
            <w:shd w:val="clear" w:color="auto" w:fill="FFFFFF"/>
            <w:vAlign w:val="center"/>
          </w:tcPr>
          <w:p w14:paraId="1910960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606" w:type="dxa"/>
            <w:tcBorders>
              <w:top w:val="nil"/>
              <w:left w:val="nil"/>
              <w:bottom w:val="single" w:sz="4" w:space="0" w:color="000000"/>
              <w:right w:val="single" w:sz="4" w:space="0" w:color="000000"/>
            </w:tcBorders>
            <w:shd w:val="clear" w:color="auto" w:fill="FFFFFF"/>
            <w:vAlign w:val="center"/>
          </w:tcPr>
          <w:p w14:paraId="2C57448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060" w:type="dxa"/>
            <w:tcBorders>
              <w:top w:val="nil"/>
              <w:left w:val="nil"/>
              <w:bottom w:val="single" w:sz="4" w:space="0" w:color="000000"/>
              <w:right w:val="single" w:sz="4" w:space="0" w:color="000000"/>
            </w:tcBorders>
            <w:shd w:val="clear" w:color="auto" w:fill="FFFFFF"/>
            <w:vAlign w:val="center"/>
          </w:tcPr>
          <w:p w14:paraId="2AEC062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624" w:type="dxa"/>
            <w:tcBorders>
              <w:top w:val="nil"/>
              <w:left w:val="nil"/>
              <w:bottom w:val="single" w:sz="4" w:space="0" w:color="000000"/>
              <w:right w:val="single" w:sz="4" w:space="0" w:color="000000"/>
            </w:tcBorders>
            <w:shd w:val="clear" w:color="auto" w:fill="FFFFFF"/>
            <w:vAlign w:val="center"/>
          </w:tcPr>
          <w:p w14:paraId="3BB487E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198" w:type="dxa"/>
            <w:tcBorders>
              <w:top w:val="nil"/>
              <w:left w:val="nil"/>
              <w:bottom w:val="single" w:sz="4" w:space="0" w:color="000000"/>
              <w:right w:val="single" w:sz="4" w:space="0" w:color="000000"/>
            </w:tcBorders>
            <w:shd w:val="clear" w:color="auto" w:fill="FFFFFF"/>
            <w:vAlign w:val="center"/>
          </w:tcPr>
          <w:p w14:paraId="17CE167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595" w:type="dxa"/>
            <w:tcBorders>
              <w:top w:val="nil"/>
              <w:left w:val="nil"/>
              <w:bottom w:val="single" w:sz="4" w:space="0" w:color="000000"/>
              <w:right w:val="single" w:sz="4" w:space="0" w:color="000000"/>
            </w:tcBorders>
            <w:shd w:val="clear" w:color="auto" w:fill="FFFFFF"/>
            <w:vAlign w:val="center"/>
          </w:tcPr>
          <w:p w14:paraId="5841790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CoV</w:t>
            </w:r>
          </w:p>
        </w:tc>
        <w:tc>
          <w:tcPr>
            <w:tcW w:w="790" w:type="dxa"/>
            <w:gridSpan w:val="2"/>
            <w:tcBorders>
              <w:top w:val="nil"/>
              <w:left w:val="nil"/>
              <w:bottom w:val="single" w:sz="4" w:space="0" w:color="000000"/>
              <w:right w:val="single" w:sz="4" w:space="0" w:color="000000"/>
            </w:tcBorders>
            <w:shd w:val="clear" w:color="auto" w:fill="FFFFFF"/>
            <w:vAlign w:val="center"/>
          </w:tcPr>
          <w:p w14:paraId="62CCBD2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Med</w:t>
            </w:r>
          </w:p>
        </w:tc>
        <w:tc>
          <w:tcPr>
            <w:tcW w:w="1218" w:type="dxa"/>
            <w:tcBorders>
              <w:top w:val="nil"/>
              <w:left w:val="nil"/>
              <w:bottom w:val="single" w:sz="4" w:space="0" w:color="000000"/>
              <w:right w:val="single" w:sz="4" w:space="0" w:color="000000"/>
            </w:tcBorders>
            <w:shd w:val="clear" w:color="auto" w:fill="FFFFFF"/>
            <w:vAlign w:val="center"/>
          </w:tcPr>
          <w:p w14:paraId="6382A46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IQR</w:t>
            </w:r>
          </w:p>
        </w:tc>
        <w:tc>
          <w:tcPr>
            <w:tcW w:w="1591" w:type="dxa"/>
            <w:tcBorders>
              <w:top w:val="nil"/>
              <w:left w:val="nil"/>
              <w:bottom w:val="single" w:sz="4" w:space="0" w:color="000000"/>
              <w:right w:val="single" w:sz="4" w:space="0" w:color="000000"/>
            </w:tcBorders>
            <w:shd w:val="clear" w:color="auto" w:fill="FFFFFF"/>
            <w:vAlign w:val="center"/>
          </w:tcPr>
          <w:p w14:paraId="25E974E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CoV</w:t>
            </w:r>
          </w:p>
        </w:tc>
      </w:tr>
      <w:tr w:rsidR="002112A8" w14:paraId="07F65A16"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3E4CE0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Adipose tissue</w:t>
            </w:r>
          </w:p>
        </w:tc>
        <w:tc>
          <w:tcPr>
            <w:tcW w:w="759" w:type="dxa"/>
            <w:tcBorders>
              <w:top w:val="nil"/>
              <w:left w:val="nil"/>
              <w:bottom w:val="single" w:sz="4" w:space="0" w:color="000000"/>
              <w:right w:val="single" w:sz="4" w:space="0" w:color="000000"/>
            </w:tcBorders>
            <w:shd w:val="clear" w:color="auto" w:fill="FFFFFF"/>
            <w:vAlign w:val="bottom"/>
          </w:tcPr>
          <w:p w14:paraId="4BBFB36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1453969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w:t>
            </w:r>
          </w:p>
        </w:tc>
        <w:tc>
          <w:tcPr>
            <w:tcW w:w="1060" w:type="dxa"/>
            <w:tcBorders>
              <w:top w:val="nil"/>
              <w:left w:val="nil"/>
              <w:bottom w:val="single" w:sz="4" w:space="0" w:color="000000"/>
              <w:right w:val="single" w:sz="4" w:space="0" w:color="000000"/>
            </w:tcBorders>
            <w:shd w:val="clear" w:color="auto" w:fill="FFFFFF"/>
            <w:vAlign w:val="bottom"/>
          </w:tcPr>
          <w:p w14:paraId="65C4326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0-0.01</w:t>
            </w:r>
          </w:p>
        </w:tc>
        <w:tc>
          <w:tcPr>
            <w:tcW w:w="606" w:type="dxa"/>
            <w:tcBorders>
              <w:top w:val="nil"/>
              <w:left w:val="nil"/>
              <w:bottom w:val="single" w:sz="4" w:space="0" w:color="000000"/>
              <w:right w:val="single" w:sz="4" w:space="0" w:color="000000"/>
            </w:tcBorders>
            <w:shd w:val="clear" w:color="auto" w:fill="FFFFFF"/>
            <w:vAlign w:val="bottom"/>
          </w:tcPr>
          <w:p w14:paraId="32CFAC8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641ABFE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0.01-0.01</w:t>
            </w:r>
          </w:p>
        </w:tc>
        <w:tc>
          <w:tcPr>
            <w:tcW w:w="606" w:type="dxa"/>
            <w:tcBorders>
              <w:top w:val="nil"/>
              <w:left w:val="nil"/>
              <w:bottom w:val="single" w:sz="4" w:space="0" w:color="000000"/>
              <w:right w:val="single" w:sz="4" w:space="0" w:color="000000"/>
            </w:tcBorders>
            <w:shd w:val="clear" w:color="auto" w:fill="FFFFFF"/>
            <w:vAlign w:val="bottom"/>
          </w:tcPr>
          <w:p w14:paraId="71422E8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0.14</w:t>
            </w:r>
          </w:p>
        </w:tc>
        <w:tc>
          <w:tcPr>
            <w:tcW w:w="1060" w:type="dxa"/>
            <w:tcBorders>
              <w:top w:val="nil"/>
              <w:left w:val="nil"/>
              <w:bottom w:val="single" w:sz="4" w:space="0" w:color="000000"/>
              <w:right w:val="single" w:sz="4" w:space="0" w:color="000000"/>
            </w:tcBorders>
            <w:shd w:val="clear" w:color="auto" w:fill="FFFFFF"/>
            <w:vAlign w:val="bottom"/>
          </w:tcPr>
          <w:p w14:paraId="1300EBA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0.09-0.34</w:t>
            </w:r>
          </w:p>
        </w:tc>
        <w:tc>
          <w:tcPr>
            <w:tcW w:w="606" w:type="dxa"/>
            <w:tcBorders>
              <w:top w:val="nil"/>
              <w:left w:val="nil"/>
              <w:bottom w:val="single" w:sz="4" w:space="0" w:color="000000"/>
              <w:right w:val="single" w:sz="4" w:space="0" w:color="000000"/>
            </w:tcBorders>
            <w:shd w:val="clear" w:color="auto" w:fill="FFFFFF"/>
            <w:vAlign w:val="bottom"/>
          </w:tcPr>
          <w:p w14:paraId="255D5F6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0.33</w:t>
            </w:r>
          </w:p>
        </w:tc>
        <w:tc>
          <w:tcPr>
            <w:tcW w:w="1060" w:type="dxa"/>
            <w:tcBorders>
              <w:top w:val="nil"/>
              <w:left w:val="nil"/>
              <w:bottom w:val="single" w:sz="4" w:space="0" w:color="000000"/>
              <w:right w:val="single" w:sz="4" w:space="0" w:color="000000"/>
            </w:tcBorders>
            <w:shd w:val="clear" w:color="auto" w:fill="FFFFFF"/>
            <w:vAlign w:val="bottom"/>
          </w:tcPr>
          <w:p w14:paraId="0A22B8C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0.21-0.38</w:t>
            </w:r>
          </w:p>
        </w:tc>
        <w:tc>
          <w:tcPr>
            <w:tcW w:w="606" w:type="dxa"/>
            <w:tcBorders>
              <w:top w:val="nil"/>
              <w:left w:val="nil"/>
              <w:bottom w:val="single" w:sz="4" w:space="0" w:color="000000"/>
              <w:right w:val="single" w:sz="4" w:space="0" w:color="000000"/>
            </w:tcBorders>
            <w:shd w:val="clear" w:color="auto" w:fill="FFFFFF"/>
            <w:vAlign w:val="bottom"/>
          </w:tcPr>
          <w:p w14:paraId="7118995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57C07F8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0EE8D92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198" w:type="dxa"/>
            <w:tcBorders>
              <w:top w:val="nil"/>
              <w:left w:val="nil"/>
              <w:bottom w:val="single" w:sz="4" w:space="0" w:color="000000"/>
              <w:right w:val="single" w:sz="4" w:space="0" w:color="000000"/>
            </w:tcBorders>
            <w:shd w:val="clear" w:color="auto" w:fill="FFFFFF"/>
            <w:vAlign w:val="bottom"/>
          </w:tcPr>
          <w:p w14:paraId="15E04E3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0-0.01</w:t>
            </w:r>
          </w:p>
        </w:tc>
        <w:tc>
          <w:tcPr>
            <w:tcW w:w="595" w:type="dxa"/>
            <w:tcBorders>
              <w:top w:val="nil"/>
              <w:left w:val="nil"/>
              <w:bottom w:val="single" w:sz="4" w:space="0" w:color="000000"/>
              <w:right w:val="single" w:sz="4" w:space="0" w:color="000000"/>
            </w:tcBorders>
            <w:shd w:val="clear" w:color="auto" w:fill="FFFFFF"/>
            <w:vAlign w:val="bottom"/>
          </w:tcPr>
          <w:p w14:paraId="5926718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0.49</w:t>
            </w:r>
          </w:p>
        </w:tc>
        <w:tc>
          <w:tcPr>
            <w:tcW w:w="790" w:type="dxa"/>
            <w:gridSpan w:val="2"/>
            <w:tcBorders>
              <w:top w:val="nil"/>
              <w:left w:val="nil"/>
              <w:bottom w:val="single" w:sz="4" w:space="0" w:color="000000"/>
              <w:right w:val="single" w:sz="4" w:space="0" w:color="000000"/>
            </w:tcBorders>
            <w:shd w:val="clear" w:color="auto" w:fill="FFFFFF"/>
            <w:vAlign w:val="bottom"/>
          </w:tcPr>
          <w:p w14:paraId="32DDE2B8"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7.46</w:t>
            </w:r>
          </w:p>
        </w:tc>
        <w:tc>
          <w:tcPr>
            <w:tcW w:w="1218" w:type="dxa"/>
            <w:tcBorders>
              <w:top w:val="nil"/>
              <w:left w:val="nil"/>
              <w:bottom w:val="single" w:sz="4" w:space="0" w:color="000000"/>
              <w:right w:val="single" w:sz="4" w:space="0" w:color="000000"/>
            </w:tcBorders>
            <w:shd w:val="clear" w:color="auto" w:fill="FFFFFF"/>
            <w:vAlign w:val="bottom"/>
          </w:tcPr>
          <w:p w14:paraId="054F79CD"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2.66-32.76</w:t>
            </w:r>
          </w:p>
        </w:tc>
        <w:tc>
          <w:tcPr>
            <w:tcW w:w="1591" w:type="dxa"/>
            <w:tcBorders>
              <w:top w:val="nil"/>
              <w:left w:val="nil"/>
              <w:bottom w:val="single" w:sz="4" w:space="0" w:color="000000"/>
              <w:right w:val="single" w:sz="4" w:space="0" w:color="000000"/>
            </w:tcBorders>
            <w:shd w:val="clear" w:color="auto" w:fill="FFFFFF"/>
            <w:vAlign w:val="bottom"/>
          </w:tcPr>
          <w:p w14:paraId="55004F7D"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1.31</w:t>
            </w:r>
          </w:p>
        </w:tc>
      </w:tr>
      <w:tr w:rsidR="002112A8" w14:paraId="72252C06"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0EAB22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Left adrenal gland</w:t>
            </w:r>
          </w:p>
        </w:tc>
        <w:tc>
          <w:tcPr>
            <w:tcW w:w="759" w:type="dxa"/>
            <w:tcBorders>
              <w:top w:val="nil"/>
              <w:left w:val="nil"/>
              <w:bottom w:val="single" w:sz="4" w:space="0" w:color="000000"/>
              <w:right w:val="single" w:sz="4" w:space="0" w:color="000000"/>
            </w:tcBorders>
            <w:shd w:val="clear" w:color="auto" w:fill="FFFFFF"/>
            <w:vAlign w:val="bottom"/>
          </w:tcPr>
          <w:p w14:paraId="16C0F91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0421351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0.11</w:t>
            </w:r>
          </w:p>
        </w:tc>
        <w:tc>
          <w:tcPr>
            <w:tcW w:w="1060" w:type="dxa"/>
            <w:tcBorders>
              <w:top w:val="nil"/>
              <w:left w:val="nil"/>
              <w:bottom w:val="single" w:sz="4" w:space="0" w:color="000000"/>
              <w:right w:val="single" w:sz="4" w:space="0" w:color="000000"/>
            </w:tcBorders>
            <w:shd w:val="clear" w:color="auto" w:fill="FFFFFF"/>
            <w:vAlign w:val="bottom"/>
          </w:tcPr>
          <w:p w14:paraId="08FF44C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0.11-0.11</w:t>
            </w:r>
          </w:p>
        </w:tc>
        <w:tc>
          <w:tcPr>
            <w:tcW w:w="606" w:type="dxa"/>
            <w:tcBorders>
              <w:top w:val="nil"/>
              <w:left w:val="nil"/>
              <w:bottom w:val="single" w:sz="4" w:space="0" w:color="000000"/>
              <w:right w:val="single" w:sz="4" w:space="0" w:color="000000"/>
            </w:tcBorders>
            <w:shd w:val="clear" w:color="auto" w:fill="FFFFFF"/>
            <w:vAlign w:val="bottom"/>
          </w:tcPr>
          <w:p w14:paraId="43FE0BF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0.34</w:t>
            </w:r>
          </w:p>
        </w:tc>
        <w:tc>
          <w:tcPr>
            <w:tcW w:w="1060" w:type="dxa"/>
            <w:tcBorders>
              <w:top w:val="nil"/>
              <w:left w:val="nil"/>
              <w:bottom w:val="single" w:sz="4" w:space="0" w:color="000000"/>
              <w:right w:val="single" w:sz="4" w:space="0" w:color="000000"/>
            </w:tcBorders>
            <w:shd w:val="clear" w:color="auto" w:fill="FFFFFF"/>
            <w:vAlign w:val="bottom"/>
          </w:tcPr>
          <w:p w14:paraId="041EBB4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0.29-0.35</w:t>
            </w:r>
          </w:p>
        </w:tc>
        <w:tc>
          <w:tcPr>
            <w:tcW w:w="606" w:type="dxa"/>
            <w:tcBorders>
              <w:top w:val="nil"/>
              <w:left w:val="nil"/>
              <w:bottom w:val="single" w:sz="4" w:space="0" w:color="000000"/>
              <w:right w:val="single" w:sz="4" w:space="0" w:color="000000"/>
            </w:tcBorders>
            <w:shd w:val="clear" w:color="auto" w:fill="FFFFFF"/>
            <w:vAlign w:val="bottom"/>
          </w:tcPr>
          <w:p w14:paraId="2A029E5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w:t>
            </w:r>
          </w:p>
        </w:tc>
        <w:tc>
          <w:tcPr>
            <w:tcW w:w="1060" w:type="dxa"/>
            <w:tcBorders>
              <w:top w:val="nil"/>
              <w:left w:val="nil"/>
              <w:bottom w:val="single" w:sz="4" w:space="0" w:color="000000"/>
              <w:right w:val="single" w:sz="4" w:space="0" w:color="000000"/>
            </w:tcBorders>
            <w:shd w:val="clear" w:color="auto" w:fill="FFFFFF"/>
            <w:vAlign w:val="bottom"/>
          </w:tcPr>
          <w:p w14:paraId="4181D88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0.01-0.02</w:t>
            </w:r>
          </w:p>
        </w:tc>
        <w:tc>
          <w:tcPr>
            <w:tcW w:w="606" w:type="dxa"/>
            <w:tcBorders>
              <w:top w:val="nil"/>
              <w:left w:val="nil"/>
              <w:bottom w:val="single" w:sz="4" w:space="0" w:color="000000"/>
              <w:right w:val="single" w:sz="4" w:space="0" w:color="000000"/>
            </w:tcBorders>
            <w:shd w:val="clear" w:color="auto" w:fill="FFFFFF"/>
            <w:vAlign w:val="bottom"/>
          </w:tcPr>
          <w:p w14:paraId="2D5DB51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w:t>
            </w:r>
          </w:p>
        </w:tc>
        <w:tc>
          <w:tcPr>
            <w:tcW w:w="1060" w:type="dxa"/>
            <w:tcBorders>
              <w:top w:val="nil"/>
              <w:left w:val="nil"/>
              <w:bottom w:val="single" w:sz="4" w:space="0" w:color="000000"/>
              <w:right w:val="single" w:sz="4" w:space="0" w:color="000000"/>
            </w:tcBorders>
            <w:shd w:val="clear" w:color="auto" w:fill="FFFFFF"/>
            <w:vAlign w:val="bottom"/>
          </w:tcPr>
          <w:p w14:paraId="7EF86C8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0.01-0.06</w:t>
            </w:r>
          </w:p>
        </w:tc>
        <w:tc>
          <w:tcPr>
            <w:tcW w:w="606" w:type="dxa"/>
            <w:tcBorders>
              <w:top w:val="nil"/>
              <w:left w:val="nil"/>
              <w:bottom w:val="single" w:sz="4" w:space="0" w:color="000000"/>
              <w:right w:val="single" w:sz="4" w:space="0" w:color="000000"/>
            </w:tcBorders>
            <w:shd w:val="clear" w:color="auto" w:fill="FFFFFF"/>
            <w:vAlign w:val="bottom"/>
          </w:tcPr>
          <w:p w14:paraId="1B691E1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2AB4FDB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7C759A9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w:t>
            </w:r>
          </w:p>
        </w:tc>
        <w:tc>
          <w:tcPr>
            <w:tcW w:w="1198" w:type="dxa"/>
            <w:tcBorders>
              <w:top w:val="nil"/>
              <w:left w:val="nil"/>
              <w:bottom w:val="single" w:sz="4" w:space="0" w:color="000000"/>
              <w:right w:val="single" w:sz="4" w:space="0" w:color="000000"/>
            </w:tcBorders>
            <w:shd w:val="clear" w:color="auto" w:fill="FFFFFF"/>
            <w:vAlign w:val="bottom"/>
          </w:tcPr>
          <w:p w14:paraId="46B84F2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0.17-0.18</w:t>
            </w:r>
          </w:p>
        </w:tc>
        <w:tc>
          <w:tcPr>
            <w:tcW w:w="595" w:type="dxa"/>
            <w:tcBorders>
              <w:top w:val="nil"/>
              <w:left w:val="nil"/>
              <w:bottom w:val="single" w:sz="4" w:space="0" w:color="000000"/>
              <w:right w:val="single" w:sz="4" w:space="0" w:color="000000"/>
            </w:tcBorders>
            <w:shd w:val="clear" w:color="auto" w:fill="FFFFFF"/>
            <w:vAlign w:val="bottom"/>
          </w:tcPr>
          <w:p w14:paraId="27C22D5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0.38</w:t>
            </w:r>
          </w:p>
        </w:tc>
        <w:tc>
          <w:tcPr>
            <w:tcW w:w="790" w:type="dxa"/>
            <w:gridSpan w:val="2"/>
            <w:tcBorders>
              <w:top w:val="nil"/>
              <w:left w:val="nil"/>
              <w:bottom w:val="single" w:sz="4" w:space="0" w:color="000000"/>
              <w:right w:val="single" w:sz="4" w:space="0" w:color="000000"/>
            </w:tcBorders>
            <w:shd w:val="clear" w:color="auto" w:fill="FFFFFF"/>
            <w:vAlign w:val="bottom"/>
          </w:tcPr>
          <w:p w14:paraId="5F533594"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57.94</w:t>
            </w:r>
          </w:p>
        </w:tc>
        <w:tc>
          <w:tcPr>
            <w:tcW w:w="1218" w:type="dxa"/>
            <w:tcBorders>
              <w:top w:val="nil"/>
              <w:left w:val="nil"/>
              <w:bottom w:val="single" w:sz="4" w:space="0" w:color="000000"/>
              <w:right w:val="single" w:sz="4" w:space="0" w:color="000000"/>
            </w:tcBorders>
            <w:shd w:val="clear" w:color="auto" w:fill="FFFFFF"/>
            <w:vAlign w:val="bottom"/>
          </w:tcPr>
          <w:p w14:paraId="163B6515"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51.71-89.65</w:t>
            </w:r>
          </w:p>
        </w:tc>
        <w:tc>
          <w:tcPr>
            <w:tcW w:w="1591" w:type="dxa"/>
            <w:tcBorders>
              <w:top w:val="nil"/>
              <w:left w:val="nil"/>
              <w:bottom w:val="single" w:sz="4" w:space="0" w:color="000000"/>
              <w:right w:val="single" w:sz="4" w:space="0" w:color="000000"/>
            </w:tcBorders>
            <w:shd w:val="clear" w:color="auto" w:fill="FFFFFF"/>
            <w:vAlign w:val="bottom"/>
          </w:tcPr>
          <w:p w14:paraId="7FA182D5"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0.37</w:t>
            </w:r>
          </w:p>
        </w:tc>
      </w:tr>
      <w:tr w:rsidR="002112A8" w14:paraId="13679BFF"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716CBC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Bone marrow</w:t>
            </w:r>
          </w:p>
        </w:tc>
        <w:tc>
          <w:tcPr>
            <w:tcW w:w="759" w:type="dxa"/>
            <w:tcBorders>
              <w:top w:val="nil"/>
              <w:left w:val="nil"/>
              <w:bottom w:val="single" w:sz="4" w:space="0" w:color="000000"/>
              <w:right w:val="single" w:sz="4" w:space="0" w:color="000000"/>
            </w:tcBorders>
            <w:shd w:val="clear" w:color="auto" w:fill="FFFFFF"/>
            <w:vAlign w:val="bottom"/>
          </w:tcPr>
          <w:p w14:paraId="6093826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2T4K</w:t>
            </w:r>
          </w:p>
        </w:tc>
        <w:tc>
          <w:tcPr>
            <w:tcW w:w="606" w:type="dxa"/>
            <w:tcBorders>
              <w:top w:val="nil"/>
              <w:left w:val="nil"/>
              <w:bottom w:val="single" w:sz="4" w:space="0" w:color="000000"/>
              <w:right w:val="single" w:sz="4" w:space="0" w:color="000000"/>
            </w:tcBorders>
            <w:shd w:val="clear" w:color="auto" w:fill="FFFFFF"/>
            <w:vAlign w:val="bottom"/>
          </w:tcPr>
          <w:p w14:paraId="15FE9AB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6382042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0.03-0.06</w:t>
            </w:r>
          </w:p>
        </w:tc>
        <w:tc>
          <w:tcPr>
            <w:tcW w:w="606" w:type="dxa"/>
            <w:tcBorders>
              <w:top w:val="nil"/>
              <w:left w:val="nil"/>
              <w:bottom w:val="single" w:sz="4" w:space="0" w:color="000000"/>
              <w:right w:val="single" w:sz="4" w:space="0" w:color="000000"/>
            </w:tcBorders>
            <w:shd w:val="clear" w:color="auto" w:fill="FFFFFF"/>
            <w:vAlign w:val="bottom"/>
          </w:tcPr>
          <w:p w14:paraId="0DE6CD7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0.20</w:t>
            </w:r>
          </w:p>
        </w:tc>
        <w:tc>
          <w:tcPr>
            <w:tcW w:w="1060" w:type="dxa"/>
            <w:tcBorders>
              <w:top w:val="nil"/>
              <w:left w:val="nil"/>
              <w:bottom w:val="single" w:sz="4" w:space="0" w:color="000000"/>
              <w:right w:val="single" w:sz="4" w:space="0" w:color="000000"/>
            </w:tcBorders>
            <w:shd w:val="clear" w:color="auto" w:fill="FFFFFF"/>
            <w:vAlign w:val="bottom"/>
          </w:tcPr>
          <w:p w14:paraId="6A656B5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0.17-0.25</w:t>
            </w:r>
          </w:p>
        </w:tc>
        <w:tc>
          <w:tcPr>
            <w:tcW w:w="606" w:type="dxa"/>
            <w:tcBorders>
              <w:top w:val="nil"/>
              <w:left w:val="nil"/>
              <w:bottom w:val="single" w:sz="4" w:space="0" w:color="000000"/>
              <w:right w:val="single" w:sz="4" w:space="0" w:color="000000"/>
            </w:tcBorders>
            <w:shd w:val="clear" w:color="auto" w:fill="FFFFFF"/>
            <w:vAlign w:val="bottom"/>
          </w:tcPr>
          <w:p w14:paraId="4FD4581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0.35</w:t>
            </w:r>
          </w:p>
        </w:tc>
        <w:tc>
          <w:tcPr>
            <w:tcW w:w="1060" w:type="dxa"/>
            <w:tcBorders>
              <w:top w:val="nil"/>
              <w:left w:val="nil"/>
              <w:bottom w:val="single" w:sz="4" w:space="0" w:color="000000"/>
              <w:right w:val="single" w:sz="4" w:space="0" w:color="000000"/>
            </w:tcBorders>
            <w:shd w:val="clear" w:color="auto" w:fill="FFFFFF"/>
            <w:vAlign w:val="bottom"/>
          </w:tcPr>
          <w:p w14:paraId="2043BED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0.29-0.4</w:t>
            </w:r>
          </w:p>
        </w:tc>
        <w:tc>
          <w:tcPr>
            <w:tcW w:w="606" w:type="dxa"/>
            <w:tcBorders>
              <w:top w:val="nil"/>
              <w:left w:val="nil"/>
              <w:bottom w:val="single" w:sz="4" w:space="0" w:color="000000"/>
              <w:right w:val="single" w:sz="4" w:space="0" w:color="000000"/>
            </w:tcBorders>
            <w:shd w:val="clear" w:color="auto" w:fill="FFFFFF"/>
            <w:vAlign w:val="bottom"/>
          </w:tcPr>
          <w:p w14:paraId="61FC6A0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0.23</w:t>
            </w:r>
          </w:p>
        </w:tc>
        <w:tc>
          <w:tcPr>
            <w:tcW w:w="1060" w:type="dxa"/>
            <w:tcBorders>
              <w:top w:val="nil"/>
              <w:left w:val="nil"/>
              <w:bottom w:val="single" w:sz="4" w:space="0" w:color="000000"/>
              <w:right w:val="single" w:sz="4" w:space="0" w:color="000000"/>
            </w:tcBorders>
            <w:shd w:val="clear" w:color="auto" w:fill="FFFFFF"/>
            <w:vAlign w:val="bottom"/>
          </w:tcPr>
          <w:p w14:paraId="2B7CBCC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0.18-0.29</w:t>
            </w:r>
          </w:p>
        </w:tc>
        <w:tc>
          <w:tcPr>
            <w:tcW w:w="606" w:type="dxa"/>
            <w:tcBorders>
              <w:top w:val="nil"/>
              <w:left w:val="nil"/>
              <w:bottom w:val="single" w:sz="4" w:space="0" w:color="000000"/>
              <w:right w:val="single" w:sz="4" w:space="0" w:color="000000"/>
            </w:tcBorders>
            <w:shd w:val="clear" w:color="auto" w:fill="FFFFFF"/>
            <w:vAlign w:val="bottom"/>
          </w:tcPr>
          <w:p w14:paraId="6B61F7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28669CB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0.01-0.01</w:t>
            </w:r>
          </w:p>
        </w:tc>
        <w:tc>
          <w:tcPr>
            <w:tcW w:w="624" w:type="dxa"/>
            <w:tcBorders>
              <w:top w:val="nil"/>
              <w:left w:val="nil"/>
              <w:bottom w:val="single" w:sz="4" w:space="0" w:color="000000"/>
              <w:right w:val="single" w:sz="4" w:space="0" w:color="000000"/>
            </w:tcBorders>
            <w:shd w:val="clear" w:color="auto" w:fill="FFFFFF"/>
            <w:vAlign w:val="bottom"/>
          </w:tcPr>
          <w:p w14:paraId="039699E8"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0.08</w:t>
            </w:r>
          </w:p>
        </w:tc>
        <w:tc>
          <w:tcPr>
            <w:tcW w:w="1198" w:type="dxa"/>
            <w:tcBorders>
              <w:top w:val="nil"/>
              <w:left w:val="nil"/>
              <w:bottom w:val="single" w:sz="4" w:space="0" w:color="000000"/>
              <w:right w:val="single" w:sz="4" w:space="0" w:color="000000"/>
            </w:tcBorders>
            <w:shd w:val="clear" w:color="auto" w:fill="FFFFFF"/>
            <w:vAlign w:val="bottom"/>
          </w:tcPr>
          <w:p w14:paraId="439B1E11"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0.07-0.08</w:t>
            </w:r>
          </w:p>
        </w:tc>
        <w:tc>
          <w:tcPr>
            <w:tcW w:w="595" w:type="dxa"/>
            <w:tcBorders>
              <w:top w:val="nil"/>
              <w:left w:val="nil"/>
              <w:bottom w:val="single" w:sz="4" w:space="0" w:color="000000"/>
              <w:right w:val="single" w:sz="4" w:space="0" w:color="000000"/>
            </w:tcBorders>
            <w:shd w:val="clear" w:color="auto" w:fill="FFFFFF"/>
            <w:vAlign w:val="bottom"/>
          </w:tcPr>
          <w:p w14:paraId="30DD4246"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0.41</w:t>
            </w:r>
          </w:p>
        </w:tc>
        <w:tc>
          <w:tcPr>
            <w:tcW w:w="790" w:type="dxa"/>
            <w:gridSpan w:val="2"/>
            <w:tcBorders>
              <w:top w:val="nil"/>
              <w:left w:val="nil"/>
              <w:bottom w:val="single" w:sz="4" w:space="0" w:color="000000"/>
              <w:right w:val="single" w:sz="4" w:space="0" w:color="000000"/>
            </w:tcBorders>
            <w:shd w:val="clear" w:color="auto" w:fill="FFFFFF"/>
            <w:vAlign w:val="bottom"/>
          </w:tcPr>
          <w:p w14:paraId="334457F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16.10</w:t>
            </w:r>
          </w:p>
        </w:tc>
        <w:tc>
          <w:tcPr>
            <w:tcW w:w="1218" w:type="dxa"/>
            <w:tcBorders>
              <w:top w:val="nil"/>
              <w:left w:val="nil"/>
              <w:bottom w:val="single" w:sz="4" w:space="0" w:color="000000"/>
              <w:right w:val="single" w:sz="4" w:space="0" w:color="000000"/>
            </w:tcBorders>
            <w:shd w:val="clear" w:color="auto" w:fill="FFFFFF"/>
            <w:vAlign w:val="bottom"/>
          </w:tcPr>
          <w:p w14:paraId="5FEE6A3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13.17-17.37</w:t>
            </w:r>
          </w:p>
        </w:tc>
        <w:tc>
          <w:tcPr>
            <w:tcW w:w="1591" w:type="dxa"/>
            <w:tcBorders>
              <w:top w:val="nil"/>
              <w:left w:val="nil"/>
              <w:bottom w:val="single" w:sz="4" w:space="0" w:color="000000"/>
              <w:right w:val="single" w:sz="4" w:space="0" w:color="000000"/>
            </w:tcBorders>
            <w:shd w:val="clear" w:color="auto" w:fill="FFFFFF"/>
            <w:vAlign w:val="bottom"/>
          </w:tcPr>
          <w:p w14:paraId="586E1D5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0.32</w:t>
            </w:r>
          </w:p>
        </w:tc>
      </w:tr>
      <w:tr w:rsidR="002112A8" w14:paraId="03441967"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08D84AE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Grey matter</w:t>
            </w:r>
          </w:p>
        </w:tc>
        <w:tc>
          <w:tcPr>
            <w:tcW w:w="759" w:type="dxa"/>
            <w:tcBorders>
              <w:top w:val="nil"/>
              <w:left w:val="nil"/>
              <w:bottom w:val="single" w:sz="4" w:space="0" w:color="000000"/>
              <w:right w:val="single" w:sz="4" w:space="0" w:color="000000"/>
            </w:tcBorders>
            <w:shd w:val="clear" w:color="auto" w:fill="FFFFFF"/>
            <w:vAlign w:val="bottom"/>
          </w:tcPr>
          <w:p w14:paraId="6CBD208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1T2K</w:t>
            </w:r>
          </w:p>
        </w:tc>
        <w:tc>
          <w:tcPr>
            <w:tcW w:w="606" w:type="dxa"/>
            <w:tcBorders>
              <w:top w:val="nil"/>
              <w:left w:val="nil"/>
              <w:bottom w:val="single" w:sz="4" w:space="0" w:color="000000"/>
              <w:right w:val="single" w:sz="4" w:space="0" w:color="000000"/>
            </w:tcBorders>
            <w:shd w:val="clear" w:color="auto" w:fill="FFFFFF"/>
            <w:vAlign w:val="bottom"/>
          </w:tcPr>
          <w:p w14:paraId="2E96D5B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w:t>
            </w:r>
          </w:p>
        </w:tc>
        <w:tc>
          <w:tcPr>
            <w:tcW w:w="1060" w:type="dxa"/>
            <w:tcBorders>
              <w:top w:val="nil"/>
              <w:left w:val="nil"/>
              <w:bottom w:val="single" w:sz="4" w:space="0" w:color="000000"/>
              <w:right w:val="single" w:sz="4" w:space="0" w:color="000000"/>
            </w:tcBorders>
            <w:shd w:val="clear" w:color="auto" w:fill="FFFFFF"/>
            <w:vAlign w:val="bottom"/>
          </w:tcPr>
          <w:p w14:paraId="6B92415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0.03-0.04</w:t>
            </w:r>
          </w:p>
        </w:tc>
        <w:tc>
          <w:tcPr>
            <w:tcW w:w="606" w:type="dxa"/>
            <w:tcBorders>
              <w:top w:val="nil"/>
              <w:left w:val="nil"/>
              <w:bottom w:val="single" w:sz="4" w:space="0" w:color="000000"/>
              <w:right w:val="single" w:sz="4" w:space="0" w:color="000000"/>
            </w:tcBorders>
            <w:shd w:val="clear" w:color="auto" w:fill="FFFFFF"/>
            <w:vAlign w:val="bottom"/>
          </w:tcPr>
          <w:p w14:paraId="64E2BC9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6968E59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w:t>
            </w:r>
          </w:p>
        </w:tc>
        <w:tc>
          <w:tcPr>
            <w:tcW w:w="606" w:type="dxa"/>
            <w:tcBorders>
              <w:top w:val="nil"/>
              <w:left w:val="nil"/>
              <w:bottom w:val="single" w:sz="4" w:space="0" w:color="000000"/>
              <w:right w:val="single" w:sz="4" w:space="0" w:color="000000"/>
            </w:tcBorders>
            <w:shd w:val="clear" w:color="auto" w:fill="FFFFFF"/>
            <w:vAlign w:val="bottom"/>
          </w:tcPr>
          <w:p w14:paraId="783D70D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681E691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0.01-0.01</w:t>
            </w:r>
          </w:p>
        </w:tc>
        <w:tc>
          <w:tcPr>
            <w:tcW w:w="606" w:type="dxa"/>
            <w:tcBorders>
              <w:top w:val="nil"/>
              <w:left w:val="nil"/>
              <w:bottom w:val="single" w:sz="4" w:space="0" w:color="000000"/>
              <w:right w:val="single" w:sz="4" w:space="0" w:color="000000"/>
            </w:tcBorders>
            <w:shd w:val="clear" w:color="auto" w:fill="FFFFFF"/>
            <w:vAlign w:val="bottom"/>
          </w:tcPr>
          <w:p w14:paraId="71B20C0A"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5684CB6D" w14:textId="77777777" w:rsidR="002112A8" w:rsidRDefault="002112A8" w:rsidP="00670F7C">
            <w:pPr>
              <w:spacing w:after="0" w:line="240" w:lineRule="auto"/>
              <w:jc w:val="both"/>
              <w:rPr>
                <w:rFonts w:ascii="Calibri" w:hAnsi="Calibri"/>
                <w:color w:val="000000"/>
                <w:sz w:val="20"/>
              </w:rPr>
            </w:pPr>
          </w:p>
        </w:tc>
        <w:tc>
          <w:tcPr>
            <w:tcW w:w="606" w:type="dxa"/>
            <w:tcBorders>
              <w:top w:val="nil"/>
              <w:left w:val="nil"/>
              <w:bottom w:val="single" w:sz="4" w:space="0" w:color="000000"/>
              <w:right w:val="single" w:sz="4" w:space="0" w:color="000000"/>
            </w:tcBorders>
            <w:shd w:val="clear" w:color="auto" w:fill="FFFFFF"/>
            <w:vAlign w:val="bottom"/>
          </w:tcPr>
          <w:p w14:paraId="3F7CEEBD"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36DF8FD8" w14:textId="77777777" w:rsidR="002112A8" w:rsidRDefault="002112A8" w:rsidP="00670F7C">
            <w:pPr>
              <w:spacing w:after="0" w:line="240" w:lineRule="auto"/>
              <w:jc w:val="both"/>
              <w:rPr>
                <w:rFonts w:ascii="Calibri" w:hAnsi="Calibri"/>
                <w:color w:val="000000"/>
                <w:sz w:val="20"/>
              </w:rPr>
            </w:pPr>
          </w:p>
        </w:tc>
        <w:tc>
          <w:tcPr>
            <w:tcW w:w="624" w:type="dxa"/>
            <w:tcBorders>
              <w:top w:val="nil"/>
              <w:left w:val="nil"/>
              <w:bottom w:val="single" w:sz="4" w:space="0" w:color="000000"/>
              <w:right w:val="single" w:sz="4" w:space="0" w:color="000000"/>
            </w:tcBorders>
            <w:shd w:val="clear" w:color="auto" w:fill="FFFFFF"/>
            <w:vAlign w:val="bottom"/>
          </w:tcPr>
          <w:p w14:paraId="399E1A60"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0.00</w:t>
            </w:r>
          </w:p>
        </w:tc>
        <w:tc>
          <w:tcPr>
            <w:tcW w:w="1198" w:type="dxa"/>
            <w:tcBorders>
              <w:top w:val="nil"/>
              <w:left w:val="nil"/>
              <w:bottom w:val="single" w:sz="4" w:space="0" w:color="000000"/>
              <w:right w:val="single" w:sz="4" w:space="0" w:color="000000"/>
            </w:tcBorders>
            <w:shd w:val="clear" w:color="auto" w:fill="FFFFFF"/>
            <w:vAlign w:val="bottom"/>
          </w:tcPr>
          <w:p w14:paraId="0166A49A"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w:t>
            </w:r>
          </w:p>
        </w:tc>
        <w:tc>
          <w:tcPr>
            <w:tcW w:w="595" w:type="dxa"/>
            <w:tcBorders>
              <w:top w:val="nil"/>
              <w:left w:val="nil"/>
              <w:bottom w:val="single" w:sz="4" w:space="0" w:color="000000"/>
              <w:right w:val="single" w:sz="4" w:space="0" w:color="000000"/>
            </w:tcBorders>
            <w:shd w:val="clear" w:color="auto" w:fill="FFFFFF"/>
            <w:vAlign w:val="bottom"/>
          </w:tcPr>
          <w:p w14:paraId="59C5659C"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0.49</w:t>
            </w:r>
          </w:p>
        </w:tc>
        <w:tc>
          <w:tcPr>
            <w:tcW w:w="790" w:type="dxa"/>
            <w:gridSpan w:val="2"/>
            <w:tcBorders>
              <w:top w:val="nil"/>
              <w:left w:val="nil"/>
              <w:bottom w:val="single" w:sz="4" w:space="0" w:color="000000"/>
              <w:right w:val="single" w:sz="4" w:space="0" w:color="000000"/>
            </w:tcBorders>
            <w:shd w:val="clear" w:color="auto" w:fill="FFFFFF"/>
            <w:vAlign w:val="bottom"/>
          </w:tcPr>
          <w:p w14:paraId="04D7FE5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0.23</w:t>
            </w:r>
          </w:p>
        </w:tc>
        <w:tc>
          <w:tcPr>
            <w:tcW w:w="1218" w:type="dxa"/>
            <w:tcBorders>
              <w:top w:val="nil"/>
              <w:left w:val="nil"/>
              <w:bottom w:val="single" w:sz="4" w:space="0" w:color="000000"/>
              <w:right w:val="single" w:sz="4" w:space="0" w:color="000000"/>
            </w:tcBorders>
            <w:shd w:val="clear" w:color="auto" w:fill="FFFFFF"/>
            <w:vAlign w:val="bottom"/>
          </w:tcPr>
          <w:p w14:paraId="6D445D4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0.14-0.35</w:t>
            </w:r>
          </w:p>
        </w:tc>
        <w:tc>
          <w:tcPr>
            <w:tcW w:w="1591" w:type="dxa"/>
            <w:tcBorders>
              <w:top w:val="nil"/>
              <w:left w:val="nil"/>
              <w:bottom w:val="single" w:sz="4" w:space="0" w:color="000000"/>
              <w:right w:val="single" w:sz="4" w:space="0" w:color="000000"/>
            </w:tcBorders>
            <w:shd w:val="clear" w:color="auto" w:fill="FFFFFF"/>
            <w:vAlign w:val="bottom"/>
          </w:tcPr>
          <w:p w14:paraId="72BACC7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0.52</w:t>
            </w:r>
          </w:p>
        </w:tc>
      </w:tr>
      <w:tr w:rsidR="002112A8" w14:paraId="61DF4E75"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668F423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Choroid plexus</w:t>
            </w:r>
          </w:p>
        </w:tc>
        <w:tc>
          <w:tcPr>
            <w:tcW w:w="759" w:type="dxa"/>
            <w:tcBorders>
              <w:top w:val="nil"/>
              <w:left w:val="nil"/>
              <w:bottom w:val="single" w:sz="4" w:space="0" w:color="000000"/>
              <w:right w:val="single" w:sz="4" w:space="0" w:color="000000"/>
            </w:tcBorders>
            <w:shd w:val="clear" w:color="auto" w:fill="FFFFFF"/>
            <w:vAlign w:val="bottom"/>
          </w:tcPr>
          <w:p w14:paraId="20ECCC0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375BAC9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52F8EF5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0.03-0.05</w:t>
            </w:r>
          </w:p>
        </w:tc>
        <w:tc>
          <w:tcPr>
            <w:tcW w:w="606" w:type="dxa"/>
            <w:tcBorders>
              <w:top w:val="nil"/>
              <w:left w:val="nil"/>
              <w:bottom w:val="single" w:sz="4" w:space="0" w:color="000000"/>
              <w:right w:val="single" w:sz="4" w:space="0" w:color="000000"/>
            </w:tcBorders>
            <w:shd w:val="clear" w:color="auto" w:fill="FFFFFF"/>
            <w:vAlign w:val="bottom"/>
          </w:tcPr>
          <w:p w14:paraId="3303290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0.05</w:t>
            </w:r>
          </w:p>
        </w:tc>
        <w:tc>
          <w:tcPr>
            <w:tcW w:w="1060" w:type="dxa"/>
            <w:tcBorders>
              <w:top w:val="nil"/>
              <w:left w:val="nil"/>
              <w:bottom w:val="single" w:sz="4" w:space="0" w:color="000000"/>
              <w:right w:val="single" w:sz="4" w:space="0" w:color="000000"/>
            </w:tcBorders>
            <w:shd w:val="clear" w:color="auto" w:fill="FFFFFF"/>
            <w:vAlign w:val="bottom"/>
          </w:tcPr>
          <w:p w14:paraId="1B491F5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0.05-0.06</w:t>
            </w:r>
          </w:p>
        </w:tc>
        <w:tc>
          <w:tcPr>
            <w:tcW w:w="606" w:type="dxa"/>
            <w:tcBorders>
              <w:top w:val="nil"/>
              <w:left w:val="nil"/>
              <w:bottom w:val="single" w:sz="4" w:space="0" w:color="000000"/>
              <w:right w:val="single" w:sz="4" w:space="0" w:color="000000"/>
            </w:tcBorders>
            <w:shd w:val="clear" w:color="auto" w:fill="FFFFFF"/>
            <w:vAlign w:val="bottom"/>
          </w:tcPr>
          <w:p w14:paraId="5F44693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5E84E1D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w:t>
            </w:r>
          </w:p>
        </w:tc>
        <w:tc>
          <w:tcPr>
            <w:tcW w:w="606" w:type="dxa"/>
            <w:tcBorders>
              <w:top w:val="nil"/>
              <w:left w:val="nil"/>
              <w:bottom w:val="single" w:sz="4" w:space="0" w:color="000000"/>
              <w:right w:val="single" w:sz="4" w:space="0" w:color="000000"/>
            </w:tcBorders>
            <w:shd w:val="clear" w:color="auto" w:fill="FFFFFF"/>
            <w:vAlign w:val="bottom"/>
          </w:tcPr>
          <w:p w14:paraId="2AD972F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731C307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0-1.24</w:t>
            </w:r>
          </w:p>
        </w:tc>
        <w:tc>
          <w:tcPr>
            <w:tcW w:w="606" w:type="dxa"/>
            <w:tcBorders>
              <w:top w:val="nil"/>
              <w:left w:val="nil"/>
              <w:bottom w:val="single" w:sz="4" w:space="0" w:color="000000"/>
              <w:right w:val="single" w:sz="4" w:space="0" w:color="000000"/>
            </w:tcBorders>
            <w:shd w:val="clear" w:color="auto" w:fill="FFFFFF"/>
            <w:vAlign w:val="bottom"/>
          </w:tcPr>
          <w:p w14:paraId="1B7D258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2B16225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0B2FF2B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198" w:type="dxa"/>
            <w:tcBorders>
              <w:top w:val="nil"/>
              <w:left w:val="nil"/>
              <w:bottom w:val="single" w:sz="4" w:space="0" w:color="000000"/>
              <w:right w:val="single" w:sz="4" w:space="0" w:color="000000"/>
            </w:tcBorders>
            <w:shd w:val="clear" w:color="auto" w:fill="FFFFFF"/>
            <w:vAlign w:val="bottom"/>
          </w:tcPr>
          <w:p w14:paraId="4980310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0.03-0.04</w:t>
            </w:r>
          </w:p>
        </w:tc>
        <w:tc>
          <w:tcPr>
            <w:tcW w:w="595" w:type="dxa"/>
            <w:tcBorders>
              <w:top w:val="nil"/>
              <w:left w:val="nil"/>
              <w:bottom w:val="single" w:sz="4" w:space="0" w:color="000000"/>
              <w:right w:val="single" w:sz="4" w:space="0" w:color="000000"/>
            </w:tcBorders>
            <w:shd w:val="clear" w:color="auto" w:fill="FFFFFF"/>
            <w:vAlign w:val="bottom"/>
          </w:tcPr>
          <w:p w14:paraId="55E5906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0.22</w:t>
            </w:r>
          </w:p>
        </w:tc>
        <w:tc>
          <w:tcPr>
            <w:tcW w:w="790" w:type="dxa"/>
            <w:gridSpan w:val="2"/>
            <w:tcBorders>
              <w:top w:val="nil"/>
              <w:left w:val="nil"/>
              <w:bottom w:val="single" w:sz="4" w:space="0" w:color="000000"/>
              <w:right w:val="single" w:sz="4" w:space="0" w:color="000000"/>
            </w:tcBorders>
            <w:shd w:val="clear" w:color="auto" w:fill="FFFFFF"/>
            <w:vAlign w:val="bottom"/>
          </w:tcPr>
          <w:p w14:paraId="62E124AB"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91.58</w:t>
            </w:r>
          </w:p>
        </w:tc>
        <w:tc>
          <w:tcPr>
            <w:tcW w:w="1218" w:type="dxa"/>
            <w:tcBorders>
              <w:top w:val="nil"/>
              <w:left w:val="nil"/>
              <w:bottom w:val="single" w:sz="4" w:space="0" w:color="000000"/>
              <w:right w:val="single" w:sz="4" w:space="0" w:color="000000"/>
            </w:tcBorders>
            <w:shd w:val="clear" w:color="auto" w:fill="FFFFFF"/>
            <w:vAlign w:val="bottom"/>
          </w:tcPr>
          <w:p w14:paraId="724893E0"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59.25-99.48</w:t>
            </w:r>
          </w:p>
        </w:tc>
        <w:tc>
          <w:tcPr>
            <w:tcW w:w="1591" w:type="dxa"/>
            <w:tcBorders>
              <w:top w:val="nil"/>
              <w:left w:val="nil"/>
              <w:bottom w:val="single" w:sz="4" w:space="0" w:color="000000"/>
              <w:right w:val="single" w:sz="4" w:space="0" w:color="000000"/>
            </w:tcBorders>
            <w:shd w:val="clear" w:color="auto" w:fill="FFFFFF"/>
            <w:vAlign w:val="bottom"/>
          </w:tcPr>
          <w:p w14:paraId="655DFDD2"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0.41</w:t>
            </w:r>
          </w:p>
        </w:tc>
      </w:tr>
      <w:tr w:rsidR="002112A8" w14:paraId="69B74DDD"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4ED1D14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White matter</w:t>
            </w:r>
          </w:p>
        </w:tc>
        <w:tc>
          <w:tcPr>
            <w:tcW w:w="759" w:type="dxa"/>
            <w:tcBorders>
              <w:top w:val="nil"/>
              <w:left w:val="nil"/>
              <w:bottom w:val="single" w:sz="4" w:space="0" w:color="000000"/>
              <w:right w:val="single" w:sz="4" w:space="0" w:color="000000"/>
            </w:tcBorders>
            <w:shd w:val="clear" w:color="auto" w:fill="FFFFFF"/>
            <w:vAlign w:val="bottom"/>
          </w:tcPr>
          <w:p w14:paraId="62570E9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1T2K</w:t>
            </w:r>
          </w:p>
        </w:tc>
        <w:tc>
          <w:tcPr>
            <w:tcW w:w="606" w:type="dxa"/>
            <w:tcBorders>
              <w:top w:val="nil"/>
              <w:left w:val="nil"/>
              <w:bottom w:val="single" w:sz="4" w:space="0" w:color="000000"/>
              <w:right w:val="single" w:sz="4" w:space="0" w:color="000000"/>
            </w:tcBorders>
            <w:shd w:val="clear" w:color="auto" w:fill="FFFFFF"/>
            <w:vAlign w:val="bottom"/>
          </w:tcPr>
          <w:p w14:paraId="40D6FF8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1316E8D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0.01-0.02</w:t>
            </w:r>
          </w:p>
        </w:tc>
        <w:tc>
          <w:tcPr>
            <w:tcW w:w="606" w:type="dxa"/>
            <w:tcBorders>
              <w:top w:val="nil"/>
              <w:left w:val="nil"/>
              <w:bottom w:val="single" w:sz="4" w:space="0" w:color="000000"/>
              <w:right w:val="single" w:sz="4" w:space="0" w:color="000000"/>
            </w:tcBorders>
            <w:shd w:val="clear" w:color="auto" w:fill="FFFFFF"/>
            <w:vAlign w:val="bottom"/>
          </w:tcPr>
          <w:p w14:paraId="70EF5C6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29B9465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w:t>
            </w:r>
          </w:p>
        </w:tc>
        <w:tc>
          <w:tcPr>
            <w:tcW w:w="606" w:type="dxa"/>
            <w:tcBorders>
              <w:top w:val="nil"/>
              <w:left w:val="nil"/>
              <w:bottom w:val="single" w:sz="4" w:space="0" w:color="000000"/>
              <w:right w:val="single" w:sz="4" w:space="0" w:color="000000"/>
            </w:tcBorders>
            <w:shd w:val="clear" w:color="auto" w:fill="FFFFFF"/>
            <w:vAlign w:val="bottom"/>
          </w:tcPr>
          <w:p w14:paraId="43CB7C5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0.07</w:t>
            </w:r>
          </w:p>
        </w:tc>
        <w:tc>
          <w:tcPr>
            <w:tcW w:w="1060" w:type="dxa"/>
            <w:tcBorders>
              <w:top w:val="nil"/>
              <w:left w:val="nil"/>
              <w:bottom w:val="single" w:sz="4" w:space="0" w:color="000000"/>
              <w:right w:val="single" w:sz="4" w:space="0" w:color="000000"/>
            </w:tcBorders>
            <w:shd w:val="clear" w:color="auto" w:fill="FFFFFF"/>
            <w:vAlign w:val="bottom"/>
          </w:tcPr>
          <w:p w14:paraId="706E43E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0.04-0.18</w:t>
            </w:r>
          </w:p>
        </w:tc>
        <w:tc>
          <w:tcPr>
            <w:tcW w:w="606" w:type="dxa"/>
            <w:tcBorders>
              <w:top w:val="nil"/>
              <w:left w:val="nil"/>
              <w:bottom w:val="single" w:sz="4" w:space="0" w:color="000000"/>
              <w:right w:val="single" w:sz="4" w:space="0" w:color="000000"/>
            </w:tcBorders>
            <w:shd w:val="clear" w:color="auto" w:fill="FFFFFF"/>
            <w:vAlign w:val="bottom"/>
          </w:tcPr>
          <w:p w14:paraId="512F4856"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1DF6E23D" w14:textId="77777777" w:rsidR="002112A8" w:rsidRDefault="002112A8" w:rsidP="00670F7C">
            <w:pPr>
              <w:spacing w:after="0" w:line="240" w:lineRule="auto"/>
              <w:jc w:val="both"/>
              <w:rPr>
                <w:rFonts w:ascii="Calibri" w:hAnsi="Calibri"/>
                <w:color w:val="000000"/>
                <w:sz w:val="20"/>
              </w:rPr>
            </w:pPr>
          </w:p>
        </w:tc>
        <w:tc>
          <w:tcPr>
            <w:tcW w:w="606" w:type="dxa"/>
            <w:tcBorders>
              <w:top w:val="nil"/>
              <w:left w:val="nil"/>
              <w:bottom w:val="single" w:sz="4" w:space="0" w:color="000000"/>
              <w:right w:val="single" w:sz="4" w:space="0" w:color="000000"/>
            </w:tcBorders>
            <w:shd w:val="clear" w:color="auto" w:fill="FFFFFF"/>
            <w:vAlign w:val="bottom"/>
          </w:tcPr>
          <w:p w14:paraId="2351ED38"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19063385" w14:textId="77777777" w:rsidR="002112A8" w:rsidRDefault="002112A8" w:rsidP="00670F7C">
            <w:pPr>
              <w:spacing w:after="0" w:line="240" w:lineRule="auto"/>
              <w:jc w:val="both"/>
              <w:rPr>
                <w:rFonts w:ascii="Calibri" w:hAnsi="Calibri"/>
                <w:color w:val="000000"/>
                <w:sz w:val="20"/>
              </w:rPr>
            </w:pPr>
          </w:p>
        </w:tc>
        <w:tc>
          <w:tcPr>
            <w:tcW w:w="624" w:type="dxa"/>
            <w:tcBorders>
              <w:top w:val="nil"/>
              <w:left w:val="nil"/>
              <w:bottom w:val="single" w:sz="4" w:space="0" w:color="000000"/>
              <w:right w:val="single" w:sz="4" w:space="0" w:color="000000"/>
            </w:tcBorders>
            <w:shd w:val="clear" w:color="auto" w:fill="FFFFFF"/>
            <w:vAlign w:val="bottom"/>
          </w:tcPr>
          <w:p w14:paraId="1DF3354F"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0.00</w:t>
            </w:r>
          </w:p>
        </w:tc>
        <w:tc>
          <w:tcPr>
            <w:tcW w:w="1198" w:type="dxa"/>
            <w:tcBorders>
              <w:top w:val="nil"/>
              <w:left w:val="nil"/>
              <w:bottom w:val="single" w:sz="4" w:space="0" w:color="000000"/>
              <w:right w:val="single" w:sz="4" w:space="0" w:color="000000"/>
            </w:tcBorders>
            <w:shd w:val="clear" w:color="auto" w:fill="FFFFFF"/>
            <w:vAlign w:val="bottom"/>
          </w:tcPr>
          <w:p w14:paraId="1650CFD3"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w:t>
            </w:r>
          </w:p>
        </w:tc>
        <w:tc>
          <w:tcPr>
            <w:tcW w:w="595" w:type="dxa"/>
            <w:tcBorders>
              <w:top w:val="nil"/>
              <w:left w:val="nil"/>
              <w:bottom w:val="single" w:sz="4" w:space="0" w:color="000000"/>
              <w:right w:val="single" w:sz="4" w:space="0" w:color="000000"/>
            </w:tcBorders>
            <w:shd w:val="clear" w:color="auto" w:fill="FFFFFF"/>
            <w:vAlign w:val="bottom"/>
          </w:tcPr>
          <w:p w14:paraId="35418701"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1.57</w:t>
            </w:r>
          </w:p>
        </w:tc>
        <w:tc>
          <w:tcPr>
            <w:tcW w:w="790" w:type="dxa"/>
            <w:gridSpan w:val="2"/>
            <w:tcBorders>
              <w:top w:val="nil"/>
              <w:left w:val="nil"/>
              <w:bottom w:val="single" w:sz="4" w:space="0" w:color="000000"/>
              <w:right w:val="single" w:sz="4" w:space="0" w:color="000000"/>
            </w:tcBorders>
            <w:shd w:val="clear" w:color="auto" w:fill="FFFFFF"/>
            <w:vAlign w:val="bottom"/>
          </w:tcPr>
          <w:p w14:paraId="2DE4F16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218" w:type="dxa"/>
            <w:tcBorders>
              <w:top w:val="nil"/>
              <w:left w:val="nil"/>
              <w:bottom w:val="single" w:sz="4" w:space="0" w:color="000000"/>
              <w:right w:val="single" w:sz="4" w:space="0" w:color="000000"/>
            </w:tcBorders>
            <w:shd w:val="clear" w:color="auto" w:fill="FFFFFF"/>
            <w:vAlign w:val="bottom"/>
          </w:tcPr>
          <w:p w14:paraId="430EC80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0-0.01</w:t>
            </w:r>
          </w:p>
        </w:tc>
        <w:tc>
          <w:tcPr>
            <w:tcW w:w="1591" w:type="dxa"/>
            <w:tcBorders>
              <w:top w:val="nil"/>
              <w:left w:val="nil"/>
              <w:bottom w:val="single" w:sz="4" w:space="0" w:color="000000"/>
              <w:right w:val="single" w:sz="4" w:space="0" w:color="000000"/>
            </w:tcBorders>
            <w:shd w:val="clear" w:color="auto" w:fill="FFFFFF"/>
            <w:vAlign w:val="bottom"/>
          </w:tcPr>
          <w:p w14:paraId="291D725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1.00</w:t>
            </w:r>
          </w:p>
        </w:tc>
      </w:tr>
      <w:tr w:rsidR="002112A8" w14:paraId="785F56FA"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3832F938" w14:textId="02473954" w:rsidR="002112A8" w:rsidRDefault="008063FC" w:rsidP="00670F7C">
            <w:pPr>
              <w:spacing w:after="0" w:line="240" w:lineRule="auto"/>
              <w:jc w:val="both"/>
              <w:rPr>
                <w:rFonts w:ascii="Calibri" w:hAnsi="Calibri"/>
                <w:color w:val="000000"/>
                <w:sz w:val="20"/>
              </w:rPr>
            </w:pPr>
            <w:r>
              <w:rPr>
                <w:rFonts w:ascii="Calibri" w:hAnsi="Calibri"/>
                <w:color w:val="000000"/>
                <w:sz w:val="20"/>
              </w:rPr>
              <w:t>Paroti</w:t>
            </w:r>
            <w:r w:rsidR="00095C00">
              <w:rPr>
                <w:rFonts w:ascii="Calibri" w:hAnsi="Calibri"/>
                <w:color w:val="000000"/>
                <w:sz w:val="20"/>
              </w:rPr>
              <w:t>d</w:t>
            </w:r>
            <w:r>
              <w:rPr>
                <w:rFonts w:ascii="Calibri" w:hAnsi="Calibri"/>
                <w:color w:val="000000"/>
                <w:sz w:val="20"/>
              </w:rPr>
              <w:t xml:space="preserve"> gland</w:t>
            </w:r>
          </w:p>
        </w:tc>
        <w:tc>
          <w:tcPr>
            <w:tcW w:w="759" w:type="dxa"/>
            <w:tcBorders>
              <w:top w:val="nil"/>
              <w:left w:val="nil"/>
              <w:bottom w:val="single" w:sz="4" w:space="0" w:color="000000"/>
              <w:right w:val="single" w:sz="4" w:space="0" w:color="000000"/>
            </w:tcBorders>
            <w:shd w:val="clear" w:color="auto" w:fill="FFFFFF"/>
            <w:vAlign w:val="bottom"/>
          </w:tcPr>
          <w:p w14:paraId="168F9C5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1E6D2B3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w:t>
            </w:r>
          </w:p>
        </w:tc>
        <w:tc>
          <w:tcPr>
            <w:tcW w:w="1060" w:type="dxa"/>
            <w:tcBorders>
              <w:top w:val="nil"/>
              <w:left w:val="nil"/>
              <w:bottom w:val="single" w:sz="4" w:space="0" w:color="000000"/>
              <w:right w:val="single" w:sz="4" w:space="0" w:color="000000"/>
            </w:tcBorders>
            <w:shd w:val="clear" w:color="auto" w:fill="FFFFFF"/>
            <w:vAlign w:val="bottom"/>
          </w:tcPr>
          <w:p w14:paraId="5D1EC71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0.06-0.09</w:t>
            </w:r>
          </w:p>
        </w:tc>
        <w:tc>
          <w:tcPr>
            <w:tcW w:w="606" w:type="dxa"/>
            <w:tcBorders>
              <w:top w:val="nil"/>
              <w:left w:val="nil"/>
              <w:bottom w:val="single" w:sz="4" w:space="0" w:color="000000"/>
              <w:right w:val="single" w:sz="4" w:space="0" w:color="000000"/>
            </w:tcBorders>
            <w:shd w:val="clear" w:color="auto" w:fill="FFFFFF"/>
            <w:vAlign w:val="bottom"/>
          </w:tcPr>
          <w:p w14:paraId="00C9E5A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w:t>
            </w:r>
          </w:p>
        </w:tc>
        <w:tc>
          <w:tcPr>
            <w:tcW w:w="1060" w:type="dxa"/>
            <w:tcBorders>
              <w:top w:val="nil"/>
              <w:left w:val="nil"/>
              <w:bottom w:val="single" w:sz="4" w:space="0" w:color="000000"/>
              <w:right w:val="single" w:sz="4" w:space="0" w:color="000000"/>
            </w:tcBorders>
            <w:shd w:val="clear" w:color="auto" w:fill="FFFFFF"/>
            <w:vAlign w:val="bottom"/>
          </w:tcPr>
          <w:p w14:paraId="5C7CE98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0.13-0.2</w:t>
            </w:r>
          </w:p>
        </w:tc>
        <w:tc>
          <w:tcPr>
            <w:tcW w:w="606" w:type="dxa"/>
            <w:tcBorders>
              <w:top w:val="nil"/>
              <w:left w:val="nil"/>
              <w:bottom w:val="single" w:sz="4" w:space="0" w:color="000000"/>
              <w:right w:val="single" w:sz="4" w:space="0" w:color="000000"/>
            </w:tcBorders>
            <w:shd w:val="clear" w:color="auto" w:fill="FFFFFF"/>
            <w:vAlign w:val="bottom"/>
          </w:tcPr>
          <w:p w14:paraId="3F17A50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0923D43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0-0.01</w:t>
            </w:r>
          </w:p>
        </w:tc>
        <w:tc>
          <w:tcPr>
            <w:tcW w:w="606" w:type="dxa"/>
            <w:tcBorders>
              <w:top w:val="nil"/>
              <w:left w:val="nil"/>
              <w:bottom w:val="single" w:sz="4" w:space="0" w:color="000000"/>
              <w:right w:val="single" w:sz="4" w:space="0" w:color="000000"/>
            </w:tcBorders>
            <w:shd w:val="clear" w:color="auto" w:fill="FFFFFF"/>
            <w:vAlign w:val="bottom"/>
          </w:tcPr>
          <w:p w14:paraId="3E9027E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w:t>
            </w:r>
          </w:p>
        </w:tc>
        <w:tc>
          <w:tcPr>
            <w:tcW w:w="1060" w:type="dxa"/>
            <w:tcBorders>
              <w:top w:val="nil"/>
              <w:left w:val="nil"/>
              <w:bottom w:val="single" w:sz="4" w:space="0" w:color="000000"/>
              <w:right w:val="single" w:sz="4" w:space="0" w:color="000000"/>
            </w:tcBorders>
            <w:shd w:val="clear" w:color="auto" w:fill="FFFFFF"/>
            <w:vAlign w:val="bottom"/>
          </w:tcPr>
          <w:p w14:paraId="3B589DE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0-0.06</w:t>
            </w:r>
          </w:p>
        </w:tc>
        <w:tc>
          <w:tcPr>
            <w:tcW w:w="606" w:type="dxa"/>
            <w:tcBorders>
              <w:top w:val="nil"/>
              <w:left w:val="nil"/>
              <w:bottom w:val="single" w:sz="4" w:space="0" w:color="000000"/>
              <w:right w:val="single" w:sz="4" w:space="0" w:color="000000"/>
            </w:tcBorders>
            <w:shd w:val="clear" w:color="auto" w:fill="FFFFFF"/>
            <w:vAlign w:val="bottom"/>
          </w:tcPr>
          <w:p w14:paraId="51AF0C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438512B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632B210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0.15</w:t>
            </w:r>
          </w:p>
        </w:tc>
        <w:tc>
          <w:tcPr>
            <w:tcW w:w="1198" w:type="dxa"/>
            <w:tcBorders>
              <w:top w:val="nil"/>
              <w:left w:val="nil"/>
              <w:bottom w:val="single" w:sz="4" w:space="0" w:color="000000"/>
              <w:right w:val="single" w:sz="4" w:space="0" w:color="000000"/>
            </w:tcBorders>
            <w:shd w:val="clear" w:color="auto" w:fill="FFFFFF"/>
            <w:vAlign w:val="bottom"/>
          </w:tcPr>
          <w:p w14:paraId="08A039F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0.1-0.17</w:t>
            </w:r>
          </w:p>
        </w:tc>
        <w:tc>
          <w:tcPr>
            <w:tcW w:w="595" w:type="dxa"/>
            <w:tcBorders>
              <w:top w:val="nil"/>
              <w:left w:val="nil"/>
              <w:bottom w:val="single" w:sz="4" w:space="0" w:color="000000"/>
              <w:right w:val="single" w:sz="4" w:space="0" w:color="000000"/>
            </w:tcBorders>
            <w:shd w:val="clear" w:color="auto" w:fill="FFFFFF"/>
            <w:vAlign w:val="bottom"/>
          </w:tcPr>
          <w:p w14:paraId="05DC290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0.33</w:t>
            </w:r>
          </w:p>
        </w:tc>
        <w:tc>
          <w:tcPr>
            <w:tcW w:w="790" w:type="dxa"/>
            <w:gridSpan w:val="2"/>
            <w:tcBorders>
              <w:top w:val="nil"/>
              <w:left w:val="nil"/>
              <w:bottom w:val="single" w:sz="4" w:space="0" w:color="000000"/>
              <w:right w:val="single" w:sz="4" w:space="0" w:color="000000"/>
            </w:tcBorders>
            <w:shd w:val="clear" w:color="auto" w:fill="FFFFFF"/>
            <w:vAlign w:val="bottom"/>
          </w:tcPr>
          <w:p w14:paraId="6A1D92EE"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70.52</w:t>
            </w:r>
          </w:p>
        </w:tc>
        <w:tc>
          <w:tcPr>
            <w:tcW w:w="1218" w:type="dxa"/>
            <w:tcBorders>
              <w:top w:val="nil"/>
              <w:left w:val="nil"/>
              <w:bottom w:val="single" w:sz="4" w:space="0" w:color="000000"/>
              <w:right w:val="single" w:sz="4" w:space="0" w:color="000000"/>
            </w:tcBorders>
            <w:shd w:val="clear" w:color="auto" w:fill="FFFFFF"/>
            <w:vAlign w:val="bottom"/>
          </w:tcPr>
          <w:p w14:paraId="0B9A9B91"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45.7-89.02</w:t>
            </w:r>
          </w:p>
        </w:tc>
        <w:tc>
          <w:tcPr>
            <w:tcW w:w="1591" w:type="dxa"/>
            <w:tcBorders>
              <w:top w:val="nil"/>
              <w:left w:val="nil"/>
              <w:bottom w:val="single" w:sz="4" w:space="0" w:color="000000"/>
              <w:right w:val="single" w:sz="4" w:space="0" w:color="000000"/>
            </w:tcBorders>
            <w:shd w:val="clear" w:color="auto" w:fill="FFFFFF"/>
            <w:vAlign w:val="bottom"/>
          </w:tcPr>
          <w:p w14:paraId="454EBAC1"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0.41</w:t>
            </w:r>
          </w:p>
        </w:tc>
      </w:tr>
      <w:tr w:rsidR="002112A8" w14:paraId="11160D14"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7C989EF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Kidneys</w:t>
            </w:r>
          </w:p>
        </w:tc>
        <w:tc>
          <w:tcPr>
            <w:tcW w:w="759" w:type="dxa"/>
            <w:tcBorders>
              <w:top w:val="nil"/>
              <w:left w:val="nil"/>
              <w:bottom w:val="single" w:sz="4" w:space="0" w:color="000000"/>
              <w:right w:val="single" w:sz="4" w:space="0" w:color="000000"/>
            </w:tcBorders>
            <w:shd w:val="clear" w:color="auto" w:fill="FFFFFF"/>
            <w:vAlign w:val="bottom"/>
          </w:tcPr>
          <w:p w14:paraId="06185EF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6FFF60A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w:t>
            </w:r>
          </w:p>
        </w:tc>
        <w:tc>
          <w:tcPr>
            <w:tcW w:w="1060" w:type="dxa"/>
            <w:tcBorders>
              <w:top w:val="nil"/>
              <w:left w:val="nil"/>
              <w:bottom w:val="single" w:sz="4" w:space="0" w:color="000000"/>
              <w:right w:val="single" w:sz="4" w:space="0" w:color="000000"/>
            </w:tcBorders>
            <w:shd w:val="clear" w:color="auto" w:fill="FFFFFF"/>
            <w:vAlign w:val="bottom"/>
          </w:tcPr>
          <w:p w14:paraId="332CA2D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0.1-0.15</w:t>
            </w:r>
          </w:p>
        </w:tc>
        <w:tc>
          <w:tcPr>
            <w:tcW w:w="606" w:type="dxa"/>
            <w:tcBorders>
              <w:top w:val="nil"/>
              <w:left w:val="nil"/>
              <w:bottom w:val="single" w:sz="4" w:space="0" w:color="000000"/>
              <w:right w:val="single" w:sz="4" w:space="0" w:color="000000"/>
            </w:tcBorders>
            <w:shd w:val="clear" w:color="auto" w:fill="FFFFFF"/>
            <w:vAlign w:val="bottom"/>
          </w:tcPr>
          <w:p w14:paraId="5270E63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1.06</w:t>
            </w:r>
          </w:p>
        </w:tc>
        <w:tc>
          <w:tcPr>
            <w:tcW w:w="1060" w:type="dxa"/>
            <w:tcBorders>
              <w:top w:val="nil"/>
              <w:left w:val="nil"/>
              <w:bottom w:val="single" w:sz="4" w:space="0" w:color="000000"/>
              <w:right w:val="single" w:sz="4" w:space="0" w:color="000000"/>
            </w:tcBorders>
            <w:shd w:val="clear" w:color="auto" w:fill="FFFFFF"/>
            <w:vAlign w:val="bottom"/>
          </w:tcPr>
          <w:p w14:paraId="503C44A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0.98-1.68</w:t>
            </w:r>
          </w:p>
        </w:tc>
        <w:tc>
          <w:tcPr>
            <w:tcW w:w="606" w:type="dxa"/>
            <w:tcBorders>
              <w:top w:val="nil"/>
              <w:left w:val="nil"/>
              <w:bottom w:val="single" w:sz="4" w:space="0" w:color="000000"/>
              <w:right w:val="single" w:sz="4" w:space="0" w:color="000000"/>
            </w:tcBorders>
            <w:shd w:val="clear" w:color="auto" w:fill="FFFFFF"/>
            <w:vAlign w:val="bottom"/>
          </w:tcPr>
          <w:p w14:paraId="332202B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w:t>
            </w:r>
          </w:p>
        </w:tc>
        <w:tc>
          <w:tcPr>
            <w:tcW w:w="1060" w:type="dxa"/>
            <w:tcBorders>
              <w:top w:val="nil"/>
              <w:left w:val="nil"/>
              <w:bottom w:val="single" w:sz="4" w:space="0" w:color="000000"/>
              <w:right w:val="single" w:sz="4" w:space="0" w:color="000000"/>
            </w:tcBorders>
            <w:shd w:val="clear" w:color="auto" w:fill="FFFFFF"/>
            <w:vAlign w:val="bottom"/>
          </w:tcPr>
          <w:p w14:paraId="3ACE4C9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0.04-0.13</w:t>
            </w:r>
          </w:p>
        </w:tc>
        <w:tc>
          <w:tcPr>
            <w:tcW w:w="606" w:type="dxa"/>
            <w:tcBorders>
              <w:top w:val="nil"/>
              <w:left w:val="nil"/>
              <w:bottom w:val="single" w:sz="4" w:space="0" w:color="000000"/>
              <w:right w:val="single" w:sz="4" w:space="0" w:color="000000"/>
            </w:tcBorders>
            <w:shd w:val="clear" w:color="auto" w:fill="FFFFFF"/>
            <w:vAlign w:val="bottom"/>
          </w:tcPr>
          <w:p w14:paraId="175C31B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0.62</w:t>
            </w:r>
          </w:p>
        </w:tc>
        <w:tc>
          <w:tcPr>
            <w:tcW w:w="1060" w:type="dxa"/>
            <w:tcBorders>
              <w:top w:val="nil"/>
              <w:left w:val="nil"/>
              <w:bottom w:val="single" w:sz="4" w:space="0" w:color="000000"/>
              <w:right w:val="single" w:sz="4" w:space="0" w:color="000000"/>
            </w:tcBorders>
            <w:shd w:val="clear" w:color="auto" w:fill="FFFFFF"/>
            <w:vAlign w:val="bottom"/>
          </w:tcPr>
          <w:p w14:paraId="46EC078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0.35-1.29</w:t>
            </w:r>
          </w:p>
        </w:tc>
        <w:tc>
          <w:tcPr>
            <w:tcW w:w="606" w:type="dxa"/>
            <w:tcBorders>
              <w:top w:val="nil"/>
              <w:left w:val="nil"/>
              <w:bottom w:val="single" w:sz="4" w:space="0" w:color="000000"/>
              <w:right w:val="single" w:sz="4" w:space="0" w:color="000000"/>
            </w:tcBorders>
            <w:shd w:val="clear" w:color="auto" w:fill="FFFFFF"/>
            <w:vAlign w:val="bottom"/>
          </w:tcPr>
          <w:p w14:paraId="67EAB6C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3272516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66AA7C5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0.91</w:t>
            </w:r>
          </w:p>
        </w:tc>
        <w:tc>
          <w:tcPr>
            <w:tcW w:w="1198" w:type="dxa"/>
            <w:tcBorders>
              <w:top w:val="nil"/>
              <w:left w:val="nil"/>
              <w:bottom w:val="single" w:sz="4" w:space="0" w:color="000000"/>
              <w:right w:val="single" w:sz="4" w:space="0" w:color="000000"/>
            </w:tcBorders>
            <w:shd w:val="clear" w:color="auto" w:fill="FFFFFF"/>
            <w:vAlign w:val="bottom"/>
          </w:tcPr>
          <w:p w14:paraId="3571FDB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0.82-1.37</w:t>
            </w:r>
          </w:p>
        </w:tc>
        <w:tc>
          <w:tcPr>
            <w:tcW w:w="595" w:type="dxa"/>
            <w:tcBorders>
              <w:top w:val="nil"/>
              <w:left w:val="nil"/>
              <w:bottom w:val="single" w:sz="4" w:space="0" w:color="000000"/>
              <w:right w:val="single" w:sz="4" w:space="0" w:color="000000"/>
            </w:tcBorders>
            <w:shd w:val="clear" w:color="auto" w:fill="FFFFFF"/>
            <w:vAlign w:val="bottom"/>
          </w:tcPr>
          <w:p w14:paraId="711F079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0.49</w:t>
            </w:r>
          </w:p>
        </w:tc>
        <w:tc>
          <w:tcPr>
            <w:tcW w:w="790" w:type="dxa"/>
            <w:gridSpan w:val="2"/>
            <w:tcBorders>
              <w:top w:val="nil"/>
              <w:left w:val="nil"/>
              <w:bottom w:val="single" w:sz="4" w:space="0" w:color="000000"/>
              <w:right w:val="single" w:sz="4" w:space="0" w:color="000000"/>
            </w:tcBorders>
            <w:shd w:val="clear" w:color="auto" w:fill="FFFFFF"/>
            <w:vAlign w:val="bottom"/>
          </w:tcPr>
          <w:p w14:paraId="4E73B301"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100.00</w:t>
            </w:r>
          </w:p>
        </w:tc>
        <w:tc>
          <w:tcPr>
            <w:tcW w:w="1218" w:type="dxa"/>
            <w:tcBorders>
              <w:top w:val="nil"/>
              <w:left w:val="nil"/>
              <w:bottom w:val="single" w:sz="4" w:space="0" w:color="000000"/>
              <w:right w:val="single" w:sz="4" w:space="0" w:color="000000"/>
            </w:tcBorders>
            <w:shd w:val="clear" w:color="auto" w:fill="FFFFFF"/>
            <w:vAlign w:val="bottom"/>
          </w:tcPr>
          <w:p w14:paraId="47A70434"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100-100</w:t>
            </w:r>
          </w:p>
        </w:tc>
        <w:tc>
          <w:tcPr>
            <w:tcW w:w="1591" w:type="dxa"/>
            <w:tcBorders>
              <w:top w:val="nil"/>
              <w:left w:val="nil"/>
              <w:bottom w:val="single" w:sz="4" w:space="0" w:color="000000"/>
              <w:right w:val="single" w:sz="4" w:space="0" w:color="000000"/>
            </w:tcBorders>
            <w:shd w:val="clear" w:color="auto" w:fill="FFFFFF"/>
            <w:vAlign w:val="bottom"/>
          </w:tcPr>
          <w:p w14:paraId="6D592CBC"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0.00</w:t>
            </w:r>
          </w:p>
        </w:tc>
      </w:tr>
      <w:tr w:rsidR="002112A8" w14:paraId="111D08A2"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600779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Liver</w:t>
            </w:r>
          </w:p>
        </w:tc>
        <w:tc>
          <w:tcPr>
            <w:tcW w:w="759" w:type="dxa"/>
            <w:tcBorders>
              <w:top w:val="nil"/>
              <w:left w:val="nil"/>
              <w:bottom w:val="single" w:sz="4" w:space="0" w:color="000000"/>
              <w:right w:val="single" w:sz="4" w:space="0" w:color="000000"/>
            </w:tcBorders>
            <w:shd w:val="clear" w:color="auto" w:fill="FFFFFF"/>
            <w:vAlign w:val="bottom"/>
          </w:tcPr>
          <w:p w14:paraId="2AF8554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13EBC5C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w:t>
            </w:r>
          </w:p>
        </w:tc>
        <w:tc>
          <w:tcPr>
            <w:tcW w:w="1060" w:type="dxa"/>
            <w:tcBorders>
              <w:top w:val="nil"/>
              <w:left w:val="nil"/>
              <w:bottom w:val="single" w:sz="4" w:space="0" w:color="000000"/>
              <w:right w:val="single" w:sz="4" w:space="0" w:color="000000"/>
            </w:tcBorders>
            <w:shd w:val="clear" w:color="auto" w:fill="FFFFFF"/>
            <w:vAlign w:val="bottom"/>
          </w:tcPr>
          <w:p w14:paraId="570F465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w:t>
            </w:r>
          </w:p>
        </w:tc>
        <w:tc>
          <w:tcPr>
            <w:tcW w:w="606" w:type="dxa"/>
            <w:tcBorders>
              <w:top w:val="nil"/>
              <w:left w:val="nil"/>
              <w:bottom w:val="single" w:sz="4" w:space="0" w:color="000000"/>
              <w:right w:val="single" w:sz="4" w:space="0" w:color="000000"/>
            </w:tcBorders>
            <w:shd w:val="clear" w:color="auto" w:fill="FFFFFF"/>
            <w:vAlign w:val="bottom"/>
          </w:tcPr>
          <w:p w14:paraId="000AA31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0.54</w:t>
            </w:r>
          </w:p>
        </w:tc>
        <w:tc>
          <w:tcPr>
            <w:tcW w:w="1060" w:type="dxa"/>
            <w:tcBorders>
              <w:top w:val="nil"/>
              <w:left w:val="nil"/>
              <w:bottom w:val="single" w:sz="4" w:space="0" w:color="000000"/>
              <w:right w:val="single" w:sz="4" w:space="0" w:color="000000"/>
            </w:tcBorders>
            <w:shd w:val="clear" w:color="auto" w:fill="FFFFFF"/>
            <w:vAlign w:val="bottom"/>
          </w:tcPr>
          <w:p w14:paraId="3320871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0.41-0.63</w:t>
            </w:r>
          </w:p>
        </w:tc>
        <w:tc>
          <w:tcPr>
            <w:tcW w:w="606" w:type="dxa"/>
            <w:tcBorders>
              <w:top w:val="nil"/>
              <w:left w:val="nil"/>
              <w:bottom w:val="single" w:sz="4" w:space="0" w:color="000000"/>
              <w:right w:val="single" w:sz="4" w:space="0" w:color="000000"/>
            </w:tcBorders>
            <w:shd w:val="clear" w:color="auto" w:fill="FFFFFF"/>
            <w:vAlign w:val="bottom"/>
          </w:tcPr>
          <w:p w14:paraId="01EC863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69E56D7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w:t>
            </w:r>
          </w:p>
        </w:tc>
        <w:tc>
          <w:tcPr>
            <w:tcW w:w="606" w:type="dxa"/>
            <w:tcBorders>
              <w:top w:val="nil"/>
              <w:left w:val="nil"/>
              <w:bottom w:val="single" w:sz="4" w:space="0" w:color="000000"/>
              <w:right w:val="single" w:sz="4" w:space="0" w:color="000000"/>
            </w:tcBorders>
            <w:shd w:val="clear" w:color="auto" w:fill="FFFFFF"/>
            <w:vAlign w:val="bottom"/>
          </w:tcPr>
          <w:p w14:paraId="21A5D37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1.51</w:t>
            </w:r>
          </w:p>
        </w:tc>
        <w:tc>
          <w:tcPr>
            <w:tcW w:w="1060" w:type="dxa"/>
            <w:tcBorders>
              <w:top w:val="nil"/>
              <w:left w:val="nil"/>
              <w:bottom w:val="single" w:sz="4" w:space="0" w:color="000000"/>
              <w:right w:val="single" w:sz="4" w:space="0" w:color="000000"/>
            </w:tcBorders>
            <w:shd w:val="clear" w:color="auto" w:fill="FFFFFF"/>
            <w:vAlign w:val="bottom"/>
          </w:tcPr>
          <w:p w14:paraId="71AD52A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1.09-1.72</w:t>
            </w:r>
          </w:p>
        </w:tc>
        <w:tc>
          <w:tcPr>
            <w:tcW w:w="606" w:type="dxa"/>
            <w:tcBorders>
              <w:top w:val="nil"/>
              <w:left w:val="nil"/>
              <w:bottom w:val="single" w:sz="4" w:space="0" w:color="000000"/>
              <w:right w:val="single" w:sz="4" w:space="0" w:color="000000"/>
            </w:tcBorders>
            <w:shd w:val="clear" w:color="auto" w:fill="FFFFFF"/>
            <w:vAlign w:val="bottom"/>
          </w:tcPr>
          <w:p w14:paraId="214941F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1273698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70A45BF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0.54</w:t>
            </w:r>
          </w:p>
        </w:tc>
        <w:tc>
          <w:tcPr>
            <w:tcW w:w="1198" w:type="dxa"/>
            <w:tcBorders>
              <w:top w:val="nil"/>
              <w:left w:val="nil"/>
              <w:bottom w:val="single" w:sz="4" w:space="0" w:color="000000"/>
              <w:right w:val="single" w:sz="4" w:space="0" w:color="000000"/>
            </w:tcBorders>
            <w:shd w:val="clear" w:color="auto" w:fill="FFFFFF"/>
            <w:vAlign w:val="bottom"/>
          </w:tcPr>
          <w:p w14:paraId="6C6949E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0.41-0.63</w:t>
            </w:r>
          </w:p>
        </w:tc>
        <w:tc>
          <w:tcPr>
            <w:tcW w:w="595" w:type="dxa"/>
            <w:tcBorders>
              <w:top w:val="nil"/>
              <w:left w:val="nil"/>
              <w:bottom w:val="single" w:sz="4" w:space="0" w:color="000000"/>
              <w:right w:val="single" w:sz="4" w:space="0" w:color="000000"/>
            </w:tcBorders>
            <w:shd w:val="clear" w:color="auto" w:fill="FFFFFF"/>
            <w:vAlign w:val="bottom"/>
          </w:tcPr>
          <w:p w14:paraId="1E460D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0.29</w:t>
            </w:r>
          </w:p>
        </w:tc>
        <w:tc>
          <w:tcPr>
            <w:tcW w:w="790" w:type="dxa"/>
            <w:gridSpan w:val="2"/>
            <w:tcBorders>
              <w:top w:val="nil"/>
              <w:left w:val="nil"/>
              <w:bottom w:val="single" w:sz="4" w:space="0" w:color="000000"/>
              <w:right w:val="single" w:sz="4" w:space="0" w:color="000000"/>
            </w:tcBorders>
            <w:shd w:val="clear" w:color="auto" w:fill="FFFFFF"/>
            <w:vAlign w:val="bottom"/>
          </w:tcPr>
          <w:p w14:paraId="00865939"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98.47</w:t>
            </w:r>
          </w:p>
        </w:tc>
        <w:tc>
          <w:tcPr>
            <w:tcW w:w="1218" w:type="dxa"/>
            <w:tcBorders>
              <w:top w:val="nil"/>
              <w:left w:val="nil"/>
              <w:bottom w:val="single" w:sz="4" w:space="0" w:color="000000"/>
              <w:right w:val="single" w:sz="4" w:space="0" w:color="000000"/>
            </w:tcBorders>
            <w:shd w:val="clear" w:color="auto" w:fill="FFFFFF"/>
            <w:vAlign w:val="bottom"/>
          </w:tcPr>
          <w:p w14:paraId="3D1990DC"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86.87-100</w:t>
            </w:r>
          </w:p>
        </w:tc>
        <w:tc>
          <w:tcPr>
            <w:tcW w:w="1591" w:type="dxa"/>
            <w:tcBorders>
              <w:top w:val="nil"/>
              <w:left w:val="nil"/>
              <w:bottom w:val="single" w:sz="4" w:space="0" w:color="000000"/>
              <w:right w:val="single" w:sz="4" w:space="0" w:color="000000"/>
            </w:tcBorders>
            <w:shd w:val="clear" w:color="auto" w:fill="FFFFFF"/>
            <w:vAlign w:val="bottom"/>
          </w:tcPr>
          <w:p w14:paraId="18D727C2"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0.11</w:t>
            </w:r>
          </w:p>
        </w:tc>
      </w:tr>
      <w:tr w:rsidR="002112A8" w14:paraId="1EF1EE32"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21E0E97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Lungs</w:t>
            </w:r>
          </w:p>
        </w:tc>
        <w:tc>
          <w:tcPr>
            <w:tcW w:w="759" w:type="dxa"/>
            <w:tcBorders>
              <w:top w:val="nil"/>
              <w:left w:val="nil"/>
              <w:bottom w:val="single" w:sz="4" w:space="0" w:color="000000"/>
              <w:right w:val="single" w:sz="4" w:space="0" w:color="000000"/>
            </w:tcBorders>
            <w:shd w:val="clear" w:color="auto" w:fill="FFFFFF"/>
            <w:vAlign w:val="bottom"/>
          </w:tcPr>
          <w:p w14:paraId="4C6895E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1T2K</w:t>
            </w:r>
          </w:p>
        </w:tc>
        <w:tc>
          <w:tcPr>
            <w:tcW w:w="606" w:type="dxa"/>
            <w:tcBorders>
              <w:top w:val="nil"/>
              <w:left w:val="nil"/>
              <w:bottom w:val="single" w:sz="4" w:space="0" w:color="000000"/>
              <w:right w:val="single" w:sz="4" w:space="0" w:color="000000"/>
            </w:tcBorders>
            <w:shd w:val="clear" w:color="auto" w:fill="FFFFFF"/>
            <w:vAlign w:val="bottom"/>
          </w:tcPr>
          <w:p w14:paraId="634B907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w:t>
            </w:r>
          </w:p>
        </w:tc>
        <w:tc>
          <w:tcPr>
            <w:tcW w:w="1060" w:type="dxa"/>
            <w:tcBorders>
              <w:top w:val="nil"/>
              <w:left w:val="nil"/>
              <w:bottom w:val="single" w:sz="4" w:space="0" w:color="000000"/>
              <w:right w:val="single" w:sz="4" w:space="0" w:color="000000"/>
            </w:tcBorders>
            <w:shd w:val="clear" w:color="auto" w:fill="FFFFFF"/>
            <w:vAlign w:val="bottom"/>
          </w:tcPr>
          <w:p w14:paraId="64F10A8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0.1-0.15</w:t>
            </w:r>
          </w:p>
        </w:tc>
        <w:tc>
          <w:tcPr>
            <w:tcW w:w="606" w:type="dxa"/>
            <w:tcBorders>
              <w:top w:val="nil"/>
              <w:left w:val="nil"/>
              <w:bottom w:val="single" w:sz="4" w:space="0" w:color="000000"/>
              <w:right w:val="single" w:sz="4" w:space="0" w:color="000000"/>
            </w:tcBorders>
            <w:shd w:val="clear" w:color="auto" w:fill="FFFFFF"/>
            <w:vAlign w:val="bottom"/>
          </w:tcPr>
          <w:p w14:paraId="0E2CCD5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w:t>
            </w:r>
          </w:p>
        </w:tc>
        <w:tc>
          <w:tcPr>
            <w:tcW w:w="1060" w:type="dxa"/>
            <w:tcBorders>
              <w:top w:val="nil"/>
              <w:left w:val="nil"/>
              <w:bottom w:val="single" w:sz="4" w:space="0" w:color="000000"/>
              <w:right w:val="single" w:sz="4" w:space="0" w:color="000000"/>
            </w:tcBorders>
            <w:shd w:val="clear" w:color="auto" w:fill="FFFFFF"/>
            <w:vAlign w:val="bottom"/>
          </w:tcPr>
          <w:p w14:paraId="67CE00E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0.02-0.02</w:t>
            </w:r>
          </w:p>
        </w:tc>
        <w:tc>
          <w:tcPr>
            <w:tcW w:w="606" w:type="dxa"/>
            <w:tcBorders>
              <w:top w:val="nil"/>
              <w:left w:val="nil"/>
              <w:bottom w:val="single" w:sz="4" w:space="0" w:color="000000"/>
              <w:right w:val="single" w:sz="4" w:space="0" w:color="000000"/>
            </w:tcBorders>
            <w:shd w:val="clear" w:color="auto" w:fill="FFFFFF"/>
            <w:vAlign w:val="bottom"/>
          </w:tcPr>
          <w:p w14:paraId="6504B11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000BD5F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0.01-0.01</w:t>
            </w:r>
          </w:p>
        </w:tc>
        <w:tc>
          <w:tcPr>
            <w:tcW w:w="606" w:type="dxa"/>
            <w:tcBorders>
              <w:top w:val="nil"/>
              <w:left w:val="nil"/>
              <w:bottom w:val="single" w:sz="4" w:space="0" w:color="000000"/>
              <w:right w:val="single" w:sz="4" w:space="0" w:color="000000"/>
            </w:tcBorders>
            <w:shd w:val="clear" w:color="auto" w:fill="FFFFFF"/>
            <w:vAlign w:val="bottom"/>
          </w:tcPr>
          <w:p w14:paraId="611D420B"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3A7B98DC" w14:textId="77777777" w:rsidR="002112A8" w:rsidRDefault="002112A8" w:rsidP="00670F7C">
            <w:pPr>
              <w:spacing w:after="0" w:line="240" w:lineRule="auto"/>
              <w:jc w:val="both"/>
              <w:rPr>
                <w:rFonts w:ascii="Calibri" w:hAnsi="Calibri"/>
                <w:color w:val="000000"/>
                <w:sz w:val="20"/>
              </w:rPr>
            </w:pPr>
          </w:p>
        </w:tc>
        <w:tc>
          <w:tcPr>
            <w:tcW w:w="606" w:type="dxa"/>
            <w:tcBorders>
              <w:top w:val="nil"/>
              <w:left w:val="nil"/>
              <w:bottom w:val="single" w:sz="4" w:space="0" w:color="000000"/>
              <w:right w:val="single" w:sz="4" w:space="0" w:color="000000"/>
            </w:tcBorders>
            <w:shd w:val="clear" w:color="auto" w:fill="FFFFFF"/>
            <w:vAlign w:val="bottom"/>
          </w:tcPr>
          <w:p w14:paraId="32A3F083" w14:textId="77777777" w:rsidR="002112A8" w:rsidRDefault="002112A8" w:rsidP="00670F7C">
            <w:pPr>
              <w:spacing w:after="0" w:line="240" w:lineRule="auto"/>
              <w:jc w:val="both"/>
              <w:rPr>
                <w:rFonts w:ascii="Calibri" w:hAnsi="Calibri"/>
                <w:color w:val="000000"/>
                <w:sz w:val="20"/>
              </w:rPr>
            </w:pPr>
          </w:p>
        </w:tc>
        <w:tc>
          <w:tcPr>
            <w:tcW w:w="1060" w:type="dxa"/>
            <w:tcBorders>
              <w:top w:val="nil"/>
              <w:left w:val="nil"/>
              <w:bottom w:val="single" w:sz="4" w:space="0" w:color="000000"/>
              <w:right w:val="single" w:sz="4" w:space="0" w:color="000000"/>
            </w:tcBorders>
            <w:shd w:val="clear" w:color="auto" w:fill="FFFFFF"/>
            <w:vAlign w:val="bottom"/>
          </w:tcPr>
          <w:p w14:paraId="564E9B18" w14:textId="77777777" w:rsidR="002112A8" w:rsidRDefault="002112A8" w:rsidP="00670F7C">
            <w:pPr>
              <w:spacing w:after="0" w:line="240" w:lineRule="auto"/>
              <w:jc w:val="both"/>
              <w:rPr>
                <w:rFonts w:ascii="Calibri" w:hAnsi="Calibri"/>
                <w:color w:val="000000"/>
                <w:sz w:val="20"/>
              </w:rPr>
            </w:pPr>
          </w:p>
        </w:tc>
        <w:tc>
          <w:tcPr>
            <w:tcW w:w="624" w:type="dxa"/>
            <w:tcBorders>
              <w:top w:val="nil"/>
              <w:left w:val="nil"/>
              <w:bottom w:val="single" w:sz="4" w:space="0" w:color="000000"/>
              <w:right w:val="single" w:sz="4" w:space="0" w:color="000000"/>
            </w:tcBorders>
            <w:shd w:val="clear" w:color="auto" w:fill="FFFFFF"/>
            <w:vAlign w:val="bottom"/>
          </w:tcPr>
          <w:p w14:paraId="20A0C8D4"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0.01</w:t>
            </w:r>
          </w:p>
        </w:tc>
        <w:tc>
          <w:tcPr>
            <w:tcW w:w="1198" w:type="dxa"/>
            <w:tcBorders>
              <w:top w:val="nil"/>
              <w:left w:val="nil"/>
              <w:bottom w:val="single" w:sz="4" w:space="0" w:color="000000"/>
              <w:right w:val="single" w:sz="4" w:space="0" w:color="000000"/>
            </w:tcBorders>
            <w:shd w:val="clear" w:color="auto" w:fill="FFFFFF"/>
            <w:vAlign w:val="bottom"/>
          </w:tcPr>
          <w:p w14:paraId="53453013"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0.01-0.01</w:t>
            </w:r>
          </w:p>
        </w:tc>
        <w:tc>
          <w:tcPr>
            <w:tcW w:w="595" w:type="dxa"/>
            <w:tcBorders>
              <w:top w:val="nil"/>
              <w:left w:val="nil"/>
              <w:bottom w:val="single" w:sz="4" w:space="0" w:color="000000"/>
              <w:right w:val="single" w:sz="4" w:space="0" w:color="000000"/>
            </w:tcBorders>
            <w:shd w:val="clear" w:color="auto" w:fill="FFFFFF"/>
            <w:vAlign w:val="bottom"/>
          </w:tcPr>
          <w:p w14:paraId="2052388C"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0.27</w:t>
            </w:r>
          </w:p>
        </w:tc>
        <w:tc>
          <w:tcPr>
            <w:tcW w:w="790" w:type="dxa"/>
            <w:gridSpan w:val="2"/>
            <w:tcBorders>
              <w:top w:val="nil"/>
              <w:left w:val="nil"/>
              <w:bottom w:val="single" w:sz="4" w:space="0" w:color="000000"/>
              <w:right w:val="single" w:sz="4" w:space="0" w:color="000000"/>
            </w:tcBorders>
            <w:shd w:val="clear" w:color="auto" w:fill="FFFFFF"/>
            <w:vAlign w:val="bottom"/>
          </w:tcPr>
          <w:p w14:paraId="0D501F1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2.76</w:t>
            </w:r>
          </w:p>
        </w:tc>
        <w:tc>
          <w:tcPr>
            <w:tcW w:w="1218" w:type="dxa"/>
            <w:tcBorders>
              <w:top w:val="nil"/>
              <w:left w:val="nil"/>
              <w:bottom w:val="single" w:sz="4" w:space="0" w:color="000000"/>
              <w:right w:val="single" w:sz="4" w:space="0" w:color="000000"/>
            </w:tcBorders>
            <w:shd w:val="clear" w:color="auto" w:fill="FFFFFF"/>
            <w:vAlign w:val="bottom"/>
          </w:tcPr>
          <w:p w14:paraId="55C4783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2.24-3.1</w:t>
            </w:r>
          </w:p>
        </w:tc>
        <w:tc>
          <w:tcPr>
            <w:tcW w:w="1591" w:type="dxa"/>
            <w:tcBorders>
              <w:top w:val="nil"/>
              <w:left w:val="nil"/>
              <w:bottom w:val="single" w:sz="4" w:space="0" w:color="000000"/>
              <w:right w:val="single" w:sz="4" w:space="0" w:color="000000"/>
            </w:tcBorders>
            <w:shd w:val="clear" w:color="auto" w:fill="FFFFFF"/>
            <w:vAlign w:val="bottom"/>
          </w:tcPr>
          <w:p w14:paraId="6D45845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0.27</w:t>
            </w:r>
          </w:p>
        </w:tc>
      </w:tr>
      <w:tr w:rsidR="002112A8" w14:paraId="5741B3CB"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424BB4D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Lymph nodes</w:t>
            </w:r>
          </w:p>
        </w:tc>
        <w:tc>
          <w:tcPr>
            <w:tcW w:w="759" w:type="dxa"/>
            <w:tcBorders>
              <w:top w:val="nil"/>
              <w:left w:val="nil"/>
              <w:bottom w:val="single" w:sz="4" w:space="0" w:color="000000"/>
              <w:right w:val="single" w:sz="4" w:space="0" w:color="000000"/>
            </w:tcBorders>
            <w:shd w:val="clear" w:color="auto" w:fill="FFFFFF"/>
            <w:vAlign w:val="bottom"/>
          </w:tcPr>
          <w:p w14:paraId="6D64F97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55C40D6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5D42C59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0.01-0.02</w:t>
            </w:r>
          </w:p>
        </w:tc>
        <w:tc>
          <w:tcPr>
            <w:tcW w:w="606" w:type="dxa"/>
            <w:tcBorders>
              <w:top w:val="nil"/>
              <w:left w:val="nil"/>
              <w:bottom w:val="single" w:sz="4" w:space="0" w:color="000000"/>
              <w:right w:val="single" w:sz="4" w:space="0" w:color="000000"/>
            </w:tcBorders>
            <w:shd w:val="clear" w:color="auto" w:fill="FFFFFF"/>
            <w:vAlign w:val="bottom"/>
          </w:tcPr>
          <w:p w14:paraId="65A2186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w:t>
            </w:r>
          </w:p>
        </w:tc>
        <w:tc>
          <w:tcPr>
            <w:tcW w:w="1060" w:type="dxa"/>
            <w:tcBorders>
              <w:top w:val="nil"/>
              <w:left w:val="nil"/>
              <w:bottom w:val="single" w:sz="4" w:space="0" w:color="000000"/>
              <w:right w:val="single" w:sz="4" w:space="0" w:color="000000"/>
            </w:tcBorders>
            <w:shd w:val="clear" w:color="auto" w:fill="FFFFFF"/>
            <w:vAlign w:val="bottom"/>
          </w:tcPr>
          <w:p w14:paraId="168F014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0.03-0.08</w:t>
            </w:r>
          </w:p>
        </w:tc>
        <w:tc>
          <w:tcPr>
            <w:tcW w:w="606" w:type="dxa"/>
            <w:tcBorders>
              <w:top w:val="nil"/>
              <w:left w:val="nil"/>
              <w:bottom w:val="single" w:sz="4" w:space="0" w:color="000000"/>
              <w:right w:val="single" w:sz="4" w:space="0" w:color="000000"/>
            </w:tcBorders>
            <w:shd w:val="clear" w:color="auto" w:fill="FFFFFF"/>
            <w:vAlign w:val="bottom"/>
          </w:tcPr>
          <w:p w14:paraId="073012A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0.27</w:t>
            </w:r>
          </w:p>
        </w:tc>
        <w:tc>
          <w:tcPr>
            <w:tcW w:w="1060" w:type="dxa"/>
            <w:tcBorders>
              <w:top w:val="nil"/>
              <w:left w:val="nil"/>
              <w:bottom w:val="single" w:sz="4" w:space="0" w:color="000000"/>
              <w:right w:val="single" w:sz="4" w:space="0" w:color="000000"/>
            </w:tcBorders>
            <w:shd w:val="clear" w:color="auto" w:fill="FFFFFF"/>
            <w:vAlign w:val="bottom"/>
          </w:tcPr>
          <w:p w14:paraId="5A4843B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0.06-0.48</w:t>
            </w:r>
          </w:p>
        </w:tc>
        <w:tc>
          <w:tcPr>
            <w:tcW w:w="606" w:type="dxa"/>
            <w:tcBorders>
              <w:top w:val="nil"/>
              <w:left w:val="nil"/>
              <w:bottom w:val="single" w:sz="4" w:space="0" w:color="000000"/>
              <w:right w:val="single" w:sz="4" w:space="0" w:color="000000"/>
            </w:tcBorders>
            <w:shd w:val="clear" w:color="auto" w:fill="FFFFFF"/>
            <w:vAlign w:val="bottom"/>
          </w:tcPr>
          <w:p w14:paraId="2159D1E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0.25</w:t>
            </w:r>
          </w:p>
        </w:tc>
        <w:tc>
          <w:tcPr>
            <w:tcW w:w="1060" w:type="dxa"/>
            <w:tcBorders>
              <w:top w:val="nil"/>
              <w:left w:val="nil"/>
              <w:bottom w:val="single" w:sz="4" w:space="0" w:color="000000"/>
              <w:right w:val="single" w:sz="4" w:space="0" w:color="000000"/>
            </w:tcBorders>
            <w:shd w:val="clear" w:color="auto" w:fill="FFFFFF"/>
            <w:vAlign w:val="bottom"/>
          </w:tcPr>
          <w:p w14:paraId="0DD5E39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0.12-0.55</w:t>
            </w:r>
          </w:p>
        </w:tc>
        <w:tc>
          <w:tcPr>
            <w:tcW w:w="606" w:type="dxa"/>
            <w:tcBorders>
              <w:top w:val="nil"/>
              <w:left w:val="nil"/>
              <w:bottom w:val="single" w:sz="4" w:space="0" w:color="000000"/>
              <w:right w:val="single" w:sz="4" w:space="0" w:color="000000"/>
            </w:tcBorders>
            <w:shd w:val="clear" w:color="auto" w:fill="FFFFFF"/>
            <w:vAlign w:val="bottom"/>
          </w:tcPr>
          <w:p w14:paraId="6188971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5019C7B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080EA5D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w:t>
            </w:r>
          </w:p>
        </w:tc>
        <w:tc>
          <w:tcPr>
            <w:tcW w:w="1198" w:type="dxa"/>
            <w:tcBorders>
              <w:top w:val="nil"/>
              <w:left w:val="nil"/>
              <w:bottom w:val="single" w:sz="4" w:space="0" w:color="000000"/>
              <w:right w:val="single" w:sz="4" w:space="0" w:color="000000"/>
            </w:tcBorders>
            <w:shd w:val="clear" w:color="auto" w:fill="FFFFFF"/>
            <w:vAlign w:val="bottom"/>
          </w:tcPr>
          <w:p w14:paraId="34FC3EE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0.02-0.04</w:t>
            </w:r>
          </w:p>
        </w:tc>
        <w:tc>
          <w:tcPr>
            <w:tcW w:w="595" w:type="dxa"/>
            <w:tcBorders>
              <w:top w:val="nil"/>
              <w:left w:val="nil"/>
              <w:bottom w:val="single" w:sz="4" w:space="0" w:color="000000"/>
              <w:right w:val="single" w:sz="4" w:space="0" w:color="000000"/>
            </w:tcBorders>
            <w:shd w:val="clear" w:color="auto" w:fill="FFFFFF"/>
            <w:vAlign w:val="bottom"/>
          </w:tcPr>
          <w:p w14:paraId="4C0721E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0.46</w:t>
            </w:r>
          </w:p>
        </w:tc>
        <w:tc>
          <w:tcPr>
            <w:tcW w:w="790" w:type="dxa"/>
            <w:gridSpan w:val="2"/>
            <w:tcBorders>
              <w:top w:val="nil"/>
              <w:left w:val="nil"/>
              <w:bottom w:val="single" w:sz="4" w:space="0" w:color="000000"/>
              <w:right w:val="single" w:sz="4" w:space="0" w:color="000000"/>
            </w:tcBorders>
            <w:shd w:val="clear" w:color="auto" w:fill="FFFFFF"/>
            <w:vAlign w:val="bottom"/>
          </w:tcPr>
          <w:p w14:paraId="48AC74E8"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9.00</w:t>
            </w:r>
          </w:p>
        </w:tc>
        <w:tc>
          <w:tcPr>
            <w:tcW w:w="1218" w:type="dxa"/>
            <w:tcBorders>
              <w:top w:val="nil"/>
              <w:left w:val="nil"/>
              <w:bottom w:val="single" w:sz="4" w:space="0" w:color="000000"/>
              <w:right w:val="single" w:sz="4" w:space="0" w:color="000000"/>
            </w:tcBorders>
            <w:shd w:val="clear" w:color="auto" w:fill="FFFFFF"/>
            <w:vAlign w:val="bottom"/>
          </w:tcPr>
          <w:p w14:paraId="1B0DC7E4"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4.75-20.16</w:t>
            </w:r>
          </w:p>
        </w:tc>
        <w:tc>
          <w:tcPr>
            <w:tcW w:w="1591" w:type="dxa"/>
            <w:tcBorders>
              <w:top w:val="nil"/>
              <w:left w:val="nil"/>
              <w:bottom w:val="single" w:sz="4" w:space="0" w:color="000000"/>
              <w:right w:val="single" w:sz="4" w:space="0" w:color="000000"/>
            </w:tcBorders>
            <w:shd w:val="clear" w:color="auto" w:fill="FFFFFF"/>
            <w:vAlign w:val="bottom"/>
          </w:tcPr>
          <w:p w14:paraId="7ABA46F9"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1.31</w:t>
            </w:r>
          </w:p>
        </w:tc>
      </w:tr>
      <w:tr w:rsidR="002112A8" w14:paraId="24EAB8D4"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0E9B5DF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Muscle</w:t>
            </w:r>
          </w:p>
        </w:tc>
        <w:tc>
          <w:tcPr>
            <w:tcW w:w="759" w:type="dxa"/>
            <w:tcBorders>
              <w:top w:val="nil"/>
              <w:left w:val="nil"/>
              <w:bottom w:val="single" w:sz="4" w:space="0" w:color="000000"/>
              <w:right w:val="single" w:sz="4" w:space="0" w:color="000000"/>
            </w:tcBorders>
            <w:shd w:val="clear" w:color="auto" w:fill="FFFFFF"/>
            <w:vAlign w:val="bottom"/>
          </w:tcPr>
          <w:p w14:paraId="7970CA2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7708634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w:t>
            </w:r>
          </w:p>
        </w:tc>
        <w:tc>
          <w:tcPr>
            <w:tcW w:w="1060" w:type="dxa"/>
            <w:tcBorders>
              <w:top w:val="nil"/>
              <w:left w:val="nil"/>
              <w:bottom w:val="single" w:sz="4" w:space="0" w:color="000000"/>
              <w:right w:val="single" w:sz="4" w:space="0" w:color="000000"/>
            </w:tcBorders>
            <w:shd w:val="clear" w:color="auto" w:fill="FFFFFF"/>
            <w:vAlign w:val="bottom"/>
          </w:tcPr>
          <w:p w14:paraId="17D599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0-0.01</w:t>
            </w:r>
          </w:p>
        </w:tc>
        <w:tc>
          <w:tcPr>
            <w:tcW w:w="606" w:type="dxa"/>
            <w:tcBorders>
              <w:top w:val="nil"/>
              <w:left w:val="nil"/>
              <w:bottom w:val="single" w:sz="4" w:space="0" w:color="000000"/>
              <w:right w:val="single" w:sz="4" w:space="0" w:color="000000"/>
            </w:tcBorders>
            <w:shd w:val="clear" w:color="auto" w:fill="FFFFFF"/>
            <w:vAlign w:val="bottom"/>
          </w:tcPr>
          <w:p w14:paraId="78743CB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1E49EFE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0.03-0.04</w:t>
            </w:r>
          </w:p>
        </w:tc>
        <w:tc>
          <w:tcPr>
            <w:tcW w:w="606" w:type="dxa"/>
            <w:tcBorders>
              <w:top w:val="nil"/>
              <w:left w:val="nil"/>
              <w:bottom w:val="single" w:sz="4" w:space="0" w:color="000000"/>
              <w:right w:val="single" w:sz="4" w:space="0" w:color="000000"/>
            </w:tcBorders>
            <w:shd w:val="clear" w:color="auto" w:fill="FFFFFF"/>
            <w:vAlign w:val="bottom"/>
          </w:tcPr>
          <w:p w14:paraId="158640D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5A719D7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0.01-0.09</w:t>
            </w:r>
          </w:p>
        </w:tc>
        <w:tc>
          <w:tcPr>
            <w:tcW w:w="606" w:type="dxa"/>
            <w:tcBorders>
              <w:top w:val="nil"/>
              <w:left w:val="nil"/>
              <w:bottom w:val="single" w:sz="4" w:space="0" w:color="000000"/>
              <w:right w:val="single" w:sz="4" w:space="0" w:color="000000"/>
            </w:tcBorders>
            <w:shd w:val="clear" w:color="auto" w:fill="FFFFFF"/>
            <w:vAlign w:val="bottom"/>
          </w:tcPr>
          <w:p w14:paraId="53B1DA2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0.14</w:t>
            </w:r>
          </w:p>
        </w:tc>
        <w:tc>
          <w:tcPr>
            <w:tcW w:w="1060" w:type="dxa"/>
            <w:tcBorders>
              <w:top w:val="nil"/>
              <w:left w:val="nil"/>
              <w:bottom w:val="single" w:sz="4" w:space="0" w:color="000000"/>
              <w:right w:val="single" w:sz="4" w:space="0" w:color="000000"/>
            </w:tcBorders>
            <w:shd w:val="clear" w:color="auto" w:fill="FFFFFF"/>
            <w:vAlign w:val="bottom"/>
          </w:tcPr>
          <w:p w14:paraId="690A1B4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0.06-0.22</w:t>
            </w:r>
          </w:p>
        </w:tc>
        <w:tc>
          <w:tcPr>
            <w:tcW w:w="606" w:type="dxa"/>
            <w:tcBorders>
              <w:top w:val="nil"/>
              <w:left w:val="nil"/>
              <w:bottom w:val="single" w:sz="4" w:space="0" w:color="000000"/>
              <w:right w:val="single" w:sz="4" w:space="0" w:color="000000"/>
            </w:tcBorders>
            <w:shd w:val="clear" w:color="auto" w:fill="FFFFFF"/>
            <w:vAlign w:val="bottom"/>
          </w:tcPr>
          <w:p w14:paraId="43C52CD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7E56EB5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678FF06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w:t>
            </w:r>
          </w:p>
        </w:tc>
        <w:tc>
          <w:tcPr>
            <w:tcW w:w="1198" w:type="dxa"/>
            <w:tcBorders>
              <w:top w:val="nil"/>
              <w:left w:val="nil"/>
              <w:bottom w:val="single" w:sz="4" w:space="0" w:color="000000"/>
              <w:right w:val="single" w:sz="4" w:space="0" w:color="000000"/>
            </w:tcBorders>
            <w:shd w:val="clear" w:color="auto" w:fill="FFFFFF"/>
            <w:vAlign w:val="bottom"/>
          </w:tcPr>
          <w:p w14:paraId="180774D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0.02-0.03</w:t>
            </w:r>
          </w:p>
        </w:tc>
        <w:tc>
          <w:tcPr>
            <w:tcW w:w="595" w:type="dxa"/>
            <w:tcBorders>
              <w:top w:val="nil"/>
              <w:left w:val="nil"/>
              <w:bottom w:val="single" w:sz="4" w:space="0" w:color="000000"/>
              <w:right w:val="single" w:sz="4" w:space="0" w:color="000000"/>
            </w:tcBorders>
            <w:shd w:val="clear" w:color="auto" w:fill="FFFFFF"/>
            <w:vAlign w:val="bottom"/>
          </w:tcPr>
          <w:p w14:paraId="711B385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0.23</w:t>
            </w:r>
          </w:p>
        </w:tc>
        <w:tc>
          <w:tcPr>
            <w:tcW w:w="790" w:type="dxa"/>
            <w:gridSpan w:val="2"/>
            <w:tcBorders>
              <w:top w:val="nil"/>
              <w:left w:val="nil"/>
              <w:bottom w:val="single" w:sz="4" w:space="0" w:color="000000"/>
              <w:right w:val="single" w:sz="4" w:space="0" w:color="000000"/>
            </w:tcBorders>
            <w:shd w:val="clear" w:color="auto" w:fill="FFFFFF"/>
            <w:vAlign w:val="bottom"/>
          </w:tcPr>
          <w:p w14:paraId="3C4E788B"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49.70</w:t>
            </w:r>
          </w:p>
        </w:tc>
        <w:tc>
          <w:tcPr>
            <w:tcW w:w="1218" w:type="dxa"/>
            <w:tcBorders>
              <w:top w:val="nil"/>
              <w:left w:val="nil"/>
              <w:bottom w:val="single" w:sz="4" w:space="0" w:color="000000"/>
              <w:right w:val="single" w:sz="4" w:space="0" w:color="000000"/>
            </w:tcBorders>
            <w:shd w:val="clear" w:color="auto" w:fill="FFFFFF"/>
            <w:vAlign w:val="bottom"/>
          </w:tcPr>
          <w:p w14:paraId="297332DB"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27.53-66.45</w:t>
            </w:r>
          </w:p>
        </w:tc>
        <w:tc>
          <w:tcPr>
            <w:tcW w:w="1591" w:type="dxa"/>
            <w:tcBorders>
              <w:top w:val="nil"/>
              <w:left w:val="nil"/>
              <w:bottom w:val="single" w:sz="4" w:space="0" w:color="000000"/>
              <w:right w:val="single" w:sz="4" w:space="0" w:color="000000"/>
            </w:tcBorders>
            <w:shd w:val="clear" w:color="auto" w:fill="FFFFFF"/>
            <w:vAlign w:val="bottom"/>
          </w:tcPr>
          <w:p w14:paraId="4372C48A"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0.55</w:t>
            </w:r>
          </w:p>
        </w:tc>
      </w:tr>
      <w:tr w:rsidR="002112A8" w14:paraId="2999AAE6"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5BC1568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Myocard</w:t>
            </w:r>
          </w:p>
        </w:tc>
        <w:tc>
          <w:tcPr>
            <w:tcW w:w="759" w:type="dxa"/>
            <w:tcBorders>
              <w:top w:val="nil"/>
              <w:left w:val="nil"/>
              <w:bottom w:val="single" w:sz="4" w:space="0" w:color="000000"/>
              <w:right w:val="single" w:sz="4" w:space="0" w:color="000000"/>
            </w:tcBorders>
            <w:shd w:val="clear" w:color="auto" w:fill="FFFFFF"/>
            <w:vAlign w:val="bottom"/>
          </w:tcPr>
          <w:p w14:paraId="232298F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015346F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0.25</w:t>
            </w:r>
          </w:p>
        </w:tc>
        <w:tc>
          <w:tcPr>
            <w:tcW w:w="1060" w:type="dxa"/>
            <w:tcBorders>
              <w:top w:val="nil"/>
              <w:left w:val="nil"/>
              <w:bottom w:val="single" w:sz="4" w:space="0" w:color="000000"/>
              <w:right w:val="single" w:sz="4" w:space="0" w:color="000000"/>
            </w:tcBorders>
            <w:shd w:val="clear" w:color="auto" w:fill="FFFFFF"/>
            <w:vAlign w:val="bottom"/>
          </w:tcPr>
          <w:p w14:paraId="72D59E7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0.18-0.28</w:t>
            </w:r>
          </w:p>
        </w:tc>
        <w:tc>
          <w:tcPr>
            <w:tcW w:w="606" w:type="dxa"/>
            <w:tcBorders>
              <w:top w:val="nil"/>
              <w:left w:val="nil"/>
              <w:bottom w:val="single" w:sz="4" w:space="0" w:color="000000"/>
              <w:right w:val="single" w:sz="4" w:space="0" w:color="000000"/>
            </w:tcBorders>
            <w:shd w:val="clear" w:color="auto" w:fill="FFFFFF"/>
            <w:vAlign w:val="bottom"/>
          </w:tcPr>
          <w:p w14:paraId="082DDC7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0.32</w:t>
            </w:r>
          </w:p>
        </w:tc>
        <w:tc>
          <w:tcPr>
            <w:tcW w:w="1060" w:type="dxa"/>
            <w:tcBorders>
              <w:top w:val="nil"/>
              <w:left w:val="nil"/>
              <w:bottom w:val="single" w:sz="4" w:space="0" w:color="000000"/>
              <w:right w:val="single" w:sz="4" w:space="0" w:color="000000"/>
            </w:tcBorders>
            <w:shd w:val="clear" w:color="auto" w:fill="FFFFFF"/>
            <w:vAlign w:val="bottom"/>
          </w:tcPr>
          <w:p w14:paraId="626F389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0.28-0.36</w:t>
            </w:r>
          </w:p>
        </w:tc>
        <w:tc>
          <w:tcPr>
            <w:tcW w:w="606" w:type="dxa"/>
            <w:tcBorders>
              <w:top w:val="nil"/>
              <w:left w:val="nil"/>
              <w:bottom w:val="single" w:sz="4" w:space="0" w:color="000000"/>
              <w:right w:val="single" w:sz="4" w:space="0" w:color="000000"/>
            </w:tcBorders>
            <w:shd w:val="clear" w:color="auto" w:fill="FFFFFF"/>
            <w:vAlign w:val="bottom"/>
          </w:tcPr>
          <w:p w14:paraId="5FDBBD2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0.11</w:t>
            </w:r>
          </w:p>
        </w:tc>
        <w:tc>
          <w:tcPr>
            <w:tcW w:w="1060" w:type="dxa"/>
            <w:tcBorders>
              <w:top w:val="nil"/>
              <w:left w:val="nil"/>
              <w:bottom w:val="single" w:sz="4" w:space="0" w:color="000000"/>
              <w:right w:val="single" w:sz="4" w:space="0" w:color="000000"/>
            </w:tcBorders>
            <w:shd w:val="clear" w:color="auto" w:fill="FFFFFF"/>
            <w:vAlign w:val="bottom"/>
          </w:tcPr>
          <w:p w14:paraId="0BF413A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0.07-0.17</w:t>
            </w:r>
          </w:p>
        </w:tc>
        <w:tc>
          <w:tcPr>
            <w:tcW w:w="606" w:type="dxa"/>
            <w:tcBorders>
              <w:top w:val="nil"/>
              <w:left w:val="nil"/>
              <w:bottom w:val="single" w:sz="4" w:space="0" w:color="000000"/>
              <w:right w:val="single" w:sz="4" w:space="0" w:color="000000"/>
            </w:tcBorders>
            <w:shd w:val="clear" w:color="auto" w:fill="FFFFFF"/>
            <w:vAlign w:val="bottom"/>
          </w:tcPr>
          <w:p w14:paraId="2DA3A88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w:t>
            </w:r>
          </w:p>
        </w:tc>
        <w:tc>
          <w:tcPr>
            <w:tcW w:w="1060" w:type="dxa"/>
            <w:tcBorders>
              <w:top w:val="nil"/>
              <w:left w:val="nil"/>
              <w:bottom w:val="single" w:sz="4" w:space="0" w:color="000000"/>
              <w:right w:val="single" w:sz="4" w:space="0" w:color="000000"/>
            </w:tcBorders>
            <w:shd w:val="clear" w:color="auto" w:fill="FFFFFF"/>
            <w:vAlign w:val="bottom"/>
          </w:tcPr>
          <w:p w14:paraId="7A84B38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0.12-0.24</w:t>
            </w:r>
          </w:p>
        </w:tc>
        <w:tc>
          <w:tcPr>
            <w:tcW w:w="606" w:type="dxa"/>
            <w:tcBorders>
              <w:top w:val="nil"/>
              <w:left w:val="nil"/>
              <w:bottom w:val="single" w:sz="4" w:space="0" w:color="000000"/>
              <w:right w:val="single" w:sz="4" w:space="0" w:color="000000"/>
            </w:tcBorders>
            <w:shd w:val="clear" w:color="auto" w:fill="FFFFFF"/>
            <w:vAlign w:val="bottom"/>
          </w:tcPr>
          <w:p w14:paraId="4FE8519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1E8F820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027CDEE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0.19</w:t>
            </w:r>
          </w:p>
        </w:tc>
        <w:tc>
          <w:tcPr>
            <w:tcW w:w="1198" w:type="dxa"/>
            <w:tcBorders>
              <w:top w:val="nil"/>
              <w:left w:val="nil"/>
              <w:bottom w:val="single" w:sz="4" w:space="0" w:color="000000"/>
              <w:right w:val="single" w:sz="4" w:space="0" w:color="000000"/>
            </w:tcBorders>
            <w:shd w:val="clear" w:color="auto" w:fill="FFFFFF"/>
            <w:vAlign w:val="bottom"/>
          </w:tcPr>
          <w:p w14:paraId="0B80F86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0.17-0.25</w:t>
            </w:r>
          </w:p>
        </w:tc>
        <w:tc>
          <w:tcPr>
            <w:tcW w:w="595" w:type="dxa"/>
            <w:tcBorders>
              <w:top w:val="nil"/>
              <w:left w:val="nil"/>
              <w:bottom w:val="single" w:sz="4" w:space="0" w:color="000000"/>
              <w:right w:val="single" w:sz="4" w:space="0" w:color="000000"/>
            </w:tcBorders>
            <w:shd w:val="clear" w:color="auto" w:fill="FFFFFF"/>
            <w:vAlign w:val="bottom"/>
          </w:tcPr>
          <w:p w14:paraId="6DC633C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0.24</w:t>
            </w:r>
          </w:p>
        </w:tc>
        <w:tc>
          <w:tcPr>
            <w:tcW w:w="790" w:type="dxa"/>
            <w:gridSpan w:val="2"/>
            <w:tcBorders>
              <w:top w:val="nil"/>
              <w:left w:val="nil"/>
              <w:bottom w:val="single" w:sz="4" w:space="0" w:color="000000"/>
              <w:right w:val="single" w:sz="4" w:space="0" w:color="000000"/>
            </w:tcBorders>
            <w:shd w:val="clear" w:color="auto" w:fill="FFFFFF"/>
            <w:vAlign w:val="bottom"/>
          </w:tcPr>
          <w:p w14:paraId="67BD3824"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59.31</w:t>
            </w:r>
          </w:p>
        </w:tc>
        <w:tc>
          <w:tcPr>
            <w:tcW w:w="1218" w:type="dxa"/>
            <w:tcBorders>
              <w:top w:val="nil"/>
              <w:left w:val="nil"/>
              <w:bottom w:val="single" w:sz="4" w:space="0" w:color="000000"/>
              <w:right w:val="single" w:sz="4" w:space="0" w:color="000000"/>
            </w:tcBorders>
            <w:shd w:val="clear" w:color="auto" w:fill="FFFFFF"/>
            <w:vAlign w:val="bottom"/>
          </w:tcPr>
          <w:p w14:paraId="611FAC7F"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36.2-83.23</w:t>
            </w:r>
          </w:p>
        </w:tc>
        <w:tc>
          <w:tcPr>
            <w:tcW w:w="1591" w:type="dxa"/>
            <w:tcBorders>
              <w:top w:val="nil"/>
              <w:left w:val="nil"/>
              <w:bottom w:val="single" w:sz="4" w:space="0" w:color="000000"/>
              <w:right w:val="single" w:sz="4" w:space="0" w:color="000000"/>
            </w:tcBorders>
            <w:shd w:val="clear" w:color="auto" w:fill="FFFFFF"/>
            <w:vAlign w:val="bottom"/>
          </w:tcPr>
          <w:p w14:paraId="172961CD"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0.43</w:t>
            </w:r>
          </w:p>
        </w:tc>
      </w:tr>
      <w:tr w:rsidR="002112A8" w14:paraId="27F43BBE"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073E009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Pancreas</w:t>
            </w:r>
          </w:p>
        </w:tc>
        <w:tc>
          <w:tcPr>
            <w:tcW w:w="759" w:type="dxa"/>
            <w:tcBorders>
              <w:top w:val="nil"/>
              <w:left w:val="nil"/>
              <w:bottom w:val="single" w:sz="4" w:space="0" w:color="000000"/>
              <w:right w:val="single" w:sz="4" w:space="0" w:color="000000"/>
            </w:tcBorders>
            <w:shd w:val="clear" w:color="auto" w:fill="FFFFFF"/>
            <w:vAlign w:val="bottom"/>
          </w:tcPr>
          <w:p w14:paraId="70A95BD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2C34859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0.15</w:t>
            </w:r>
          </w:p>
        </w:tc>
        <w:tc>
          <w:tcPr>
            <w:tcW w:w="1060" w:type="dxa"/>
            <w:tcBorders>
              <w:top w:val="nil"/>
              <w:left w:val="nil"/>
              <w:bottom w:val="single" w:sz="4" w:space="0" w:color="000000"/>
              <w:right w:val="single" w:sz="4" w:space="0" w:color="000000"/>
            </w:tcBorders>
            <w:shd w:val="clear" w:color="auto" w:fill="FFFFFF"/>
            <w:vAlign w:val="bottom"/>
          </w:tcPr>
          <w:p w14:paraId="75F6E1D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0.13-0.17</w:t>
            </w:r>
          </w:p>
        </w:tc>
        <w:tc>
          <w:tcPr>
            <w:tcW w:w="606" w:type="dxa"/>
            <w:tcBorders>
              <w:top w:val="nil"/>
              <w:left w:val="nil"/>
              <w:bottom w:val="single" w:sz="4" w:space="0" w:color="000000"/>
              <w:right w:val="single" w:sz="4" w:space="0" w:color="000000"/>
            </w:tcBorders>
            <w:shd w:val="clear" w:color="auto" w:fill="FFFFFF"/>
            <w:vAlign w:val="bottom"/>
          </w:tcPr>
          <w:p w14:paraId="1B425D4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0.58</w:t>
            </w:r>
          </w:p>
        </w:tc>
        <w:tc>
          <w:tcPr>
            <w:tcW w:w="1060" w:type="dxa"/>
            <w:tcBorders>
              <w:top w:val="nil"/>
              <w:left w:val="nil"/>
              <w:bottom w:val="single" w:sz="4" w:space="0" w:color="000000"/>
              <w:right w:val="single" w:sz="4" w:space="0" w:color="000000"/>
            </w:tcBorders>
            <w:shd w:val="clear" w:color="auto" w:fill="FFFFFF"/>
            <w:vAlign w:val="bottom"/>
          </w:tcPr>
          <w:p w14:paraId="5C014FEC"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0.51-0.63</w:t>
            </w:r>
          </w:p>
        </w:tc>
        <w:tc>
          <w:tcPr>
            <w:tcW w:w="606" w:type="dxa"/>
            <w:tcBorders>
              <w:top w:val="nil"/>
              <w:left w:val="nil"/>
              <w:bottom w:val="single" w:sz="4" w:space="0" w:color="000000"/>
              <w:right w:val="single" w:sz="4" w:space="0" w:color="000000"/>
            </w:tcBorders>
            <w:shd w:val="clear" w:color="auto" w:fill="FFFFFF"/>
            <w:vAlign w:val="bottom"/>
          </w:tcPr>
          <w:p w14:paraId="3963F67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w:t>
            </w:r>
          </w:p>
        </w:tc>
        <w:tc>
          <w:tcPr>
            <w:tcW w:w="1060" w:type="dxa"/>
            <w:tcBorders>
              <w:top w:val="nil"/>
              <w:left w:val="nil"/>
              <w:bottom w:val="single" w:sz="4" w:space="0" w:color="000000"/>
              <w:right w:val="single" w:sz="4" w:space="0" w:color="000000"/>
            </w:tcBorders>
            <w:shd w:val="clear" w:color="auto" w:fill="FFFFFF"/>
            <w:vAlign w:val="bottom"/>
          </w:tcPr>
          <w:p w14:paraId="4AF3E68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0-0.02</w:t>
            </w:r>
          </w:p>
        </w:tc>
        <w:tc>
          <w:tcPr>
            <w:tcW w:w="606" w:type="dxa"/>
            <w:tcBorders>
              <w:top w:val="nil"/>
              <w:left w:val="nil"/>
              <w:bottom w:val="single" w:sz="4" w:space="0" w:color="000000"/>
              <w:right w:val="single" w:sz="4" w:space="0" w:color="000000"/>
            </w:tcBorders>
            <w:shd w:val="clear" w:color="auto" w:fill="FFFFFF"/>
            <w:vAlign w:val="bottom"/>
          </w:tcPr>
          <w:p w14:paraId="09DF05E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4BF278B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w:t>
            </w:r>
          </w:p>
        </w:tc>
        <w:tc>
          <w:tcPr>
            <w:tcW w:w="606" w:type="dxa"/>
            <w:tcBorders>
              <w:top w:val="nil"/>
              <w:left w:val="nil"/>
              <w:bottom w:val="single" w:sz="4" w:space="0" w:color="000000"/>
              <w:right w:val="single" w:sz="4" w:space="0" w:color="000000"/>
            </w:tcBorders>
            <w:shd w:val="clear" w:color="auto" w:fill="FFFFFF"/>
            <w:vAlign w:val="bottom"/>
          </w:tcPr>
          <w:p w14:paraId="300DB96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198DA13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696EB92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0.49</w:t>
            </w:r>
          </w:p>
        </w:tc>
        <w:tc>
          <w:tcPr>
            <w:tcW w:w="1198" w:type="dxa"/>
            <w:tcBorders>
              <w:top w:val="nil"/>
              <w:left w:val="nil"/>
              <w:bottom w:val="single" w:sz="4" w:space="0" w:color="000000"/>
              <w:right w:val="single" w:sz="4" w:space="0" w:color="000000"/>
            </w:tcBorders>
            <w:shd w:val="clear" w:color="auto" w:fill="FFFFFF"/>
            <w:vAlign w:val="bottom"/>
          </w:tcPr>
          <w:p w14:paraId="57C22F3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0.37-0.61</w:t>
            </w:r>
          </w:p>
        </w:tc>
        <w:tc>
          <w:tcPr>
            <w:tcW w:w="595" w:type="dxa"/>
            <w:tcBorders>
              <w:top w:val="nil"/>
              <w:left w:val="nil"/>
              <w:bottom w:val="single" w:sz="4" w:space="0" w:color="000000"/>
              <w:right w:val="single" w:sz="4" w:space="0" w:color="000000"/>
            </w:tcBorders>
            <w:shd w:val="clear" w:color="auto" w:fill="FFFFFF"/>
            <w:vAlign w:val="bottom"/>
          </w:tcPr>
          <w:p w14:paraId="4F9B0CB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0.32</w:t>
            </w:r>
          </w:p>
        </w:tc>
        <w:tc>
          <w:tcPr>
            <w:tcW w:w="790" w:type="dxa"/>
            <w:gridSpan w:val="2"/>
            <w:tcBorders>
              <w:top w:val="nil"/>
              <w:left w:val="nil"/>
              <w:bottom w:val="single" w:sz="4" w:space="0" w:color="000000"/>
              <w:right w:val="single" w:sz="4" w:space="0" w:color="000000"/>
            </w:tcBorders>
            <w:shd w:val="clear" w:color="auto" w:fill="FFFFFF"/>
            <w:vAlign w:val="bottom"/>
          </w:tcPr>
          <w:p w14:paraId="0A44260C"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99.68</w:t>
            </w:r>
          </w:p>
        </w:tc>
        <w:tc>
          <w:tcPr>
            <w:tcW w:w="1218" w:type="dxa"/>
            <w:tcBorders>
              <w:top w:val="nil"/>
              <w:left w:val="nil"/>
              <w:bottom w:val="single" w:sz="4" w:space="0" w:color="000000"/>
              <w:right w:val="single" w:sz="4" w:space="0" w:color="000000"/>
            </w:tcBorders>
            <w:shd w:val="clear" w:color="auto" w:fill="FFFFFF"/>
            <w:vAlign w:val="bottom"/>
          </w:tcPr>
          <w:p w14:paraId="7374521A"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98.55-100</w:t>
            </w:r>
          </w:p>
        </w:tc>
        <w:tc>
          <w:tcPr>
            <w:tcW w:w="1591" w:type="dxa"/>
            <w:tcBorders>
              <w:top w:val="nil"/>
              <w:left w:val="nil"/>
              <w:bottom w:val="single" w:sz="4" w:space="0" w:color="000000"/>
              <w:right w:val="single" w:sz="4" w:space="0" w:color="000000"/>
            </w:tcBorders>
            <w:shd w:val="clear" w:color="auto" w:fill="FFFFFF"/>
            <w:vAlign w:val="bottom"/>
          </w:tcPr>
          <w:p w14:paraId="507EB50B"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0.12</w:t>
            </w:r>
          </w:p>
        </w:tc>
      </w:tr>
      <w:tr w:rsidR="002112A8" w14:paraId="3CE0DA1A"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5FA4AC3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Pituitary gland</w:t>
            </w:r>
          </w:p>
        </w:tc>
        <w:tc>
          <w:tcPr>
            <w:tcW w:w="759" w:type="dxa"/>
            <w:tcBorders>
              <w:top w:val="nil"/>
              <w:left w:val="nil"/>
              <w:bottom w:val="single" w:sz="4" w:space="0" w:color="000000"/>
              <w:right w:val="single" w:sz="4" w:space="0" w:color="000000"/>
            </w:tcBorders>
            <w:shd w:val="clear" w:color="auto" w:fill="FFFFFF"/>
            <w:vAlign w:val="bottom"/>
          </w:tcPr>
          <w:p w14:paraId="4B6F525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08B661F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0.13</w:t>
            </w:r>
          </w:p>
        </w:tc>
        <w:tc>
          <w:tcPr>
            <w:tcW w:w="1060" w:type="dxa"/>
            <w:tcBorders>
              <w:top w:val="nil"/>
              <w:left w:val="nil"/>
              <w:bottom w:val="single" w:sz="4" w:space="0" w:color="000000"/>
              <w:right w:val="single" w:sz="4" w:space="0" w:color="000000"/>
            </w:tcBorders>
            <w:shd w:val="clear" w:color="auto" w:fill="FFFFFF"/>
            <w:vAlign w:val="bottom"/>
          </w:tcPr>
          <w:p w14:paraId="57DA225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0.09-0.17</w:t>
            </w:r>
          </w:p>
        </w:tc>
        <w:tc>
          <w:tcPr>
            <w:tcW w:w="606" w:type="dxa"/>
            <w:tcBorders>
              <w:top w:val="nil"/>
              <w:left w:val="nil"/>
              <w:bottom w:val="single" w:sz="4" w:space="0" w:color="000000"/>
              <w:right w:val="single" w:sz="4" w:space="0" w:color="000000"/>
            </w:tcBorders>
            <w:shd w:val="clear" w:color="auto" w:fill="FFFFFF"/>
            <w:vAlign w:val="bottom"/>
          </w:tcPr>
          <w:p w14:paraId="66635D7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0.17</w:t>
            </w:r>
          </w:p>
        </w:tc>
        <w:tc>
          <w:tcPr>
            <w:tcW w:w="1060" w:type="dxa"/>
            <w:tcBorders>
              <w:top w:val="nil"/>
              <w:left w:val="nil"/>
              <w:bottom w:val="single" w:sz="4" w:space="0" w:color="000000"/>
              <w:right w:val="single" w:sz="4" w:space="0" w:color="000000"/>
            </w:tcBorders>
            <w:shd w:val="clear" w:color="auto" w:fill="FFFFFF"/>
            <w:vAlign w:val="bottom"/>
          </w:tcPr>
          <w:p w14:paraId="0D0632A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0.13-0.19</w:t>
            </w:r>
          </w:p>
        </w:tc>
        <w:tc>
          <w:tcPr>
            <w:tcW w:w="606" w:type="dxa"/>
            <w:tcBorders>
              <w:top w:val="nil"/>
              <w:left w:val="nil"/>
              <w:bottom w:val="single" w:sz="4" w:space="0" w:color="000000"/>
              <w:right w:val="single" w:sz="4" w:space="0" w:color="000000"/>
            </w:tcBorders>
            <w:shd w:val="clear" w:color="auto" w:fill="FFFFFF"/>
            <w:vAlign w:val="bottom"/>
          </w:tcPr>
          <w:p w14:paraId="41D19A3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0.12</w:t>
            </w:r>
          </w:p>
        </w:tc>
        <w:tc>
          <w:tcPr>
            <w:tcW w:w="1060" w:type="dxa"/>
            <w:tcBorders>
              <w:top w:val="nil"/>
              <w:left w:val="nil"/>
              <w:bottom w:val="single" w:sz="4" w:space="0" w:color="000000"/>
              <w:right w:val="single" w:sz="4" w:space="0" w:color="000000"/>
            </w:tcBorders>
            <w:shd w:val="clear" w:color="auto" w:fill="FFFFFF"/>
            <w:vAlign w:val="bottom"/>
          </w:tcPr>
          <w:p w14:paraId="211510C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0.02-0.23</w:t>
            </w:r>
          </w:p>
        </w:tc>
        <w:tc>
          <w:tcPr>
            <w:tcW w:w="606" w:type="dxa"/>
            <w:tcBorders>
              <w:top w:val="nil"/>
              <w:left w:val="nil"/>
              <w:bottom w:val="single" w:sz="4" w:space="0" w:color="000000"/>
              <w:right w:val="single" w:sz="4" w:space="0" w:color="000000"/>
            </w:tcBorders>
            <w:shd w:val="clear" w:color="auto" w:fill="FFFFFF"/>
            <w:vAlign w:val="bottom"/>
          </w:tcPr>
          <w:p w14:paraId="4030BCD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0.19</w:t>
            </w:r>
          </w:p>
        </w:tc>
        <w:tc>
          <w:tcPr>
            <w:tcW w:w="1060" w:type="dxa"/>
            <w:tcBorders>
              <w:top w:val="nil"/>
              <w:left w:val="nil"/>
              <w:bottom w:val="single" w:sz="4" w:space="0" w:color="000000"/>
              <w:right w:val="single" w:sz="4" w:space="0" w:color="000000"/>
            </w:tcBorders>
            <w:shd w:val="clear" w:color="auto" w:fill="FFFFFF"/>
            <w:vAlign w:val="bottom"/>
          </w:tcPr>
          <w:p w14:paraId="28C9603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0.04-0.32</w:t>
            </w:r>
          </w:p>
        </w:tc>
        <w:tc>
          <w:tcPr>
            <w:tcW w:w="606" w:type="dxa"/>
            <w:tcBorders>
              <w:top w:val="nil"/>
              <w:left w:val="nil"/>
              <w:bottom w:val="single" w:sz="4" w:space="0" w:color="000000"/>
              <w:right w:val="single" w:sz="4" w:space="0" w:color="000000"/>
            </w:tcBorders>
            <w:shd w:val="clear" w:color="auto" w:fill="FFFFFF"/>
            <w:vAlign w:val="bottom"/>
          </w:tcPr>
          <w:p w14:paraId="507C1AB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4419629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1CE8876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0.11</w:t>
            </w:r>
          </w:p>
        </w:tc>
        <w:tc>
          <w:tcPr>
            <w:tcW w:w="1198" w:type="dxa"/>
            <w:tcBorders>
              <w:top w:val="nil"/>
              <w:left w:val="nil"/>
              <w:bottom w:val="single" w:sz="4" w:space="0" w:color="000000"/>
              <w:right w:val="single" w:sz="4" w:space="0" w:color="000000"/>
            </w:tcBorders>
            <w:shd w:val="clear" w:color="auto" w:fill="FFFFFF"/>
            <w:vAlign w:val="bottom"/>
          </w:tcPr>
          <w:p w14:paraId="1F9F9C57"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0.08-0.12</w:t>
            </w:r>
          </w:p>
        </w:tc>
        <w:tc>
          <w:tcPr>
            <w:tcW w:w="595" w:type="dxa"/>
            <w:tcBorders>
              <w:top w:val="nil"/>
              <w:left w:val="nil"/>
              <w:bottom w:val="single" w:sz="4" w:space="0" w:color="000000"/>
              <w:right w:val="single" w:sz="4" w:space="0" w:color="000000"/>
            </w:tcBorders>
            <w:shd w:val="clear" w:color="auto" w:fill="FFFFFF"/>
            <w:vAlign w:val="bottom"/>
          </w:tcPr>
          <w:p w14:paraId="493D7D3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0.28</w:t>
            </w:r>
          </w:p>
        </w:tc>
        <w:tc>
          <w:tcPr>
            <w:tcW w:w="790" w:type="dxa"/>
            <w:gridSpan w:val="2"/>
            <w:tcBorders>
              <w:top w:val="nil"/>
              <w:left w:val="nil"/>
              <w:bottom w:val="single" w:sz="4" w:space="0" w:color="000000"/>
              <w:right w:val="single" w:sz="4" w:space="0" w:color="000000"/>
            </w:tcBorders>
            <w:shd w:val="clear" w:color="auto" w:fill="FFFFFF"/>
            <w:vAlign w:val="bottom"/>
          </w:tcPr>
          <w:p w14:paraId="56FA5983"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43.38</w:t>
            </w:r>
          </w:p>
        </w:tc>
        <w:tc>
          <w:tcPr>
            <w:tcW w:w="1218" w:type="dxa"/>
            <w:tcBorders>
              <w:top w:val="nil"/>
              <w:left w:val="nil"/>
              <w:bottom w:val="single" w:sz="4" w:space="0" w:color="000000"/>
              <w:right w:val="single" w:sz="4" w:space="0" w:color="000000"/>
            </w:tcBorders>
            <w:shd w:val="clear" w:color="auto" w:fill="FFFFFF"/>
            <w:vAlign w:val="bottom"/>
          </w:tcPr>
          <w:p w14:paraId="5D48D3F3"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32.87-71.98</w:t>
            </w:r>
          </w:p>
        </w:tc>
        <w:tc>
          <w:tcPr>
            <w:tcW w:w="1591" w:type="dxa"/>
            <w:tcBorders>
              <w:top w:val="nil"/>
              <w:left w:val="nil"/>
              <w:bottom w:val="single" w:sz="4" w:space="0" w:color="000000"/>
              <w:right w:val="single" w:sz="4" w:space="0" w:color="000000"/>
            </w:tcBorders>
            <w:shd w:val="clear" w:color="auto" w:fill="FFFFFF"/>
            <w:vAlign w:val="bottom"/>
          </w:tcPr>
          <w:p w14:paraId="4DF7F78E"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0.58</w:t>
            </w:r>
          </w:p>
        </w:tc>
      </w:tr>
      <w:tr w:rsidR="002112A8" w14:paraId="0286548D"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91BF74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Spleen</w:t>
            </w:r>
          </w:p>
        </w:tc>
        <w:tc>
          <w:tcPr>
            <w:tcW w:w="759" w:type="dxa"/>
            <w:tcBorders>
              <w:top w:val="nil"/>
              <w:left w:val="nil"/>
              <w:bottom w:val="single" w:sz="4" w:space="0" w:color="000000"/>
              <w:right w:val="single" w:sz="4" w:space="0" w:color="000000"/>
            </w:tcBorders>
            <w:shd w:val="clear" w:color="auto" w:fill="FFFFFF"/>
            <w:vAlign w:val="bottom"/>
          </w:tcPr>
          <w:p w14:paraId="60EA44D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2T4K</w:t>
            </w:r>
          </w:p>
        </w:tc>
        <w:tc>
          <w:tcPr>
            <w:tcW w:w="606" w:type="dxa"/>
            <w:tcBorders>
              <w:top w:val="nil"/>
              <w:left w:val="nil"/>
              <w:bottom w:val="single" w:sz="4" w:space="0" w:color="000000"/>
              <w:right w:val="single" w:sz="4" w:space="0" w:color="000000"/>
            </w:tcBorders>
            <w:shd w:val="clear" w:color="auto" w:fill="FFFFFF"/>
            <w:vAlign w:val="bottom"/>
          </w:tcPr>
          <w:p w14:paraId="165FFB7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0.18</w:t>
            </w:r>
          </w:p>
        </w:tc>
        <w:tc>
          <w:tcPr>
            <w:tcW w:w="1060" w:type="dxa"/>
            <w:tcBorders>
              <w:top w:val="nil"/>
              <w:left w:val="nil"/>
              <w:bottom w:val="single" w:sz="4" w:space="0" w:color="000000"/>
              <w:right w:val="single" w:sz="4" w:space="0" w:color="000000"/>
            </w:tcBorders>
            <w:shd w:val="clear" w:color="auto" w:fill="FFFFFF"/>
            <w:vAlign w:val="bottom"/>
          </w:tcPr>
          <w:p w14:paraId="7B3E0A3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0.16-0.21</w:t>
            </w:r>
          </w:p>
        </w:tc>
        <w:tc>
          <w:tcPr>
            <w:tcW w:w="606" w:type="dxa"/>
            <w:tcBorders>
              <w:top w:val="nil"/>
              <w:left w:val="nil"/>
              <w:bottom w:val="single" w:sz="4" w:space="0" w:color="000000"/>
              <w:right w:val="single" w:sz="4" w:space="0" w:color="000000"/>
            </w:tcBorders>
            <w:shd w:val="clear" w:color="auto" w:fill="FFFFFF"/>
            <w:vAlign w:val="bottom"/>
          </w:tcPr>
          <w:p w14:paraId="161BF7D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0.90</w:t>
            </w:r>
          </w:p>
        </w:tc>
        <w:tc>
          <w:tcPr>
            <w:tcW w:w="1060" w:type="dxa"/>
            <w:tcBorders>
              <w:top w:val="nil"/>
              <w:left w:val="nil"/>
              <w:bottom w:val="single" w:sz="4" w:space="0" w:color="000000"/>
              <w:right w:val="single" w:sz="4" w:space="0" w:color="000000"/>
            </w:tcBorders>
            <w:shd w:val="clear" w:color="auto" w:fill="FFFFFF"/>
            <w:vAlign w:val="bottom"/>
          </w:tcPr>
          <w:p w14:paraId="49FEDA2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0.74-0.98</w:t>
            </w:r>
          </w:p>
        </w:tc>
        <w:tc>
          <w:tcPr>
            <w:tcW w:w="606" w:type="dxa"/>
            <w:tcBorders>
              <w:top w:val="nil"/>
              <w:left w:val="nil"/>
              <w:bottom w:val="single" w:sz="4" w:space="0" w:color="000000"/>
              <w:right w:val="single" w:sz="4" w:space="0" w:color="000000"/>
            </w:tcBorders>
            <w:shd w:val="clear" w:color="auto" w:fill="FFFFFF"/>
            <w:vAlign w:val="bottom"/>
          </w:tcPr>
          <w:p w14:paraId="5104D49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0.86</w:t>
            </w:r>
          </w:p>
        </w:tc>
        <w:tc>
          <w:tcPr>
            <w:tcW w:w="1060" w:type="dxa"/>
            <w:tcBorders>
              <w:top w:val="nil"/>
              <w:left w:val="nil"/>
              <w:bottom w:val="single" w:sz="4" w:space="0" w:color="000000"/>
              <w:right w:val="single" w:sz="4" w:space="0" w:color="000000"/>
            </w:tcBorders>
            <w:shd w:val="clear" w:color="auto" w:fill="FFFFFF"/>
            <w:vAlign w:val="bottom"/>
          </w:tcPr>
          <w:p w14:paraId="415CF32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0.8-0.97</w:t>
            </w:r>
          </w:p>
        </w:tc>
        <w:tc>
          <w:tcPr>
            <w:tcW w:w="606" w:type="dxa"/>
            <w:tcBorders>
              <w:top w:val="nil"/>
              <w:left w:val="nil"/>
              <w:bottom w:val="single" w:sz="4" w:space="0" w:color="000000"/>
              <w:right w:val="single" w:sz="4" w:space="0" w:color="000000"/>
            </w:tcBorders>
            <w:shd w:val="clear" w:color="auto" w:fill="FFFFFF"/>
            <w:vAlign w:val="bottom"/>
          </w:tcPr>
          <w:p w14:paraId="25E83B5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0.21</w:t>
            </w:r>
          </w:p>
        </w:tc>
        <w:tc>
          <w:tcPr>
            <w:tcW w:w="1060" w:type="dxa"/>
            <w:tcBorders>
              <w:top w:val="nil"/>
              <w:left w:val="nil"/>
              <w:bottom w:val="single" w:sz="4" w:space="0" w:color="000000"/>
              <w:right w:val="single" w:sz="4" w:space="0" w:color="000000"/>
            </w:tcBorders>
            <w:shd w:val="clear" w:color="auto" w:fill="FFFFFF"/>
            <w:vAlign w:val="bottom"/>
          </w:tcPr>
          <w:p w14:paraId="593A3AB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0.16-0.25</w:t>
            </w:r>
          </w:p>
        </w:tc>
        <w:tc>
          <w:tcPr>
            <w:tcW w:w="606" w:type="dxa"/>
            <w:tcBorders>
              <w:top w:val="nil"/>
              <w:left w:val="nil"/>
              <w:bottom w:val="single" w:sz="4" w:space="0" w:color="000000"/>
              <w:right w:val="single" w:sz="4" w:space="0" w:color="000000"/>
            </w:tcBorders>
            <w:shd w:val="clear" w:color="auto" w:fill="FFFFFF"/>
            <w:vAlign w:val="bottom"/>
          </w:tcPr>
          <w:p w14:paraId="29EBA02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4F6CB77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0.01-0.01</w:t>
            </w:r>
          </w:p>
        </w:tc>
        <w:tc>
          <w:tcPr>
            <w:tcW w:w="624" w:type="dxa"/>
            <w:tcBorders>
              <w:top w:val="nil"/>
              <w:left w:val="nil"/>
              <w:bottom w:val="single" w:sz="4" w:space="0" w:color="000000"/>
              <w:right w:val="single" w:sz="4" w:space="0" w:color="000000"/>
            </w:tcBorders>
            <w:shd w:val="clear" w:color="auto" w:fill="FFFFFF"/>
            <w:vAlign w:val="bottom"/>
          </w:tcPr>
          <w:p w14:paraId="18C61C68"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0.15</w:t>
            </w:r>
          </w:p>
        </w:tc>
        <w:tc>
          <w:tcPr>
            <w:tcW w:w="1198" w:type="dxa"/>
            <w:tcBorders>
              <w:top w:val="nil"/>
              <w:left w:val="nil"/>
              <w:bottom w:val="single" w:sz="4" w:space="0" w:color="000000"/>
              <w:right w:val="single" w:sz="4" w:space="0" w:color="000000"/>
            </w:tcBorders>
            <w:shd w:val="clear" w:color="auto" w:fill="FFFFFF"/>
            <w:vAlign w:val="bottom"/>
          </w:tcPr>
          <w:p w14:paraId="033C77A9"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0.09-0.16</w:t>
            </w:r>
          </w:p>
        </w:tc>
        <w:tc>
          <w:tcPr>
            <w:tcW w:w="595" w:type="dxa"/>
            <w:tcBorders>
              <w:top w:val="nil"/>
              <w:left w:val="nil"/>
              <w:bottom w:val="single" w:sz="4" w:space="0" w:color="000000"/>
              <w:right w:val="single" w:sz="4" w:space="0" w:color="000000"/>
            </w:tcBorders>
            <w:shd w:val="clear" w:color="auto" w:fill="FFFFFF"/>
            <w:vAlign w:val="bottom"/>
          </w:tcPr>
          <w:p w14:paraId="41C73283"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0.31</w:t>
            </w:r>
          </w:p>
        </w:tc>
        <w:tc>
          <w:tcPr>
            <w:tcW w:w="790" w:type="dxa"/>
            <w:gridSpan w:val="2"/>
            <w:tcBorders>
              <w:top w:val="nil"/>
              <w:left w:val="nil"/>
              <w:bottom w:val="single" w:sz="4" w:space="0" w:color="000000"/>
              <w:right w:val="single" w:sz="4" w:space="0" w:color="000000"/>
            </w:tcBorders>
            <w:shd w:val="clear" w:color="auto" w:fill="FFFFFF"/>
            <w:vAlign w:val="bottom"/>
          </w:tcPr>
          <w:p w14:paraId="11E9943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28.39</w:t>
            </w:r>
          </w:p>
        </w:tc>
        <w:tc>
          <w:tcPr>
            <w:tcW w:w="1218" w:type="dxa"/>
            <w:tcBorders>
              <w:top w:val="nil"/>
              <w:left w:val="nil"/>
              <w:bottom w:val="single" w:sz="4" w:space="0" w:color="000000"/>
              <w:right w:val="single" w:sz="4" w:space="0" w:color="000000"/>
            </w:tcBorders>
            <w:shd w:val="clear" w:color="auto" w:fill="FFFFFF"/>
            <w:vAlign w:val="bottom"/>
          </w:tcPr>
          <w:p w14:paraId="48E7336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18.82-32.19</w:t>
            </w:r>
          </w:p>
        </w:tc>
        <w:tc>
          <w:tcPr>
            <w:tcW w:w="1591" w:type="dxa"/>
            <w:tcBorders>
              <w:top w:val="nil"/>
              <w:left w:val="nil"/>
              <w:bottom w:val="single" w:sz="4" w:space="0" w:color="000000"/>
              <w:right w:val="single" w:sz="4" w:space="0" w:color="000000"/>
            </w:tcBorders>
            <w:shd w:val="clear" w:color="auto" w:fill="FFFFFF"/>
            <w:vAlign w:val="bottom"/>
          </w:tcPr>
          <w:p w14:paraId="68AAFBA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0.33</w:t>
            </w:r>
          </w:p>
        </w:tc>
      </w:tr>
      <w:tr w:rsidR="002112A8" w14:paraId="6DC3F649"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76664EE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Thyroid</w:t>
            </w:r>
          </w:p>
        </w:tc>
        <w:tc>
          <w:tcPr>
            <w:tcW w:w="759" w:type="dxa"/>
            <w:tcBorders>
              <w:top w:val="nil"/>
              <w:left w:val="nil"/>
              <w:bottom w:val="single" w:sz="4" w:space="0" w:color="000000"/>
              <w:right w:val="single" w:sz="4" w:space="0" w:color="000000"/>
            </w:tcBorders>
            <w:shd w:val="clear" w:color="auto" w:fill="FFFFFF"/>
            <w:vAlign w:val="bottom"/>
          </w:tcPr>
          <w:p w14:paraId="4DED0DA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2T4K</w:t>
            </w:r>
          </w:p>
        </w:tc>
        <w:tc>
          <w:tcPr>
            <w:tcW w:w="606" w:type="dxa"/>
            <w:tcBorders>
              <w:top w:val="nil"/>
              <w:left w:val="nil"/>
              <w:bottom w:val="single" w:sz="4" w:space="0" w:color="000000"/>
              <w:right w:val="single" w:sz="4" w:space="0" w:color="000000"/>
            </w:tcBorders>
            <w:shd w:val="clear" w:color="auto" w:fill="FFFFFF"/>
            <w:vAlign w:val="bottom"/>
          </w:tcPr>
          <w:p w14:paraId="1A313FB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0.26</w:t>
            </w:r>
          </w:p>
        </w:tc>
        <w:tc>
          <w:tcPr>
            <w:tcW w:w="1060" w:type="dxa"/>
            <w:tcBorders>
              <w:top w:val="nil"/>
              <w:left w:val="nil"/>
              <w:bottom w:val="single" w:sz="4" w:space="0" w:color="000000"/>
              <w:right w:val="single" w:sz="4" w:space="0" w:color="000000"/>
            </w:tcBorders>
            <w:shd w:val="clear" w:color="auto" w:fill="FFFFFF"/>
            <w:vAlign w:val="bottom"/>
          </w:tcPr>
          <w:p w14:paraId="6E673CD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0.25-0.28</w:t>
            </w:r>
          </w:p>
        </w:tc>
        <w:tc>
          <w:tcPr>
            <w:tcW w:w="606" w:type="dxa"/>
            <w:tcBorders>
              <w:top w:val="nil"/>
              <w:left w:val="nil"/>
              <w:bottom w:val="single" w:sz="4" w:space="0" w:color="000000"/>
              <w:right w:val="single" w:sz="4" w:space="0" w:color="000000"/>
            </w:tcBorders>
            <w:shd w:val="clear" w:color="auto" w:fill="FFFFFF"/>
            <w:vAlign w:val="bottom"/>
          </w:tcPr>
          <w:p w14:paraId="099584E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0.38</w:t>
            </w:r>
          </w:p>
        </w:tc>
        <w:tc>
          <w:tcPr>
            <w:tcW w:w="1060" w:type="dxa"/>
            <w:tcBorders>
              <w:top w:val="nil"/>
              <w:left w:val="nil"/>
              <w:bottom w:val="single" w:sz="4" w:space="0" w:color="000000"/>
              <w:right w:val="single" w:sz="4" w:space="0" w:color="000000"/>
            </w:tcBorders>
            <w:shd w:val="clear" w:color="auto" w:fill="FFFFFF"/>
            <w:vAlign w:val="bottom"/>
          </w:tcPr>
          <w:p w14:paraId="4819784D"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0.35-0.44</w:t>
            </w:r>
          </w:p>
        </w:tc>
        <w:tc>
          <w:tcPr>
            <w:tcW w:w="606" w:type="dxa"/>
            <w:tcBorders>
              <w:top w:val="nil"/>
              <w:left w:val="nil"/>
              <w:bottom w:val="single" w:sz="4" w:space="0" w:color="000000"/>
              <w:right w:val="single" w:sz="4" w:space="0" w:color="000000"/>
            </w:tcBorders>
            <w:shd w:val="clear" w:color="auto" w:fill="FFFFFF"/>
            <w:vAlign w:val="bottom"/>
          </w:tcPr>
          <w:p w14:paraId="1428F3A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0.10</w:t>
            </w:r>
          </w:p>
        </w:tc>
        <w:tc>
          <w:tcPr>
            <w:tcW w:w="1060" w:type="dxa"/>
            <w:tcBorders>
              <w:top w:val="nil"/>
              <w:left w:val="nil"/>
              <w:bottom w:val="single" w:sz="4" w:space="0" w:color="000000"/>
              <w:right w:val="single" w:sz="4" w:space="0" w:color="000000"/>
            </w:tcBorders>
            <w:shd w:val="clear" w:color="auto" w:fill="FFFFFF"/>
            <w:vAlign w:val="bottom"/>
          </w:tcPr>
          <w:p w14:paraId="0217DA5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0.07-0.21</w:t>
            </w:r>
          </w:p>
        </w:tc>
        <w:tc>
          <w:tcPr>
            <w:tcW w:w="606" w:type="dxa"/>
            <w:tcBorders>
              <w:top w:val="nil"/>
              <w:left w:val="nil"/>
              <w:bottom w:val="single" w:sz="4" w:space="0" w:color="000000"/>
              <w:right w:val="single" w:sz="4" w:space="0" w:color="000000"/>
            </w:tcBorders>
            <w:shd w:val="clear" w:color="auto" w:fill="FFFFFF"/>
            <w:vAlign w:val="bottom"/>
          </w:tcPr>
          <w:p w14:paraId="681FBD1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0.49</w:t>
            </w:r>
          </w:p>
        </w:tc>
        <w:tc>
          <w:tcPr>
            <w:tcW w:w="1060" w:type="dxa"/>
            <w:tcBorders>
              <w:top w:val="nil"/>
              <w:left w:val="nil"/>
              <w:bottom w:val="single" w:sz="4" w:space="0" w:color="000000"/>
              <w:right w:val="single" w:sz="4" w:space="0" w:color="000000"/>
            </w:tcBorders>
            <w:shd w:val="clear" w:color="auto" w:fill="FFFFFF"/>
            <w:vAlign w:val="bottom"/>
          </w:tcPr>
          <w:p w14:paraId="24A68091"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0.17-0.75</w:t>
            </w:r>
          </w:p>
        </w:tc>
        <w:tc>
          <w:tcPr>
            <w:tcW w:w="606" w:type="dxa"/>
            <w:tcBorders>
              <w:top w:val="nil"/>
              <w:left w:val="nil"/>
              <w:bottom w:val="single" w:sz="4" w:space="0" w:color="000000"/>
              <w:right w:val="single" w:sz="4" w:space="0" w:color="000000"/>
            </w:tcBorders>
            <w:shd w:val="clear" w:color="auto" w:fill="FFFFFF"/>
            <w:vAlign w:val="bottom"/>
          </w:tcPr>
          <w:p w14:paraId="229EF74B"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4781D01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0.03-0.04</w:t>
            </w:r>
          </w:p>
        </w:tc>
        <w:tc>
          <w:tcPr>
            <w:tcW w:w="624" w:type="dxa"/>
            <w:tcBorders>
              <w:top w:val="nil"/>
              <w:left w:val="nil"/>
              <w:bottom w:val="single" w:sz="4" w:space="0" w:color="000000"/>
              <w:right w:val="single" w:sz="4" w:space="0" w:color="000000"/>
            </w:tcBorders>
            <w:shd w:val="clear" w:color="auto" w:fill="FFFFFF"/>
            <w:vAlign w:val="bottom"/>
          </w:tcPr>
          <w:p w14:paraId="5A17CB28"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0.11</w:t>
            </w:r>
          </w:p>
        </w:tc>
        <w:tc>
          <w:tcPr>
            <w:tcW w:w="1198" w:type="dxa"/>
            <w:tcBorders>
              <w:top w:val="nil"/>
              <w:left w:val="nil"/>
              <w:bottom w:val="single" w:sz="4" w:space="0" w:color="000000"/>
              <w:right w:val="single" w:sz="4" w:space="0" w:color="000000"/>
            </w:tcBorders>
            <w:shd w:val="clear" w:color="auto" w:fill="FFFFFF"/>
            <w:vAlign w:val="bottom"/>
          </w:tcPr>
          <w:p w14:paraId="5DD99319"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0.09-0.13</w:t>
            </w:r>
          </w:p>
        </w:tc>
        <w:tc>
          <w:tcPr>
            <w:tcW w:w="595" w:type="dxa"/>
            <w:tcBorders>
              <w:top w:val="nil"/>
              <w:left w:val="nil"/>
              <w:bottom w:val="single" w:sz="4" w:space="0" w:color="000000"/>
              <w:right w:val="single" w:sz="4" w:space="0" w:color="000000"/>
            </w:tcBorders>
            <w:shd w:val="clear" w:color="auto" w:fill="FFFFFF"/>
            <w:vAlign w:val="bottom"/>
          </w:tcPr>
          <w:p w14:paraId="7EED108D"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0.27</w:t>
            </w:r>
          </w:p>
        </w:tc>
        <w:tc>
          <w:tcPr>
            <w:tcW w:w="790" w:type="dxa"/>
            <w:gridSpan w:val="2"/>
            <w:tcBorders>
              <w:top w:val="nil"/>
              <w:left w:val="nil"/>
              <w:bottom w:val="single" w:sz="4" w:space="0" w:color="000000"/>
              <w:right w:val="single" w:sz="4" w:space="0" w:color="000000"/>
            </w:tcBorders>
            <w:shd w:val="clear" w:color="auto" w:fill="FFFFFF"/>
            <w:vAlign w:val="bottom"/>
          </w:tcPr>
          <w:p w14:paraId="67A0F5B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30.89</w:t>
            </w:r>
          </w:p>
        </w:tc>
        <w:tc>
          <w:tcPr>
            <w:tcW w:w="1218" w:type="dxa"/>
            <w:tcBorders>
              <w:top w:val="nil"/>
              <w:left w:val="nil"/>
              <w:bottom w:val="single" w:sz="4" w:space="0" w:color="000000"/>
              <w:right w:val="single" w:sz="4" w:space="0" w:color="000000"/>
            </w:tcBorders>
            <w:shd w:val="clear" w:color="auto" w:fill="FFFFFF"/>
            <w:vAlign w:val="bottom"/>
          </w:tcPr>
          <w:p w14:paraId="24FE8CE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26.91-33.83</w:t>
            </w:r>
          </w:p>
        </w:tc>
        <w:tc>
          <w:tcPr>
            <w:tcW w:w="1591" w:type="dxa"/>
            <w:tcBorders>
              <w:top w:val="nil"/>
              <w:left w:val="nil"/>
              <w:bottom w:val="single" w:sz="4" w:space="0" w:color="000000"/>
              <w:right w:val="single" w:sz="4" w:space="0" w:color="000000"/>
            </w:tcBorders>
            <w:shd w:val="clear" w:color="auto" w:fill="FFFFFF"/>
            <w:vAlign w:val="bottom"/>
          </w:tcPr>
          <w:p w14:paraId="5470283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0.34</w:t>
            </w:r>
          </w:p>
        </w:tc>
      </w:tr>
      <w:tr w:rsidR="002112A8" w14:paraId="53C618F6" w14:textId="77777777" w:rsidTr="008063FC">
        <w:trPr>
          <w:trHeight w:val="366"/>
        </w:trPr>
        <w:tc>
          <w:tcPr>
            <w:tcW w:w="1041" w:type="dxa"/>
            <w:tcBorders>
              <w:top w:val="nil"/>
              <w:left w:val="single" w:sz="4" w:space="0" w:color="000000"/>
              <w:bottom w:val="single" w:sz="4" w:space="0" w:color="000000"/>
              <w:right w:val="single" w:sz="4" w:space="0" w:color="000000"/>
            </w:tcBorders>
            <w:shd w:val="clear" w:color="auto" w:fill="FFFFFF"/>
            <w:vAlign w:val="bottom"/>
          </w:tcPr>
          <w:p w14:paraId="11CC37B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Adenoid tonsils</w:t>
            </w:r>
          </w:p>
        </w:tc>
        <w:tc>
          <w:tcPr>
            <w:tcW w:w="759" w:type="dxa"/>
            <w:tcBorders>
              <w:top w:val="nil"/>
              <w:left w:val="nil"/>
              <w:bottom w:val="single" w:sz="4" w:space="0" w:color="000000"/>
              <w:right w:val="single" w:sz="4" w:space="0" w:color="000000"/>
            </w:tcBorders>
            <w:shd w:val="clear" w:color="auto" w:fill="FFFFFF"/>
            <w:vAlign w:val="bottom"/>
          </w:tcPr>
          <w:p w14:paraId="62826895"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2T3K</w:t>
            </w:r>
          </w:p>
        </w:tc>
        <w:tc>
          <w:tcPr>
            <w:tcW w:w="606" w:type="dxa"/>
            <w:tcBorders>
              <w:top w:val="nil"/>
              <w:left w:val="nil"/>
              <w:bottom w:val="single" w:sz="4" w:space="0" w:color="000000"/>
              <w:right w:val="single" w:sz="4" w:space="0" w:color="000000"/>
            </w:tcBorders>
            <w:shd w:val="clear" w:color="auto" w:fill="FFFFFF"/>
            <w:vAlign w:val="bottom"/>
          </w:tcPr>
          <w:p w14:paraId="3FF2F4B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w:t>
            </w:r>
          </w:p>
        </w:tc>
        <w:tc>
          <w:tcPr>
            <w:tcW w:w="1060" w:type="dxa"/>
            <w:tcBorders>
              <w:top w:val="nil"/>
              <w:left w:val="nil"/>
              <w:bottom w:val="single" w:sz="4" w:space="0" w:color="000000"/>
              <w:right w:val="single" w:sz="4" w:space="0" w:color="000000"/>
            </w:tcBorders>
            <w:shd w:val="clear" w:color="auto" w:fill="FFFFFF"/>
            <w:vAlign w:val="bottom"/>
          </w:tcPr>
          <w:p w14:paraId="66A21EF6"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0.01-0.04</w:t>
            </w:r>
          </w:p>
        </w:tc>
        <w:tc>
          <w:tcPr>
            <w:tcW w:w="606" w:type="dxa"/>
            <w:tcBorders>
              <w:top w:val="nil"/>
              <w:left w:val="nil"/>
              <w:bottom w:val="single" w:sz="4" w:space="0" w:color="000000"/>
              <w:right w:val="single" w:sz="4" w:space="0" w:color="000000"/>
            </w:tcBorders>
            <w:shd w:val="clear" w:color="auto" w:fill="FFFFFF"/>
            <w:vAlign w:val="bottom"/>
          </w:tcPr>
          <w:p w14:paraId="748ABC73"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0.08</w:t>
            </w:r>
          </w:p>
        </w:tc>
        <w:tc>
          <w:tcPr>
            <w:tcW w:w="1060" w:type="dxa"/>
            <w:tcBorders>
              <w:top w:val="nil"/>
              <w:left w:val="nil"/>
              <w:bottom w:val="single" w:sz="4" w:space="0" w:color="000000"/>
              <w:right w:val="single" w:sz="4" w:space="0" w:color="000000"/>
            </w:tcBorders>
            <w:shd w:val="clear" w:color="auto" w:fill="FFFFFF"/>
            <w:vAlign w:val="bottom"/>
          </w:tcPr>
          <w:p w14:paraId="096C7600"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0.07-0.09</w:t>
            </w:r>
          </w:p>
        </w:tc>
        <w:tc>
          <w:tcPr>
            <w:tcW w:w="606" w:type="dxa"/>
            <w:tcBorders>
              <w:top w:val="nil"/>
              <w:left w:val="nil"/>
              <w:bottom w:val="single" w:sz="4" w:space="0" w:color="000000"/>
              <w:right w:val="single" w:sz="4" w:space="0" w:color="000000"/>
            </w:tcBorders>
            <w:shd w:val="clear" w:color="auto" w:fill="FFFFFF"/>
            <w:vAlign w:val="bottom"/>
          </w:tcPr>
          <w:p w14:paraId="20F798F9"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0.01</w:t>
            </w:r>
          </w:p>
        </w:tc>
        <w:tc>
          <w:tcPr>
            <w:tcW w:w="1060" w:type="dxa"/>
            <w:tcBorders>
              <w:top w:val="nil"/>
              <w:left w:val="nil"/>
              <w:bottom w:val="single" w:sz="4" w:space="0" w:color="000000"/>
              <w:right w:val="single" w:sz="4" w:space="0" w:color="000000"/>
            </w:tcBorders>
            <w:shd w:val="clear" w:color="auto" w:fill="FFFFFF"/>
            <w:vAlign w:val="bottom"/>
          </w:tcPr>
          <w:p w14:paraId="55B43A0F"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0-0.08</w:t>
            </w:r>
          </w:p>
        </w:tc>
        <w:tc>
          <w:tcPr>
            <w:tcW w:w="606" w:type="dxa"/>
            <w:tcBorders>
              <w:top w:val="nil"/>
              <w:left w:val="nil"/>
              <w:bottom w:val="single" w:sz="4" w:space="0" w:color="000000"/>
              <w:right w:val="single" w:sz="4" w:space="0" w:color="000000"/>
            </w:tcBorders>
            <w:shd w:val="clear" w:color="auto" w:fill="FFFFFF"/>
            <w:vAlign w:val="bottom"/>
          </w:tcPr>
          <w:p w14:paraId="7E2434B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0.04</w:t>
            </w:r>
          </w:p>
        </w:tc>
        <w:tc>
          <w:tcPr>
            <w:tcW w:w="1060" w:type="dxa"/>
            <w:tcBorders>
              <w:top w:val="nil"/>
              <w:left w:val="nil"/>
              <w:bottom w:val="single" w:sz="4" w:space="0" w:color="000000"/>
              <w:right w:val="single" w:sz="4" w:space="0" w:color="000000"/>
            </w:tcBorders>
            <w:shd w:val="clear" w:color="auto" w:fill="FFFFFF"/>
            <w:vAlign w:val="bottom"/>
          </w:tcPr>
          <w:p w14:paraId="4E07B742"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0.02-0.21</w:t>
            </w:r>
          </w:p>
        </w:tc>
        <w:tc>
          <w:tcPr>
            <w:tcW w:w="606" w:type="dxa"/>
            <w:tcBorders>
              <w:top w:val="nil"/>
              <w:left w:val="nil"/>
              <w:bottom w:val="single" w:sz="4" w:space="0" w:color="000000"/>
              <w:right w:val="single" w:sz="4" w:space="0" w:color="000000"/>
            </w:tcBorders>
            <w:shd w:val="clear" w:color="auto" w:fill="FFFFFF"/>
            <w:vAlign w:val="bottom"/>
          </w:tcPr>
          <w:p w14:paraId="190E4A34"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1060" w:type="dxa"/>
            <w:tcBorders>
              <w:top w:val="nil"/>
              <w:left w:val="nil"/>
              <w:bottom w:val="single" w:sz="4" w:space="0" w:color="000000"/>
              <w:right w:val="single" w:sz="4" w:space="0" w:color="000000"/>
            </w:tcBorders>
            <w:shd w:val="clear" w:color="auto" w:fill="FFFFFF"/>
            <w:vAlign w:val="bottom"/>
          </w:tcPr>
          <w:p w14:paraId="54415D98"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 </w:t>
            </w:r>
          </w:p>
        </w:tc>
        <w:tc>
          <w:tcPr>
            <w:tcW w:w="624" w:type="dxa"/>
            <w:tcBorders>
              <w:top w:val="nil"/>
              <w:left w:val="nil"/>
              <w:bottom w:val="single" w:sz="4" w:space="0" w:color="000000"/>
              <w:right w:val="single" w:sz="4" w:space="0" w:color="000000"/>
            </w:tcBorders>
            <w:shd w:val="clear" w:color="auto" w:fill="FFFFFF"/>
            <w:vAlign w:val="bottom"/>
          </w:tcPr>
          <w:p w14:paraId="6AB06C9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0.06</w:t>
            </w:r>
          </w:p>
        </w:tc>
        <w:tc>
          <w:tcPr>
            <w:tcW w:w="1198" w:type="dxa"/>
            <w:tcBorders>
              <w:top w:val="nil"/>
              <w:left w:val="nil"/>
              <w:bottom w:val="single" w:sz="4" w:space="0" w:color="000000"/>
              <w:right w:val="single" w:sz="4" w:space="0" w:color="000000"/>
            </w:tcBorders>
            <w:shd w:val="clear" w:color="auto" w:fill="FFFFFF"/>
            <w:vAlign w:val="bottom"/>
          </w:tcPr>
          <w:p w14:paraId="0D434EBA"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0.05-0.06</w:t>
            </w:r>
          </w:p>
        </w:tc>
        <w:tc>
          <w:tcPr>
            <w:tcW w:w="595" w:type="dxa"/>
            <w:tcBorders>
              <w:top w:val="nil"/>
              <w:left w:val="nil"/>
              <w:bottom w:val="single" w:sz="4" w:space="0" w:color="000000"/>
              <w:right w:val="single" w:sz="4" w:space="0" w:color="000000"/>
            </w:tcBorders>
            <w:shd w:val="clear" w:color="auto" w:fill="FFFFFF"/>
            <w:vAlign w:val="bottom"/>
          </w:tcPr>
          <w:p w14:paraId="6A2FF5EE" w14:textId="77777777" w:rsidR="002112A8" w:rsidRDefault="008063FC" w:rsidP="00670F7C">
            <w:pPr>
              <w:spacing w:after="0" w:line="240" w:lineRule="auto"/>
              <w:jc w:val="both"/>
              <w:rPr>
                <w:rFonts w:ascii="Calibri" w:hAnsi="Calibri"/>
                <w:color w:val="000000"/>
                <w:sz w:val="20"/>
              </w:rPr>
            </w:pPr>
            <w:r>
              <w:rPr>
                <w:rFonts w:ascii="Calibri" w:hAnsi="Calibri"/>
                <w:color w:val="000000"/>
                <w:sz w:val="20"/>
              </w:rPr>
              <w:t>0.20</w:t>
            </w:r>
          </w:p>
        </w:tc>
        <w:tc>
          <w:tcPr>
            <w:tcW w:w="790" w:type="dxa"/>
            <w:gridSpan w:val="2"/>
            <w:tcBorders>
              <w:top w:val="nil"/>
              <w:left w:val="nil"/>
              <w:bottom w:val="single" w:sz="4" w:space="0" w:color="000000"/>
              <w:right w:val="single" w:sz="4" w:space="0" w:color="000000"/>
            </w:tcBorders>
            <w:shd w:val="clear" w:color="auto" w:fill="FFFFFF"/>
            <w:vAlign w:val="bottom"/>
          </w:tcPr>
          <w:p w14:paraId="4CFAACC9"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47.09</w:t>
            </w:r>
          </w:p>
        </w:tc>
        <w:tc>
          <w:tcPr>
            <w:tcW w:w="1218" w:type="dxa"/>
            <w:tcBorders>
              <w:top w:val="nil"/>
              <w:left w:val="nil"/>
              <w:bottom w:val="single" w:sz="4" w:space="0" w:color="000000"/>
              <w:right w:val="single" w:sz="4" w:space="0" w:color="000000"/>
            </w:tcBorders>
            <w:shd w:val="clear" w:color="auto" w:fill="FFFFFF"/>
            <w:vAlign w:val="bottom"/>
          </w:tcPr>
          <w:p w14:paraId="47C3887D"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19.52-89.13</w:t>
            </w:r>
          </w:p>
        </w:tc>
        <w:tc>
          <w:tcPr>
            <w:tcW w:w="1591" w:type="dxa"/>
            <w:tcBorders>
              <w:top w:val="nil"/>
              <w:left w:val="nil"/>
              <w:bottom w:val="single" w:sz="4" w:space="0" w:color="000000"/>
              <w:right w:val="single" w:sz="4" w:space="0" w:color="000000"/>
            </w:tcBorders>
            <w:shd w:val="clear" w:color="auto" w:fill="FFFFFF"/>
            <w:vAlign w:val="bottom"/>
          </w:tcPr>
          <w:p w14:paraId="33580BB6" w14:textId="77777777" w:rsidR="002112A8" w:rsidRDefault="008063FC" w:rsidP="00670F7C">
            <w:pPr>
              <w:spacing w:after="0" w:line="240" w:lineRule="auto"/>
              <w:jc w:val="both"/>
              <w:rPr>
                <w:rFonts w:ascii="Calibri" w:hAnsi="Calibri"/>
                <w:color w:val="FF0000"/>
                <w:sz w:val="20"/>
              </w:rPr>
            </w:pPr>
            <w:r>
              <w:rPr>
                <w:rFonts w:ascii="Calibri" w:hAnsi="Calibri"/>
                <w:color w:val="FF0000"/>
                <w:sz w:val="20"/>
              </w:rPr>
              <w:t>0.64</w:t>
            </w:r>
          </w:p>
        </w:tc>
      </w:tr>
    </w:tbl>
    <w:p w14:paraId="71B87905" w14:textId="77777777" w:rsidR="002112A8" w:rsidRDefault="008063FC">
      <w:pPr>
        <w:jc w:val="both"/>
        <w:rPr>
          <w:rFonts w:ascii="Calibri" w:hAnsi="Calibri"/>
        </w:rPr>
        <w:sectPr w:rsidR="002112A8">
          <w:pgSz w:w="16838" w:h="11906" w:orient="landscape"/>
          <w:pgMar w:top="1418" w:right="1418" w:bottom="567" w:left="1418" w:header="709" w:footer="709" w:gutter="0"/>
          <w:cols w:space="708"/>
          <w:docGrid w:linePitch="360"/>
        </w:sectPr>
      </w:pPr>
      <w:r>
        <w:rPr>
          <w:rFonts w:ascii="Calibri" w:hAnsi="Calibri"/>
          <w:noProof/>
        </w:rPr>
        <mc:AlternateContent>
          <mc:Choice Requires="wps">
            <w:drawing>
              <wp:anchor distT="45720" distB="45720" distL="114300" distR="114300" simplePos="0" relativeHeight="251658241" behindDoc="1" locked="0" layoutInCell="1" allowOverlap="1" wp14:anchorId="2A2DBCF3" wp14:editId="65B8CE78">
                <wp:simplePos x="0" y="0"/>
                <wp:positionH relativeFrom="margin">
                  <wp:align>center</wp:align>
                </wp:positionH>
                <wp:positionV relativeFrom="paragraph">
                  <wp:posOffset>-711820</wp:posOffset>
                </wp:positionV>
                <wp:extent cx="10169525" cy="1404620"/>
                <wp:effectExtent l="0" t="0" r="3175" b="0"/>
                <wp:wrapNone/>
                <wp:docPr id="10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9525" cy="1404620"/>
                        </a:xfrm>
                        <a:prstGeom prst="rect">
                          <a:avLst/>
                        </a:prstGeom>
                        <a:solidFill>
                          <a:srgbClr val="FFFFFF"/>
                        </a:solidFill>
                        <a:ln w="9525">
                          <a:noFill/>
                          <a:miter lim="800000"/>
                          <a:headEnd/>
                          <a:tailEnd/>
                        </a:ln>
                      </wps:spPr>
                      <wps:txbx>
                        <w:txbxContent>
                          <w:p w14:paraId="26D40EDE" w14:textId="5616E841" w:rsidR="00F84BF6" w:rsidRPr="003B4FE7" w:rsidRDefault="008063FC" w:rsidP="003B4FE7">
                            <w:pPr>
                              <w:rPr>
                                <w:rFonts w:ascii="Calibri" w:hAnsi="Calibri" w:cs="Calibri"/>
                                <w:bCs/>
                              </w:rPr>
                            </w:pPr>
                            <w:r w:rsidRPr="00FF6FA9">
                              <w:rPr>
                                <w:rFonts w:ascii="Calibri" w:hAnsi="Calibri" w:cs="Calibri"/>
                                <w:b/>
                              </w:rPr>
                              <w:t xml:space="preserve">Supplementary </w:t>
                            </w:r>
                            <w:r>
                              <w:rPr>
                                <w:rFonts w:ascii="Calibri" w:hAnsi="Calibri" w:cs="Calibri"/>
                                <w:b/>
                              </w:rPr>
                              <w:t>T</w:t>
                            </w:r>
                            <w:r w:rsidRPr="00FF6FA9">
                              <w:rPr>
                                <w:rFonts w:ascii="Calibri" w:hAnsi="Calibri" w:cs="Calibri"/>
                                <w:b/>
                              </w:rPr>
                              <w:t xml:space="preserve">able </w:t>
                            </w:r>
                            <w:r>
                              <w:rPr>
                                <w:rFonts w:ascii="Calibri" w:hAnsi="Calibri" w:cs="Calibri"/>
                                <w:b/>
                              </w:rPr>
                              <w:t>1 Organ pharmacokinetic parameters</w:t>
                            </w:r>
                            <w:r w:rsidRPr="00FF6FA9">
                              <w:rPr>
                                <w:rFonts w:ascii="Calibri" w:hAnsi="Calibri" w:cs="Calibri"/>
                                <w:b/>
                              </w:rPr>
                              <w:t xml:space="preserve">; </w:t>
                            </w:r>
                            <w:r w:rsidRPr="003B4FE7">
                              <w:rPr>
                                <w:rFonts w:ascii="Calibri" w:hAnsi="Calibri" w:cs="Calibri"/>
                                <w:bCs/>
                              </w:rPr>
                              <w:t>Parameters as derived from</w:t>
                            </w:r>
                            <w:r>
                              <w:rPr>
                                <w:rFonts w:ascii="Calibri" w:hAnsi="Calibri" w:cs="Calibri"/>
                                <w:bCs/>
                              </w:rPr>
                              <w:t xml:space="preserve"> the</w:t>
                            </w:r>
                            <w:r w:rsidRPr="003B4FE7">
                              <w:rPr>
                                <w:rFonts w:ascii="Calibri" w:hAnsi="Calibri" w:cs="Calibri"/>
                                <w:bCs/>
                              </w:rPr>
                              <w:t xml:space="preserve"> selected pharmacokinetic model. The cases where no adequate fit could be obtained were excluded</w:t>
                            </w:r>
                            <w:r>
                              <w:rPr>
                                <w:rFonts w:ascii="Calibri" w:hAnsi="Calibri" w:cs="Calibri"/>
                                <w:bCs/>
                              </w:rPr>
                              <w:t>.</w:t>
                            </w:r>
                            <w:r w:rsidRPr="00B53501">
                              <w:rPr>
                                <w:rFonts w:ascii="Calibri" w:hAnsi="Calibri" w:cs="Calibri"/>
                                <w:bCs/>
                                <w:color w:val="FF0000"/>
                              </w:rPr>
                              <w:t xml:space="preserve"> Red </w:t>
                            </w:r>
                            <w:r w:rsidRPr="00AB19D3">
                              <w:rPr>
                                <w:rFonts w:ascii="Calibri" w:hAnsi="Calibri" w:cs="Calibri"/>
                                <w:bCs/>
                                <w:color w:val="FF0000"/>
                              </w:rPr>
                              <w:t xml:space="preserve">values indicate the parameters as derived from the </w:t>
                            </w:r>
                            <w:r>
                              <w:rPr>
                                <w:rFonts w:ascii="Calibri" w:hAnsi="Calibri" w:cs="Calibri"/>
                                <w:bCs/>
                                <w:color w:val="FF0000"/>
                              </w:rPr>
                              <w:t>non-selected</w:t>
                            </w:r>
                            <w:r w:rsidRPr="00AB19D3">
                              <w:rPr>
                                <w:rFonts w:ascii="Calibri" w:hAnsi="Calibri" w:cs="Calibri"/>
                                <w:bCs/>
                                <w:color w:val="FF0000"/>
                              </w:rPr>
                              <w:t xml:space="preserve"> model</w:t>
                            </w:r>
                            <w:r>
                              <w:rPr>
                                <w:rFonts w:ascii="Calibri" w:hAnsi="Calibri" w:cs="Calibri"/>
                                <w:bCs/>
                              </w:rPr>
                              <w:t>: F</w:t>
                            </w:r>
                            <w:r w:rsidRPr="003B4FE7">
                              <w:rPr>
                                <w:rFonts w:ascii="Calibri" w:hAnsi="Calibri" w:cs="Calibri"/>
                                <w:bCs/>
                              </w:rPr>
                              <w:t>or the organs where the irreversible model is selected</w:t>
                            </w:r>
                            <w:r>
                              <w:rPr>
                                <w:rFonts w:ascii="Calibri" w:hAnsi="Calibri" w:cs="Calibri"/>
                                <w:bCs/>
                              </w:rPr>
                              <w:t>, t</w:t>
                            </w:r>
                            <w:r w:rsidRPr="003B4FE7">
                              <w:rPr>
                                <w:rFonts w:ascii="Calibri" w:hAnsi="Calibri" w:cs="Calibri"/>
                                <w:bCs/>
                              </w:rPr>
                              <w:t>he 2T4K-derived V</w:t>
                            </w:r>
                            <w:r w:rsidRPr="003B4FE7">
                              <w:rPr>
                                <w:rFonts w:ascii="Calibri" w:hAnsi="Calibri" w:cs="Calibri"/>
                                <w:bCs/>
                                <w:vertAlign w:val="subscript"/>
                              </w:rPr>
                              <w:t>T</w:t>
                            </w:r>
                            <w:r w:rsidRPr="003B4FE7">
                              <w:rPr>
                                <w:rFonts w:ascii="Calibri" w:hAnsi="Calibri" w:cs="Calibri"/>
                                <w:bCs/>
                              </w:rPr>
                              <w:t xml:space="preserve"> </w:t>
                            </w:r>
                            <w:r>
                              <w:rPr>
                                <w:rFonts w:ascii="Calibri" w:hAnsi="Calibri" w:cs="Calibri"/>
                                <w:bCs/>
                              </w:rPr>
                              <w:t>is displayed</w:t>
                            </w:r>
                            <w:r w:rsidRPr="003B4FE7">
                              <w:rPr>
                                <w:rFonts w:ascii="Calibri" w:hAnsi="Calibri" w:cs="Calibri"/>
                                <w:bCs/>
                              </w:rPr>
                              <w:t xml:space="preserve"> and for the organs </w:t>
                            </w:r>
                            <w:r>
                              <w:rPr>
                                <w:rFonts w:ascii="Calibri" w:hAnsi="Calibri" w:cs="Calibri"/>
                                <w:bCs/>
                              </w:rPr>
                              <w:t>where</w:t>
                            </w:r>
                            <w:r w:rsidRPr="003B4FE7">
                              <w:rPr>
                                <w:rFonts w:ascii="Calibri" w:hAnsi="Calibri" w:cs="Calibri"/>
                                <w:bCs/>
                              </w:rPr>
                              <w:t xml:space="preserve"> a reversible </w:t>
                            </w:r>
                            <w:r>
                              <w:rPr>
                                <w:rFonts w:ascii="Calibri" w:hAnsi="Calibri" w:cs="Calibri"/>
                                <w:bCs/>
                              </w:rPr>
                              <w:t xml:space="preserve">model is selected </w:t>
                            </w:r>
                            <w:r w:rsidRPr="003B4FE7">
                              <w:rPr>
                                <w:rFonts w:ascii="Calibri" w:hAnsi="Calibri" w:cs="Calibri"/>
                                <w:bCs/>
                              </w:rPr>
                              <w:t>the 2T3K derived K</w:t>
                            </w:r>
                            <w:r w:rsidRPr="003B4FE7">
                              <w:rPr>
                                <w:rFonts w:ascii="Calibri" w:hAnsi="Calibri" w:cs="Calibri"/>
                                <w:bCs/>
                                <w:vertAlign w:val="subscript"/>
                              </w:rPr>
                              <w:t>i</w:t>
                            </w:r>
                            <w:r w:rsidRPr="003B4FE7">
                              <w:rPr>
                                <w:rFonts w:ascii="Calibri" w:hAnsi="Calibri" w:cs="Calibri"/>
                                <w:bCs/>
                              </w:rPr>
                              <w:t xml:space="preserve"> </w:t>
                            </w:r>
                            <w:r>
                              <w:rPr>
                                <w:rFonts w:ascii="Calibri" w:hAnsi="Calibri" w:cs="Calibri"/>
                                <w:bCs/>
                              </w:rPr>
                              <w:t>is displayed in red</w:t>
                            </w:r>
                            <w:r w:rsidRPr="003B4FE7">
                              <w:rPr>
                                <w:rFonts w:ascii="Calibri" w:hAnsi="Calibri" w:cs="Calibri"/>
                                <w:bCs/>
                              </w:rPr>
                              <w:t xml:space="preserve">. </w:t>
                            </w:r>
                            <w:r>
                              <w:rPr>
                                <w:rFonts w:ascii="Calibri" w:hAnsi="Calibri" w:cs="Calibri"/>
                                <w:bCs/>
                              </w:rPr>
                              <w:t>Med: median, IQR: interquartile range, CoV=coefficient of variation (standard deviation/mean)</w:t>
                            </w:r>
                          </w:p>
                          <w:p w14:paraId="304B2368" w14:textId="77777777" w:rsidR="00F84BF6" w:rsidRPr="003B4FE7" w:rsidRDefault="00F84BF6" w:rsidP="003B4FE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A2DBCF3" id="_x0000_t202" coordsize="21600,21600" o:spt="202" path="m,l,21600r21600,l21600,xe">
                <v:stroke joinstyle="miter"/>
                <v:path gradientshapeok="t" o:connecttype="rect"/>
              </v:shapetype>
              <v:shape id="Text Box 2" o:spid="_x0000_s1026" type="#_x0000_t202" style="position:absolute;left:0;text-align:left;margin-left:0;margin-top:-56.05pt;width:800.75pt;height:110.6pt;z-index:-25165823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" stroked="f">
                <v:textbox style="mso-fit-shape-to-text:t">
                  <w:txbxContent>
                    <w:p w14:paraId="26D40EDE" w14:textId="5616E841" w:rsidR="00F84BF6" w:rsidRPr="003B4FE7" w:rsidRDefault="008063FC" w:rsidP="003B4FE7">
                      <w:pPr>
                        <w:rPr>
                          <w:rFonts w:ascii="Calibri" w:hAnsi="Calibri" w:cs="Calibri"/>
                          <w:bCs/>
                        </w:rPr>
                      </w:pPr>
                      <w:r w:rsidRPr="00FF6FA9">
                        <w:rPr>
                          <w:rFonts w:ascii="Calibri" w:hAnsi="Calibri" w:cs="Calibri"/>
                          <w:b/>
                        </w:rPr>
                        <w:t xml:space="preserve">Supplementary </w:t>
                      </w:r>
                      <w:r>
                        <w:rPr>
                          <w:rFonts w:ascii="Calibri" w:hAnsi="Calibri" w:cs="Calibri"/>
                          <w:b/>
                        </w:rPr>
                        <w:t>T</w:t>
                      </w:r>
                      <w:r w:rsidRPr="00FF6FA9">
                        <w:rPr>
                          <w:rFonts w:ascii="Calibri" w:hAnsi="Calibri" w:cs="Calibri"/>
                          <w:b/>
                        </w:rPr>
                        <w:t xml:space="preserve">able </w:t>
                      </w:r>
                      <w:r>
                        <w:rPr>
                          <w:rFonts w:ascii="Calibri" w:hAnsi="Calibri" w:cs="Calibri"/>
                          <w:b/>
                        </w:rPr>
                        <w:t>1 Organ pharmacokinetic parameters</w:t>
                      </w:r>
                      <w:r w:rsidRPr="00FF6FA9">
                        <w:rPr>
                          <w:rFonts w:ascii="Calibri" w:hAnsi="Calibri" w:cs="Calibri"/>
                          <w:b/>
                        </w:rPr>
                        <w:t xml:space="preserve">; </w:t>
                      </w:r>
                      <w:r w:rsidRPr="003B4FE7">
                        <w:rPr>
                          <w:rFonts w:ascii="Calibri" w:hAnsi="Calibri" w:cs="Calibri"/>
                          <w:bCs/>
                        </w:rPr>
                        <w:t>Parameters as derived from</w:t>
                      </w:r>
                      <w:r>
                        <w:rPr>
                          <w:rFonts w:ascii="Calibri" w:hAnsi="Calibri" w:cs="Calibri"/>
                          <w:bCs/>
                        </w:rPr>
                        <w:t xml:space="preserve"> the</w:t>
                      </w:r>
                      <w:r w:rsidRPr="003B4FE7">
                        <w:rPr>
                          <w:rFonts w:ascii="Calibri" w:hAnsi="Calibri" w:cs="Calibri"/>
                          <w:bCs/>
                        </w:rPr>
                        <w:t xml:space="preserve"> selected pharmacokinetic model. The cases where no adequate fit could be obtained were excluded</w:t>
                      </w:r>
                      <w:r>
                        <w:rPr>
                          <w:rFonts w:ascii="Calibri" w:hAnsi="Calibri" w:cs="Calibri"/>
                          <w:bCs/>
                        </w:rPr>
                        <w:t>.</w:t>
                      </w:r>
                      <w:r w:rsidRPr="00B53501">
                        <w:rPr>
                          <w:rFonts w:ascii="Calibri" w:hAnsi="Calibri" w:cs="Calibri"/>
                          <w:bCs/>
                          <w:color w:val="FF0000"/>
                        </w:rPr>
                        <w:t xml:space="preserve"> Red </w:t>
                      </w:r>
                      <w:r w:rsidRPr="00AB19D3">
                        <w:rPr>
                          <w:rFonts w:ascii="Calibri" w:hAnsi="Calibri" w:cs="Calibri"/>
                          <w:bCs/>
                          <w:color w:val="FF0000"/>
                        </w:rPr>
                        <w:t xml:space="preserve">values indicate the parameters as derived from the </w:t>
                      </w:r>
                      <w:r>
                        <w:rPr>
                          <w:rFonts w:ascii="Calibri" w:hAnsi="Calibri" w:cs="Calibri"/>
                          <w:bCs/>
                          <w:color w:val="FF0000"/>
                        </w:rPr>
                        <w:t>non-selected</w:t>
                      </w:r>
                      <w:r w:rsidRPr="00AB19D3">
                        <w:rPr>
                          <w:rFonts w:ascii="Calibri" w:hAnsi="Calibri" w:cs="Calibri"/>
                          <w:bCs/>
                          <w:color w:val="FF0000"/>
                        </w:rPr>
                        <w:t xml:space="preserve"> model</w:t>
                      </w:r>
                      <w:r>
                        <w:rPr>
                          <w:rFonts w:ascii="Calibri" w:hAnsi="Calibri" w:cs="Calibri"/>
                          <w:bCs/>
                        </w:rPr>
                        <w:t>: F</w:t>
                      </w:r>
                      <w:r w:rsidRPr="003B4FE7">
                        <w:rPr>
                          <w:rFonts w:ascii="Calibri" w:hAnsi="Calibri" w:cs="Calibri"/>
                          <w:bCs/>
                        </w:rPr>
                        <w:t>or the organs where the irreversible model is selected</w:t>
                      </w:r>
                      <w:r>
                        <w:rPr>
                          <w:rFonts w:ascii="Calibri" w:hAnsi="Calibri" w:cs="Calibri"/>
                          <w:bCs/>
                        </w:rPr>
                        <w:t>, t</w:t>
                      </w:r>
                      <w:r w:rsidRPr="003B4FE7">
                        <w:rPr>
                          <w:rFonts w:ascii="Calibri" w:hAnsi="Calibri" w:cs="Calibri"/>
                          <w:bCs/>
                        </w:rPr>
                        <w:t>he 2T4K-derived V</w:t>
                      </w:r>
                      <w:r w:rsidRPr="003B4FE7">
                        <w:rPr>
                          <w:rFonts w:ascii="Calibri" w:hAnsi="Calibri" w:cs="Calibri"/>
                          <w:bCs/>
                          <w:vertAlign w:val="subscript"/>
                        </w:rPr>
                        <w:t>T</w:t>
                      </w:r>
                      <w:r w:rsidRPr="003B4FE7">
                        <w:rPr>
                          <w:rFonts w:ascii="Calibri" w:hAnsi="Calibri" w:cs="Calibri"/>
                          <w:bCs/>
                        </w:rPr>
                        <w:t xml:space="preserve"> </w:t>
                      </w:r>
                      <w:r>
                        <w:rPr>
                          <w:rFonts w:ascii="Calibri" w:hAnsi="Calibri" w:cs="Calibri"/>
                          <w:bCs/>
                        </w:rPr>
                        <w:t>is displayed</w:t>
                      </w:r>
                      <w:r w:rsidRPr="003B4FE7">
                        <w:rPr>
                          <w:rFonts w:ascii="Calibri" w:hAnsi="Calibri" w:cs="Calibri"/>
                          <w:bCs/>
                        </w:rPr>
                        <w:t xml:space="preserve"> and for the organs </w:t>
                      </w:r>
                      <w:r>
                        <w:rPr>
                          <w:rFonts w:ascii="Calibri" w:hAnsi="Calibri" w:cs="Calibri"/>
                          <w:bCs/>
                        </w:rPr>
                        <w:t>where</w:t>
                      </w:r>
                      <w:r w:rsidRPr="003B4FE7">
                        <w:rPr>
                          <w:rFonts w:ascii="Calibri" w:hAnsi="Calibri" w:cs="Calibri"/>
                          <w:bCs/>
                        </w:rPr>
                        <w:t xml:space="preserve"> a reversible </w:t>
                      </w:r>
                      <w:r>
                        <w:rPr>
                          <w:rFonts w:ascii="Calibri" w:hAnsi="Calibri" w:cs="Calibri"/>
                          <w:bCs/>
                        </w:rPr>
                        <w:t xml:space="preserve">model is selected </w:t>
                      </w:r>
                      <w:r w:rsidRPr="003B4FE7">
                        <w:rPr>
                          <w:rFonts w:ascii="Calibri" w:hAnsi="Calibri" w:cs="Calibri"/>
                          <w:bCs/>
                        </w:rPr>
                        <w:t xml:space="preserve">the 2T3K </w:t>
                      </w:r>
                      <w:r w:rsidRPr="003B4FE7">
                        <w:rPr>
                          <w:rFonts w:ascii="Calibri" w:hAnsi="Calibri" w:cs="Calibri"/>
                          <w:bCs/>
                        </w:rPr>
                        <w:t>derived K</w:t>
                      </w:r>
                      <w:r w:rsidRPr="003B4FE7">
                        <w:rPr>
                          <w:rFonts w:ascii="Calibri" w:hAnsi="Calibri" w:cs="Calibri"/>
                          <w:bCs/>
                          <w:vertAlign w:val="subscript"/>
                        </w:rPr>
                        <w:t>i</w:t>
                      </w:r>
                      <w:r w:rsidRPr="003B4FE7">
                        <w:rPr>
                          <w:rFonts w:ascii="Calibri" w:hAnsi="Calibri" w:cs="Calibri"/>
                          <w:bCs/>
                        </w:rPr>
                        <w:t xml:space="preserve"> </w:t>
                      </w:r>
                      <w:r>
                        <w:rPr>
                          <w:rFonts w:ascii="Calibri" w:hAnsi="Calibri" w:cs="Calibri"/>
                          <w:bCs/>
                        </w:rPr>
                        <w:t>is displayed in red</w:t>
                      </w:r>
                      <w:r w:rsidRPr="003B4FE7">
                        <w:rPr>
                          <w:rFonts w:ascii="Calibri" w:hAnsi="Calibri" w:cs="Calibri"/>
                          <w:bCs/>
                        </w:rPr>
                        <w:t xml:space="preserve">. </w:t>
                      </w:r>
                      <w:r>
                        <w:rPr>
                          <w:rFonts w:ascii="Calibri" w:hAnsi="Calibri" w:cs="Calibri"/>
                          <w:bCs/>
                        </w:rPr>
                        <w:t>Med: median, IQR: interquartile range, CoV=coefficient of variation (standard deviation/mean)</w:t>
                      </w:r>
                    </w:p>
                    <w:p w14:paraId="304B2368" w14:textId="77777777" w:rsidR="00F84BF6" w:rsidRPr="003B4FE7" w:rsidRDefault="00F84BF6" w:rsidP="003B4FE7"/>
                  </w:txbxContent>
                </v:textbox>
                <w10:wrap anchorx="margin"/>
              </v:shape>
            </w:pict>
          </mc:Fallback>
        </mc:AlternateContent>
      </w:r>
    </w:p>
    <w:p w14:paraId="785A0B31" w14:textId="4941ED03" w:rsidR="002112A8" w:rsidRDefault="008063FC">
      <w:pPr>
        <w:jc w:val="both"/>
        <w:rPr>
          <w:rFonts w:ascii="Calibri" w:hAnsi="Calibri"/>
          <w:b/>
        </w:rPr>
      </w:pPr>
      <w:r>
        <w:rPr>
          <w:rFonts w:ascii="Calibri" w:hAnsi="Calibri"/>
          <w:b/>
        </w:rPr>
        <w:lastRenderedPageBreak/>
        <w:t>Supplementary figure 4 Non-specific focal [</w:t>
      </w:r>
      <w:r>
        <w:rPr>
          <w:rFonts w:ascii="Calibri" w:hAnsi="Calibri"/>
          <w:b/>
          <w:vertAlign w:val="superscript"/>
        </w:rPr>
        <w:t>18</w:t>
      </w:r>
      <w:r>
        <w:rPr>
          <w:rFonts w:ascii="Calibri" w:hAnsi="Calibri"/>
          <w:b/>
        </w:rPr>
        <w:t xml:space="preserve">F]F-AraG accumulation; </w:t>
      </w:r>
      <w:r w:rsidR="006A7DB7">
        <w:rPr>
          <w:rFonts w:ascii="Calibri" w:hAnsi="Calibri"/>
        </w:rPr>
        <w:t>Patient</w:t>
      </w:r>
      <w:r>
        <w:rPr>
          <w:rFonts w:ascii="Calibri" w:hAnsi="Calibri"/>
        </w:rPr>
        <w:t xml:space="preserve"> A displayed non-specific tracer accumulation on the baseline PET/CT-scan. </w:t>
      </w:r>
      <w:r>
        <w:rPr>
          <w:rFonts w:ascii="Calibri" w:hAnsi="Calibri"/>
          <w:b/>
        </w:rPr>
        <w:t xml:space="preserve"> </w:t>
      </w:r>
    </w:p>
    <w:p w14:paraId="316C6218" w14:textId="68DD6B9F" w:rsidR="002112A8" w:rsidRDefault="00017F01">
      <w:pPr>
        <w:jc w:val="both"/>
        <w:rPr>
          <w:rFonts w:ascii="Calibri" w:hAnsi="Calibri"/>
          <w:b/>
        </w:rPr>
      </w:pPr>
      <w:r>
        <w:rPr>
          <w:rFonts w:ascii="Calibri" w:hAnsi="Calibri"/>
          <w:b/>
          <w:noProof/>
        </w:rPr>
        <w:drawing>
          <wp:inline distT="0" distB="0" distL="0" distR="0" wp14:anchorId="1176AF4C" wp14:editId="7CD661CF">
            <wp:extent cx="5759450" cy="2252980"/>
            <wp:effectExtent l="0" t="0" r="6350" b="0"/>
            <wp:docPr id="756331611" name="Picture 4" descr="A close-up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31611" name="Picture 4" descr="A close-up of a person's head&#10;&#10;AI-generated content may be incorrect."/>
                    <pic:cNvPicPr/>
                  </pic:nvPicPr>
                  <pic:blipFill>
                    <a:blip r:embed="rId15"/>
                    <a:stretch>
                      <a:fillRect/>
                    </a:stretch>
                  </pic:blipFill>
                  <pic:spPr>
                    <a:xfrm>
                      <a:off x="0" y="0"/>
                      <a:ext cx="5759450" cy="2252980"/>
                    </a:xfrm>
                    <a:prstGeom prst="rect">
                      <a:avLst/>
                    </a:prstGeom>
                  </pic:spPr>
                </pic:pic>
              </a:graphicData>
            </a:graphic>
          </wp:inline>
        </w:drawing>
      </w:r>
    </w:p>
    <w:p w14:paraId="25FBFFF9" w14:textId="77777777" w:rsidR="002112A8" w:rsidRDefault="002112A8">
      <w:pPr>
        <w:jc w:val="both"/>
        <w:rPr>
          <w:rFonts w:ascii="Calibri" w:hAnsi="Calibri"/>
          <w:b/>
        </w:rPr>
      </w:pPr>
    </w:p>
    <w:p w14:paraId="4F97B159" w14:textId="77777777" w:rsidR="002112A8" w:rsidRDefault="002112A8">
      <w:pPr>
        <w:jc w:val="both"/>
        <w:rPr>
          <w:rFonts w:ascii="Calibri" w:hAnsi="Calibri"/>
          <w:b/>
        </w:rPr>
      </w:pPr>
    </w:p>
    <w:p w14:paraId="097B7E86" w14:textId="77777777" w:rsidR="002112A8" w:rsidRDefault="008063FC">
      <w:pPr>
        <w:rPr>
          <w:rFonts w:ascii="Calibri" w:hAnsi="Calibri"/>
          <w:b/>
        </w:rPr>
      </w:pPr>
      <w:r>
        <w:rPr>
          <w:rFonts w:ascii="Calibri" w:hAnsi="Calibri"/>
          <w:b/>
        </w:rPr>
        <w:br w:type="page"/>
      </w:r>
    </w:p>
    <w:p w14:paraId="274135EE" w14:textId="02F987F9" w:rsidR="00B50FBD" w:rsidRDefault="008063FC">
      <w:pPr>
        <w:jc w:val="both"/>
        <w:rPr>
          <w:rFonts w:ascii="Calibri" w:hAnsi="Calibri"/>
          <w:b/>
          <w:noProof/>
        </w:rPr>
      </w:pPr>
      <w:r>
        <w:rPr>
          <w:rFonts w:ascii="Calibri" w:hAnsi="Calibri"/>
          <w:b/>
        </w:rPr>
        <w:lastRenderedPageBreak/>
        <w:t xml:space="preserve">Supplementary figure 5 Example fits for two tumor regions per </w:t>
      </w:r>
      <w:r w:rsidR="006A7DB7">
        <w:rPr>
          <w:rFonts w:ascii="Calibri" w:hAnsi="Calibri"/>
          <w:b/>
        </w:rPr>
        <w:t>patient</w:t>
      </w:r>
      <w:r w:rsidR="00B50FBD" w:rsidRPr="00B50FBD">
        <w:rPr>
          <w:rFonts w:ascii="Calibri" w:hAnsi="Calibri"/>
          <w:b/>
          <w:noProof/>
        </w:rPr>
        <w:t xml:space="preserve"> </w:t>
      </w:r>
    </w:p>
    <w:p w14:paraId="61B19054" w14:textId="39E20C9C" w:rsidR="002112A8" w:rsidRDefault="00B50FBD">
      <w:pPr>
        <w:jc w:val="both"/>
        <w:rPr>
          <w:rFonts w:ascii="Calibri" w:hAnsi="Calibri"/>
          <w:b/>
        </w:rPr>
      </w:pPr>
      <w:r>
        <w:rPr>
          <w:rFonts w:ascii="Calibri" w:hAnsi="Calibri"/>
          <w:b/>
          <w:noProof/>
        </w:rPr>
        <w:drawing>
          <wp:anchor distT="0" distB="0" distL="114300" distR="114300" simplePos="0" relativeHeight="251677697" behindDoc="1" locked="0" layoutInCell="1" allowOverlap="1" wp14:anchorId="375E7D1F" wp14:editId="42E37DC3">
            <wp:simplePos x="0" y="0"/>
            <wp:positionH relativeFrom="margin">
              <wp:posOffset>-222250</wp:posOffset>
            </wp:positionH>
            <wp:positionV relativeFrom="paragraph">
              <wp:posOffset>102870</wp:posOffset>
            </wp:positionV>
            <wp:extent cx="6349915" cy="4165600"/>
            <wp:effectExtent l="0" t="0" r="0" b="6350"/>
            <wp:wrapNone/>
            <wp:docPr id="1478337455" name="Picture 4"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37455" name="Picture 4" descr="A collage of graph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49915" cy="416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AC273" w14:textId="1BC535A9" w:rsidR="002112A8" w:rsidRDefault="002112A8">
      <w:pPr>
        <w:jc w:val="both"/>
        <w:rPr>
          <w:rFonts w:ascii="Calibri" w:hAnsi="Calibri"/>
          <w:b/>
        </w:rPr>
      </w:pPr>
    </w:p>
    <w:p w14:paraId="7602B11B" w14:textId="17D0122B" w:rsidR="002112A8" w:rsidRDefault="002112A8">
      <w:pPr>
        <w:jc w:val="both"/>
        <w:rPr>
          <w:rFonts w:ascii="Calibri" w:hAnsi="Calibri"/>
          <w:b/>
        </w:rPr>
      </w:pPr>
    </w:p>
    <w:p w14:paraId="60515869" w14:textId="38A4E122" w:rsidR="002112A8" w:rsidRDefault="002112A8">
      <w:pPr>
        <w:jc w:val="both"/>
        <w:rPr>
          <w:rFonts w:ascii="Calibri" w:hAnsi="Calibri"/>
          <w:b/>
        </w:rPr>
      </w:pPr>
    </w:p>
    <w:p w14:paraId="2BB99ADF" w14:textId="3092126E" w:rsidR="002112A8" w:rsidRDefault="002112A8">
      <w:pPr>
        <w:jc w:val="both"/>
        <w:rPr>
          <w:rFonts w:ascii="Calibri" w:hAnsi="Calibri"/>
          <w:b/>
        </w:rPr>
      </w:pPr>
    </w:p>
    <w:p w14:paraId="0A7737FA" w14:textId="54669CE8" w:rsidR="002112A8" w:rsidRDefault="002112A8">
      <w:pPr>
        <w:jc w:val="both"/>
        <w:rPr>
          <w:rFonts w:ascii="Calibri" w:hAnsi="Calibri"/>
          <w:b/>
        </w:rPr>
      </w:pPr>
    </w:p>
    <w:p w14:paraId="1AAB38EE" w14:textId="6207D670" w:rsidR="002112A8" w:rsidRDefault="00B50FBD">
      <w:pPr>
        <w:rPr>
          <w:rFonts w:ascii="Calibri" w:hAnsi="Calibri"/>
          <w:b/>
        </w:rPr>
      </w:pPr>
      <w:r>
        <w:rPr>
          <w:rFonts w:ascii="Calibri" w:hAnsi="Calibri"/>
          <w:b/>
          <w:noProof/>
        </w:rPr>
        <w:drawing>
          <wp:anchor distT="0" distB="0" distL="114300" distR="114300" simplePos="0" relativeHeight="251676673" behindDoc="1" locked="0" layoutInCell="1" allowOverlap="1" wp14:anchorId="65469263" wp14:editId="7312D31B">
            <wp:simplePos x="0" y="0"/>
            <wp:positionH relativeFrom="margin">
              <wp:posOffset>-222250</wp:posOffset>
            </wp:positionH>
            <wp:positionV relativeFrom="paragraph">
              <wp:posOffset>2891155</wp:posOffset>
            </wp:positionV>
            <wp:extent cx="6349915" cy="4165600"/>
            <wp:effectExtent l="0" t="0" r="0" b="6350"/>
            <wp:wrapNone/>
            <wp:docPr id="17952505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49915" cy="416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63FC">
        <w:rPr>
          <w:rFonts w:ascii="Calibri" w:hAnsi="Calibri"/>
          <w:b/>
        </w:rPr>
        <w:br w:type="page"/>
      </w:r>
      <w:r w:rsidR="00D7498F">
        <w:rPr>
          <w:rFonts w:ascii="Calibri" w:hAnsi="Calibri"/>
          <w:b/>
          <w:noProof/>
        </w:rPr>
        <w:lastRenderedPageBreak/>
        <w:drawing>
          <wp:anchor distT="0" distB="0" distL="114300" distR="114300" simplePos="0" relativeHeight="251678721" behindDoc="1" locked="0" layoutInCell="1" allowOverlap="1" wp14:anchorId="7B3305F8" wp14:editId="00E868F7">
            <wp:simplePos x="0" y="0"/>
            <wp:positionH relativeFrom="margin">
              <wp:posOffset>-209550</wp:posOffset>
            </wp:positionH>
            <wp:positionV relativeFrom="paragraph">
              <wp:posOffset>7620</wp:posOffset>
            </wp:positionV>
            <wp:extent cx="6349305" cy="4165200"/>
            <wp:effectExtent l="0" t="0" r="0" b="6985"/>
            <wp:wrapNone/>
            <wp:docPr id="2048584408" name="Picture 6"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84408" name="Picture 6" descr="A collage of graph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49305" cy="41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63FC">
        <w:rPr>
          <w:rFonts w:ascii="Calibri" w:hAnsi="Calibri"/>
          <w:b/>
        </w:rPr>
        <w:tab/>
      </w:r>
      <w:r w:rsidR="008063FC">
        <w:rPr>
          <w:rFonts w:ascii="Calibri" w:hAnsi="Calibri"/>
          <w:b/>
        </w:rPr>
        <w:tab/>
      </w:r>
      <w:r w:rsidR="008063FC">
        <w:rPr>
          <w:rFonts w:ascii="Calibri" w:hAnsi="Calibri"/>
          <w:b/>
        </w:rPr>
        <w:tab/>
      </w:r>
    </w:p>
    <w:p w14:paraId="35B3C466" w14:textId="7DCD4A53" w:rsidR="002112A8" w:rsidRDefault="00D7498F">
      <w:pPr>
        <w:rPr>
          <w:rFonts w:ascii="Calibri" w:hAnsi="Calibri"/>
          <w:b/>
        </w:rPr>
      </w:pPr>
      <w:r>
        <w:rPr>
          <w:rFonts w:ascii="Calibri" w:hAnsi="Calibri"/>
          <w:b/>
          <w:noProof/>
        </w:rPr>
        <w:drawing>
          <wp:anchor distT="0" distB="0" distL="114300" distR="114300" simplePos="0" relativeHeight="251679745" behindDoc="1" locked="0" layoutInCell="1" allowOverlap="1" wp14:anchorId="597F5355" wp14:editId="53EAE98B">
            <wp:simplePos x="0" y="0"/>
            <wp:positionH relativeFrom="margin">
              <wp:posOffset>-209550</wp:posOffset>
            </wp:positionH>
            <wp:positionV relativeFrom="paragraph">
              <wp:posOffset>4179570</wp:posOffset>
            </wp:positionV>
            <wp:extent cx="6349305" cy="4165200"/>
            <wp:effectExtent l="0" t="0" r="0" b="6985"/>
            <wp:wrapNone/>
            <wp:docPr id="2037324832" name="Picture 7"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24832" name="Picture 7" descr="A collage of graph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49305" cy="41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63FC">
        <w:rPr>
          <w:rFonts w:ascii="Calibri" w:hAnsi="Calibri"/>
          <w:b/>
        </w:rPr>
        <w:br w:type="page"/>
      </w:r>
    </w:p>
    <w:p w14:paraId="7A2BC06B" w14:textId="5FF6423E" w:rsidR="002112A8" w:rsidRPr="00670F7C" w:rsidRDefault="008063FC" w:rsidP="00670F7C">
      <w:pPr>
        <w:rPr>
          <w:rFonts w:ascii="Calibri" w:hAnsi="Calibri"/>
          <w:b/>
        </w:rPr>
      </w:pPr>
      <w:r>
        <w:rPr>
          <w:rFonts w:ascii="Calibri" w:hAnsi="Calibri"/>
          <w:b/>
        </w:rPr>
        <w:lastRenderedPageBreak/>
        <w:t xml:space="preserve">Supplemental Table 2 Tumor pharmacokinetic parameters; </w:t>
      </w:r>
      <w:r>
        <w:rPr>
          <w:rFonts w:ascii="Calibri" w:hAnsi="Calibri"/>
        </w:rPr>
        <w:t>Fitted pharmacokinetic rate constants, V</w:t>
      </w:r>
      <w:r>
        <w:rPr>
          <w:rFonts w:ascii="Calibri" w:hAnsi="Calibri"/>
          <w:vertAlign w:val="subscript"/>
        </w:rPr>
        <w:t>b</w:t>
      </w:r>
      <w:r>
        <w:rPr>
          <w:rFonts w:ascii="Calibri" w:hAnsi="Calibri"/>
        </w:rPr>
        <w:t>, V</w:t>
      </w:r>
      <w:r>
        <w:rPr>
          <w:rFonts w:ascii="Calibri" w:hAnsi="Calibri"/>
          <w:vertAlign w:val="subscript"/>
        </w:rPr>
        <w:t>T</w:t>
      </w:r>
      <w:r>
        <w:rPr>
          <w:rFonts w:ascii="Calibri" w:hAnsi="Calibri"/>
        </w:rPr>
        <w:t xml:space="preserve"> and K</w:t>
      </w:r>
      <w:r>
        <w:rPr>
          <w:rFonts w:ascii="Calibri" w:hAnsi="Calibri"/>
          <w:vertAlign w:val="subscript"/>
        </w:rPr>
        <w:t>i</w:t>
      </w:r>
      <w:r>
        <w:rPr>
          <w:rFonts w:ascii="Calibri" w:hAnsi="Calibri"/>
        </w:rPr>
        <w:t xml:space="preserve"> for the 19 tumor regions modeled: six tumor lesions for </w:t>
      </w:r>
      <w:r w:rsidR="006A7DB7">
        <w:rPr>
          <w:rFonts w:ascii="Calibri" w:hAnsi="Calibri"/>
        </w:rPr>
        <w:t>patient</w:t>
      </w:r>
      <w:r>
        <w:rPr>
          <w:rFonts w:ascii="Calibri" w:hAnsi="Calibri"/>
        </w:rPr>
        <w:t xml:space="preserve"> A, eight tumor lesions for </w:t>
      </w:r>
      <w:r w:rsidR="006A7DB7">
        <w:rPr>
          <w:rFonts w:ascii="Calibri" w:hAnsi="Calibri"/>
        </w:rPr>
        <w:t>patient</w:t>
      </w:r>
      <w:r>
        <w:rPr>
          <w:rFonts w:ascii="Calibri" w:hAnsi="Calibri"/>
        </w:rPr>
        <w:t xml:space="preserve"> B, three regions in two tumor lesions for </w:t>
      </w:r>
      <w:r w:rsidR="006A7DB7">
        <w:rPr>
          <w:rFonts w:ascii="Calibri" w:hAnsi="Calibri"/>
        </w:rPr>
        <w:t>patient</w:t>
      </w:r>
      <w:r>
        <w:rPr>
          <w:rFonts w:ascii="Calibri" w:hAnsi="Calibri"/>
        </w:rPr>
        <w:t xml:space="preserve"> C and two tumor lesions of </w:t>
      </w:r>
      <w:r w:rsidR="006A7DB7">
        <w:rPr>
          <w:rFonts w:ascii="Calibri" w:hAnsi="Calibri"/>
        </w:rPr>
        <w:t>patient</w:t>
      </w:r>
      <w:r>
        <w:rPr>
          <w:rFonts w:ascii="Calibri" w:hAnsi="Calibri"/>
        </w:rPr>
        <w:t xml:space="preserve"> D. Notably, one tumor lesion (the primary esophageal tumor of </w:t>
      </w:r>
      <w:r w:rsidR="006A7DB7">
        <w:rPr>
          <w:rFonts w:ascii="Calibri" w:hAnsi="Calibri"/>
        </w:rPr>
        <w:t>patient</w:t>
      </w:r>
      <w:r>
        <w:rPr>
          <w:rFonts w:ascii="Calibri" w:hAnsi="Calibri"/>
        </w:rPr>
        <w:t xml:space="preserve"> A) was irradiated between week 1 and week 6 and therefore excluded at the week 6 time point. Additionally, one lesion (the sigmoid lesion of </w:t>
      </w:r>
      <w:r w:rsidR="006A7DB7">
        <w:rPr>
          <w:rFonts w:ascii="Calibri" w:hAnsi="Calibri"/>
        </w:rPr>
        <w:t>patient</w:t>
      </w:r>
      <w:r>
        <w:rPr>
          <w:rFonts w:ascii="Calibri" w:hAnsi="Calibri"/>
        </w:rPr>
        <w:t xml:space="preserve"> D at baseline) was excluded due to severe motion. CoV: coefficient of variance (standard deviation/mean). </w:t>
      </w:r>
    </w:p>
    <w:p w14:paraId="3C901523" w14:textId="77777777" w:rsidR="002112A8" w:rsidRDefault="002112A8">
      <w:pPr>
        <w:jc w:val="both"/>
        <w:rPr>
          <w:rFonts w:ascii="Calibri" w:hAnsi="Calibri"/>
        </w:rPr>
      </w:pPr>
    </w:p>
    <w:tbl>
      <w:tblPr>
        <w:tblStyle w:val="Table"/>
        <w:tblW w:w="9210" w:type="dxa"/>
        <w:tblInd w:w="0" w:type="dxa"/>
        <w:tblBorders>
          <w:top w:val="single" w:sz="4" w:space="0" w:color="000000"/>
          <w:left w:val="single" w:sz="4" w:space="0" w:color="000000"/>
          <w:bottom w:val="single" w:sz="4" w:space="0" w:color="000000"/>
          <w:right w:val="single" w:sz="4" w:space="0" w:color="000000"/>
        </w:tblBorders>
        <w:tblCellMar>
          <w:left w:w="108" w:type="dxa"/>
          <w:right w:w="108" w:type="dxa"/>
        </w:tblCellMar>
        <w:tblLook w:val="04A0" w:firstRow="1" w:lastRow="0" w:firstColumn="1" w:lastColumn="0" w:noHBand="0" w:noVBand="1"/>
      </w:tblPr>
      <w:tblGrid>
        <w:gridCol w:w="1347"/>
        <w:gridCol w:w="732"/>
        <w:gridCol w:w="731"/>
        <w:gridCol w:w="731"/>
        <w:gridCol w:w="731"/>
        <w:gridCol w:w="739"/>
        <w:gridCol w:w="670"/>
        <w:gridCol w:w="670"/>
        <w:gridCol w:w="670"/>
        <w:gridCol w:w="670"/>
        <w:gridCol w:w="670"/>
        <w:gridCol w:w="849"/>
      </w:tblGrid>
      <w:tr w:rsidR="002112A8" w14:paraId="006F7FC4" w14:textId="77777777">
        <w:trPr>
          <w:trHeight w:val="658"/>
        </w:trPr>
        <w:tc>
          <w:tcPr>
            <w:tcW w:w="1347" w:type="dxa"/>
            <w:tcBorders>
              <w:top w:val="single" w:sz="4" w:space="0" w:color="000000"/>
              <w:left w:val="single" w:sz="4" w:space="0" w:color="000000"/>
              <w:bottom w:val="single" w:sz="4" w:space="0" w:color="000000"/>
              <w:right w:val="single" w:sz="4" w:space="0" w:color="000000"/>
            </w:tcBorders>
          </w:tcPr>
          <w:p w14:paraId="35A76820" w14:textId="77777777" w:rsidR="002112A8" w:rsidRDefault="002112A8">
            <w:pPr>
              <w:spacing w:after="0" w:line="240" w:lineRule="auto"/>
              <w:jc w:val="both"/>
              <w:rPr>
                <w:rFonts w:ascii="Calibri" w:hAnsi="Calibri"/>
                <w:sz w:val="24"/>
              </w:rPr>
            </w:pPr>
          </w:p>
        </w:tc>
        <w:tc>
          <w:tcPr>
            <w:tcW w:w="3664" w:type="dxa"/>
            <w:gridSpan w:val="5"/>
            <w:tcBorders>
              <w:top w:val="single" w:sz="4" w:space="0" w:color="000000"/>
              <w:left w:val="single" w:sz="4" w:space="0" w:color="000000"/>
              <w:bottom w:val="single" w:sz="4" w:space="0" w:color="000000"/>
              <w:right w:val="single" w:sz="4" w:space="0" w:color="000000"/>
            </w:tcBorders>
            <w:shd w:val="clear" w:color="auto" w:fill="92A9B9"/>
            <w:vAlign w:val="center"/>
          </w:tcPr>
          <w:p w14:paraId="72525961" w14:textId="77777777" w:rsidR="002112A8" w:rsidRDefault="008063FC">
            <w:pPr>
              <w:spacing w:after="0" w:line="240" w:lineRule="auto"/>
              <w:jc w:val="both"/>
              <w:rPr>
                <w:rFonts w:ascii="Calibri" w:hAnsi="Calibri"/>
              </w:rPr>
            </w:pPr>
            <w:r>
              <w:rPr>
                <w:rFonts w:ascii="Calibri" w:hAnsi="Calibri"/>
              </w:rPr>
              <w:t>2T3K</w:t>
            </w:r>
          </w:p>
        </w:tc>
        <w:tc>
          <w:tcPr>
            <w:tcW w:w="4199" w:type="dxa"/>
            <w:gridSpan w:val="6"/>
            <w:tcBorders>
              <w:top w:val="single" w:sz="4" w:space="0" w:color="000000"/>
              <w:left w:val="single" w:sz="4" w:space="0" w:color="000000"/>
              <w:bottom w:val="single" w:sz="4" w:space="0" w:color="000000"/>
              <w:right w:val="single" w:sz="4" w:space="0" w:color="000000"/>
            </w:tcBorders>
            <w:shd w:val="clear" w:color="auto" w:fill="A7B789"/>
            <w:vAlign w:val="center"/>
          </w:tcPr>
          <w:p w14:paraId="5C3BE28F" w14:textId="77777777" w:rsidR="002112A8" w:rsidRDefault="008063FC">
            <w:pPr>
              <w:spacing w:after="0" w:line="240" w:lineRule="auto"/>
              <w:jc w:val="both"/>
              <w:rPr>
                <w:rFonts w:ascii="Calibri" w:hAnsi="Calibri"/>
              </w:rPr>
            </w:pPr>
            <w:r>
              <w:rPr>
                <w:rFonts w:ascii="Calibri" w:hAnsi="Calibri"/>
              </w:rPr>
              <w:t>2T4K</w:t>
            </w:r>
          </w:p>
        </w:tc>
      </w:tr>
      <w:tr w:rsidR="002112A8" w14:paraId="7743CE60" w14:textId="77777777">
        <w:trPr>
          <w:trHeight w:val="454"/>
        </w:trPr>
        <w:tc>
          <w:tcPr>
            <w:tcW w:w="1347" w:type="dxa"/>
            <w:tcBorders>
              <w:top w:val="single" w:sz="4" w:space="0" w:color="000000"/>
              <w:left w:val="single" w:sz="4" w:space="0" w:color="000000"/>
              <w:bottom w:val="single" w:sz="4" w:space="0" w:color="000000"/>
              <w:right w:val="single" w:sz="4" w:space="0" w:color="000000"/>
            </w:tcBorders>
            <w:vAlign w:val="center"/>
          </w:tcPr>
          <w:p w14:paraId="50852053" w14:textId="77777777" w:rsidR="002112A8" w:rsidRDefault="008063FC">
            <w:pPr>
              <w:spacing w:after="0" w:line="240" w:lineRule="auto"/>
              <w:jc w:val="both"/>
              <w:rPr>
                <w:rFonts w:ascii="Calibri" w:hAnsi="Calibri"/>
              </w:rPr>
            </w:pPr>
            <w:r>
              <w:rPr>
                <w:rFonts w:ascii="Calibri" w:hAnsi="Calibri"/>
              </w:rPr>
              <w:t>Parameter</w:t>
            </w:r>
          </w:p>
        </w:tc>
        <w:tc>
          <w:tcPr>
            <w:tcW w:w="732" w:type="dxa"/>
            <w:tcBorders>
              <w:top w:val="single" w:sz="4" w:space="0" w:color="000000"/>
              <w:left w:val="single" w:sz="4" w:space="0" w:color="000000"/>
              <w:bottom w:val="single" w:sz="4" w:space="0" w:color="000000"/>
              <w:right w:val="single" w:sz="4" w:space="0" w:color="000000"/>
            </w:tcBorders>
            <w:vAlign w:val="center"/>
          </w:tcPr>
          <w:p w14:paraId="1E35EABF" w14:textId="77777777" w:rsidR="002112A8" w:rsidRDefault="008063FC">
            <w:pPr>
              <w:spacing w:after="0" w:line="240" w:lineRule="auto"/>
              <w:jc w:val="both"/>
              <w:rPr>
                <w:rFonts w:ascii="Calibri" w:hAnsi="Calibri"/>
              </w:rPr>
            </w:pPr>
            <w:r>
              <w:rPr>
                <w:rFonts w:ascii="Calibri" w:hAnsi="Calibri"/>
              </w:rPr>
              <w:t>V</w:t>
            </w:r>
            <w:r>
              <w:rPr>
                <w:rFonts w:ascii="Calibri" w:hAnsi="Calibri"/>
                <w:vertAlign w:val="subscript"/>
              </w:rPr>
              <w:t>b</w:t>
            </w:r>
          </w:p>
        </w:tc>
        <w:tc>
          <w:tcPr>
            <w:tcW w:w="731" w:type="dxa"/>
            <w:tcBorders>
              <w:top w:val="single" w:sz="4" w:space="0" w:color="000000"/>
              <w:left w:val="single" w:sz="4" w:space="0" w:color="000000"/>
              <w:bottom w:val="single" w:sz="4" w:space="0" w:color="000000"/>
              <w:right w:val="single" w:sz="4" w:space="0" w:color="000000"/>
            </w:tcBorders>
            <w:vAlign w:val="center"/>
          </w:tcPr>
          <w:p w14:paraId="157B511E"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1</w:t>
            </w:r>
          </w:p>
        </w:tc>
        <w:tc>
          <w:tcPr>
            <w:tcW w:w="731" w:type="dxa"/>
            <w:tcBorders>
              <w:top w:val="single" w:sz="4" w:space="0" w:color="000000"/>
              <w:left w:val="single" w:sz="4" w:space="0" w:color="000000"/>
              <w:bottom w:val="single" w:sz="4" w:space="0" w:color="000000"/>
              <w:right w:val="single" w:sz="4" w:space="0" w:color="000000"/>
            </w:tcBorders>
            <w:vAlign w:val="center"/>
          </w:tcPr>
          <w:p w14:paraId="36E3BA6D"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2</w:t>
            </w:r>
          </w:p>
        </w:tc>
        <w:tc>
          <w:tcPr>
            <w:tcW w:w="731" w:type="dxa"/>
            <w:tcBorders>
              <w:top w:val="single" w:sz="4" w:space="0" w:color="000000"/>
              <w:left w:val="single" w:sz="4" w:space="0" w:color="000000"/>
              <w:bottom w:val="single" w:sz="4" w:space="0" w:color="000000"/>
              <w:right w:val="single" w:sz="4" w:space="0" w:color="000000"/>
            </w:tcBorders>
            <w:vAlign w:val="center"/>
          </w:tcPr>
          <w:p w14:paraId="5973A8DC"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4521E1C7"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i</w:t>
            </w:r>
          </w:p>
        </w:tc>
        <w:tc>
          <w:tcPr>
            <w:tcW w:w="670" w:type="dxa"/>
            <w:tcBorders>
              <w:top w:val="single" w:sz="4" w:space="0" w:color="000000"/>
              <w:left w:val="single" w:sz="4" w:space="0" w:color="000000"/>
              <w:bottom w:val="single" w:sz="4" w:space="0" w:color="000000"/>
              <w:right w:val="single" w:sz="4" w:space="0" w:color="000000"/>
            </w:tcBorders>
            <w:vAlign w:val="center"/>
          </w:tcPr>
          <w:p w14:paraId="3FDF71AD" w14:textId="77777777" w:rsidR="002112A8" w:rsidRDefault="008063FC">
            <w:pPr>
              <w:spacing w:after="0" w:line="240" w:lineRule="auto"/>
              <w:jc w:val="both"/>
              <w:rPr>
                <w:rFonts w:ascii="Calibri" w:hAnsi="Calibri"/>
              </w:rPr>
            </w:pPr>
            <w:r>
              <w:rPr>
                <w:rFonts w:ascii="Calibri" w:hAnsi="Calibri"/>
              </w:rPr>
              <w:t>V</w:t>
            </w:r>
            <w:r>
              <w:rPr>
                <w:rFonts w:ascii="Calibri" w:hAnsi="Calibri"/>
                <w:vertAlign w:val="subscript"/>
              </w:rPr>
              <w:t>b</w:t>
            </w:r>
          </w:p>
        </w:tc>
        <w:tc>
          <w:tcPr>
            <w:tcW w:w="670" w:type="dxa"/>
            <w:tcBorders>
              <w:top w:val="single" w:sz="4" w:space="0" w:color="000000"/>
              <w:left w:val="single" w:sz="4" w:space="0" w:color="000000"/>
              <w:bottom w:val="single" w:sz="4" w:space="0" w:color="000000"/>
              <w:right w:val="single" w:sz="4" w:space="0" w:color="000000"/>
            </w:tcBorders>
            <w:vAlign w:val="center"/>
          </w:tcPr>
          <w:p w14:paraId="7A18C047"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1</w:t>
            </w:r>
          </w:p>
        </w:tc>
        <w:tc>
          <w:tcPr>
            <w:tcW w:w="670" w:type="dxa"/>
            <w:tcBorders>
              <w:top w:val="single" w:sz="4" w:space="0" w:color="000000"/>
              <w:left w:val="single" w:sz="4" w:space="0" w:color="000000"/>
              <w:bottom w:val="single" w:sz="4" w:space="0" w:color="000000"/>
              <w:right w:val="single" w:sz="4" w:space="0" w:color="000000"/>
            </w:tcBorders>
            <w:vAlign w:val="center"/>
          </w:tcPr>
          <w:p w14:paraId="22955A1B"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2</w:t>
            </w:r>
          </w:p>
        </w:tc>
        <w:tc>
          <w:tcPr>
            <w:tcW w:w="670" w:type="dxa"/>
            <w:tcBorders>
              <w:top w:val="single" w:sz="4" w:space="0" w:color="000000"/>
              <w:left w:val="single" w:sz="4" w:space="0" w:color="000000"/>
              <w:bottom w:val="single" w:sz="4" w:space="0" w:color="000000"/>
              <w:right w:val="single" w:sz="4" w:space="0" w:color="000000"/>
            </w:tcBorders>
            <w:vAlign w:val="center"/>
          </w:tcPr>
          <w:p w14:paraId="56AE9074"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3</w:t>
            </w:r>
          </w:p>
        </w:tc>
        <w:tc>
          <w:tcPr>
            <w:tcW w:w="670" w:type="dxa"/>
            <w:tcBorders>
              <w:top w:val="single" w:sz="4" w:space="0" w:color="000000"/>
              <w:left w:val="single" w:sz="4" w:space="0" w:color="000000"/>
              <w:bottom w:val="single" w:sz="4" w:space="0" w:color="000000"/>
              <w:right w:val="single" w:sz="4" w:space="0" w:color="000000"/>
            </w:tcBorders>
            <w:vAlign w:val="center"/>
          </w:tcPr>
          <w:p w14:paraId="01E89965" w14:textId="77777777" w:rsidR="002112A8" w:rsidRDefault="008063FC">
            <w:pPr>
              <w:spacing w:after="0" w:line="240" w:lineRule="auto"/>
              <w:jc w:val="both"/>
              <w:rPr>
                <w:rFonts w:ascii="Calibri" w:hAnsi="Calibri"/>
              </w:rPr>
            </w:pPr>
            <w:r>
              <w:rPr>
                <w:rFonts w:ascii="Calibri" w:hAnsi="Calibri"/>
              </w:rPr>
              <w:t>k</w:t>
            </w:r>
            <w:r>
              <w:rPr>
                <w:rFonts w:ascii="Calibri" w:hAnsi="Calibri"/>
                <w:vertAlign w:val="subscript"/>
              </w:rPr>
              <w:t>4</w:t>
            </w:r>
          </w:p>
        </w:tc>
        <w:tc>
          <w:tcPr>
            <w:tcW w:w="849" w:type="dxa"/>
            <w:tcBorders>
              <w:top w:val="single" w:sz="4" w:space="0" w:color="000000"/>
              <w:left w:val="single" w:sz="4" w:space="0" w:color="000000"/>
              <w:bottom w:val="single" w:sz="4" w:space="0" w:color="000000"/>
              <w:right w:val="single" w:sz="4" w:space="0" w:color="000000"/>
            </w:tcBorders>
            <w:vAlign w:val="center"/>
          </w:tcPr>
          <w:p w14:paraId="535176B5" w14:textId="77777777" w:rsidR="002112A8" w:rsidRDefault="008063FC">
            <w:pPr>
              <w:spacing w:after="0" w:line="240" w:lineRule="auto"/>
              <w:jc w:val="both"/>
              <w:rPr>
                <w:rFonts w:ascii="Calibri" w:hAnsi="Calibri"/>
              </w:rPr>
            </w:pPr>
            <w:r>
              <w:rPr>
                <w:rFonts w:ascii="Calibri" w:hAnsi="Calibri"/>
              </w:rPr>
              <w:t>V</w:t>
            </w:r>
            <w:r>
              <w:rPr>
                <w:rFonts w:ascii="Calibri" w:hAnsi="Calibri"/>
                <w:vertAlign w:val="subscript"/>
              </w:rPr>
              <w:t>T</w:t>
            </w:r>
          </w:p>
        </w:tc>
      </w:tr>
      <w:tr w:rsidR="002112A8" w14:paraId="7D1673C3" w14:textId="77777777">
        <w:trPr>
          <w:trHeight w:val="454"/>
        </w:trPr>
        <w:tc>
          <w:tcPr>
            <w:tcW w:w="1347" w:type="dxa"/>
            <w:tcBorders>
              <w:top w:val="single" w:sz="4" w:space="0" w:color="000000"/>
              <w:left w:val="single" w:sz="4" w:space="0" w:color="000000"/>
              <w:bottom w:val="single" w:sz="4" w:space="0" w:color="000000"/>
              <w:right w:val="single" w:sz="4" w:space="0" w:color="000000"/>
            </w:tcBorders>
            <w:vAlign w:val="center"/>
          </w:tcPr>
          <w:p w14:paraId="7F513ACC" w14:textId="77777777" w:rsidR="002112A8" w:rsidRDefault="008063FC">
            <w:pPr>
              <w:spacing w:after="0" w:line="240" w:lineRule="auto"/>
              <w:jc w:val="both"/>
              <w:rPr>
                <w:rFonts w:ascii="Calibri" w:hAnsi="Calibri"/>
              </w:rPr>
            </w:pPr>
            <w:r>
              <w:rPr>
                <w:rFonts w:ascii="Calibri" w:hAnsi="Calibri"/>
              </w:rPr>
              <w:t>Median</w:t>
            </w:r>
          </w:p>
        </w:tc>
        <w:tc>
          <w:tcPr>
            <w:tcW w:w="732" w:type="dxa"/>
            <w:tcBorders>
              <w:top w:val="single" w:sz="4" w:space="0" w:color="000000"/>
              <w:left w:val="single" w:sz="4" w:space="0" w:color="000000"/>
              <w:bottom w:val="single" w:sz="4" w:space="0" w:color="000000"/>
              <w:right w:val="single" w:sz="4" w:space="0" w:color="000000"/>
            </w:tcBorders>
            <w:vAlign w:val="center"/>
          </w:tcPr>
          <w:p w14:paraId="6A49A31C" w14:textId="77777777" w:rsidR="002112A8" w:rsidRDefault="008063FC">
            <w:pPr>
              <w:spacing w:after="0" w:line="240" w:lineRule="auto"/>
              <w:jc w:val="both"/>
              <w:rPr>
                <w:rFonts w:ascii="Calibri" w:hAnsi="Calibri"/>
              </w:rPr>
            </w:pPr>
            <w:r>
              <w:rPr>
                <w:rFonts w:ascii="Calibri" w:hAnsi="Calibri"/>
              </w:rPr>
              <w:t>0.12</w:t>
            </w:r>
          </w:p>
        </w:tc>
        <w:tc>
          <w:tcPr>
            <w:tcW w:w="731" w:type="dxa"/>
            <w:tcBorders>
              <w:top w:val="single" w:sz="4" w:space="0" w:color="000000"/>
              <w:left w:val="single" w:sz="4" w:space="0" w:color="000000"/>
              <w:bottom w:val="single" w:sz="4" w:space="0" w:color="000000"/>
              <w:right w:val="single" w:sz="4" w:space="0" w:color="000000"/>
            </w:tcBorders>
            <w:vAlign w:val="center"/>
          </w:tcPr>
          <w:p w14:paraId="260364E1" w14:textId="77777777" w:rsidR="002112A8" w:rsidRDefault="008063FC">
            <w:pPr>
              <w:spacing w:after="0" w:line="240" w:lineRule="auto"/>
              <w:jc w:val="both"/>
              <w:rPr>
                <w:rFonts w:ascii="Calibri" w:hAnsi="Calibri"/>
              </w:rPr>
            </w:pPr>
            <w:r>
              <w:rPr>
                <w:rFonts w:ascii="Calibri" w:hAnsi="Calibri"/>
              </w:rPr>
              <w:t>0.11</w:t>
            </w:r>
          </w:p>
        </w:tc>
        <w:tc>
          <w:tcPr>
            <w:tcW w:w="731" w:type="dxa"/>
            <w:tcBorders>
              <w:top w:val="single" w:sz="4" w:space="0" w:color="000000"/>
              <w:left w:val="single" w:sz="4" w:space="0" w:color="000000"/>
              <w:bottom w:val="single" w:sz="4" w:space="0" w:color="000000"/>
              <w:right w:val="single" w:sz="4" w:space="0" w:color="000000"/>
            </w:tcBorders>
            <w:vAlign w:val="center"/>
          </w:tcPr>
          <w:p w14:paraId="6B41E14E" w14:textId="77777777" w:rsidR="002112A8" w:rsidRDefault="008063FC">
            <w:pPr>
              <w:spacing w:after="0" w:line="240" w:lineRule="auto"/>
              <w:jc w:val="both"/>
              <w:rPr>
                <w:rFonts w:ascii="Calibri" w:hAnsi="Calibri"/>
              </w:rPr>
            </w:pPr>
            <w:r>
              <w:rPr>
                <w:rFonts w:ascii="Calibri" w:hAnsi="Calibri"/>
              </w:rPr>
              <w:t>0.01</w:t>
            </w:r>
          </w:p>
        </w:tc>
        <w:tc>
          <w:tcPr>
            <w:tcW w:w="731" w:type="dxa"/>
            <w:tcBorders>
              <w:top w:val="single" w:sz="4" w:space="0" w:color="000000"/>
              <w:left w:val="single" w:sz="4" w:space="0" w:color="000000"/>
              <w:bottom w:val="single" w:sz="4" w:space="0" w:color="000000"/>
              <w:right w:val="single" w:sz="4" w:space="0" w:color="000000"/>
            </w:tcBorders>
            <w:vAlign w:val="center"/>
          </w:tcPr>
          <w:p w14:paraId="596D57CF" w14:textId="77777777" w:rsidR="002112A8" w:rsidRDefault="008063FC">
            <w:pPr>
              <w:spacing w:after="0" w:line="240" w:lineRule="auto"/>
              <w:jc w:val="both"/>
              <w:rPr>
                <w:rFonts w:ascii="Calibri" w:hAnsi="Calibri"/>
              </w:rPr>
            </w:pPr>
            <w:r>
              <w:rPr>
                <w:rFonts w:ascii="Calibri" w:hAnsi="Calibri"/>
              </w:rPr>
              <w:t>0.01</w:t>
            </w:r>
          </w:p>
        </w:tc>
        <w:tc>
          <w:tcPr>
            <w:tcW w:w="739" w:type="dxa"/>
            <w:tcBorders>
              <w:top w:val="single" w:sz="4" w:space="0" w:color="000000"/>
              <w:left w:val="single" w:sz="4" w:space="0" w:color="000000"/>
              <w:bottom w:val="single" w:sz="4" w:space="0" w:color="000000"/>
              <w:right w:val="single" w:sz="4" w:space="0" w:color="000000"/>
            </w:tcBorders>
            <w:vAlign w:val="center"/>
          </w:tcPr>
          <w:p w14:paraId="52CE7E62" w14:textId="77777777" w:rsidR="002112A8" w:rsidRDefault="008063FC">
            <w:pPr>
              <w:spacing w:after="0" w:line="240" w:lineRule="auto"/>
              <w:jc w:val="both"/>
              <w:rPr>
                <w:rFonts w:ascii="Calibri" w:hAnsi="Calibri"/>
              </w:rPr>
            </w:pPr>
            <w:r>
              <w:rPr>
                <w:rFonts w:ascii="Calibri" w:hAnsi="Calibri"/>
              </w:rPr>
              <w:t>0.06</w:t>
            </w:r>
          </w:p>
        </w:tc>
        <w:tc>
          <w:tcPr>
            <w:tcW w:w="670" w:type="dxa"/>
            <w:tcBorders>
              <w:top w:val="single" w:sz="4" w:space="0" w:color="000000"/>
              <w:left w:val="single" w:sz="4" w:space="0" w:color="000000"/>
              <w:bottom w:val="single" w:sz="4" w:space="0" w:color="000000"/>
              <w:right w:val="single" w:sz="4" w:space="0" w:color="000000"/>
            </w:tcBorders>
            <w:vAlign w:val="center"/>
          </w:tcPr>
          <w:p w14:paraId="56D35BCD" w14:textId="77777777" w:rsidR="002112A8" w:rsidRDefault="008063FC">
            <w:pPr>
              <w:spacing w:after="0" w:line="240" w:lineRule="auto"/>
              <w:jc w:val="both"/>
              <w:rPr>
                <w:rFonts w:ascii="Calibri" w:hAnsi="Calibri"/>
              </w:rPr>
            </w:pPr>
            <w:r>
              <w:rPr>
                <w:rFonts w:ascii="Calibri" w:hAnsi="Calibri"/>
              </w:rPr>
              <w:t>0.11</w:t>
            </w:r>
          </w:p>
        </w:tc>
        <w:tc>
          <w:tcPr>
            <w:tcW w:w="670" w:type="dxa"/>
            <w:tcBorders>
              <w:top w:val="single" w:sz="4" w:space="0" w:color="000000"/>
              <w:left w:val="single" w:sz="4" w:space="0" w:color="000000"/>
              <w:bottom w:val="single" w:sz="4" w:space="0" w:color="000000"/>
              <w:right w:val="single" w:sz="4" w:space="0" w:color="000000"/>
            </w:tcBorders>
            <w:vAlign w:val="center"/>
          </w:tcPr>
          <w:p w14:paraId="0575BE63" w14:textId="77777777" w:rsidR="002112A8" w:rsidRDefault="008063FC">
            <w:pPr>
              <w:spacing w:after="0" w:line="240" w:lineRule="auto"/>
              <w:jc w:val="both"/>
              <w:rPr>
                <w:rFonts w:ascii="Calibri" w:hAnsi="Calibri"/>
              </w:rPr>
            </w:pPr>
            <w:r>
              <w:rPr>
                <w:rFonts w:ascii="Calibri" w:hAnsi="Calibri"/>
              </w:rPr>
              <w:t>0.13</w:t>
            </w:r>
          </w:p>
        </w:tc>
        <w:tc>
          <w:tcPr>
            <w:tcW w:w="670" w:type="dxa"/>
            <w:tcBorders>
              <w:top w:val="single" w:sz="4" w:space="0" w:color="000000"/>
              <w:left w:val="single" w:sz="4" w:space="0" w:color="000000"/>
              <w:bottom w:val="single" w:sz="4" w:space="0" w:color="000000"/>
              <w:right w:val="single" w:sz="4" w:space="0" w:color="000000"/>
            </w:tcBorders>
            <w:vAlign w:val="center"/>
          </w:tcPr>
          <w:p w14:paraId="1115998F" w14:textId="77777777" w:rsidR="002112A8" w:rsidRDefault="008063FC">
            <w:pPr>
              <w:spacing w:after="0" w:line="240" w:lineRule="auto"/>
              <w:jc w:val="both"/>
              <w:rPr>
                <w:rFonts w:ascii="Calibri" w:hAnsi="Calibri"/>
              </w:rPr>
            </w:pPr>
            <w:r>
              <w:rPr>
                <w:rFonts w:ascii="Calibri" w:hAnsi="Calibri"/>
              </w:rPr>
              <w:t>0.01</w:t>
            </w:r>
          </w:p>
        </w:tc>
        <w:tc>
          <w:tcPr>
            <w:tcW w:w="670" w:type="dxa"/>
            <w:tcBorders>
              <w:top w:val="single" w:sz="4" w:space="0" w:color="000000"/>
              <w:left w:val="single" w:sz="4" w:space="0" w:color="000000"/>
              <w:bottom w:val="single" w:sz="4" w:space="0" w:color="000000"/>
              <w:right w:val="single" w:sz="4" w:space="0" w:color="000000"/>
            </w:tcBorders>
            <w:vAlign w:val="center"/>
          </w:tcPr>
          <w:p w14:paraId="04B0C244" w14:textId="77777777" w:rsidR="002112A8" w:rsidRDefault="008063FC">
            <w:pPr>
              <w:spacing w:after="0" w:line="240" w:lineRule="auto"/>
              <w:jc w:val="both"/>
              <w:rPr>
                <w:rFonts w:ascii="Calibri" w:hAnsi="Calibri"/>
              </w:rPr>
            </w:pPr>
            <w:r>
              <w:rPr>
                <w:rFonts w:ascii="Calibri" w:hAnsi="Calibri"/>
              </w:rPr>
              <w:t>0.02</w:t>
            </w:r>
          </w:p>
        </w:tc>
        <w:tc>
          <w:tcPr>
            <w:tcW w:w="670" w:type="dxa"/>
            <w:tcBorders>
              <w:top w:val="single" w:sz="4" w:space="0" w:color="000000"/>
              <w:left w:val="single" w:sz="4" w:space="0" w:color="000000"/>
              <w:bottom w:val="single" w:sz="4" w:space="0" w:color="000000"/>
              <w:right w:val="single" w:sz="4" w:space="0" w:color="000000"/>
            </w:tcBorders>
            <w:vAlign w:val="center"/>
          </w:tcPr>
          <w:p w14:paraId="0C1970D7" w14:textId="77777777" w:rsidR="002112A8" w:rsidRDefault="008063FC">
            <w:pPr>
              <w:spacing w:after="0" w:line="240" w:lineRule="auto"/>
              <w:jc w:val="both"/>
              <w:rPr>
                <w:rFonts w:ascii="Calibri" w:hAnsi="Calibri"/>
              </w:rPr>
            </w:pPr>
            <w:r>
              <w:rPr>
                <w:rFonts w:ascii="Calibri" w:hAnsi="Calibri"/>
              </w:rPr>
              <w:t>0.00</w:t>
            </w:r>
          </w:p>
        </w:tc>
        <w:tc>
          <w:tcPr>
            <w:tcW w:w="849" w:type="dxa"/>
            <w:tcBorders>
              <w:top w:val="single" w:sz="4" w:space="0" w:color="000000"/>
              <w:left w:val="single" w:sz="4" w:space="0" w:color="000000"/>
              <w:bottom w:val="single" w:sz="4" w:space="0" w:color="000000"/>
              <w:right w:val="single" w:sz="4" w:space="0" w:color="000000"/>
            </w:tcBorders>
            <w:vAlign w:val="center"/>
          </w:tcPr>
          <w:p w14:paraId="470A9C2E" w14:textId="77777777" w:rsidR="002112A8" w:rsidRDefault="008063FC">
            <w:pPr>
              <w:spacing w:after="0" w:line="240" w:lineRule="auto"/>
              <w:jc w:val="both"/>
              <w:rPr>
                <w:rFonts w:ascii="Calibri" w:hAnsi="Calibri"/>
              </w:rPr>
            </w:pPr>
            <w:r>
              <w:rPr>
                <w:rFonts w:ascii="Calibri" w:hAnsi="Calibri"/>
              </w:rPr>
              <w:t>45.50</w:t>
            </w:r>
          </w:p>
        </w:tc>
      </w:tr>
      <w:tr w:rsidR="002112A8" w14:paraId="04E8B5B3" w14:textId="77777777">
        <w:trPr>
          <w:trHeight w:val="454"/>
        </w:trPr>
        <w:tc>
          <w:tcPr>
            <w:tcW w:w="1347" w:type="dxa"/>
            <w:tcBorders>
              <w:top w:val="single" w:sz="4" w:space="0" w:color="000000"/>
              <w:left w:val="single" w:sz="4" w:space="0" w:color="000000"/>
              <w:bottom w:val="single" w:sz="4" w:space="0" w:color="000000"/>
              <w:right w:val="single" w:sz="4" w:space="0" w:color="000000"/>
            </w:tcBorders>
            <w:vAlign w:val="center"/>
          </w:tcPr>
          <w:p w14:paraId="616404FC" w14:textId="77777777" w:rsidR="002112A8" w:rsidRDefault="008063FC">
            <w:pPr>
              <w:spacing w:after="0" w:line="240" w:lineRule="auto"/>
              <w:jc w:val="both"/>
              <w:rPr>
                <w:rFonts w:ascii="Calibri" w:hAnsi="Calibri"/>
              </w:rPr>
            </w:pPr>
            <w:r>
              <w:rPr>
                <w:rFonts w:ascii="Calibri" w:hAnsi="Calibri"/>
              </w:rPr>
              <w:t xml:space="preserve">25% percentile </w:t>
            </w:r>
          </w:p>
        </w:tc>
        <w:tc>
          <w:tcPr>
            <w:tcW w:w="732" w:type="dxa"/>
            <w:tcBorders>
              <w:top w:val="single" w:sz="4" w:space="0" w:color="000000"/>
              <w:left w:val="single" w:sz="4" w:space="0" w:color="000000"/>
              <w:bottom w:val="single" w:sz="4" w:space="0" w:color="000000"/>
              <w:right w:val="single" w:sz="4" w:space="0" w:color="000000"/>
            </w:tcBorders>
            <w:vAlign w:val="center"/>
          </w:tcPr>
          <w:p w14:paraId="55202F35" w14:textId="77777777" w:rsidR="002112A8" w:rsidRDefault="008063FC">
            <w:pPr>
              <w:spacing w:after="0" w:line="240" w:lineRule="auto"/>
              <w:jc w:val="both"/>
              <w:rPr>
                <w:rFonts w:ascii="Calibri" w:hAnsi="Calibri"/>
              </w:rPr>
            </w:pPr>
            <w:r>
              <w:rPr>
                <w:rFonts w:ascii="Calibri" w:hAnsi="Calibri"/>
              </w:rPr>
              <w:t>0.08</w:t>
            </w:r>
          </w:p>
        </w:tc>
        <w:tc>
          <w:tcPr>
            <w:tcW w:w="731" w:type="dxa"/>
            <w:tcBorders>
              <w:top w:val="single" w:sz="4" w:space="0" w:color="000000"/>
              <w:left w:val="single" w:sz="4" w:space="0" w:color="000000"/>
              <w:bottom w:val="single" w:sz="4" w:space="0" w:color="000000"/>
              <w:right w:val="single" w:sz="4" w:space="0" w:color="000000"/>
            </w:tcBorders>
            <w:vAlign w:val="center"/>
          </w:tcPr>
          <w:p w14:paraId="4EBFE12A" w14:textId="77777777" w:rsidR="002112A8" w:rsidRDefault="008063FC">
            <w:pPr>
              <w:spacing w:after="0" w:line="240" w:lineRule="auto"/>
              <w:jc w:val="both"/>
              <w:rPr>
                <w:rFonts w:ascii="Calibri" w:hAnsi="Calibri"/>
              </w:rPr>
            </w:pPr>
            <w:r>
              <w:rPr>
                <w:rFonts w:ascii="Calibri" w:hAnsi="Calibri"/>
              </w:rPr>
              <w:t>0.09</w:t>
            </w:r>
          </w:p>
        </w:tc>
        <w:tc>
          <w:tcPr>
            <w:tcW w:w="731" w:type="dxa"/>
            <w:tcBorders>
              <w:top w:val="single" w:sz="4" w:space="0" w:color="000000"/>
              <w:left w:val="single" w:sz="4" w:space="0" w:color="000000"/>
              <w:bottom w:val="single" w:sz="4" w:space="0" w:color="000000"/>
              <w:right w:val="single" w:sz="4" w:space="0" w:color="000000"/>
            </w:tcBorders>
            <w:vAlign w:val="center"/>
          </w:tcPr>
          <w:p w14:paraId="322DEB17" w14:textId="77777777" w:rsidR="002112A8" w:rsidRDefault="008063FC">
            <w:pPr>
              <w:spacing w:after="0" w:line="240" w:lineRule="auto"/>
              <w:jc w:val="both"/>
              <w:rPr>
                <w:rFonts w:ascii="Calibri" w:hAnsi="Calibri"/>
              </w:rPr>
            </w:pPr>
            <w:r>
              <w:rPr>
                <w:rFonts w:ascii="Calibri" w:hAnsi="Calibri"/>
              </w:rPr>
              <w:t>0.01</w:t>
            </w:r>
          </w:p>
        </w:tc>
        <w:tc>
          <w:tcPr>
            <w:tcW w:w="731" w:type="dxa"/>
            <w:tcBorders>
              <w:top w:val="single" w:sz="4" w:space="0" w:color="000000"/>
              <w:left w:val="single" w:sz="4" w:space="0" w:color="000000"/>
              <w:bottom w:val="single" w:sz="4" w:space="0" w:color="000000"/>
              <w:right w:val="single" w:sz="4" w:space="0" w:color="000000"/>
            </w:tcBorders>
            <w:vAlign w:val="center"/>
          </w:tcPr>
          <w:p w14:paraId="26A09B3D" w14:textId="77777777" w:rsidR="002112A8" w:rsidRDefault="008063FC">
            <w:pPr>
              <w:spacing w:after="0" w:line="240" w:lineRule="auto"/>
              <w:jc w:val="both"/>
              <w:rPr>
                <w:rFonts w:ascii="Calibri" w:hAnsi="Calibri"/>
              </w:rPr>
            </w:pPr>
            <w:r>
              <w:rPr>
                <w:rFonts w:ascii="Calibri" w:hAnsi="Calibri"/>
              </w:rPr>
              <w:t>0.01</w:t>
            </w:r>
          </w:p>
        </w:tc>
        <w:tc>
          <w:tcPr>
            <w:tcW w:w="739" w:type="dxa"/>
            <w:tcBorders>
              <w:top w:val="single" w:sz="4" w:space="0" w:color="000000"/>
              <w:left w:val="single" w:sz="4" w:space="0" w:color="000000"/>
              <w:bottom w:val="single" w:sz="4" w:space="0" w:color="000000"/>
              <w:right w:val="single" w:sz="4" w:space="0" w:color="000000"/>
            </w:tcBorders>
            <w:vAlign w:val="center"/>
          </w:tcPr>
          <w:p w14:paraId="7A702A61" w14:textId="77777777" w:rsidR="002112A8" w:rsidRDefault="008063FC">
            <w:pPr>
              <w:spacing w:after="0" w:line="240" w:lineRule="auto"/>
              <w:jc w:val="both"/>
              <w:rPr>
                <w:rFonts w:ascii="Calibri" w:hAnsi="Calibri"/>
              </w:rPr>
            </w:pPr>
            <w:r>
              <w:rPr>
                <w:rFonts w:ascii="Calibri" w:hAnsi="Calibri"/>
              </w:rPr>
              <w:t>0.05</w:t>
            </w:r>
          </w:p>
        </w:tc>
        <w:tc>
          <w:tcPr>
            <w:tcW w:w="670" w:type="dxa"/>
            <w:tcBorders>
              <w:top w:val="single" w:sz="4" w:space="0" w:color="000000"/>
              <w:left w:val="single" w:sz="4" w:space="0" w:color="000000"/>
              <w:bottom w:val="single" w:sz="4" w:space="0" w:color="000000"/>
              <w:right w:val="single" w:sz="4" w:space="0" w:color="000000"/>
            </w:tcBorders>
            <w:vAlign w:val="center"/>
          </w:tcPr>
          <w:p w14:paraId="3C16C66C" w14:textId="77777777" w:rsidR="002112A8" w:rsidRDefault="008063FC">
            <w:pPr>
              <w:spacing w:after="0" w:line="240" w:lineRule="auto"/>
              <w:jc w:val="both"/>
              <w:rPr>
                <w:rFonts w:ascii="Calibri" w:hAnsi="Calibri"/>
              </w:rPr>
            </w:pPr>
            <w:r>
              <w:rPr>
                <w:rFonts w:ascii="Calibri" w:hAnsi="Calibri"/>
              </w:rPr>
              <w:t>0.08</w:t>
            </w:r>
          </w:p>
        </w:tc>
        <w:tc>
          <w:tcPr>
            <w:tcW w:w="670" w:type="dxa"/>
            <w:tcBorders>
              <w:top w:val="single" w:sz="4" w:space="0" w:color="000000"/>
              <w:left w:val="single" w:sz="4" w:space="0" w:color="000000"/>
              <w:bottom w:val="single" w:sz="4" w:space="0" w:color="000000"/>
              <w:right w:val="single" w:sz="4" w:space="0" w:color="000000"/>
            </w:tcBorders>
            <w:vAlign w:val="center"/>
          </w:tcPr>
          <w:p w14:paraId="50C6E863" w14:textId="77777777" w:rsidR="002112A8" w:rsidRDefault="008063FC">
            <w:pPr>
              <w:spacing w:after="0" w:line="240" w:lineRule="auto"/>
              <w:jc w:val="both"/>
              <w:rPr>
                <w:rFonts w:ascii="Calibri" w:hAnsi="Calibri"/>
              </w:rPr>
            </w:pPr>
            <w:r>
              <w:rPr>
                <w:rFonts w:ascii="Calibri" w:hAnsi="Calibri"/>
              </w:rPr>
              <w:t>0.10</w:t>
            </w:r>
          </w:p>
        </w:tc>
        <w:tc>
          <w:tcPr>
            <w:tcW w:w="670" w:type="dxa"/>
            <w:tcBorders>
              <w:top w:val="single" w:sz="4" w:space="0" w:color="000000"/>
              <w:left w:val="single" w:sz="4" w:space="0" w:color="000000"/>
              <w:bottom w:val="single" w:sz="4" w:space="0" w:color="000000"/>
              <w:right w:val="single" w:sz="4" w:space="0" w:color="000000"/>
            </w:tcBorders>
            <w:vAlign w:val="center"/>
          </w:tcPr>
          <w:p w14:paraId="79CDFEEB" w14:textId="77777777" w:rsidR="002112A8" w:rsidRDefault="008063FC">
            <w:pPr>
              <w:spacing w:after="0" w:line="240" w:lineRule="auto"/>
              <w:jc w:val="both"/>
              <w:rPr>
                <w:rFonts w:ascii="Calibri" w:hAnsi="Calibri"/>
              </w:rPr>
            </w:pPr>
            <w:r>
              <w:rPr>
                <w:rFonts w:ascii="Calibri" w:hAnsi="Calibri"/>
              </w:rPr>
              <w:t>0.01</w:t>
            </w:r>
          </w:p>
        </w:tc>
        <w:tc>
          <w:tcPr>
            <w:tcW w:w="670" w:type="dxa"/>
            <w:tcBorders>
              <w:top w:val="single" w:sz="4" w:space="0" w:color="000000"/>
              <w:left w:val="single" w:sz="4" w:space="0" w:color="000000"/>
              <w:bottom w:val="single" w:sz="4" w:space="0" w:color="000000"/>
              <w:right w:val="single" w:sz="4" w:space="0" w:color="000000"/>
            </w:tcBorders>
            <w:vAlign w:val="center"/>
          </w:tcPr>
          <w:p w14:paraId="6EB97F38" w14:textId="77777777" w:rsidR="002112A8" w:rsidRDefault="008063FC">
            <w:pPr>
              <w:spacing w:after="0" w:line="240" w:lineRule="auto"/>
              <w:jc w:val="both"/>
              <w:rPr>
                <w:rFonts w:ascii="Calibri" w:hAnsi="Calibri"/>
              </w:rPr>
            </w:pPr>
            <w:r>
              <w:rPr>
                <w:rFonts w:ascii="Calibri" w:hAnsi="Calibri"/>
              </w:rPr>
              <w:t>0.01</w:t>
            </w:r>
          </w:p>
        </w:tc>
        <w:tc>
          <w:tcPr>
            <w:tcW w:w="670" w:type="dxa"/>
            <w:tcBorders>
              <w:top w:val="single" w:sz="4" w:space="0" w:color="000000"/>
              <w:left w:val="single" w:sz="4" w:space="0" w:color="000000"/>
              <w:bottom w:val="single" w:sz="4" w:space="0" w:color="000000"/>
              <w:right w:val="single" w:sz="4" w:space="0" w:color="000000"/>
            </w:tcBorders>
            <w:vAlign w:val="center"/>
          </w:tcPr>
          <w:p w14:paraId="5D527F4D" w14:textId="77777777" w:rsidR="002112A8" w:rsidRDefault="008063FC">
            <w:pPr>
              <w:spacing w:after="0" w:line="240" w:lineRule="auto"/>
              <w:jc w:val="both"/>
              <w:rPr>
                <w:rFonts w:ascii="Calibri" w:hAnsi="Calibri"/>
              </w:rPr>
            </w:pPr>
            <w:r>
              <w:rPr>
                <w:rFonts w:ascii="Calibri" w:hAnsi="Calibri"/>
              </w:rPr>
              <w:t>0.00</w:t>
            </w:r>
          </w:p>
        </w:tc>
        <w:tc>
          <w:tcPr>
            <w:tcW w:w="849" w:type="dxa"/>
            <w:tcBorders>
              <w:top w:val="single" w:sz="4" w:space="0" w:color="000000"/>
              <w:left w:val="single" w:sz="4" w:space="0" w:color="000000"/>
              <w:bottom w:val="single" w:sz="4" w:space="0" w:color="000000"/>
              <w:right w:val="single" w:sz="4" w:space="0" w:color="000000"/>
            </w:tcBorders>
            <w:vAlign w:val="center"/>
          </w:tcPr>
          <w:p w14:paraId="40EAA5D5" w14:textId="77777777" w:rsidR="002112A8" w:rsidRDefault="008063FC">
            <w:pPr>
              <w:spacing w:after="0" w:line="240" w:lineRule="auto"/>
              <w:jc w:val="both"/>
              <w:rPr>
                <w:rFonts w:ascii="Calibri" w:hAnsi="Calibri"/>
              </w:rPr>
            </w:pPr>
            <w:r>
              <w:rPr>
                <w:rFonts w:ascii="Calibri" w:hAnsi="Calibri"/>
              </w:rPr>
              <w:t>18.43</w:t>
            </w:r>
          </w:p>
        </w:tc>
      </w:tr>
      <w:tr w:rsidR="002112A8" w14:paraId="47A61670" w14:textId="77777777">
        <w:trPr>
          <w:trHeight w:val="454"/>
        </w:trPr>
        <w:tc>
          <w:tcPr>
            <w:tcW w:w="1347" w:type="dxa"/>
            <w:tcBorders>
              <w:top w:val="single" w:sz="4" w:space="0" w:color="000000"/>
              <w:left w:val="single" w:sz="4" w:space="0" w:color="000000"/>
              <w:bottom w:val="single" w:sz="4" w:space="0" w:color="000000"/>
              <w:right w:val="single" w:sz="4" w:space="0" w:color="000000"/>
            </w:tcBorders>
            <w:vAlign w:val="center"/>
          </w:tcPr>
          <w:p w14:paraId="6E8F34EB" w14:textId="77777777" w:rsidR="002112A8" w:rsidRDefault="008063FC">
            <w:pPr>
              <w:spacing w:after="0" w:line="240" w:lineRule="auto"/>
              <w:jc w:val="both"/>
              <w:rPr>
                <w:rFonts w:ascii="Calibri" w:hAnsi="Calibri"/>
              </w:rPr>
            </w:pPr>
            <w:r>
              <w:rPr>
                <w:rFonts w:ascii="Calibri" w:hAnsi="Calibri"/>
              </w:rPr>
              <w:t>75% percentile</w:t>
            </w:r>
          </w:p>
        </w:tc>
        <w:tc>
          <w:tcPr>
            <w:tcW w:w="732" w:type="dxa"/>
            <w:tcBorders>
              <w:top w:val="single" w:sz="4" w:space="0" w:color="000000"/>
              <w:left w:val="single" w:sz="4" w:space="0" w:color="000000"/>
              <w:bottom w:val="single" w:sz="4" w:space="0" w:color="000000"/>
              <w:right w:val="single" w:sz="4" w:space="0" w:color="000000"/>
            </w:tcBorders>
            <w:vAlign w:val="center"/>
          </w:tcPr>
          <w:p w14:paraId="06EE119D" w14:textId="77777777" w:rsidR="002112A8" w:rsidRDefault="008063FC">
            <w:pPr>
              <w:spacing w:after="0" w:line="240" w:lineRule="auto"/>
              <w:jc w:val="both"/>
              <w:rPr>
                <w:rFonts w:ascii="Calibri" w:hAnsi="Calibri"/>
              </w:rPr>
            </w:pPr>
            <w:r>
              <w:rPr>
                <w:rFonts w:ascii="Calibri" w:hAnsi="Calibri"/>
              </w:rPr>
              <w:t>0.16</w:t>
            </w:r>
          </w:p>
        </w:tc>
        <w:tc>
          <w:tcPr>
            <w:tcW w:w="731" w:type="dxa"/>
            <w:tcBorders>
              <w:top w:val="single" w:sz="4" w:space="0" w:color="000000"/>
              <w:left w:val="single" w:sz="4" w:space="0" w:color="000000"/>
              <w:bottom w:val="single" w:sz="4" w:space="0" w:color="000000"/>
              <w:right w:val="single" w:sz="4" w:space="0" w:color="000000"/>
            </w:tcBorders>
            <w:vAlign w:val="center"/>
          </w:tcPr>
          <w:p w14:paraId="7626596C" w14:textId="77777777" w:rsidR="002112A8" w:rsidRDefault="008063FC">
            <w:pPr>
              <w:spacing w:after="0" w:line="240" w:lineRule="auto"/>
              <w:jc w:val="both"/>
              <w:rPr>
                <w:rFonts w:ascii="Calibri" w:hAnsi="Calibri"/>
              </w:rPr>
            </w:pPr>
            <w:r>
              <w:rPr>
                <w:rFonts w:ascii="Calibri" w:hAnsi="Calibri"/>
              </w:rPr>
              <w:t>0.14</w:t>
            </w:r>
          </w:p>
        </w:tc>
        <w:tc>
          <w:tcPr>
            <w:tcW w:w="731" w:type="dxa"/>
            <w:tcBorders>
              <w:top w:val="single" w:sz="4" w:space="0" w:color="000000"/>
              <w:left w:val="single" w:sz="4" w:space="0" w:color="000000"/>
              <w:bottom w:val="single" w:sz="4" w:space="0" w:color="000000"/>
              <w:right w:val="single" w:sz="4" w:space="0" w:color="000000"/>
            </w:tcBorders>
            <w:vAlign w:val="center"/>
          </w:tcPr>
          <w:p w14:paraId="38417693" w14:textId="77777777" w:rsidR="002112A8" w:rsidRDefault="008063FC">
            <w:pPr>
              <w:spacing w:after="0" w:line="240" w:lineRule="auto"/>
              <w:jc w:val="both"/>
              <w:rPr>
                <w:rFonts w:ascii="Calibri" w:hAnsi="Calibri"/>
              </w:rPr>
            </w:pPr>
            <w:r>
              <w:rPr>
                <w:rFonts w:ascii="Calibri" w:hAnsi="Calibri"/>
              </w:rPr>
              <w:t>0.02</w:t>
            </w:r>
          </w:p>
        </w:tc>
        <w:tc>
          <w:tcPr>
            <w:tcW w:w="731" w:type="dxa"/>
            <w:tcBorders>
              <w:top w:val="single" w:sz="4" w:space="0" w:color="000000"/>
              <w:left w:val="single" w:sz="4" w:space="0" w:color="000000"/>
              <w:bottom w:val="single" w:sz="4" w:space="0" w:color="000000"/>
              <w:right w:val="single" w:sz="4" w:space="0" w:color="000000"/>
            </w:tcBorders>
            <w:vAlign w:val="center"/>
          </w:tcPr>
          <w:p w14:paraId="426EC66F" w14:textId="77777777" w:rsidR="002112A8" w:rsidRDefault="008063FC">
            <w:pPr>
              <w:spacing w:after="0" w:line="240" w:lineRule="auto"/>
              <w:jc w:val="both"/>
              <w:rPr>
                <w:rFonts w:ascii="Calibri" w:hAnsi="Calibri"/>
              </w:rPr>
            </w:pPr>
            <w:r>
              <w:rPr>
                <w:rFonts w:ascii="Calibri" w:hAnsi="Calibri"/>
              </w:rPr>
              <w:t>0.02</w:t>
            </w:r>
          </w:p>
        </w:tc>
        <w:tc>
          <w:tcPr>
            <w:tcW w:w="739" w:type="dxa"/>
            <w:tcBorders>
              <w:top w:val="single" w:sz="4" w:space="0" w:color="000000"/>
              <w:left w:val="single" w:sz="4" w:space="0" w:color="000000"/>
              <w:bottom w:val="single" w:sz="4" w:space="0" w:color="000000"/>
              <w:right w:val="single" w:sz="4" w:space="0" w:color="000000"/>
            </w:tcBorders>
            <w:vAlign w:val="center"/>
          </w:tcPr>
          <w:p w14:paraId="2EBF72C8" w14:textId="77777777" w:rsidR="002112A8" w:rsidRDefault="008063FC">
            <w:pPr>
              <w:spacing w:after="0" w:line="240" w:lineRule="auto"/>
              <w:jc w:val="both"/>
              <w:rPr>
                <w:rFonts w:ascii="Calibri" w:hAnsi="Calibri"/>
              </w:rPr>
            </w:pPr>
            <w:r>
              <w:rPr>
                <w:rFonts w:ascii="Calibri" w:hAnsi="Calibri"/>
              </w:rPr>
              <w:t>0.08</w:t>
            </w:r>
          </w:p>
        </w:tc>
        <w:tc>
          <w:tcPr>
            <w:tcW w:w="670" w:type="dxa"/>
            <w:tcBorders>
              <w:top w:val="single" w:sz="4" w:space="0" w:color="000000"/>
              <w:left w:val="single" w:sz="4" w:space="0" w:color="000000"/>
              <w:bottom w:val="single" w:sz="4" w:space="0" w:color="000000"/>
              <w:right w:val="single" w:sz="4" w:space="0" w:color="000000"/>
            </w:tcBorders>
            <w:vAlign w:val="center"/>
          </w:tcPr>
          <w:p w14:paraId="01A33010" w14:textId="77777777" w:rsidR="002112A8" w:rsidRDefault="008063FC">
            <w:pPr>
              <w:spacing w:after="0" w:line="240" w:lineRule="auto"/>
              <w:jc w:val="both"/>
              <w:rPr>
                <w:rFonts w:ascii="Calibri" w:hAnsi="Calibri"/>
              </w:rPr>
            </w:pPr>
            <w:r>
              <w:rPr>
                <w:rFonts w:ascii="Calibri" w:hAnsi="Calibri"/>
              </w:rPr>
              <w:t>0.16</w:t>
            </w:r>
          </w:p>
        </w:tc>
        <w:tc>
          <w:tcPr>
            <w:tcW w:w="670" w:type="dxa"/>
            <w:tcBorders>
              <w:top w:val="single" w:sz="4" w:space="0" w:color="000000"/>
              <w:left w:val="single" w:sz="4" w:space="0" w:color="000000"/>
              <w:bottom w:val="single" w:sz="4" w:space="0" w:color="000000"/>
              <w:right w:val="single" w:sz="4" w:space="0" w:color="000000"/>
            </w:tcBorders>
            <w:vAlign w:val="center"/>
          </w:tcPr>
          <w:p w14:paraId="6C777B46" w14:textId="77777777" w:rsidR="002112A8" w:rsidRDefault="008063FC">
            <w:pPr>
              <w:spacing w:after="0" w:line="240" w:lineRule="auto"/>
              <w:jc w:val="both"/>
              <w:rPr>
                <w:rFonts w:ascii="Calibri" w:hAnsi="Calibri"/>
              </w:rPr>
            </w:pPr>
            <w:r>
              <w:rPr>
                <w:rFonts w:ascii="Calibri" w:hAnsi="Calibri"/>
              </w:rPr>
              <w:t>0.16</w:t>
            </w:r>
          </w:p>
        </w:tc>
        <w:tc>
          <w:tcPr>
            <w:tcW w:w="670" w:type="dxa"/>
            <w:tcBorders>
              <w:top w:val="single" w:sz="4" w:space="0" w:color="000000"/>
              <w:left w:val="single" w:sz="4" w:space="0" w:color="000000"/>
              <w:bottom w:val="single" w:sz="4" w:space="0" w:color="000000"/>
              <w:right w:val="single" w:sz="4" w:space="0" w:color="000000"/>
            </w:tcBorders>
            <w:vAlign w:val="center"/>
          </w:tcPr>
          <w:p w14:paraId="3EC125BD" w14:textId="77777777" w:rsidR="002112A8" w:rsidRDefault="008063FC">
            <w:pPr>
              <w:spacing w:after="0" w:line="240" w:lineRule="auto"/>
              <w:jc w:val="both"/>
              <w:rPr>
                <w:rFonts w:ascii="Calibri" w:hAnsi="Calibri"/>
              </w:rPr>
            </w:pPr>
            <w:r>
              <w:rPr>
                <w:rFonts w:ascii="Calibri" w:hAnsi="Calibri"/>
              </w:rPr>
              <w:t>0.05</w:t>
            </w:r>
          </w:p>
        </w:tc>
        <w:tc>
          <w:tcPr>
            <w:tcW w:w="670" w:type="dxa"/>
            <w:tcBorders>
              <w:top w:val="single" w:sz="4" w:space="0" w:color="000000"/>
              <w:left w:val="single" w:sz="4" w:space="0" w:color="000000"/>
              <w:bottom w:val="single" w:sz="4" w:space="0" w:color="000000"/>
              <w:right w:val="single" w:sz="4" w:space="0" w:color="000000"/>
            </w:tcBorders>
            <w:vAlign w:val="center"/>
          </w:tcPr>
          <w:p w14:paraId="12D1AC0A" w14:textId="77777777" w:rsidR="002112A8" w:rsidRDefault="008063FC">
            <w:pPr>
              <w:spacing w:after="0" w:line="240" w:lineRule="auto"/>
              <w:jc w:val="both"/>
              <w:rPr>
                <w:rFonts w:ascii="Calibri" w:hAnsi="Calibri"/>
              </w:rPr>
            </w:pPr>
            <w:r>
              <w:rPr>
                <w:rFonts w:ascii="Calibri" w:hAnsi="Calibri"/>
              </w:rPr>
              <w:t>0.07</w:t>
            </w:r>
          </w:p>
        </w:tc>
        <w:tc>
          <w:tcPr>
            <w:tcW w:w="670" w:type="dxa"/>
            <w:tcBorders>
              <w:top w:val="single" w:sz="4" w:space="0" w:color="000000"/>
              <w:left w:val="single" w:sz="4" w:space="0" w:color="000000"/>
              <w:bottom w:val="single" w:sz="4" w:space="0" w:color="000000"/>
              <w:right w:val="single" w:sz="4" w:space="0" w:color="000000"/>
            </w:tcBorders>
            <w:vAlign w:val="center"/>
          </w:tcPr>
          <w:p w14:paraId="10C1B016" w14:textId="77777777" w:rsidR="002112A8" w:rsidRDefault="008063FC">
            <w:pPr>
              <w:spacing w:after="0" w:line="240" w:lineRule="auto"/>
              <w:jc w:val="both"/>
              <w:rPr>
                <w:rFonts w:ascii="Calibri" w:hAnsi="Calibri"/>
              </w:rPr>
            </w:pPr>
            <w:r>
              <w:rPr>
                <w:rFonts w:ascii="Calibri" w:hAnsi="Calibri"/>
              </w:rPr>
              <w:t>0.01</w:t>
            </w:r>
          </w:p>
        </w:tc>
        <w:tc>
          <w:tcPr>
            <w:tcW w:w="849" w:type="dxa"/>
            <w:tcBorders>
              <w:top w:val="single" w:sz="4" w:space="0" w:color="000000"/>
              <w:left w:val="single" w:sz="4" w:space="0" w:color="000000"/>
              <w:bottom w:val="single" w:sz="4" w:space="0" w:color="000000"/>
              <w:right w:val="single" w:sz="4" w:space="0" w:color="000000"/>
            </w:tcBorders>
            <w:vAlign w:val="center"/>
          </w:tcPr>
          <w:p w14:paraId="718CF529" w14:textId="77777777" w:rsidR="002112A8" w:rsidRDefault="008063FC">
            <w:pPr>
              <w:spacing w:after="0" w:line="240" w:lineRule="auto"/>
              <w:jc w:val="both"/>
              <w:rPr>
                <w:rFonts w:ascii="Calibri" w:hAnsi="Calibri"/>
              </w:rPr>
            </w:pPr>
            <w:r>
              <w:rPr>
                <w:rFonts w:ascii="Calibri" w:hAnsi="Calibri"/>
              </w:rPr>
              <w:t>75.92</w:t>
            </w:r>
          </w:p>
        </w:tc>
      </w:tr>
      <w:tr w:rsidR="002112A8" w14:paraId="19026B15" w14:textId="77777777">
        <w:trPr>
          <w:trHeight w:val="454"/>
        </w:trPr>
        <w:tc>
          <w:tcPr>
            <w:tcW w:w="1347" w:type="dxa"/>
            <w:tcBorders>
              <w:top w:val="single" w:sz="4" w:space="0" w:color="000000"/>
              <w:left w:val="single" w:sz="4" w:space="0" w:color="000000"/>
              <w:bottom w:val="single" w:sz="4" w:space="0" w:color="000000"/>
              <w:right w:val="single" w:sz="4" w:space="0" w:color="000000"/>
            </w:tcBorders>
            <w:vAlign w:val="bottom"/>
          </w:tcPr>
          <w:p w14:paraId="49B799EF" w14:textId="77777777" w:rsidR="002112A8" w:rsidRDefault="008063FC">
            <w:pPr>
              <w:spacing w:after="0" w:line="240" w:lineRule="auto"/>
              <w:jc w:val="both"/>
              <w:rPr>
                <w:rFonts w:ascii="Calibri" w:hAnsi="Calibri"/>
              </w:rPr>
            </w:pPr>
            <w:r>
              <w:rPr>
                <w:rFonts w:ascii="Calibri" w:hAnsi="Calibri"/>
              </w:rPr>
              <w:t>CoV</w:t>
            </w:r>
          </w:p>
        </w:tc>
        <w:tc>
          <w:tcPr>
            <w:tcW w:w="732" w:type="dxa"/>
            <w:tcBorders>
              <w:top w:val="single" w:sz="4" w:space="0" w:color="000000"/>
              <w:left w:val="single" w:sz="4" w:space="0" w:color="000000"/>
              <w:bottom w:val="single" w:sz="4" w:space="0" w:color="000000"/>
              <w:right w:val="single" w:sz="4" w:space="0" w:color="000000"/>
            </w:tcBorders>
            <w:vAlign w:val="bottom"/>
          </w:tcPr>
          <w:p w14:paraId="23993819" w14:textId="77777777" w:rsidR="002112A8" w:rsidRDefault="008063FC">
            <w:pPr>
              <w:spacing w:after="0" w:line="240" w:lineRule="auto"/>
              <w:jc w:val="both"/>
              <w:rPr>
                <w:rFonts w:ascii="Calibri" w:hAnsi="Calibri"/>
              </w:rPr>
            </w:pPr>
            <w:r>
              <w:rPr>
                <w:rFonts w:ascii="Calibri" w:hAnsi="Calibri"/>
              </w:rPr>
              <w:t>0.46</w:t>
            </w:r>
          </w:p>
        </w:tc>
        <w:tc>
          <w:tcPr>
            <w:tcW w:w="731" w:type="dxa"/>
            <w:tcBorders>
              <w:top w:val="single" w:sz="4" w:space="0" w:color="000000"/>
              <w:left w:val="single" w:sz="4" w:space="0" w:color="000000"/>
              <w:bottom w:val="single" w:sz="4" w:space="0" w:color="000000"/>
              <w:right w:val="single" w:sz="4" w:space="0" w:color="000000"/>
            </w:tcBorders>
            <w:vAlign w:val="bottom"/>
          </w:tcPr>
          <w:p w14:paraId="4809DB7E" w14:textId="77777777" w:rsidR="002112A8" w:rsidRDefault="008063FC">
            <w:pPr>
              <w:spacing w:after="0" w:line="240" w:lineRule="auto"/>
              <w:jc w:val="both"/>
              <w:rPr>
                <w:rFonts w:ascii="Calibri" w:hAnsi="Calibri"/>
              </w:rPr>
            </w:pPr>
            <w:r>
              <w:rPr>
                <w:rFonts w:ascii="Calibri" w:hAnsi="Calibri"/>
              </w:rPr>
              <w:t>0.33</w:t>
            </w:r>
          </w:p>
        </w:tc>
        <w:tc>
          <w:tcPr>
            <w:tcW w:w="731" w:type="dxa"/>
            <w:tcBorders>
              <w:top w:val="single" w:sz="4" w:space="0" w:color="000000"/>
              <w:left w:val="single" w:sz="4" w:space="0" w:color="000000"/>
              <w:bottom w:val="single" w:sz="4" w:space="0" w:color="000000"/>
              <w:right w:val="single" w:sz="4" w:space="0" w:color="000000"/>
            </w:tcBorders>
            <w:vAlign w:val="bottom"/>
          </w:tcPr>
          <w:p w14:paraId="3D364465" w14:textId="77777777" w:rsidR="002112A8" w:rsidRDefault="008063FC">
            <w:pPr>
              <w:spacing w:after="0" w:line="240" w:lineRule="auto"/>
              <w:jc w:val="both"/>
              <w:rPr>
                <w:rFonts w:ascii="Calibri" w:hAnsi="Calibri"/>
              </w:rPr>
            </w:pPr>
            <w:r>
              <w:rPr>
                <w:rFonts w:ascii="Calibri" w:hAnsi="Calibri"/>
              </w:rPr>
              <w:t>2.12</w:t>
            </w:r>
          </w:p>
        </w:tc>
        <w:tc>
          <w:tcPr>
            <w:tcW w:w="731" w:type="dxa"/>
            <w:tcBorders>
              <w:top w:val="single" w:sz="4" w:space="0" w:color="000000"/>
              <w:left w:val="single" w:sz="4" w:space="0" w:color="000000"/>
              <w:bottom w:val="single" w:sz="4" w:space="0" w:color="000000"/>
              <w:right w:val="single" w:sz="4" w:space="0" w:color="000000"/>
            </w:tcBorders>
            <w:vAlign w:val="bottom"/>
          </w:tcPr>
          <w:p w14:paraId="65EAA570" w14:textId="77777777" w:rsidR="002112A8" w:rsidRDefault="008063FC">
            <w:pPr>
              <w:spacing w:after="0" w:line="240" w:lineRule="auto"/>
              <w:jc w:val="both"/>
              <w:rPr>
                <w:rFonts w:ascii="Calibri" w:hAnsi="Calibri"/>
              </w:rPr>
            </w:pPr>
            <w:r>
              <w:rPr>
                <w:rFonts w:ascii="Calibri" w:hAnsi="Calibri"/>
              </w:rPr>
              <w:t>1.26</w:t>
            </w:r>
          </w:p>
        </w:tc>
        <w:tc>
          <w:tcPr>
            <w:tcW w:w="739" w:type="dxa"/>
            <w:tcBorders>
              <w:top w:val="single" w:sz="4" w:space="0" w:color="000000"/>
              <w:left w:val="single" w:sz="4" w:space="0" w:color="000000"/>
              <w:bottom w:val="single" w:sz="4" w:space="0" w:color="000000"/>
              <w:right w:val="single" w:sz="4" w:space="0" w:color="000000"/>
            </w:tcBorders>
            <w:vAlign w:val="bottom"/>
          </w:tcPr>
          <w:p w14:paraId="75D9B637" w14:textId="77777777" w:rsidR="002112A8" w:rsidRDefault="008063FC">
            <w:pPr>
              <w:spacing w:after="0" w:line="240" w:lineRule="auto"/>
              <w:jc w:val="both"/>
              <w:rPr>
                <w:rFonts w:ascii="Calibri" w:hAnsi="Calibri"/>
              </w:rPr>
            </w:pPr>
            <w:r>
              <w:rPr>
                <w:rFonts w:ascii="Calibri" w:hAnsi="Calibri"/>
              </w:rPr>
              <w:t>0.46</w:t>
            </w:r>
          </w:p>
        </w:tc>
        <w:tc>
          <w:tcPr>
            <w:tcW w:w="670" w:type="dxa"/>
            <w:tcBorders>
              <w:top w:val="single" w:sz="4" w:space="0" w:color="000000"/>
              <w:left w:val="single" w:sz="4" w:space="0" w:color="000000"/>
              <w:bottom w:val="single" w:sz="4" w:space="0" w:color="000000"/>
              <w:right w:val="single" w:sz="4" w:space="0" w:color="000000"/>
            </w:tcBorders>
            <w:vAlign w:val="bottom"/>
          </w:tcPr>
          <w:p w14:paraId="3C3057D6" w14:textId="77777777" w:rsidR="002112A8" w:rsidRDefault="008063FC">
            <w:pPr>
              <w:spacing w:after="0" w:line="240" w:lineRule="auto"/>
              <w:jc w:val="both"/>
              <w:rPr>
                <w:rFonts w:ascii="Calibri" w:hAnsi="Calibri"/>
              </w:rPr>
            </w:pPr>
            <w:r>
              <w:rPr>
                <w:rFonts w:ascii="Calibri" w:hAnsi="Calibri"/>
              </w:rPr>
              <w:t>0.43</w:t>
            </w:r>
          </w:p>
        </w:tc>
        <w:tc>
          <w:tcPr>
            <w:tcW w:w="670" w:type="dxa"/>
            <w:tcBorders>
              <w:top w:val="single" w:sz="4" w:space="0" w:color="000000"/>
              <w:left w:val="single" w:sz="4" w:space="0" w:color="000000"/>
              <w:bottom w:val="single" w:sz="4" w:space="0" w:color="000000"/>
              <w:right w:val="single" w:sz="4" w:space="0" w:color="000000"/>
            </w:tcBorders>
            <w:vAlign w:val="bottom"/>
          </w:tcPr>
          <w:p w14:paraId="25A69053" w14:textId="77777777" w:rsidR="002112A8" w:rsidRDefault="008063FC">
            <w:pPr>
              <w:spacing w:after="0" w:line="240" w:lineRule="auto"/>
              <w:jc w:val="both"/>
              <w:rPr>
                <w:rFonts w:ascii="Calibri" w:hAnsi="Calibri"/>
              </w:rPr>
            </w:pPr>
            <w:r>
              <w:rPr>
                <w:rFonts w:ascii="Calibri" w:hAnsi="Calibri"/>
              </w:rPr>
              <w:t>0.43</w:t>
            </w:r>
          </w:p>
        </w:tc>
        <w:tc>
          <w:tcPr>
            <w:tcW w:w="670" w:type="dxa"/>
            <w:tcBorders>
              <w:top w:val="single" w:sz="4" w:space="0" w:color="000000"/>
              <w:left w:val="single" w:sz="4" w:space="0" w:color="000000"/>
              <w:bottom w:val="single" w:sz="4" w:space="0" w:color="000000"/>
              <w:right w:val="single" w:sz="4" w:space="0" w:color="000000"/>
            </w:tcBorders>
            <w:vAlign w:val="bottom"/>
          </w:tcPr>
          <w:p w14:paraId="01FB82FE" w14:textId="77777777" w:rsidR="002112A8" w:rsidRDefault="008063FC">
            <w:pPr>
              <w:spacing w:after="0" w:line="240" w:lineRule="auto"/>
              <w:jc w:val="both"/>
              <w:rPr>
                <w:rFonts w:ascii="Calibri" w:hAnsi="Calibri"/>
              </w:rPr>
            </w:pPr>
            <w:r>
              <w:rPr>
                <w:rFonts w:ascii="Calibri" w:hAnsi="Calibri"/>
              </w:rPr>
              <w:t>1.94</w:t>
            </w:r>
          </w:p>
        </w:tc>
        <w:tc>
          <w:tcPr>
            <w:tcW w:w="670" w:type="dxa"/>
            <w:tcBorders>
              <w:top w:val="single" w:sz="4" w:space="0" w:color="000000"/>
              <w:left w:val="single" w:sz="4" w:space="0" w:color="000000"/>
              <w:bottom w:val="single" w:sz="4" w:space="0" w:color="000000"/>
              <w:right w:val="single" w:sz="4" w:space="0" w:color="000000"/>
            </w:tcBorders>
            <w:vAlign w:val="bottom"/>
          </w:tcPr>
          <w:p w14:paraId="28DCFEA6" w14:textId="77777777" w:rsidR="002112A8" w:rsidRDefault="008063FC">
            <w:pPr>
              <w:spacing w:after="0" w:line="240" w:lineRule="auto"/>
              <w:jc w:val="both"/>
              <w:rPr>
                <w:rFonts w:ascii="Calibri" w:hAnsi="Calibri"/>
              </w:rPr>
            </w:pPr>
            <w:r>
              <w:rPr>
                <w:rFonts w:ascii="Calibri" w:hAnsi="Calibri"/>
              </w:rPr>
              <w:t>2.05</w:t>
            </w:r>
          </w:p>
        </w:tc>
        <w:tc>
          <w:tcPr>
            <w:tcW w:w="670" w:type="dxa"/>
            <w:tcBorders>
              <w:top w:val="single" w:sz="4" w:space="0" w:color="000000"/>
              <w:left w:val="single" w:sz="4" w:space="0" w:color="000000"/>
              <w:bottom w:val="single" w:sz="4" w:space="0" w:color="000000"/>
              <w:right w:val="single" w:sz="4" w:space="0" w:color="000000"/>
            </w:tcBorders>
            <w:vAlign w:val="bottom"/>
          </w:tcPr>
          <w:p w14:paraId="4121FEDF" w14:textId="77777777" w:rsidR="002112A8" w:rsidRDefault="008063FC">
            <w:pPr>
              <w:spacing w:after="0" w:line="240" w:lineRule="auto"/>
              <w:jc w:val="both"/>
              <w:rPr>
                <w:rFonts w:ascii="Calibri" w:hAnsi="Calibri"/>
              </w:rPr>
            </w:pPr>
            <w:r>
              <w:rPr>
                <w:rFonts w:ascii="Calibri" w:hAnsi="Calibri"/>
              </w:rPr>
              <w:t>1.21</w:t>
            </w:r>
          </w:p>
        </w:tc>
        <w:tc>
          <w:tcPr>
            <w:tcW w:w="849" w:type="dxa"/>
            <w:tcBorders>
              <w:top w:val="single" w:sz="4" w:space="0" w:color="000000"/>
              <w:left w:val="single" w:sz="4" w:space="0" w:color="000000"/>
              <w:bottom w:val="single" w:sz="4" w:space="0" w:color="000000"/>
              <w:right w:val="single" w:sz="4" w:space="0" w:color="000000"/>
            </w:tcBorders>
            <w:vAlign w:val="bottom"/>
          </w:tcPr>
          <w:p w14:paraId="503B9650" w14:textId="77777777" w:rsidR="002112A8" w:rsidRDefault="008063FC">
            <w:pPr>
              <w:spacing w:after="0" w:line="240" w:lineRule="auto"/>
              <w:jc w:val="both"/>
              <w:rPr>
                <w:rFonts w:ascii="Calibri" w:hAnsi="Calibri"/>
              </w:rPr>
            </w:pPr>
            <w:r>
              <w:rPr>
                <w:rFonts w:ascii="Calibri" w:hAnsi="Calibri"/>
              </w:rPr>
              <w:t>0.63</w:t>
            </w:r>
          </w:p>
        </w:tc>
      </w:tr>
    </w:tbl>
    <w:p w14:paraId="0CD2CD50" w14:textId="77777777" w:rsidR="002112A8" w:rsidRDefault="008063FC">
      <w:pPr>
        <w:jc w:val="both"/>
        <w:rPr>
          <w:rFonts w:ascii="Calibri" w:hAnsi="Calibri"/>
        </w:rPr>
      </w:pPr>
      <w:r>
        <w:rPr>
          <w:rFonts w:ascii="Calibri" w:hAnsi="Calibri"/>
        </w:rPr>
        <w:t xml:space="preserve"> </w:t>
      </w:r>
    </w:p>
    <w:p w14:paraId="0E1B30E2" w14:textId="77777777" w:rsidR="002112A8" w:rsidRDefault="008063FC">
      <w:pPr>
        <w:jc w:val="both"/>
        <w:rPr>
          <w:rFonts w:ascii="Calibri" w:hAnsi="Calibri"/>
          <w:b/>
        </w:rPr>
      </w:pPr>
      <w:r>
        <w:rPr>
          <w:rFonts w:ascii="Calibri" w:hAnsi="Calibri"/>
          <w:b/>
        </w:rPr>
        <w:br w:type="page"/>
      </w:r>
    </w:p>
    <w:p w14:paraId="442F1821" w14:textId="2299A1A9" w:rsidR="002112A8" w:rsidRDefault="00991977">
      <w:pPr>
        <w:jc w:val="both"/>
        <w:rPr>
          <w:rFonts w:ascii="Calibri" w:hAnsi="Calibri"/>
          <w:b/>
        </w:rPr>
      </w:pPr>
      <w:r>
        <w:rPr>
          <w:rFonts w:ascii="Calibri" w:hAnsi="Calibri"/>
          <w:b/>
          <w:noProof/>
        </w:rPr>
        <w:lastRenderedPageBreak/>
        <w:drawing>
          <wp:anchor distT="0" distB="0" distL="114300" distR="114300" simplePos="0" relativeHeight="251674625" behindDoc="1" locked="0" layoutInCell="1" allowOverlap="1" wp14:anchorId="47FAA53E" wp14:editId="7ADB9A1F">
            <wp:simplePos x="0" y="0"/>
            <wp:positionH relativeFrom="margin">
              <wp:align>center</wp:align>
            </wp:positionH>
            <wp:positionV relativeFrom="paragraph">
              <wp:posOffset>291465</wp:posOffset>
            </wp:positionV>
            <wp:extent cx="6333490" cy="6098540"/>
            <wp:effectExtent l="0" t="0" r="0" b="0"/>
            <wp:wrapNone/>
            <wp:docPr id="905560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33490" cy="6098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BD9582" w14:textId="3443762A" w:rsidR="002112A8" w:rsidRDefault="002112A8">
      <w:pPr>
        <w:jc w:val="both"/>
        <w:rPr>
          <w:rFonts w:ascii="Calibri" w:hAnsi="Calibri"/>
          <w:b/>
        </w:rPr>
      </w:pPr>
    </w:p>
    <w:p w14:paraId="4D1D8F2B" w14:textId="77777777" w:rsidR="002112A8" w:rsidRDefault="002112A8">
      <w:pPr>
        <w:jc w:val="both"/>
        <w:rPr>
          <w:rFonts w:ascii="Calibri" w:hAnsi="Calibri"/>
          <w:b/>
        </w:rPr>
      </w:pPr>
    </w:p>
    <w:p w14:paraId="020A3087" w14:textId="77777777" w:rsidR="002112A8" w:rsidRDefault="002112A8">
      <w:pPr>
        <w:jc w:val="both"/>
        <w:rPr>
          <w:rFonts w:ascii="Calibri" w:hAnsi="Calibri"/>
          <w:b/>
        </w:rPr>
      </w:pPr>
    </w:p>
    <w:p w14:paraId="5BF45E98" w14:textId="77777777" w:rsidR="002112A8" w:rsidRDefault="002112A8">
      <w:pPr>
        <w:jc w:val="both"/>
        <w:rPr>
          <w:rFonts w:ascii="Calibri" w:hAnsi="Calibri"/>
          <w:b/>
        </w:rPr>
      </w:pPr>
    </w:p>
    <w:p w14:paraId="48DDC5DC" w14:textId="1DACAAAB" w:rsidR="002112A8" w:rsidRDefault="002112A8">
      <w:pPr>
        <w:jc w:val="both"/>
        <w:rPr>
          <w:rFonts w:ascii="Calibri" w:hAnsi="Calibri"/>
          <w:b/>
        </w:rPr>
      </w:pPr>
    </w:p>
    <w:p w14:paraId="7EFC7531" w14:textId="77777777" w:rsidR="002112A8" w:rsidRDefault="002112A8">
      <w:pPr>
        <w:jc w:val="both"/>
        <w:rPr>
          <w:rFonts w:ascii="Calibri" w:hAnsi="Calibri"/>
          <w:b/>
        </w:rPr>
      </w:pPr>
    </w:p>
    <w:p w14:paraId="3628C4B3" w14:textId="68FE0D31" w:rsidR="002112A8" w:rsidRDefault="002112A8">
      <w:pPr>
        <w:jc w:val="both"/>
        <w:rPr>
          <w:rFonts w:ascii="Calibri" w:hAnsi="Calibri"/>
          <w:b/>
        </w:rPr>
      </w:pPr>
    </w:p>
    <w:p w14:paraId="550ED015" w14:textId="1BF9E6A6" w:rsidR="002112A8" w:rsidRDefault="002112A8">
      <w:pPr>
        <w:jc w:val="both"/>
        <w:rPr>
          <w:rFonts w:ascii="Calibri" w:hAnsi="Calibri"/>
          <w:b/>
        </w:rPr>
      </w:pPr>
    </w:p>
    <w:p w14:paraId="3451934A" w14:textId="77777777" w:rsidR="002112A8" w:rsidRDefault="002112A8">
      <w:pPr>
        <w:jc w:val="both"/>
        <w:rPr>
          <w:rFonts w:ascii="Calibri" w:hAnsi="Calibri"/>
          <w:b/>
        </w:rPr>
      </w:pPr>
    </w:p>
    <w:p w14:paraId="388C59AC" w14:textId="77777777" w:rsidR="002112A8" w:rsidRDefault="002112A8">
      <w:pPr>
        <w:jc w:val="both"/>
        <w:rPr>
          <w:rFonts w:ascii="Calibri" w:hAnsi="Calibri"/>
          <w:b/>
        </w:rPr>
      </w:pPr>
    </w:p>
    <w:p w14:paraId="7B58E283" w14:textId="77777777" w:rsidR="002112A8" w:rsidRDefault="002112A8">
      <w:pPr>
        <w:jc w:val="both"/>
        <w:rPr>
          <w:rFonts w:ascii="Calibri" w:hAnsi="Calibri"/>
          <w:b/>
        </w:rPr>
      </w:pPr>
    </w:p>
    <w:p w14:paraId="1BF6C34A" w14:textId="77777777" w:rsidR="002112A8" w:rsidRDefault="002112A8">
      <w:pPr>
        <w:jc w:val="both"/>
        <w:rPr>
          <w:rFonts w:ascii="Calibri" w:hAnsi="Calibri"/>
          <w:b/>
        </w:rPr>
      </w:pPr>
    </w:p>
    <w:p w14:paraId="64AE9F8F" w14:textId="77777777" w:rsidR="002112A8" w:rsidRDefault="002112A8">
      <w:pPr>
        <w:jc w:val="both"/>
        <w:rPr>
          <w:rFonts w:ascii="Calibri" w:hAnsi="Calibri"/>
          <w:b/>
        </w:rPr>
      </w:pPr>
    </w:p>
    <w:p w14:paraId="1A2C1B33" w14:textId="77777777" w:rsidR="002112A8" w:rsidRDefault="002112A8">
      <w:pPr>
        <w:jc w:val="both"/>
        <w:rPr>
          <w:rFonts w:ascii="Calibri" w:hAnsi="Calibri"/>
          <w:b/>
        </w:rPr>
      </w:pPr>
    </w:p>
    <w:p w14:paraId="291C3CBC" w14:textId="77777777" w:rsidR="002112A8" w:rsidRDefault="002112A8">
      <w:pPr>
        <w:jc w:val="both"/>
        <w:rPr>
          <w:rFonts w:ascii="Calibri" w:hAnsi="Calibri"/>
          <w:b/>
        </w:rPr>
      </w:pPr>
    </w:p>
    <w:p w14:paraId="3B52BD88" w14:textId="77777777" w:rsidR="002112A8" w:rsidRDefault="002112A8">
      <w:pPr>
        <w:jc w:val="both"/>
        <w:rPr>
          <w:rFonts w:ascii="Calibri" w:hAnsi="Calibri"/>
          <w:b/>
        </w:rPr>
      </w:pPr>
    </w:p>
    <w:p w14:paraId="703DDDF3" w14:textId="77777777" w:rsidR="002112A8" w:rsidRDefault="002112A8">
      <w:pPr>
        <w:jc w:val="both"/>
        <w:rPr>
          <w:rFonts w:ascii="Calibri" w:hAnsi="Calibri"/>
          <w:b/>
        </w:rPr>
      </w:pPr>
    </w:p>
    <w:p w14:paraId="1078A16D" w14:textId="77777777" w:rsidR="002112A8" w:rsidRDefault="002112A8">
      <w:pPr>
        <w:jc w:val="both"/>
        <w:rPr>
          <w:rFonts w:ascii="Calibri" w:hAnsi="Calibri"/>
          <w:b/>
        </w:rPr>
      </w:pPr>
    </w:p>
    <w:p w14:paraId="7ED586AB" w14:textId="77777777" w:rsidR="002112A8" w:rsidRDefault="002112A8">
      <w:pPr>
        <w:jc w:val="both"/>
        <w:rPr>
          <w:rFonts w:ascii="Calibri" w:hAnsi="Calibri"/>
          <w:b/>
        </w:rPr>
      </w:pPr>
    </w:p>
    <w:p w14:paraId="609C578A" w14:textId="77777777" w:rsidR="002112A8" w:rsidRDefault="002112A8">
      <w:pPr>
        <w:jc w:val="both"/>
        <w:rPr>
          <w:rFonts w:ascii="Calibri" w:hAnsi="Calibri"/>
          <w:b/>
        </w:rPr>
      </w:pPr>
    </w:p>
    <w:p w14:paraId="3BA4EEA9" w14:textId="697CD8A7" w:rsidR="00C30D98" w:rsidRDefault="00B97C98">
      <w:pPr>
        <w:jc w:val="both"/>
        <w:rPr>
          <w:rFonts w:ascii="Calibri" w:hAnsi="Calibri"/>
          <w:b/>
        </w:rPr>
      </w:pPr>
      <w:r>
        <w:rPr>
          <w:rFonts w:ascii="Calibri" w:hAnsi="Calibri"/>
          <w:b/>
          <w:noProof/>
        </w:rPr>
        <mc:AlternateContent>
          <mc:Choice Requires="wps">
            <w:drawing>
              <wp:anchor distT="0" distB="0" distL="114300" distR="114300" simplePos="0" relativeHeight="251655166" behindDoc="0" locked="0" layoutInCell="1" allowOverlap="1" wp14:anchorId="5FC2F292" wp14:editId="77080C49">
                <wp:simplePos x="0" y="0"/>
                <wp:positionH relativeFrom="column">
                  <wp:posOffset>2846070</wp:posOffset>
                </wp:positionH>
                <wp:positionV relativeFrom="paragraph">
                  <wp:posOffset>191770</wp:posOffset>
                </wp:positionV>
                <wp:extent cx="482600" cy="171450"/>
                <wp:effectExtent l="0" t="0" r="12700" b="19050"/>
                <wp:wrapNone/>
                <wp:docPr id="118784379" name="Rectangle 8"/>
                <wp:cNvGraphicFramePr/>
                <a:graphic xmlns:a="http://schemas.openxmlformats.org/drawingml/2006/main">
                  <a:graphicData uri="http://schemas.microsoft.com/office/word/2010/wordprocessingShape">
                    <wps:wsp>
                      <wps:cNvSpPr/>
                      <wps:spPr>
                        <a:xfrm>
                          <a:off x="0" y="0"/>
                          <a:ext cx="482600" cy="171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4BF45" id="Rectangle 8" o:spid="_x0000_s1026" style="position:absolute;margin-left:224.1pt;margin-top:15.1pt;width:38pt;height:13.5pt;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" fillcolor="white [3212]" strokecolor="white [3212]" strokeweight="1.1pt"/>
            </w:pict>
          </mc:Fallback>
        </mc:AlternateContent>
      </w:r>
      <w:r w:rsidRPr="00B97C98">
        <w:rPr>
          <w:rFonts w:ascii="Calibri" w:hAnsi="Calibri"/>
          <w:b/>
          <w:noProof/>
        </w:rPr>
        <w:drawing>
          <wp:anchor distT="0" distB="0" distL="114300" distR="114300" simplePos="0" relativeHeight="251682817" behindDoc="1" locked="0" layoutInCell="1" allowOverlap="1" wp14:anchorId="6F1D26D0" wp14:editId="549C969E">
            <wp:simplePos x="0" y="0"/>
            <wp:positionH relativeFrom="column">
              <wp:posOffset>604520</wp:posOffset>
            </wp:positionH>
            <wp:positionV relativeFrom="paragraph">
              <wp:posOffset>232410</wp:posOffset>
            </wp:positionV>
            <wp:extent cx="2241550" cy="149860"/>
            <wp:effectExtent l="0" t="0" r="6350" b="2540"/>
            <wp:wrapNone/>
            <wp:docPr id="7" name="Picture 6" descr="A graph of a graph of a patient&#10;&#10;Description automatically generated with medium confidence">
              <a:extLst xmlns:a="http://schemas.openxmlformats.org/drawingml/2006/main">
                <a:ext uri="{FF2B5EF4-FFF2-40B4-BE49-F238E27FC236}">
                  <a16:creationId xmlns:a16="http://schemas.microsoft.com/office/drawing/2014/main" id="{0D099824-EE25-1B5D-BDE3-665839E2E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graph of a patient&#10;&#10;Description automatically generated with medium confidence">
                      <a:extLst>
                        <a:ext uri="{FF2B5EF4-FFF2-40B4-BE49-F238E27FC236}">
                          <a16:creationId xmlns:a16="http://schemas.microsoft.com/office/drawing/2014/main" id="{0D099824-EE25-1B5D-BDE3-665839E2EFA9}"/>
                        </a:ext>
                      </a:extLst>
                    </pic:cNvPr>
                    <pic:cNvPicPr>
                      <a:picLocks noChangeAspect="1"/>
                    </pic:cNvPicPr>
                  </pic:nvPicPr>
                  <pic:blipFill rotWithShape="1">
                    <a:blip r:embed="rId21"/>
                    <a:srcRect l="28334" t="93126" r="28125" b="1042"/>
                    <a:stretch/>
                  </pic:blipFill>
                  <pic:spPr>
                    <a:xfrm>
                      <a:off x="0" y="0"/>
                      <a:ext cx="2241550" cy="149860"/>
                    </a:xfrm>
                    <a:prstGeom prst="rect">
                      <a:avLst/>
                    </a:prstGeom>
                  </pic:spPr>
                </pic:pic>
              </a:graphicData>
            </a:graphic>
            <wp14:sizeRelH relativeFrom="margin">
              <wp14:pctWidth>0</wp14:pctWidth>
            </wp14:sizeRelH>
          </wp:anchor>
        </w:drawing>
      </w:r>
    </w:p>
    <w:p w14:paraId="77BC542F" w14:textId="319AFDA5" w:rsidR="00C30D98" w:rsidRDefault="00B34F12" w:rsidP="00B34F12">
      <w:pPr>
        <w:tabs>
          <w:tab w:val="left" w:pos="1140"/>
        </w:tabs>
        <w:jc w:val="both"/>
        <w:rPr>
          <w:rFonts w:ascii="Calibri" w:hAnsi="Calibri"/>
          <w:b/>
        </w:rPr>
      </w:pPr>
      <w:r>
        <w:rPr>
          <w:rFonts w:ascii="Calibri" w:hAnsi="Calibri"/>
          <w:b/>
        </w:rPr>
        <w:tab/>
      </w:r>
    </w:p>
    <w:p w14:paraId="6BBCFAD6" w14:textId="0A88E19D" w:rsidR="009D7AB7" w:rsidRDefault="009D7AB7">
      <w:pPr>
        <w:jc w:val="both"/>
        <w:rPr>
          <w:rFonts w:ascii="Calibri" w:hAnsi="Calibri"/>
          <w:b/>
        </w:rPr>
      </w:pPr>
    </w:p>
    <w:p w14:paraId="68D72811" w14:textId="409147D9" w:rsidR="002112A8" w:rsidRDefault="008063FC">
      <w:pPr>
        <w:jc w:val="both"/>
        <w:rPr>
          <w:rFonts w:ascii="Calibri" w:hAnsi="Calibri"/>
        </w:rPr>
      </w:pPr>
      <w:r>
        <w:rPr>
          <w:rFonts w:ascii="Calibri" w:hAnsi="Calibri"/>
          <w:b/>
        </w:rPr>
        <w:t>Supplemental Figure 6</w:t>
      </w:r>
      <w:r w:rsidR="009D7AB7">
        <w:rPr>
          <w:rFonts w:ascii="Calibri" w:hAnsi="Calibri"/>
          <w:b/>
        </w:rPr>
        <w:t xml:space="preserve"> Relationship of t</w:t>
      </w:r>
      <w:r>
        <w:rPr>
          <w:rFonts w:ascii="Calibri" w:hAnsi="Calibri"/>
          <w:b/>
        </w:rPr>
        <w:t xml:space="preserve">umor lesion </w:t>
      </w:r>
      <w:r w:rsidR="009D7AB7">
        <w:rPr>
          <w:rFonts w:ascii="Calibri" w:hAnsi="Calibri"/>
          <w:b/>
        </w:rPr>
        <w:t>kinetic parameters with</w:t>
      </w:r>
      <w:r>
        <w:rPr>
          <w:rFonts w:ascii="Calibri" w:hAnsi="Calibri"/>
          <w:b/>
        </w:rPr>
        <w:t xml:space="preserve"> simplified uptake metrics </w:t>
      </w:r>
      <w:r w:rsidR="009D7AB7">
        <w:rPr>
          <w:rFonts w:ascii="Calibri" w:hAnsi="Calibri"/>
        </w:rPr>
        <w:t>for t</w:t>
      </w:r>
      <w:r>
        <w:rPr>
          <w:rFonts w:ascii="Calibri" w:hAnsi="Calibri"/>
        </w:rPr>
        <w:t>he 2T3K-derived K</w:t>
      </w:r>
      <w:r>
        <w:rPr>
          <w:rFonts w:ascii="Calibri" w:hAnsi="Calibri"/>
          <w:vertAlign w:val="subscript"/>
        </w:rPr>
        <w:t>i</w:t>
      </w:r>
      <w:r>
        <w:rPr>
          <w:rFonts w:ascii="Calibri" w:hAnsi="Calibri"/>
        </w:rPr>
        <w:t xml:space="preserve"> (A-F) and the 2T4K-derived V</w:t>
      </w:r>
      <w:r>
        <w:rPr>
          <w:rFonts w:ascii="Calibri" w:hAnsi="Calibri"/>
          <w:vertAlign w:val="subscript"/>
        </w:rPr>
        <w:t xml:space="preserve">T </w:t>
      </w:r>
      <w:r>
        <w:rPr>
          <w:rFonts w:ascii="Calibri" w:hAnsi="Calibri"/>
        </w:rPr>
        <w:t xml:space="preserve">(F-K). </w:t>
      </w:r>
      <w:r w:rsidR="009D7AB7">
        <w:rPr>
          <w:rFonts w:ascii="Calibri" w:hAnsi="Calibri"/>
        </w:rPr>
        <w:t>All six studied</w:t>
      </w:r>
      <w:r>
        <w:rPr>
          <w:rFonts w:ascii="Calibri" w:hAnsi="Calibri"/>
        </w:rPr>
        <w:t xml:space="preserve"> </w:t>
      </w:r>
      <w:r w:rsidR="009D7AB7">
        <w:rPr>
          <w:rFonts w:ascii="Calibri" w:hAnsi="Calibri"/>
        </w:rPr>
        <w:t>simplified uptake measures tend to correlate well with the</w:t>
      </w:r>
      <w:r>
        <w:rPr>
          <w:rFonts w:ascii="Calibri" w:hAnsi="Calibri"/>
        </w:rPr>
        <w:t xml:space="preserve"> </w:t>
      </w:r>
      <w:r w:rsidR="009D7AB7">
        <w:rPr>
          <w:rFonts w:ascii="Calibri" w:hAnsi="Calibri"/>
        </w:rPr>
        <w:t>K</w:t>
      </w:r>
      <w:r w:rsidR="009D7AB7">
        <w:rPr>
          <w:rFonts w:ascii="Calibri" w:hAnsi="Calibri"/>
          <w:vertAlign w:val="subscript"/>
        </w:rPr>
        <w:t>i</w:t>
      </w:r>
      <w:r w:rsidR="009D7AB7">
        <w:rPr>
          <w:rFonts w:ascii="Calibri" w:hAnsi="Calibri"/>
        </w:rPr>
        <w:t xml:space="preserve"> </w:t>
      </w:r>
      <w:r>
        <w:rPr>
          <w:rFonts w:ascii="Calibri" w:hAnsi="Calibri"/>
        </w:rPr>
        <w:t>but not with the V</w:t>
      </w:r>
      <w:r>
        <w:rPr>
          <w:rFonts w:ascii="Calibri" w:hAnsi="Calibri"/>
          <w:vertAlign w:val="subscript"/>
        </w:rPr>
        <w:t>T</w:t>
      </w:r>
      <w:r w:rsidR="009D7AB7">
        <w:rPr>
          <w:rFonts w:ascii="Calibri" w:hAnsi="Calibri"/>
        </w:rPr>
        <w:t xml:space="preserve">. </w:t>
      </w:r>
      <w:r>
        <w:rPr>
          <w:rFonts w:ascii="Calibri" w:hAnsi="Calibri"/>
        </w:rPr>
        <w:t xml:space="preserve">SUV: standardized uptake value, normalized for </w:t>
      </w:r>
      <w:r>
        <w:rPr>
          <w:rFonts w:ascii="Calibri" w:hAnsi="Calibri"/>
          <w:vertAlign w:val="subscript"/>
        </w:rPr>
        <w:t>LBM:</w:t>
      </w:r>
      <w:r>
        <w:rPr>
          <w:rFonts w:ascii="Calibri" w:hAnsi="Calibri"/>
        </w:rPr>
        <w:t xml:space="preserve"> lean body mass, </w:t>
      </w:r>
      <w:r>
        <w:rPr>
          <w:rFonts w:ascii="Calibri" w:hAnsi="Calibri"/>
          <w:vertAlign w:val="subscript"/>
        </w:rPr>
        <w:t>BW</w:t>
      </w:r>
      <w:r>
        <w:rPr>
          <w:rFonts w:ascii="Calibri" w:hAnsi="Calibri"/>
        </w:rPr>
        <w:t xml:space="preserve">: body weight, </w:t>
      </w:r>
      <w:r>
        <w:rPr>
          <w:rFonts w:ascii="Calibri" w:hAnsi="Calibri"/>
          <w:vertAlign w:val="subscript"/>
        </w:rPr>
        <w:t>BSA</w:t>
      </w:r>
      <w:r>
        <w:rPr>
          <w:rFonts w:ascii="Calibri" w:hAnsi="Calibri"/>
        </w:rPr>
        <w:t>: body surface area, TBR: tumor-to-blood ratio, TP</w:t>
      </w:r>
      <w:r>
        <w:rPr>
          <w:rFonts w:ascii="Calibri" w:hAnsi="Calibri"/>
          <w:vertAlign w:val="subscript"/>
        </w:rPr>
        <w:t>P</w:t>
      </w:r>
      <w:r>
        <w:rPr>
          <w:rFonts w:ascii="Calibri" w:hAnsi="Calibri"/>
        </w:rPr>
        <w:t>R: tumor-to-plasma corrected for parent fraction ratio, TPR: tumor-to-plasma ratio.</w:t>
      </w:r>
    </w:p>
    <w:p w14:paraId="5CEACDBD" w14:textId="77777777" w:rsidR="00C30D98" w:rsidRDefault="00C30D98">
      <w:pPr>
        <w:jc w:val="both"/>
        <w:rPr>
          <w:rFonts w:ascii="Calibri" w:hAnsi="Calibri"/>
        </w:rPr>
      </w:pPr>
    </w:p>
    <w:p w14:paraId="4E4AD190" w14:textId="77777777" w:rsidR="00C30D98" w:rsidRDefault="00C30D98">
      <w:pPr>
        <w:jc w:val="both"/>
        <w:rPr>
          <w:rFonts w:ascii="Calibri" w:hAnsi="Calibri"/>
        </w:rPr>
      </w:pPr>
    </w:p>
    <w:p w14:paraId="3B0BF7F2" w14:textId="77777777" w:rsidR="002112A8" w:rsidRDefault="008063FC">
      <w:pPr>
        <w:jc w:val="both"/>
        <w:rPr>
          <w:rFonts w:ascii="Calibri" w:hAnsi="Calibri"/>
          <w:b/>
        </w:rPr>
      </w:pPr>
      <w:r>
        <w:rPr>
          <w:rFonts w:ascii="Calibri" w:hAnsi="Calibri"/>
          <w:b/>
        </w:rPr>
        <w:br w:type="page"/>
      </w:r>
    </w:p>
    <w:p w14:paraId="5533C040" w14:textId="4144C53D" w:rsidR="002112A8" w:rsidRDefault="00670F7C">
      <w:pPr>
        <w:jc w:val="both"/>
        <w:rPr>
          <w:rFonts w:ascii="Calibri" w:hAnsi="Calibri"/>
          <w:b/>
        </w:rPr>
      </w:pPr>
      <w:r>
        <w:rPr>
          <w:noProof/>
        </w:rPr>
        <w:lastRenderedPageBreak/>
        <w:drawing>
          <wp:anchor distT="0" distB="0" distL="114300" distR="114300" simplePos="0" relativeHeight="251657216" behindDoc="0" locked="0" layoutInCell="1" allowOverlap="1" wp14:anchorId="638FE0D9" wp14:editId="38320C87">
            <wp:simplePos x="0" y="0"/>
            <wp:positionH relativeFrom="column">
              <wp:posOffset>-296959</wp:posOffset>
            </wp:positionH>
            <wp:positionV relativeFrom="paragraph">
              <wp:posOffset>-263580</wp:posOffset>
            </wp:positionV>
            <wp:extent cx="6626762" cy="6369269"/>
            <wp:effectExtent l="0" t="0" r="3175" b="0"/>
            <wp:wrapNone/>
            <wp:docPr id="9357159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26762" cy="63692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634013" w14:textId="77777777" w:rsidR="002112A8" w:rsidRDefault="002112A8">
      <w:pPr>
        <w:jc w:val="both"/>
        <w:rPr>
          <w:rFonts w:ascii="Calibri" w:hAnsi="Calibri"/>
          <w:b/>
        </w:rPr>
      </w:pPr>
    </w:p>
    <w:p w14:paraId="239DF72A" w14:textId="77777777" w:rsidR="002112A8" w:rsidRDefault="002112A8">
      <w:pPr>
        <w:jc w:val="both"/>
        <w:rPr>
          <w:rFonts w:ascii="Calibri" w:hAnsi="Calibri"/>
        </w:rPr>
      </w:pPr>
    </w:p>
    <w:p w14:paraId="7E1FCD10" w14:textId="77777777" w:rsidR="002112A8" w:rsidRDefault="002112A8">
      <w:pPr>
        <w:jc w:val="both"/>
        <w:rPr>
          <w:rFonts w:ascii="Calibri" w:hAnsi="Calibri"/>
        </w:rPr>
      </w:pPr>
    </w:p>
    <w:p w14:paraId="250AD19B" w14:textId="77777777" w:rsidR="002112A8" w:rsidRDefault="002112A8">
      <w:pPr>
        <w:jc w:val="both"/>
        <w:rPr>
          <w:rFonts w:ascii="Calibri" w:hAnsi="Calibri"/>
        </w:rPr>
      </w:pPr>
    </w:p>
    <w:p w14:paraId="2B17E547" w14:textId="77777777" w:rsidR="002112A8" w:rsidRDefault="002112A8">
      <w:pPr>
        <w:jc w:val="both"/>
        <w:rPr>
          <w:rFonts w:ascii="Calibri" w:hAnsi="Calibri"/>
        </w:rPr>
      </w:pPr>
    </w:p>
    <w:p w14:paraId="4EC39096" w14:textId="77777777" w:rsidR="002112A8" w:rsidRDefault="002112A8">
      <w:pPr>
        <w:jc w:val="both"/>
        <w:rPr>
          <w:rFonts w:ascii="Calibri" w:hAnsi="Calibri"/>
        </w:rPr>
      </w:pPr>
    </w:p>
    <w:p w14:paraId="3F8EA262" w14:textId="77777777" w:rsidR="002112A8" w:rsidRDefault="002112A8">
      <w:pPr>
        <w:jc w:val="both"/>
        <w:rPr>
          <w:rFonts w:ascii="Calibri" w:hAnsi="Calibri"/>
        </w:rPr>
      </w:pPr>
    </w:p>
    <w:p w14:paraId="5DF865E9" w14:textId="77777777" w:rsidR="002112A8" w:rsidRDefault="002112A8">
      <w:pPr>
        <w:jc w:val="both"/>
        <w:rPr>
          <w:rFonts w:ascii="Calibri" w:hAnsi="Calibri"/>
        </w:rPr>
      </w:pPr>
    </w:p>
    <w:p w14:paraId="1D6A9375" w14:textId="77777777" w:rsidR="002112A8" w:rsidRDefault="002112A8">
      <w:pPr>
        <w:jc w:val="both"/>
        <w:rPr>
          <w:rFonts w:ascii="Calibri" w:hAnsi="Calibri"/>
        </w:rPr>
      </w:pPr>
    </w:p>
    <w:p w14:paraId="1CA7B3FE" w14:textId="77777777" w:rsidR="002112A8" w:rsidRDefault="002112A8">
      <w:pPr>
        <w:jc w:val="both"/>
        <w:rPr>
          <w:rFonts w:ascii="Calibri" w:hAnsi="Calibri"/>
        </w:rPr>
      </w:pPr>
    </w:p>
    <w:p w14:paraId="68B0CB7F" w14:textId="77777777" w:rsidR="002112A8" w:rsidRDefault="002112A8">
      <w:pPr>
        <w:jc w:val="both"/>
        <w:rPr>
          <w:rFonts w:ascii="Calibri" w:hAnsi="Calibri"/>
        </w:rPr>
      </w:pPr>
    </w:p>
    <w:p w14:paraId="617BB820" w14:textId="77777777" w:rsidR="002112A8" w:rsidRDefault="002112A8">
      <w:pPr>
        <w:jc w:val="both"/>
        <w:rPr>
          <w:rFonts w:ascii="Calibri" w:hAnsi="Calibri"/>
        </w:rPr>
      </w:pPr>
    </w:p>
    <w:p w14:paraId="6253A087" w14:textId="77777777" w:rsidR="002112A8" w:rsidRDefault="002112A8">
      <w:pPr>
        <w:jc w:val="both"/>
        <w:rPr>
          <w:rFonts w:ascii="Calibri" w:hAnsi="Calibri"/>
        </w:rPr>
      </w:pPr>
    </w:p>
    <w:p w14:paraId="3D425361" w14:textId="77777777" w:rsidR="002112A8" w:rsidRDefault="002112A8">
      <w:pPr>
        <w:jc w:val="both"/>
        <w:rPr>
          <w:rFonts w:ascii="Calibri" w:hAnsi="Calibri"/>
        </w:rPr>
      </w:pPr>
    </w:p>
    <w:p w14:paraId="34857F24" w14:textId="77777777" w:rsidR="002112A8" w:rsidRDefault="002112A8">
      <w:pPr>
        <w:jc w:val="both"/>
        <w:rPr>
          <w:rFonts w:ascii="Calibri" w:hAnsi="Calibri"/>
        </w:rPr>
      </w:pPr>
    </w:p>
    <w:p w14:paraId="006B45D3" w14:textId="77777777" w:rsidR="002112A8" w:rsidRDefault="002112A8">
      <w:pPr>
        <w:jc w:val="both"/>
        <w:rPr>
          <w:rFonts w:ascii="Calibri" w:hAnsi="Calibri"/>
        </w:rPr>
      </w:pPr>
    </w:p>
    <w:p w14:paraId="2E62568B" w14:textId="77777777" w:rsidR="002112A8" w:rsidRDefault="002112A8">
      <w:pPr>
        <w:jc w:val="both"/>
        <w:rPr>
          <w:rFonts w:ascii="Calibri" w:hAnsi="Calibri"/>
        </w:rPr>
      </w:pPr>
    </w:p>
    <w:p w14:paraId="0D9ED064" w14:textId="77777777" w:rsidR="002112A8" w:rsidRDefault="002112A8">
      <w:pPr>
        <w:jc w:val="both"/>
        <w:rPr>
          <w:rFonts w:ascii="Calibri" w:hAnsi="Calibri"/>
        </w:rPr>
      </w:pPr>
    </w:p>
    <w:p w14:paraId="20AD4CA8" w14:textId="2CD914D9" w:rsidR="002112A8" w:rsidRDefault="002112A8">
      <w:pPr>
        <w:jc w:val="both"/>
        <w:rPr>
          <w:rFonts w:ascii="Calibri" w:hAnsi="Calibri"/>
        </w:rPr>
      </w:pPr>
    </w:p>
    <w:p w14:paraId="33628D54" w14:textId="48188821" w:rsidR="002112A8" w:rsidRDefault="00011494">
      <w:pPr>
        <w:jc w:val="both"/>
        <w:rPr>
          <w:rFonts w:ascii="Calibri" w:hAnsi="Calibri"/>
        </w:rPr>
      </w:pPr>
      <w:r>
        <w:rPr>
          <w:rFonts w:ascii="Calibri" w:hAnsi="Calibri"/>
          <w:noProof/>
        </w:rPr>
        <mc:AlternateContent>
          <mc:Choice Requires="wps">
            <w:drawing>
              <wp:anchor distT="0" distB="0" distL="114300" distR="114300" simplePos="0" relativeHeight="251685889" behindDoc="0" locked="0" layoutInCell="1" allowOverlap="1" wp14:anchorId="3968A70F" wp14:editId="6DBDDEFD">
                <wp:simplePos x="0" y="0"/>
                <wp:positionH relativeFrom="column">
                  <wp:posOffset>697507</wp:posOffset>
                </wp:positionH>
                <wp:positionV relativeFrom="paragraph">
                  <wp:posOffset>41407</wp:posOffset>
                </wp:positionV>
                <wp:extent cx="624689" cy="113030"/>
                <wp:effectExtent l="0" t="0" r="23495" b="20320"/>
                <wp:wrapNone/>
                <wp:docPr id="1195882092" name="Rectangle 10"/>
                <wp:cNvGraphicFramePr/>
                <a:graphic xmlns:a="http://schemas.openxmlformats.org/drawingml/2006/main">
                  <a:graphicData uri="http://schemas.microsoft.com/office/word/2010/wordprocessingShape">
                    <wps:wsp>
                      <wps:cNvSpPr/>
                      <wps:spPr>
                        <a:xfrm>
                          <a:off x="0" y="0"/>
                          <a:ext cx="624689" cy="11303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BF58A6" id="Rectangle 10" o:spid="_x0000_s1026" style="position:absolute;margin-left:54.9pt;margin-top:3.25pt;width:49.2pt;height:8.9pt;z-index:2516858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" fillcolor="white [3212]" strokecolor="white [3212]" strokeweight="1.1pt"/>
            </w:pict>
          </mc:Fallback>
        </mc:AlternateContent>
      </w:r>
      <w:r w:rsidRPr="00B97C98">
        <w:rPr>
          <w:rFonts w:ascii="Calibri" w:hAnsi="Calibri"/>
          <w:b/>
          <w:noProof/>
        </w:rPr>
        <w:drawing>
          <wp:anchor distT="0" distB="0" distL="114300" distR="114300" simplePos="0" relativeHeight="251684865" behindDoc="0" locked="0" layoutInCell="1" allowOverlap="1" wp14:anchorId="42CB94D9" wp14:editId="44815CE9">
            <wp:simplePos x="0" y="0"/>
            <wp:positionH relativeFrom="column">
              <wp:posOffset>1316990</wp:posOffset>
            </wp:positionH>
            <wp:positionV relativeFrom="paragraph">
              <wp:posOffset>17780</wp:posOffset>
            </wp:positionV>
            <wp:extent cx="412750" cy="130810"/>
            <wp:effectExtent l="0" t="0" r="6350" b="2540"/>
            <wp:wrapThrough wrapText="bothSides">
              <wp:wrapPolygon edited="0">
                <wp:start x="0" y="0"/>
                <wp:lineTo x="0" y="18874"/>
                <wp:lineTo x="20935" y="18874"/>
                <wp:lineTo x="20935" y="0"/>
                <wp:lineTo x="0" y="0"/>
              </wp:wrapPolygon>
            </wp:wrapThrough>
            <wp:docPr id="477901425" name="Picture 6" descr="A graph of a graph of a patient&#10;&#10;Description automatically generated with medium confidence">
              <a:extLst xmlns:a="http://schemas.openxmlformats.org/drawingml/2006/main">
                <a:ext uri="{FF2B5EF4-FFF2-40B4-BE49-F238E27FC236}">
                  <a16:creationId xmlns:a16="http://schemas.microsoft.com/office/drawing/2014/main" id="{0D099824-EE25-1B5D-BDE3-665839E2E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graph of a patient&#10;&#10;Description automatically generated with medium confidence">
                      <a:extLst>
                        <a:ext uri="{FF2B5EF4-FFF2-40B4-BE49-F238E27FC236}">
                          <a16:creationId xmlns:a16="http://schemas.microsoft.com/office/drawing/2014/main" id="{0D099824-EE25-1B5D-BDE3-665839E2EFA9}"/>
                        </a:ext>
                      </a:extLst>
                    </pic:cNvPr>
                    <pic:cNvPicPr>
                      <a:picLocks noChangeAspect="1"/>
                    </pic:cNvPicPr>
                  </pic:nvPicPr>
                  <pic:blipFill rotWithShape="1">
                    <a:blip r:embed="rId21"/>
                    <a:srcRect l="28334" t="93134" r="63649" b="1757"/>
                    <a:stretch/>
                  </pic:blipFill>
                  <pic:spPr bwMode="auto">
                    <a:xfrm>
                      <a:off x="0" y="0"/>
                      <a:ext cx="412750" cy="130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0697">
        <w:rPr>
          <w:rFonts w:ascii="Calibri" w:hAnsi="Calibri"/>
          <w:noProof/>
        </w:rPr>
        <w:drawing>
          <wp:anchor distT="0" distB="0" distL="114300" distR="114300" simplePos="0" relativeHeight="251656191" behindDoc="1" locked="0" layoutInCell="1" allowOverlap="1" wp14:anchorId="29DB4083" wp14:editId="50ED2150">
            <wp:simplePos x="0" y="0"/>
            <wp:positionH relativeFrom="margin">
              <wp:posOffset>4919926</wp:posOffset>
            </wp:positionH>
            <wp:positionV relativeFrom="paragraph">
              <wp:posOffset>49880</wp:posOffset>
            </wp:positionV>
            <wp:extent cx="1093304" cy="310247"/>
            <wp:effectExtent l="0" t="0" r="0" b="0"/>
            <wp:wrapNone/>
            <wp:docPr id="2094428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2814" name="Picture 10"/>
                    <pic:cNvPicPr>
                      <a:picLocks noChangeAspect="1" noChangeArrowheads="1"/>
                    </pic:cNvPicPr>
                  </pic:nvPicPr>
                  <pic:blipFill rotWithShape="1">
                    <a:blip r:embed="rId23">
                      <a:extLst>
                        <a:ext uri="{28A0092B-C50C-407E-A947-70E740481C1C}">
                          <a14:useLocalDpi xmlns:a14="http://schemas.microsoft.com/office/drawing/2010/main" val="0"/>
                        </a:ext>
                      </a:extLst>
                    </a:blip>
                    <a:srcRect l="16285" t="30842" r="9543" b="27009"/>
                    <a:stretch/>
                  </pic:blipFill>
                  <pic:spPr bwMode="auto">
                    <a:xfrm>
                      <a:off x="0" y="0"/>
                      <a:ext cx="1141188" cy="323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0697">
        <w:rPr>
          <w:rFonts w:ascii="Calibri" w:hAnsi="Calibri"/>
          <w:b/>
          <w:noProof/>
        </w:rPr>
        <w:drawing>
          <wp:anchor distT="0" distB="0" distL="114300" distR="114300" simplePos="0" relativeHeight="251656703" behindDoc="1" locked="0" layoutInCell="1" allowOverlap="1" wp14:anchorId="783448EC" wp14:editId="3423E9C8">
            <wp:simplePos x="0" y="0"/>
            <wp:positionH relativeFrom="column">
              <wp:posOffset>4930941</wp:posOffset>
            </wp:positionH>
            <wp:positionV relativeFrom="paragraph">
              <wp:posOffset>117640</wp:posOffset>
            </wp:positionV>
            <wp:extent cx="997889" cy="209550"/>
            <wp:effectExtent l="0" t="0" r="7620" b="9525"/>
            <wp:wrapNone/>
            <wp:docPr id="798231030" name="Picture 1" descr="A screenshot of a computer&#10;&#10;AI-generated content may be incorrec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31030" name="Picture 1" descr="A screenshot of a computer&#10;&#10;AI-generated content may be incorrect." hidden="1"/>
                    <pic:cNvPicPr>
                      <a:picLocks noChangeAspect="1" noChangeArrowheads="1"/>
                    </pic:cNvPicPr>
                  </pic:nvPicPr>
                  <pic:blipFill rotWithShape="1">
                    <a:blip r:embed="rId23">
                      <a:extLst>
                        <a:ext uri="{28A0092B-C50C-407E-A947-70E740481C1C}">
                          <a14:useLocalDpi xmlns:a14="http://schemas.microsoft.com/office/drawing/2010/main" val="0"/>
                        </a:ext>
                      </a:extLst>
                    </a:blip>
                    <a:srcRect l="16322" t="41027" r="16518" b="30767"/>
                    <a:stretch/>
                  </pic:blipFill>
                  <pic:spPr bwMode="auto">
                    <a:xfrm>
                      <a:off x="0" y="0"/>
                      <a:ext cx="997889" cy="209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CFE6C0" w14:textId="14C4B177" w:rsidR="00430697" w:rsidRDefault="00430697">
      <w:pPr>
        <w:jc w:val="both"/>
        <w:rPr>
          <w:rFonts w:ascii="Calibri" w:hAnsi="Calibri"/>
          <w:b/>
          <w:noProof/>
        </w:rPr>
      </w:pPr>
    </w:p>
    <w:p w14:paraId="66D4ABDD" w14:textId="0F5D7C9A" w:rsidR="002112A8" w:rsidRDefault="002112A8">
      <w:pPr>
        <w:jc w:val="both"/>
        <w:rPr>
          <w:rFonts w:ascii="Calibri" w:hAnsi="Calibri"/>
        </w:rPr>
      </w:pPr>
    </w:p>
    <w:p w14:paraId="165D05F4" w14:textId="2CC69608" w:rsidR="00B34F12" w:rsidRDefault="00B34F12">
      <w:pPr>
        <w:jc w:val="both"/>
        <w:rPr>
          <w:rFonts w:ascii="Calibri" w:hAnsi="Calibri"/>
          <w:b/>
        </w:rPr>
      </w:pPr>
    </w:p>
    <w:p w14:paraId="2501FA2A" w14:textId="231AD7D0" w:rsidR="00C30D98" w:rsidRDefault="00C30D98">
      <w:pPr>
        <w:jc w:val="both"/>
        <w:rPr>
          <w:rFonts w:ascii="Calibri" w:hAnsi="Calibri"/>
          <w:b/>
        </w:rPr>
      </w:pPr>
    </w:p>
    <w:p w14:paraId="4CF6AD10" w14:textId="545ABD32" w:rsidR="00C30D98" w:rsidRDefault="00C30D98">
      <w:pPr>
        <w:jc w:val="both"/>
        <w:rPr>
          <w:rFonts w:ascii="Calibri" w:hAnsi="Calibri"/>
          <w:b/>
        </w:rPr>
      </w:pPr>
    </w:p>
    <w:p w14:paraId="23F18FA0" w14:textId="207E2999" w:rsidR="002112A8" w:rsidRDefault="008063FC">
      <w:pPr>
        <w:jc w:val="both"/>
        <w:rPr>
          <w:rFonts w:ascii="Calibri" w:hAnsi="Calibri"/>
        </w:rPr>
      </w:pPr>
      <w:r>
        <w:rPr>
          <w:rFonts w:ascii="Calibri" w:hAnsi="Calibri"/>
          <w:b/>
        </w:rPr>
        <w:t xml:space="preserve">Supplementary Figure 7 </w:t>
      </w:r>
      <w:r w:rsidR="009D7AB7">
        <w:rPr>
          <w:rFonts w:ascii="Calibri" w:hAnsi="Calibri"/>
          <w:b/>
        </w:rPr>
        <w:t>Relationship of o</w:t>
      </w:r>
      <w:r>
        <w:rPr>
          <w:rFonts w:ascii="Calibri" w:hAnsi="Calibri"/>
          <w:b/>
        </w:rPr>
        <w:t>rgan</w:t>
      </w:r>
      <w:r w:rsidR="009D7AB7">
        <w:rPr>
          <w:rFonts w:ascii="Calibri" w:hAnsi="Calibri"/>
          <w:b/>
        </w:rPr>
        <w:t xml:space="preserve"> kinetic parameters</w:t>
      </w:r>
      <w:r>
        <w:rPr>
          <w:rFonts w:ascii="Calibri" w:hAnsi="Calibri"/>
          <w:b/>
        </w:rPr>
        <w:t xml:space="preserve"> with simplified uptake metrics; </w:t>
      </w:r>
      <w:r>
        <w:rPr>
          <w:rFonts w:ascii="Calibri" w:hAnsi="Calibri"/>
        </w:rPr>
        <w:t xml:space="preserve">For the organs for which the 2T3K model was selected (see </w:t>
      </w:r>
      <w:r>
        <w:rPr>
          <w:rFonts w:ascii="Calibri" w:hAnsi="Calibri"/>
          <w:b/>
        </w:rPr>
        <w:t>Table 2</w:t>
      </w:r>
      <w:r>
        <w:rPr>
          <w:rFonts w:ascii="Calibri" w:hAnsi="Calibri"/>
        </w:rPr>
        <w:t>), the K</w:t>
      </w:r>
      <w:r>
        <w:rPr>
          <w:rFonts w:ascii="Calibri" w:hAnsi="Calibri"/>
          <w:vertAlign w:val="subscript"/>
        </w:rPr>
        <w:t>i</w:t>
      </w:r>
      <w:r>
        <w:rPr>
          <w:rFonts w:ascii="Calibri" w:hAnsi="Calibri"/>
        </w:rPr>
        <w:t xml:space="preserve"> values</w:t>
      </w:r>
      <w:r w:rsidR="009D7AB7">
        <w:rPr>
          <w:rFonts w:ascii="Calibri" w:hAnsi="Calibri"/>
        </w:rPr>
        <w:t xml:space="preserve"> are</w:t>
      </w:r>
      <w:r>
        <w:rPr>
          <w:rFonts w:ascii="Calibri" w:hAnsi="Calibri"/>
        </w:rPr>
        <w:t xml:space="preserve"> used for comparison (A-E)</w:t>
      </w:r>
      <w:r w:rsidR="009D7AB7">
        <w:rPr>
          <w:rFonts w:ascii="Calibri" w:hAnsi="Calibri"/>
        </w:rPr>
        <w:t>;</w:t>
      </w:r>
      <w:r>
        <w:rPr>
          <w:rFonts w:ascii="Calibri" w:hAnsi="Calibri"/>
        </w:rPr>
        <w:t xml:space="preserve"> for the organs for which the 2T4K model was selected, the V</w:t>
      </w:r>
      <w:r>
        <w:rPr>
          <w:rFonts w:ascii="Calibri" w:hAnsi="Calibri"/>
          <w:vertAlign w:val="subscript"/>
        </w:rPr>
        <w:t>T</w:t>
      </w:r>
      <w:r>
        <w:rPr>
          <w:rFonts w:ascii="Calibri" w:hAnsi="Calibri"/>
        </w:rPr>
        <w:t xml:space="preserve"> values </w:t>
      </w:r>
      <w:r w:rsidR="009D7AB7">
        <w:rPr>
          <w:rFonts w:ascii="Calibri" w:hAnsi="Calibri"/>
        </w:rPr>
        <w:t xml:space="preserve">are used </w:t>
      </w:r>
      <w:r>
        <w:rPr>
          <w:rFonts w:ascii="Calibri" w:hAnsi="Calibri"/>
        </w:rPr>
        <w:t xml:space="preserve">(G-L). </w:t>
      </w:r>
      <w:r w:rsidR="009D7AB7">
        <w:rPr>
          <w:rFonts w:ascii="Calibri" w:hAnsi="Calibri"/>
        </w:rPr>
        <w:t>All six studied simplified uptake measures tend to correlate well with the selected kinetic parameter.</w:t>
      </w:r>
      <w:r w:rsidR="00AD4F7A">
        <w:rPr>
          <w:rFonts w:ascii="Calibri" w:hAnsi="Calibri"/>
        </w:rPr>
        <w:t xml:space="preserve"> SUV: standardized uptake value, normalized for </w:t>
      </w:r>
      <w:r w:rsidR="00AD4F7A">
        <w:rPr>
          <w:rFonts w:ascii="Calibri" w:hAnsi="Calibri"/>
          <w:vertAlign w:val="subscript"/>
        </w:rPr>
        <w:t>LBM:</w:t>
      </w:r>
      <w:r w:rsidR="00AD4F7A">
        <w:rPr>
          <w:rFonts w:ascii="Calibri" w:hAnsi="Calibri"/>
        </w:rPr>
        <w:t xml:space="preserve"> lean body mass, </w:t>
      </w:r>
      <w:r w:rsidR="00AD4F7A">
        <w:rPr>
          <w:rFonts w:ascii="Calibri" w:hAnsi="Calibri"/>
          <w:vertAlign w:val="subscript"/>
        </w:rPr>
        <w:t>BW</w:t>
      </w:r>
      <w:r w:rsidR="00AD4F7A">
        <w:rPr>
          <w:rFonts w:ascii="Calibri" w:hAnsi="Calibri"/>
        </w:rPr>
        <w:t xml:space="preserve">: body weight, </w:t>
      </w:r>
      <w:r w:rsidR="00AD4F7A">
        <w:rPr>
          <w:rFonts w:ascii="Calibri" w:hAnsi="Calibri"/>
          <w:vertAlign w:val="subscript"/>
        </w:rPr>
        <w:t>BSA</w:t>
      </w:r>
      <w:r w:rsidR="00AD4F7A">
        <w:rPr>
          <w:rFonts w:ascii="Calibri" w:hAnsi="Calibri"/>
        </w:rPr>
        <w:t>: body surface area, TBR: tumor-to-blood ratio, TP</w:t>
      </w:r>
      <w:r w:rsidR="00AD4F7A">
        <w:rPr>
          <w:rFonts w:ascii="Calibri" w:hAnsi="Calibri"/>
          <w:vertAlign w:val="subscript"/>
        </w:rPr>
        <w:t>P</w:t>
      </w:r>
      <w:r w:rsidR="00AD4F7A">
        <w:rPr>
          <w:rFonts w:ascii="Calibri" w:hAnsi="Calibri"/>
        </w:rPr>
        <w:t xml:space="preserve">R: tumor-to-plasma corrected for parent fraction ratio, TPR: tumor-to-plasma ratio. </w:t>
      </w:r>
      <w:r>
        <w:rPr>
          <w:rFonts w:ascii="Calibri" w:hAnsi="Calibri"/>
        </w:rPr>
        <w:t xml:space="preserve"> </w:t>
      </w:r>
      <w:r w:rsidR="00E51551">
        <w:rPr>
          <w:rFonts w:ascii="Calibri" w:hAnsi="Calibri"/>
        </w:rPr>
        <w:t>gl</w:t>
      </w:r>
      <w:r w:rsidR="004F7CBC">
        <w:rPr>
          <w:rFonts w:ascii="Calibri" w:hAnsi="Calibri"/>
        </w:rPr>
        <w:t xml:space="preserve"> parotis</w:t>
      </w:r>
      <w:r w:rsidR="00E51551">
        <w:rPr>
          <w:rFonts w:ascii="Calibri" w:hAnsi="Calibri"/>
        </w:rPr>
        <w:t>:</w:t>
      </w:r>
      <w:r w:rsidR="004F7CBC">
        <w:rPr>
          <w:rFonts w:ascii="Calibri" w:hAnsi="Calibri"/>
        </w:rPr>
        <w:t xml:space="preserve"> glandula parotis, ton adenoid</w:t>
      </w:r>
      <w:r w:rsidR="00E51551">
        <w:rPr>
          <w:rFonts w:ascii="Calibri" w:hAnsi="Calibri"/>
        </w:rPr>
        <w:t>: adenoid tonsils, bm: bone marrow</w:t>
      </w:r>
    </w:p>
    <w:p w14:paraId="6C05875D" w14:textId="2AE0B7F9" w:rsidR="002112A8" w:rsidRDefault="004C4C34" w:rsidP="00C30D98">
      <w:pPr>
        <w:rPr>
          <w:rFonts w:ascii="Calibri" w:hAnsi="Calibri"/>
        </w:rPr>
      </w:pPr>
      <w:r>
        <w:rPr>
          <w:rFonts w:ascii="Calibri" w:hAnsi="Calibri"/>
          <w:b/>
          <w:noProof/>
          <w:lang w:val="en-GB"/>
        </w:rPr>
        <w:lastRenderedPageBreak/>
        <w:drawing>
          <wp:inline distT="0" distB="0" distL="0" distR="0" wp14:anchorId="5AA7E195" wp14:editId="0F0AC2D2">
            <wp:extent cx="5749290" cy="2164080"/>
            <wp:effectExtent l="0" t="0" r="3810" b="7620"/>
            <wp:docPr id="19906662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9290" cy="2164080"/>
                    </a:xfrm>
                    <a:prstGeom prst="rect">
                      <a:avLst/>
                    </a:prstGeom>
                    <a:noFill/>
                  </pic:spPr>
                </pic:pic>
              </a:graphicData>
            </a:graphic>
          </wp:inline>
        </w:drawing>
      </w:r>
      <w:r w:rsidR="008063FC">
        <w:rPr>
          <w:rFonts w:ascii="Calibri" w:hAnsi="Calibri"/>
          <w:b/>
          <w:lang w:val="en-GB"/>
        </w:rPr>
        <w:t>Supplementary Figure 8;</w:t>
      </w:r>
      <w:r w:rsidR="008063FC">
        <w:rPr>
          <w:rFonts w:ascii="Calibri" w:hAnsi="Calibri"/>
          <w:lang w:val="en-GB"/>
        </w:rPr>
        <w:t xml:space="preserve"> </w:t>
      </w:r>
      <w:r w:rsidR="00C30D98">
        <w:rPr>
          <w:rFonts w:ascii="Calibri" w:hAnsi="Calibri"/>
          <w:lang w:val="en-GB"/>
        </w:rPr>
        <w:t xml:space="preserve">Visual interpretation of the </w:t>
      </w:r>
      <w:r w:rsidR="001E317D">
        <w:rPr>
          <w:rFonts w:ascii="Calibri" w:hAnsi="Calibri"/>
          <w:lang w:val="en-GB"/>
        </w:rPr>
        <w:t>relationship</w:t>
      </w:r>
      <w:r w:rsidR="00C30D98">
        <w:rPr>
          <w:rFonts w:ascii="Calibri" w:hAnsi="Calibri"/>
          <w:lang w:val="en-GB"/>
        </w:rPr>
        <w:t xml:space="preserve"> </w:t>
      </w:r>
      <w:r w:rsidR="00377088">
        <w:rPr>
          <w:rFonts w:ascii="Calibri" w:hAnsi="Calibri"/>
          <w:lang w:val="en-GB"/>
        </w:rPr>
        <w:t>between the</w:t>
      </w:r>
      <w:r w:rsidR="008063FC">
        <w:rPr>
          <w:rFonts w:ascii="Calibri" w:hAnsi="Calibri"/>
          <w:lang w:val="en-GB"/>
        </w:rPr>
        <w:t xml:space="preserve"> tumor</w:t>
      </w:r>
      <w:r w:rsidR="00C30D98">
        <w:rPr>
          <w:rFonts w:ascii="Calibri" w:hAnsi="Calibri"/>
          <w:lang w:val="en-GB"/>
        </w:rPr>
        <w:t>’s</w:t>
      </w:r>
      <w:r w:rsidR="008063FC">
        <w:rPr>
          <w:rFonts w:ascii="Calibri" w:hAnsi="Calibri"/>
          <w:lang w:val="en-GB"/>
        </w:rPr>
        <w:t xml:space="preserve"> k3:k2 ratio and the 2T3K-derived K</w:t>
      </w:r>
      <w:r w:rsidR="008063FC">
        <w:rPr>
          <w:rFonts w:ascii="Calibri" w:hAnsi="Calibri"/>
          <w:vertAlign w:val="subscript"/>
          <w:lang w:val="en-GB"/>
        </w:rPr>
        <w:t>i</w:t>
      </w:r>
      <w:r w:rsidR="00C30D98">
        <w:rPr>
          <w:rFonts w:ascii="Calibri" w:hAnsi="Calibri"/>
          <w:lang w:val="en-GB"/>
        </w:rPr>
        <w:t xml:space="preserve"> suggests</w:t>
      </w:r>
      <w:r w:rsidR="00377088">
        <w:rPr>
          <w:rFonts w:ascii="Calibri" w:hAnsi="Calibri"/>
          <w:lang w:val="en-GB"/>
        </w:rPr>
        <w:t xml:space="preserve"> </w:t>
      </w:r>
      <w:r w:rsidR="008063FC">
        <w:rPr>
          <w:rFonts w:ascii="Calibri" w:hAnsi="Calibri"/>
          <w:lang w:val="en-GB"/>
        </w:rPr>
        <w:t xml:space="preserve">that </w:t>
      </w:r>
      <w:r w:rsidR="00C30D98">
        <w:rPr>
          <w:rFonts w:ascii="Calibri" w:hAnsi="Calibri"/>
          <w:lang w:val="en-GB"/>
        </w:rPr>
        <w:t>the K</w:t>
      </w:r>
      <w:r w:rsidR="00C30D98" w:rsidRPr="00377088">
        <w:rPr>
          <w:rFonts w:ascii="Calibri" w:hAnsi="Calibri"/>
          <w:vertAlign w:val="subscript"/>
          <w:lang w:val="en-GB"/>
        </w:rPr>
        <w:t>i</w:t>
      </w:r>
      <w:r w:rsidR="008063FC">
        <w:rPr>
          <w:rFonts w:ascii="Calibri" w:hAnsi="Calibri"/>
          <w:lang w:val="en-GB"/>
        </w:rPr>
        <w:t xml:space="preserve"> is influenced by perfusion. </w:t>
      </w:r>
    </w:p>
    <w:p w14:paraId="2B26DC0B" w14:textId="77777777" w:rsidR="002112A8" w:rsidRDefault="002112A8">
      <w:pPr>
        <w:jc w:val="both"/>
        <w:rPr>
          <w:rFonts w:ascii="Calibri" w:hAnsi="Calibri"/>
        </w:rPr>
      </w:pPr>
    </w:p>
    <w:p w14:paraId="0CD46326" w14:textId="77777777" w:rsidR="002112A8" w:rsidRDefault="002112A8">
      <w:pPr>
        <w:jc w:val="both"/>
        <w:rPr>
          <w:rFonts w:ascii="Calibri" w:hAnsi="Calibri"/>
        </w:rPr>
      </w:pPr>
    </w:p>
    <w:p w14:paraId="4AEC516A" w14:textId="77777777" w:rsidR="002112A8" w:rsidRDefault="002112A8">
      <w:pPr>
        <w:jc w:val="both"/>
        <w:rPr>
          <w:rFonts w:ascii="Calibri" w:hAnsi="Calibri"/>
        </w:rPr>
      </w:pPr>
    </w:p>
    <w:p w14:paraId="0601DB9C" w14:textId="77777777" w:rsidR="002112A8" w:rsidRDefault="008063FC">
      <w:pPr>
        <w:pStyle w:val="Heading2"/>
        <w:jc w:val="both"/>
        <w:rPr>
          <w:rFonts w:ascii="Calibri" w:hAnsi="Calibri"/>
        </w:rPr>
      </w:pPr>
      <w:r>
        <w:rPr>
          <w:rFonts w:ascii="Calibri" w:hAnsi="Calibri"/>
          <w:b/>
          <w:color w:val="000000"/>
          <w:lang w:val="en-GB"/>
        </w:rPr>
        <w:t>References</w:t>
      </w:r>
    </w:p>
    <w:p w14:paraId="1052A10E" w14:textId="77777777" w:rsidR="002112A8" w:rsidRPr="0095745E" w:rsidRDefault="008063FC">
      <w:pPr>
        <w:pStyle w:val="EndNoteBibliography"/>
        <w:spacing w:after="0"/>
        <w:rPr>
          <w:lang w:val="nl-NL"/>
        </w:rPr>
      </w:pPr>
      <w:r>
        <w:fldChar w:fldCharType="begin"/>
      </w:r>
      <w:r>
        <w:instrText xml:space="preserve"> ADDIN EN.REFLIST </w:instrText>
      </w:r>
      <w:r>
        <w:fldChar w:fldCharType="separate"/>
      </w:r>
      <w:r>
        <w:t>1.</w:t>
      </w:r>
      <w:r>
        <w:tab/>
        <w:t xml:space="preserve">Boellaard R, Delgado-Bolton R, Oyen WJ, Giammarile F, Tatsch K, Eschner W, et al. FDG PET/CT: EANM procedure guidelines for tumour imaging: version 2.0. </w:t>
      </w:r>
      <w:r w:rsidRPr="0095745E">
        <w:rPr>
          <w:lang w:val="nl-NL"/>
        </w:rPr>
        <w:t>Eur J Nucl Med Mol Imaging. 2015;42(2):328-54.</w:t>
      </w:r>
    </w:p>
    <w:p w14:paraId="4CF93E19" w14:textId="23A9CB32" w:rsidR="002112A8" w:rsidRDefault="008063FC">
      <w:pPr>
        <w:pStyle w:val="EndNoteBibliography"/>
        <w:spacing w:after="0"/>
      </w:pPr>
      <w:r w:rsidRPr="0095745E">
        <w:rPr>
          <w:lang w:val="nl-NL"/>
        </w:rPr>
        <w:t>2.</w:t>
      </w:r>
      <w:r w:rsidRPr="0095745E">
        <w:rPr>
          <w:lang w:val="nl-NL"/>
        </w:rPr>
        <w:tab/>
        <w:t xml:space="preserve">Wijngaarden JE, Slebe M, Pouw JEE, Oprea-Lager DE, Schuit RC, Dickhoff C, et al. </w:t>
      </w:r>
      <w:r>
        <w:t>Pharmacokinetic analysis and simplified uptake measures for tumour lesion [(18)F]F-AraG PET imaging in patients with non-small cell lung cancer. Eur J Nucl Med Mol Imaging. 2025;52(2):719-29.</w:t>
      </w:r>
    </w:p>
    <w:p w14:paraId="10D01EC6" w14:textId="77777777" w:rsidR="002112A8" w:rsidRDefault="008063FC">
      <w:pPr>
        <w:pStyle w:val="EndNoteBibliography"/>
        <w:spacing w:after="0"/>
      </w:pPr>
      <w:r>
        <w:t>3.</w:t>
      </w:r>
      <w:r>
        <w:tab/>
        <w:t>Somvanshi PR, Venkatesh KV. Hill Equation. In: Dubitzky W, Wolkenhauer O, Cho K-H, Yokota H, editors. Encyclopedia of Systems Biology. New York, NY: Springer New York; 2013. p. 892-5.</w:t>
      </w:r>
    </w:p>
    <w:p w14:paraId="1B3955AB" w14:textId="77777777" w:rsidR="002112A8" w:rsidRDefault="008063FC">
      <w:pPr>
        <w:pStyle w:val="EndNoteBibliography"/>
        <w:spacing w:after="0"/>
      </w:pPr>
      <w:r>
        <w:t>4.</w:t>
      </w:r>
      <w:r>
        <w:tab/>
        <w:t>Boellaard R. Quantitative oncology molecular analysis suite: ACCURATE. Journal of Nuclear Medicine. 2018;59(supplement 1):1753.</w:t>
      </w:r>
    </w:p>
    <w:p w14:paraId="01983C65" w14:textId="77777777" w:rsidR="002112A8" w:rsidRDefault="008063FC">
      <w:pPr>
        <w:pStyle w:val="EndNoteBibliography"/>
        <w:spacing w:after="0"/>
      </w:pPr>
      <w:r>
        <w:t>5.</w:t>
      </w:r>
      <w:r>
        <w:tab/>
        <w:t>Cheebsumon P, Yaqub M, van Velden FH, Hoekstra OS, Lammertsma AA, Boellaard R. Impact of [(1)(8)F]FDG PET imaging parameters on automatic tumour delineation: need for improved tumour delineation methodology. Eur J Nucl Med Mol Imaging. 2011;38(12):2136-44.</w:t>
      </w:r>
    </w:p>
    <w:p w14:paraId="485195CE" w14:textId="77777777" w:rsidR="002112A8" w:rsidRDefault="008063FC">
      <w:pPr>
        <w:pStyle w:val="EndNoteBibliography"/>
        <w:spacing w:after="0"/>
      </w:pPr>
      <w:r>
        <w:t>6.</w:t>
      </w:r>
      <w:r>
        <w:tab/>
        <w:t>Janmahasatian S, Duffull SB, Ash S, Ward LC, Byrne NM, Green B. Quantification of lean bodyweight. Clin Pharmacokinet. 2005;44(10):1051-65.</w:t>
      </w:r>
    </w:p>
    <w:p w14:paraId="7CECD2A1" w14:textId="77777777" w:rsidR="002112A8" w:rsidRDefault="008063FC">
      <w:pPr>
        <w:pStyle w:val="EndNoteBibliography"/>
      </w:pPr>
      <w:r>
        <w:t>7.</w:t>
      </w:r>
      <w:r>
        <w:tab/>
        <w:t>Burton RF. Estimating body surface area from mass and height: theory and the formula of Du Bois and Du Bois. Ann Hum Biol. 2008;35(2):170-84.</w:t>
      </w:r>
    </w:p>
    <w:p w14:paraId="24596B24" w14:textId="77777777" w:rsidR="002112A8" w:rsidRDefault="008063FC">
      <w:pPr>
        <w:jc w:val="both"/>
        <w:rPr>
          <w:rFonts w:ascii="Calibri" w:hAnsi="Calibri"/>
        </w:rPr>
      </w:pPr>
      <w:r>
        <w:fldChar w:fldCharType="end"/>
      </w:r>
    </w:p>
    <w:sectPr w:rsidR="002112A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D49F9" w14:textId="77777777" w:rsidR="004935A9" w:rsidRDefault="004935A9">
      <w:pPr>
        <w:spacing w:after="0" w:line="240" w:lineRule="auto"/>
      </w:pPr>
      <w:r>
        <w:separator/>
      </w:r>
    </w:p>
  </w:endnote>
  <w:endnote w:type="continuationSeparator" w:id="0">
    <w:p w14:paraId="2061746C" w14:textId="77777777" w:rsidR="004935A9" w:rsidRDefault="0049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5DB8" w14:textId="77777777" w:rsidR="002112A8" w:rsidRDefault="008063FC">
    <w:pPr>
      <w:pStyle w:val="Footer"/>
    </w:pPr>
    <w:r>
      <w:rPr>
        <w:noProof/>
        <w:lang w:val="nl-NL"/>
      </w:rPr>
      <mc:AlternateContent>
        <mc:Choice Requires="wpg">
          <w:drawing>
            <wp:anchor distT="0" distB="0" distL="114300" distR="114300" simplePos="0" relativeHeight="251658240" behindDoc="0" locked="0" layoutInCell="1" allowOverlap="1" wp14:anchorId="4E38BC35" wp14:editId="38F8456B">
              <wp:simplePos x="0" y="0"/>
              <wp:positionH relativeFrom="page">
                <wp:align>right</wp:align>
              </wp:positionH>
              <wp:positionV relativeFrom="bottomMargin">
                <wp:align>center</wp:align>
              </wp:positionV>
              <wp:extent cx="6172200" cy="390525"/>
              <wp:effectExtent l="0" t="0" r="0" b="0"/>
              <wp:wrapNone/>
              <wp:docPr id="10003" name="Group 57"/>
              <wp:cNvGraphicFramePr/>
              <a:graphic xmlns:a="http://schemas.openxmlformats.org/drawingml/2006/main">
                <a:graphicData uri="http://schemas.microsoft.com/office/word/2010/wordprocessingGroup">
                  <wpg:wgp>
                    <wpg:cNvGrpSpPr/>
                    <wpg:grpSpPr>
                      <a:xfrm>
                        <a:off x="0" y="0"/>
                        <a:ext cx="6172200" cy="390525"/>
                        <a:chOff x="0" y="0"/>
                        <a:chExt cx="6172200" cy="390525"/>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FF79E2" w14:textId="691B75FB" w:rsidR="00F84BF6" w:rsidRPr="00ED3F2C" w:rsidRDefault="00E812B7">
                            <w:pPr>
                              <w:jc w:val="right"/>
                              <w:rPr>
                                <w:lang w:val="en-GB"/>
                              </w:rPr>
                            </w:pPr>
                            <w:sdt>
                              <w:sdtPr>
                                <w:alias w:val="Title"/>
                                <w:tag w:val=""/>
                                <w:id w:val="-2000573687"/>
                                <w:text/>
                              </w:sdtPr>
                              <w:sdtEndPr/>
                              <w:sdtContent>
                                <w:r w:rsidR="008063FC" w:rsidRPr="00ED3F2C">
                                  <w:t>[¹</w:t>
                                </w:r>
                                <w:r w:rsidR="008063FC" w:rsidRPr="00ED3F2C">
                                  <w:rPr>
                                    <w:rFonts w:ascii="Times New Roman" w:hAnsi="Times New Roman"/>
                                  </w:rPr>
                                  <w:t>⁸</w:t>
                                </w:r>
                                <w:r w:rsidR="008063FC" w:rsidRPr="00ED3F2C">
                                  <w:t xml:space="preserve">F]F-AraG kinetics during </w:t>
                                </w:r>
                                <w:r w:rsidR="008063FC">
                                  <w:t>immuno</w:t>
                                </w:r>
                                <w:r w:rsidR="008063FC" w:rsidRPr="00ED3F2C">
                                  <w:t>therapy</w:t>
                                </w:r>
                              </w:sdtContent>
                            </w:sdt>
                            <w:r w:rsidR="008063FC" w:rsidRPr="00ED3F2C">
                              <w:rPr>
                                <w:caps/>
                                <w:sz w:val="20"/>
                                <w:lang w:val="en-GB"/>
                              </w:rPr>
                              <w:t> | </w:t>
                            </w:r>
                            <w:sdt>
                              <w:sdtPr>
                                <w:rPr>
                                  <w:sz w:val="20"/>
                                  <w:lang w:val="en-GB"/>
                                </w:rPr>
                                <w:alias w:val="Subtitle"/>
                                <w:tag w:val=""/>
                                <w:id w:val="-757830567"/>
                                <w:text/>
                              </w:sdtPr>
                              <w:sdtEndPr/>
                              <w:sdtContent>
                                <w:r w:rsidR="001E317D" w:rsidRPr="00ED3F2C">
                                  <w:rPr>
                                    <w:sz w:val="20"/>
                                    <w:lang w:val="en-GB"/>
                                  </w:rPr>
                                  <w:t>Supplementary file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E38BC35" id="Group 57" o:spid="_x0000_s1027" style="position:absolute;margin-left:434.8pt;margin-top:0;width:486pt;height:30.75pt;z-index:251658240;mso-position-horizontal:right;mso-position-horizontal-relative:page;mso-position-vertical:center;mso-position-vertical-relative:bottom-margin-area" coordsize="61722,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" fillcolor="white [3212]" stroked="f" strokeweight="1.1pt">
                <v:fill opacity="0"/>
              </v:rect>
              <v:shapetype id="_x0000_t202" coordsize="21600,21600" o:spt="202" path="m,l,21600r21600,l21600,xe">
                <v:stroke joinstyle="miter"/>
                <v:path gradientshapeok="t" o:connecttype="rect"/>
              </v:shapetype>
              <v:shape id="Text Box 166" o:spid="_x0000_s1029" type="#_x0000_t202" style="position:absolute;top:95;width:5943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2AFF79E2" w14:textId="691B75FB" w:rsidR="00F84BF6" w:rsidRPr="00ED3F2C" w:rsidRDefault="008063FC">
                      <w:pPr>
                        <w:jc w:val="right"/>
                        <w:rPr>
                          <w:lang w:val="en-GB"/>
                        </w:rPr>
                      </w:pPr>
                      <w:sdt>
                        <w:sdtPr>
                          <w:alias w:val="Title"/>
                          <w:tag w:val=""/>
                          <w:id w:val="-2000573687"/>
                          <w:text/>
                        </w:sdtPr>
                        <w:sdtEndPr/>
                        <w:sdtContent>
                          <w:r w:rsidRPr="00ED3F2C">
                            <w:t>[¹</w:t>
                          </w:r>
                          <w:r w:rsidRPr="00ED3F2C">
                            <w:rPr>
                              <w:rFonts w:ascii="Times New Roman" w:hAnsi="Times New Roman"/>
                            </w:rPr>
                            <w:t>⁸</w:t>
                          </w:r>
                          <w:proofErr w:type="gramStart"/>
                          <w:r w:rsidRPr="00ED3F2C">
                            <w:t>F]F</w:t>
                          </w:r>
                          <w:proofErr w:type="gramEnd"/>
                          <w:r w:rsidRPr="00ED3F2C">
                            <w:t xml:space="preserve">-AraG kinetics during </w:t>
                          </w:r>
                          <w:r>
                            <w:t>immuno</w:t>
                          </w:r>
                          <w:r w:rsidRPr="00ED3F2C">
                            <w:t>therapy</w:t>
                          </w:r>
                        </w:sdtContent>
                      </w:sdt>
                      <w:r w:rsidRPr="00ED3F2C">
                        <w:rPr>
                          <w:caps/>
                          <w:sz w:val="20"/>
                          <w:lang w:val="en-GB"/>
                        </w:rPr>
                        <w:t> | </w:t>
                      </w:r>
                      <w:sdt>
                        <w:sdtPr>
                          <w:rPr>
                            <w:sz w:val="20"/>
                            <w:lang w:val="en-GB"/>
                          </w:rPr>
                          <w:alias w:val="Subtitle"/>
                          <w:tag w:val=""/>
                          <w:id w:val="-757830567"/>
                          <w:text/>
                        </w:sdtPr>
                        <w:sdtContent>
                          <w:r w:rsidR="001E317D" w:rsidRPr="00ED3F2C">
                            <w:rPr>
                              <w:sz w:val="20"/>
                              <w:lang w:val="en-GB"/>
                            </w:rPr>
                            <w:t>Supplementary file</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0A53" w14:textId="77777777" w:rsidR="004935A9" w:rsidRDefault="004935A9">
      <w:pPr>
        <w:spacing w:after="0" w:line="240" w:lineRule="auto"/>
      </w:pPr>
      <w:r>
        <w:separator/>
      </w:r>
    </w:p>
  </w:footnote>
  <w:footnote w:type="continuationSeparator" w:id="0">
    <w:p w14:paraId="2BE5A99D" w14:textId="77777777" w:rsidR="004935A9" w:rsidRDefault="004935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E4169B9"/>
    <w:multiLevelType w:val="multilevel"/>
    <w:tmpl w:val="EF0413C6"/>
    <w:lvl w:ilvl="0">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374618491">
    <w:abstractNumId w:val="8"/>
  </w:num>
  <w:num w:numId="2" w16cid:durableId="183636524">
    <w:abstractNumId w:val="6"/>
  </w:num>
  <w:num w:numId="3" w16cid:durableId="2042170787">
    <w:abstractNumId w:val="5"/>
  </w:num>
  <w:num w:numId="4" w16cid:durableId="1292058829">
    <w:abstractNumId w:val="4"/>
  </w:num>
  <w:num w:numId="5" w16cid:durableId="895318758">
    <w:abstractNumId w:val="7"/>
  </w:num>
  <w:num w:numId="6" w16cid:durableId="646739864">
    <w:abstractNumId w:val="3"/>
  </w:num>
  <w:num w:numId="7" w16cid:durableId="159202205">
    <w:abstractNumId w:val="2"/>
  </w:num>
  <w:num w:numId="8" w16cid:durableId="364528152">
    <w:abstractNumId w:val="1"/>
  </w:num>
  <w:num w:numId="9" w16cid:durableId="824126112">
    <w:abstractNumId w:val="0"/>
  </w:num>
  <w:num w:numId="10" w16cid:durableId="922871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11494"/>
    <w:rsid w:val="00017F01"/>
    <w:rsid w:val="00034616"/>
    <w:rsid w:val="0006063C"/>
    <w:rsid w:val="00095C00"/>
    <w:rsid w:val="0015074B"/>
    <w:rsid w:val="001857B8"/>
    <w:rsid w:val="001920DE"/>
    <w:rsid w:val="001B3668"/>
    <w:rsid w:val="001E317D"/>
    <w:rsid w:val="002112A8"/>
    <w:rsid w:val="0029639D"/>
    <w:rsid w:val="00326F90"/>
    <w:rsid w:val="00377088"/>
    <w:rsid w:val="00430697"/>
    <w:rsid w:val="004935A9"/>
    <w:rsid w:val="004B6F3D"/>
    <w:rsid w:val="004C4C34"/>
    <w:rsid w:val="004C7B37"/>
    <w:rsid w:val="004F7CBC"/>
    <w:rsid w:val="00540C3D"/>
    <w:rsid w:val="005414C2"/>
    <w:rsid w:val="00552C01"/>
    <w:rsid w:val="00670F7C"/>
    <w:rsid w:val="006A7DB7"/>
    <w:rsid w:val="006D6E09"/>
    <w:rsid w:val="006F0886"/>
    <w:rsid w:val="00701F2B"/>
    <w:rsid w:val="007C5190"/>
    <w:rsid w:val="008063FC"/>
    <w:rsid w:val="008718F8"/>
    <w:rsid w:val="0095745E"/>
    <w:rsid w:val="00991977"/>
    <w:rsid w:val="009A6F0E"/>
    <w:rsid w:val="009D7AB7"/>
    <w:rsid w:val="00AA1D8D"/>
    <w:rsid w:val="00AC3A46"/>
    <w:rsid w:val="00AD4F7A"/>
    <w:rsid w:val="00B00EBA"/>
    <w:rsid w:val="00B34F12"/>
    <w:rsid w:val="00B47730"/>
    <w:rsid w:val="00B50FBD"/>
    <w:rsid w:val="00B90851"/>
    <w:rsid w:val="00B97C98"/>
    <w:rsid w:val="00C30D98"/>
    <w:rsid w:val="00CB0664"/>
    <w:rsid w:val="00D11698"/>
    <w:rsid w:val="00D7498F"/>
    <w:rsid w:val="00E0318B"/>
    <w:rsid w:val="00E51551"/>
    <w:rsid w:val="00E812B7"/>
    <w:rsid w:val="00F60ADE"/>
    <w:rsid w:val="00F67B1E"/>
    <w:rsid w:val="00F84BF6"/>
    <w:rsid w:val="00FC693F"/>
    <w:rsid w:val="00FF0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4062061"/>
  <w14:defaultImageDpi w14:val="300"/>
  <w15:docId w15:val="{BA2532E3-0F4E-4964-8F71-380781E1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entury Schoolbook" w:hAnsi="Century Schoolbook"/>
      <w:sz w:val="22"/>
    </w:rPr>
  </w:style>
  <w:style w:type="paragraph" w:styleId="Heading1">
    <w:name w:val="heading 1"/>
    <w:basedOn w:val="Normal"/>
    <w:qFormat/>
    <w:pPr>
      <w:keepNext/>
      <w:keepLines/>
      <w:spacing w:before="240" w:after="0"/>
      <w:outlineLvl w:val="0"/>
    </w:pPr>
    <w:rPr>
      <w:color w:val="535356"/>
      <w:sz w:val="32"/>
    </w:rPr>
  </w:style>
  <w:style w:type="paragraph" w:styleId="Heading2">
    <w:name w:val="heading 2"/>
    <w:basedOn w:val="Normal"/>
    <w:qFormat/>
    <w:pPr>
      <w:keepNext/>
      <w:keepLines/>
      <w:spacing w:before="40" w:after="0"/>
      <w:outlineLvl w:val="1"/>
    </w:pPr>
    <w:rPr>
      <w:color w:val="535356"/>
      <w:sz w:val="26"/>
    </w:rPr>
  </w:style>
  <w:style w:type="paragraph" w:styleId="Heading3">
    <w:name w:val="heading 3"/>
    <w:basedOn w:val="Normal"/>
    <w:qFormat/>
    <w:pPr>
      <w:outlineLvl w:val="2"/>
    </w:pPr>
  </w:style>
  <w:style w:type="paragraph" w:styleId="Heading4">
    <w:name w:val="heading 4"/>
    <w:basedOn w:val="Normal"/>
    <w:qFormat/>
    <w:pPr>
      <w:outlineLvl w:val="3"/>
    </w:pPr>
  </w:style>
  <w:style w:type="paragraph" w:styleId="Heading5">
    <w:name w:val="heading 5"/>
    <w:basedOn w:val="Normal"/>
    <w:qFormat/>
    <w:pPr>
      <w:outlineLvl w:val="4"/>
    </w:pPr>
  </w:style>
  <w:style w:type="paragraph" w:styleId="Heading6">
    <w:name w:val="heading 6"/>
    <w:basedOn w:val="Normal"/>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TOCTOLTitle">
    <w:name w:val="TOC/ TOL Title"/>
    <w:qFormat/>
  </w:style>
  <w:style w:type="paragraph" w:styleId="TOC1">
    <w:name w:val="toc 1"/>
    <w:basedOn w:val="Normal"/>
    <w:qFormat/>
  </w:style>
  <w:style w:type="paragraph" w:styleId="TOC2">
    <w:name w:val="toc 2"/>
    <w:basedOn w:val="Normal"/>
    <w:qFormat/>
  </w:style>
  <w:style w:type="paragraph" w:styleId="TOC3">
    <w:name w:val="toc 3"/>
    <w:basedOn w:val="Normal"/>
    <w:qFormat/>
  </w:style>
  <w:style w:type="paragraph" w:styleId="TOC4">
    <w:name w:val="toc 4"/>
    <w:basedOn w:val="Normal"/>
    <w:qFormat/>
  </w:style>
  <w:style w:type="paragraph" w:styleId="TOC5">
    <w:name w:val="toc 5"/>
    <w:basedOn w:val="Normal"/>
    <w:qFormat/>
  </w:style>
  <w:style w:type="paragraph" w:styleId="TOC6">
    <w:name w:val="toc 6"/>
    <w:basedOn w:val="Normal"/>
    <w:qFormat/>
  </w:style>
  <w:style w:type="paragraph" w:customStyle="1" w:styleId="TOL">
    <w:name w:val="TOL"/>
    <w:basedOn w:val="TOC2"/>
    <w:qFormat/>
  </w:style>
  <w:style w:type="paragraph" w:styleId="ListParagraph">
    <w:name w:val="List Paragraph"/>
    <w:basedOn w:val="Normal"/>
    <w:qFormat/>
    <w:pPr>
      <w:ind w:left="720"/>
      <w:contextualSpacing/>
    </w:pPr>
  </w:style>
  <w:style w:type="paragraph" w:styleId="CommentText">
    <w:name w:val="annotation text"/>
    <w:basedOn w:val="Normal"/>
    <w:link w:val="CommentTextChar"/>
    <w:qFormat/>
    <w:pPr>
      <w:spacing w:line="240" w:lineRule="auto"/>
    </w:pPr>
    <w:rPr>
      <w:sz w:val="20"/>
    </w:rPr>
  </w:style>
  <w:style w:type="paragraph" w:customStyle="1" w:styleId="EndNoteBibliographyTitle">
    <w:name w:val="EndNote Bibliography Title"/>
    <w:basedOn w:val="Normal"/>
    <w:qFormat/>
    <w:pPr>
      <w:spacing w:after="0"/>
      <w:jc w:val="center"/>
    </w:pPr>
    <w:rPr>
      <w:rFonts w:ascii="Calibri" w:hAnsi="Calibri"/>
    </w:rPr>
  </w:style>
  <w:style w:type="paragraph" w:customStyle="1" w:styleId="EndNoteBibliography">
    <w:name w:val="EndNote Bibliography"/>
    <w:basedOn w:val="Normal"/>
    <w:qFormat/>
    <w:pPr>
      <w:spacing w:line="240" w:lineRule="auto"/>
    </w:pPr>
    <w:rPr>
      <w:rFonts w:ascii="Calibri" w:hAnsi="Calibri"/>
    </w:rPr>
  </w:style>
  <w:style w:type="paragraph" w:styleId="Revision">
    <w:name w:val="Revision"/>
    <w:qFormat/>
    <w:rPr>
      <w:rFonts w:ascii="Century Schoolbook" w:hAnsi="Century Schoolbook"/>
      <w:sz w:val="22"/>
    </w:rPr>
  </w:style>
  <w:style w:type="paragraph" w:styleId="NormalWeb">
    <w:name w:val="Normal (Web)"/>
    <w:basedOn w:val="Normal"/>
    <w:qFormat/>
    <w:pPr>
      <w:spacing w:before="100" w:beforeAutospacing="1" w:after="100" w:afterAutospacing="1" w:line="240" w:lineRule="auto"/>
    </w:pPr>
    <w:rPr>
      <w:rFonts w:ascii="Times New Roman" w:hAnsi="Times New Roman"/>
      <w:sz w:val="24"/>
    </w:rPr>
  </w:style>
  <w:style w:type="paragraph" w:styleId="NoSpacing">
    <w:name w:val="No Spacing"/>
    <w:qFormat/>
    <w:rPr>
      <w:rFonts w:ascii="Century Schoolbook" w:hAnsi="Century Schoolbook"/>
      <w:sz w:val="22"/>
    </w:rPr>
  </w:style>
  <w:style w:type="paragraph" w:styleId="Header">
    <w:name w:val="header"/>
    <w:basedOn w:val="Normal"/>
    <w:qFormat/>
    <w:pPr>
      <w:tabs>
        <w:tab w:val="center" w:pos="4536"/>
        <w:tab w:val="right" w:pos="9072"/>
      </w:tabs>
      <w:spacing w:after="0" w:line="240" w:lineRule="auto"/>
    </w:pPr>
  </w:style>
  <w:style w:type="paragraph" w:styleId="Footer">
    <w:name w:val="footer"/>
    <w:basedOn w:val="Normal"/>
    <w:qFormat/>
    <w:pPr>
      <w:tabs>
        <w:tab w:val="center" w:pos="4536"/>
        <w:tab w:val="right" w:pos="9072"/>
      </w:tabs>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E317D"/>
    <w:rPr>
      <w:b/>
      <w:bCs/>
    </w:rPr>
  </w:style>
  <w:style w:type="character" w:customStyle="1" w:styleId="CommentTextChar">
    <w:name w:val="Comment Text Char"/>
    <w:basedOn w:val="DefaultParagraphFont"/>
    <w:link w:val="CommentText"/>
    <w:rsid w:val="001E317D"/>
    <w:rPr>
      <w:rFonts w:ascii="Century Schoolbook" w:hAnsi="Century Schoolbook"/>
    </w:rPr>
  </w:style>
  <w:style w:type="character" w:customStyle="1" w:styleId="CommentSubjectChar">
    <w:name w:val="Comment Subject Char"/>
    <w:basedOn w:val="CommentTextChar"/>
    <w:link w:val="CommentSubject"/>
    <w:uiPriority w:val="99"/>
    <w:semiHidden/>
    <w:rsid w:val="001E317D"/>
    <w:rPr>
      <w:rFonts w:ascii="Century Schoolbook" w:hAnsi="Century Schoolbook"/>
      <w:b/>
      <w:bCs/>
    </w:rPr>
  </w:style>
  <w:style w:type="character" w:styleId="Hyperlink">
    <w:name w:val="Hyperlink"/>
    <w:basedOn w:val="DefaultParagraphFont"/>
    <w:uiPriority w:val="99"/>
    <w:unhideWhenUsed/>
    <w:rsid w:val="001E317D"/>
    <w:rPr>
      <w:color w:val="67AABF" w:themeColor="hyperlink"/>
      <w:u w:val="single"/>
    </w:rPr>
  </w:style>
  <w:style w:type="character" w:styleId="UnresolvedMention">
    <w:name w:val="Unresolved Mention"/>
    <w:basedOn w:val="DefaultParagraphFont"/>
    <w:uiPriority w:val="99"/>
    <w:semiHidden/>
    <w:unhideWhenUsed/>
    <w:rsid w:val="001E3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1.png"/></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156D1876414A4488963BBA073FA5B2" ma:contentTypeVersion="18" ma:contentTypeDescription="Create a new document." ma:contentTypeScope="" ma:versionID="48d7eb5b70c8494dd14393193aeca30f">
  <xsd:schema xmlns:xsd="http://www.w3.org/2001/XMLSchema" xmlns:xs="http://www.w3.org/2001/XMLSchema" xmlns:p="http://schemas.microsoft.com/office/2006/metadata/properties" xmlns:ns2="1af47f13-0aff-411d-a822-5f30586fad8b" xmlns:ns3="5be36042-8b78-4e97-a272-09bae868807e" targetNamespace="http://schemas.microsoft.com/office/2006/metadata/properties" ma:root="true" ma:fieldsID="cde569d399c6167cf6c1778a3fba5e5a" ns2:_="" ns3:_="">
    <xsd:import namespace="1af47f13-0aff-411d-a822-5f30586fad8b"/>
    <xsd:import namespace="5be36042-8b78-4e97-a272-09bae86880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47f13-0aff-411d-a822-5f30586fad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56f5c0-7d9a-44d7-a5c0-9a0bf9f241b6}" ma:internalName="TaxCatchAll" ma:showField="CatchAllData" ma:web="1af47f13-0aff-411d-a822-5f30586fad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e36042-8b78-4e97-a272-09bae86880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451d461-d530-465a-81eb-73ef42a83da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e36042-8b78-4e97-a272-09bae868807e">
      <Terms xmlns="http://schemas.microsoft.com/office/infopath/2007/PartnerControls"/>
    </lcf76f155ced4ddcb4097134ff3c332f>
    <TaxCatchAll xmlns="1af47f13-0aff-411d-a822-5f30586fad8b" xsi:nil="true"/>
  </documentManagement>
</p:properties>
</file>

<file path=customXml/item4.xml><?xml version="1.0" encoding="utf-8"?>
<b:Sources xmlns:b="http://schemas.openxmlformats.org/officeDocument/2006/bibliography" xmlns="http://schemas.openxmlformats.org/officeDocument/2006/bibliography" SelectedStyle="\DEFAULT.xsl" StyleName="Unknown" Version="2006">
  <b:Source>
    <b:Tag>92bf0d42-7ea7-4dec-a3a3-99d70d18a433</b:Tag>
    <b:RefOrder>0</b:RefOrder>
    <b:SourceType>JournalArticle</b:SourceType>
    <b:PlacePublished>Department of Radiology &amp; Nuclear Medicine, VU University Medical Centre, De Boelelaan 1117, 1081 HV, Amsterdam, The Netherlands, r.boellaard@vumc.nl.</b:PlacePublished>
    <b:Pages>328-54</b:Pages>
    <b:Volume>42</b:Volume>
    <b:StandardNumber>2</b:StandardNumber>
    <b:Day>3</b:Day>
    <b:Year>2015</b:Year>
    <b:Month>Feb</b:Month>
    <b:DOI>10.1007/s00259-014-2961-x</b:DOI>
    <b:Author>
      <b:Author>
        <b:NameList>
          <b:Person>
            <b:First>R.</b:First>
            <b:Last>Boellaard</b:Last>
          </b:Person>
          <b:Person>
            <b:First>R.</b:First>
            <b:Last>Delgado-Bolton</b:Last>
          </b:Person>
          <b:Person>
            <b:First>W. J.</b:First>
            <b:Last>Oyen</b:Last>
          </b:Person>
          <b:Person>
            <b:First>F.</b:First>
            <b:Last>Giammarile</b:Last>
          </b:Person>
          <b:Person>
            <b:First>K.</b:First>
            <b:Last>Tatsch</b:Last>
          </b:Person>
          <b:Person>
            <b:First>W.</b:First>
            <b:Last>Eschner</b:Last>
          </b:Person>
          <b:Person>
            <b:First>F. J.</b:First>
            <b:Last>Verzijlbergen</b:Last>
          </b:Person>
          <b:Person>
            <b:First>S. F.</b:First>
            <b:Last>Barrington</b:Last>
          </b:Person>
          <b:Person>
            <b:First>L. C.</b:First>
            <b:Last>Pike</b:Last>
          </b:Person>
          <b:Person>
            <b:First>W. A.</b:First>
            <b:Last>Weber</b:Last>
          </b:Person>
          <b:Person>
            <b:First>S.</b:First>
            <b:Last>Stroobants</b:Last>
          </b:Person>
          <b:Person>
            <b:First>D.</b:First>
            <b:Last>Delbeke</b:Last>
          </b:Person>
          <b:Person>
            <b:First>K. J.</b:First>
            <b:Last>Donohoe</b:Last>
          </b:Person>
          <b:Person>
            <b:First>S.</b:First>
            <b:Last>Holbrook</b:Last>
          </b:Person>
          <b:Person>
            <b:First>M. M.</b:First>
            <b:Last>Graham</b:Last>
          </b:Person>
          <b:Person>
            <b:First>G.</b:First>
            <b:Last>Testanera</b:Last>
          </b:Person>
          <b:Person>
            <b:First>O. S.</b:First>
            <b:Last>Hoekstra</b:Last>
          </b:Person>
          <b:Person>
            <b:First>J.</b:First>
            <b:Last>Zijlstra</b:Last>
          </b:Person>
          <b:Person>
            <b:First>E.</b:First>
            <b:Last>Visser</b:Last>
          </b:Person>
          <b:Person>
            <b:First>C. J.</b:First>
            <b:Last>Hoekstra</b:Last>
          </b:Person>
          <b:Person>
            <b:First>J.</b:First>
            <b:Last>Pruim</b:Last>
          </b:Person>
          <b:Person>
            <b:First>A.</b:First>
            <b:Last>Willemsen</b:Last>
          </b:Person>
          <b:Person>
            <b:First>B.</b:First>
            <b:Last>Arends</b:Last>
          </b:Person>
          <b:Person>
            <b:First>J.</b:First>
            <b:Last>Kotzerke</b:Last>
          </b:Person>
          <b:Person>
            <b:First>A.</b:First>
            <b:Last>Bockisch</b:Last>
          </b:Person>
          <b:Person>
            <b:First>T.</b:First>
            <b:Last>Beyer</b:Last>
          </b:Person>
          <b:Person>
            <b:First>A.</b:First>
            <b:Last>Chiti</b:Last>
          </b:Person>
          <b:Person>
            <b:First>B. J.</b:First>
            <b:Last>Krause</b:Last>
          </b:Person>
          <b:Person>
            <b:First>Medicine</b:First>
            <b:Last>European Association of Nuclear</b:Last>
          </b:Person>
        </b:NameList>
      </b:Author>
    </b:Author>
    <b:Title>FDG PET/CT: EANM procedure guidelines for tumour imaging: version 2.0</b:Title>
    <b:JournalName>Eur J Nucl Med Mol Imaging</b:JournalName>
    <b:URL>https://www.ncbi.nlm.nih.gov/pubmed/25452219</b:URL>
  </b:Source>
  <b:Source>
    <b:Tag>d41ccad4-4e01-4896-bbf9-f839fcaeba88</b:Tag>
    <b:RefOrder>1</b:RefOrder>
    <b:SourceType>JournalArticle</b:SourceType>
    <b:PlacePublished>Department of Radiology and Nuclear Medicine, Amsterdam UMC Location Vrije Universiteit Amsterdam, Amsterdam, Netherlands. j.e.wijngaarden@amsterdamumc.nl. Cancer Center Amsterdam, Imaging and Biomarkers, Amsterdam, The Netherlands. j.e.wijngaarden@amsterdamumc.nl. Cancer Center Amsterdam, Imaging and Biomarkers, Amsterdam, The Netherlands. Department of Pulmonary Medicine, Amsterdam UMC Location Vrije Universiteit Amsterdam, Amsterdam, The Netherlands. Department of Medical Oncology, Amsterdam UMC Location Vrije Universiteit Amsterdam, Amsterdam, The Netherlands. Department of Radiology and Nuclear Medicine, Amsterdam UMC Location Vrije Universiteit Amsterdam, Amsterdam, Netherlands. Department of Cardiothoracic Surgery, Amsterdam UMC Location Vrije Universiteit Amsterdam, Amsterdam, The Netherlands. CellSight Technologies Incorporated, San Francisco, CA, USA. Department of Translational Medicine &amp; Clinical Pharmacology, Boehringer Ingelheim Pharma GmbH &amp; Co. KG, Biberach an der Riss, Germany.</b:PlacePublished>
    <b:Pages>719-729</b:Pages>
    <b:Volume>52</b:Volume>
    <b:StandardNumber>2</b:StandardNumber>
    <b:Day>8</b:Day>
    <b:Year>2025</b:Year>
    <b:Month>Jan</b:Month>
    <b:DOI>10.1007/s00259-024-06931-3</b:DOI>
    <b:Author>
      <b:Author>
        <b:NameList>
          <b:Person>
            <b:First>J. E.</b:First>
            <b:Last>Wijngaarden</b:Last>
          </b:Person>
          <b:Person>
            <b:First>M.</b:First>
            <b:Last>Slebe</b:Last>
          </b:Person>
          <b:Person>
            <b:First>J. E. E.</b:First>
            <b:Last>Pouw</b:Last>
          </b:Person>
          <b:Person>
            <b:First>D. E.</b:First>
            <b:Last>Oprea-Lager</b:Last>
          </b:Person>
          <b:Person>
            <b:First>R. C.</b:First>
            <b:Last>Schuit</b:Last>
          </b:Person>
          <b:Person>
            <b:First>C.</b:First>
            <b:Last>Dickhoff</b:Last>
          </b:Person>
          <b:Person>
            <b:First>J.</b:First>
            <b:Last>Levi</b:Last>
          </b:Person>
          <b:Person>
            <b:First>A. D.</b:First>
            <b:Last>Windhorst</b:Last>
          </b:Person>
          <b:Person>
            <b:First>Cwmhv</b:First>
            <b:Last>Oordt</b:Last>
          </b:Person>
          <b:Person>
            <b:First>A.</b:First>
            <b:Last>Thiele</b:Last>
          </b:Person>
          <b:Person>
            <b:First>I.</b:First>
            <b:Last>Bahce</b:Last>
          </b:Person>
          <b:Person>
            <b:First>R.</b:First>
            <b:Last>Boellaard</b:Last>
          </b:Person>
          <b:Person>
            <b:First>M.</b:First>
            <b:Last>Yaqub</b:Last>
          </b:Person>
        </b:NameList>
      </b:Author>
    </b:Author>
    <b:Title>Pharmacokinetic analysis and simplified uptake measures for tumour lesion [(18)F]F-AraG PET imaging in patients with non-small cell lung cancer</b:Title>
    <b:JournalName>Eur J Nucl Med Mol Imaging</b:JournalName>
    <b:URL>https://www.ncbi.nlm.nih.gov/pubmed/39377810</b:URL>
  </b:Source>
  <b:Source>
    <b:Tag>95003237-90b6-4c33-9dbf-67d3c1938db3</b:Tag>
    <b:RefOrder>2</b:RefOrder>
    <b:SourceType>BookSection</b:SourceType>
    <b:Pages>892-895</b:Pages>
    <b:Year>2013</b:Year>
    <b:PlacePublished>New York, NY</b:PlacePublished>
    <b:Publisher>Springer New York</b:Publisher>
    <b:DOI>10.1007/978-1-4419-9863-7_946</b:DOI>
    <b:Author>
      <b:Author>
        <b:NameList>
          <b:Person>
            <b:First>Pramod R.</b:First>
            <b:Last>Somvanshi</b:Last>
          </b:Person>
          <b:Person>
            <b:First>Kareenhalli V.</b:First>
            <b:Last>Venkatesh</b:Last>
          </b:Person>
        </b:NameList>
      </b:Author>
      <b:Editor>
        <b:NameList>
          <b:Person>
            <b:First>Werner</b:First>
            <b:Last>Dubitzky</b:Last>
          </b:Person>
          <b:Person>
            <b:First>Olaf</b:First>
            <b:Last>Wolkenhauer</b:Last>
          </b:Person>
          <b:Person>
            <b:First>Kwang-Hyun</b:First>
            <b:Last>Cho</b:Last>
          </b:Person>
          <b:Person>
            <b:First>Hiroki</b:First>
            <b:Last>Yokota</b:Last>
          </b:Person>
        </b:NameList>
      </b:Editor>
    </b:Author>
    <b:Title>Hill Equation</b:Title>
    <b:PublicationTitle>Encyclopedia of Systems Biology</b:PublicationTitle>
    <b:URL>https://doi.org/10.1007/978-1-4419-9863-7_946</b:URL>
  </b:Source>
  <b:Source>
    <b:Tag>abf0644d-8acb-4b0d-a160-94e2392bee11</b:Tag>
    <b:RefOrder>3</b:RefOrder>
    <b:SourceType>JournalArticle</b:SourceType>
    <b:Pages>1753</b:Pages>
    <b:Volume>59</b:Volume>
    <b:StandardNumber>supplement 1</b:StandardNumber>
    <b:Year>2018</b:Year>
    <b:Author>
      <b:Author>
        <b:NameList>
          <b:Person>
            <b:First>Ronald</b:First>
            <b:Last>Boellaard</b:Last>
          </b:Person>
        </b:NameList>
      </b:Author>
    </b:Author>
    <b:Title>Quantitative oncology molecular analysis suite: ACCURATE</b:Title>
    <b:JournalName>Journal of Nuclear Medicine</b:JournalName>
    <b:URL>http://jnm.snmjournals.org/content/59/supplement_1/1753.abstract</b:URL>
  </b:Source>
  <b:Source>
    <b:Tag>c8dc809b-1bbd-4760-afc0-79e615d026e1</b:Tag>
    <b:RefOrder>4</b:RefOrder>
    <b:SourceType>JournalArticle</b:SourceType>
    <b:PlacePublished>Department of Nuclear Medicine &amp; PET Research, VU University Medical Center, PO Box 7057, 1007 MB Amsterdam, The Netherlands.</b:PlacePublished>
    <b:Pages>2136-44</b:Pages>
    <b:Volume>38</b:Volume>
    <b:StandardNumber>12</b:StandardNumber>
    <b:Day>23</b:Day>
    <b:Year>2011</b:Year>
    <b:Month>Dec</b:Month>
    <b:DOI>10.1007/s00259-011-1899-5</b:DOI>
    <b:Author>
      <b:Author>
        <b:NameList>
          <b:Person>
            <b:First>P.</b:First>
            <b:Last>Cheebsumon</b:Last>
          </b:Person>
          <b:Person>
            <b:First>M.</b:First>
            <b:Last>Yaqub</b:Last>
          </b:Person>
          <b:Person>
            <b:First>F. H.</b:First>
            <b:Last>van Velden</b:Last>
          </b:Person>
          <b:Person>
            <b:First>O. S.</b:First>
            <b:Last>Hoekstra</b:Last>
          </b:Person>
          <b:Person>
            <b:First>A. A.</b:First>
            <b:Last>Lammertsma</b:Last>
          </b:Person>
          <b:Person>
            <b:First>R.</b:First>
            <b:Last>Boellaard</b:Last>
          </b:Person>
        </b:NameList>
      </b:Author>
    </b:Author>
    <b:Title>Impact of [(1)(8)F]FDG PET imaging parameters on automatic tumour delineation: need for improved tumour delineation methodology</b:Title>
    <b:JournalName>Eur J Nucl Med Mol Imaging</b:JournalName>
    <b:URL>https://www.ncbi.nlm.nih.gov/pubmed/21858528</b:URL>
  </b:Source>
  <b:Source>
    <b:Tag>27512c86-9db2-4431-b6b5-ccfc5ea3c336</b:Tag>
    <b:RefOrder>5</b:RefOrder>
    <b:SourceType>JournalArticle</b:SourceType>
    <b:PlacePublished>School of Pharmacy, University of Queensland, Brisbane, Queensland, Australia.</b:PlacePublished>
    <b:Pages>1051-65</b:Pages>
    <b:Volume>44</b:Volume>
    <b:StandardNumber>10</b:StandardNumber>
    <b:Year>2005</b:Year>
    <b:DOI>10.2165/00003088-200544100-00004</b:DOI>
    <b:Author>
      <b:Author>
        <b:NameList>
          <b:Person>
            <b:First>S.</b:First>
            <b:Last>Janmahasatian</b:Last>
          </b:Person>
          <b:Person>
            <b:First>S. B.</b:First>
            <b:Last>Duffull</b:Last>
          </b:Person>
          <b:Person>
            <b:First>S.</b:First>
            <b:Last>Ash</b:Last>
          </b:Person>
          <b:Person>
            <b:First>L. C.</b:First>
            <b:Last>Ward</b:Last>
          </b:Person>
          <b:Person>
            <b:First>N. M.</b:First>
            <b:Last>Byrne</b:Last>
          </b:Person>
          <b:Person>
            <b:First>B.</b:First>
            <b:Last>Green</b:Last>
          </b:Person>
        </b:NameList>
      </b:Author>
    </b:Author>
    <b:Title>Quantification of lean bodyweight</b:Title>
    <b:JournalName>Clin Pharmacokinet</b:JournalName>
    <b:URL>https://www.ncbi.nlm.nih.gov/pubmed/16176118</b:URL>
  </b:Source>
  <b:Source>
    <b:Tag>abe51ade-2cbc-4858-8a60-9af3b46fde88</b:Tag>
    <b:RefOrder>6</b:RefOrder>
    <b:SourceType>JournalArticle</b:SourceType>
    <b:PlacePublished>Institute of Biomedical and Life Sciences, University of Glasgow, UK. R.F.Burton@bio.gla.ac.uk</b:PlacePublished>
    <b:Pages>170-84</b:Pages>
    <b:Volume>35</b:Volume>
    <b:StandardNumber>2</b:StandardNumber>
    <b:Year>2008</b:Year>
    <b:Month>Mar-Apr</b:Month>
    <b:DOI>10.1080/03014460801908439</b:DOI>
    <b:Author>
      <b:Author>
        <b:NameList>
          <b:Person>
            <b:First>R. F.</b:First>
            <b:Last>Burton</b:Last>
          </b:Person>
        </b:NameList>
      </b:Author>
    </b:Author>
    <b:Title>Estimating body surface area from mass and height: theory and the formula of Du Bois and Du Bois</b:Title>
    <b:JournalName>Ann Hum Biol</b:JournalName>
    <b:URL>https://www.ncbi.nlm.nih.gov/pubmed/18428011</b:URL>
  </b:Source>
</b:Sources>
</file>

<file path=customXml/itemProps1.xml><?xml version="1.0" encoding="utf-8"?>
<ds:datastoreItem xmlns:ds="http://schemas.openxmlformats.org/officeDocument/2006/customXml" ds:itemID="{96C27079-8407-46D3-ABC9-2F5032F4F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47f13-0aff-411d-a822-5f30586fad8b"/>
    <ds:schemaRef ds:uri="5be36042-8b78-4e97-a272-09bae8688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975064-AF11-4227-AB01-1050E367A7B3}">
  <ds:schemaRefs>
    <ds:schemaRef ds:uri="http://schemas.microsoft.com/sharepoint/v3/contenttype/forms"/>
  </ds:schemaRefs>
</ds:datastoreItem>
</file>

<file path=customXml/itemProps3.xml><?xml version="1.0" encoding="utf-8"?>
<ds:datastoreItem xmlns:ds="http://schemas.openxmlformats.org/officeDocument/2006/customXml" ds:itemID="{EEE798D6-3216-434B-8306-75F0554DFC9E}">
  <ds:schemaRefs>
    <ds:schemaRef ds:uri="http://schemas.microsoft.com/office/2006/metadata/properties"/>
    <ds:schemaRef ds:uri="http://schemas.microsoft.com/office/infopath/2007/PartnerControls"/>
    <ds:schemaRef ds:uri="5be36042-8b78-4e97-a272-09bae868807e"/>
    <ds:schemaRef ds:uri="1af47f13-0aff-411d-a822-5f30586fad8b"/>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3982aff-fb6c-4c22-973b-70e4acfb63e6}" enabled="0" method="" siteId="{63982aff-fb6c-4c22-973b-70e4acfb63e6}" removed="1"/>
</clbl:labelList>
</file>

<file path=docProps/app.xml><?xml version="1.0" encoding="utf-8"?>
<Properties xmlns="http://schemas.openxmlformats.org/officeDocument/2006/extended-properties" xmlns:vt="http://schemas.openxmlformats.org/officeDocument/2006/docPropsVTypes">
  <Template>Normal.dotm</Template>
  <TotalTime>188</TotalTime>
  <Pages>15</Pages>
  <Words>3875</Words>
  <Characters>22093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Pouw, J.E.E. (Hanneke)</cp:lastModifiedBy>
  <cp:revision>8</cp:revision>
  <dcterms:created xsi:type="dcterms:W3CDTF">2025-09-19T05:27:00Z</dcterms:created>
  <dcterms:modified xsi:type="dcterms:W3CDTF">2026-04-18T14:02:00Z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0x010100B6156D1876414A4488963BBA073FA5B2</vt:lpwstr>
  </property>
  <property fmtid="{D5CDD505-2E9C-101B-9397-08002B2CF9AE}" pid="3" name="docLang">
    <vt:lpwstr>en</vt:lpwstr>
  </property>
  <property fmtid="{D5CDD505-2E9C-101B-9397-08002B2CF9AE}" pid="4" name="MediaServiceImageTags">
    <vt:lpwstr/>
  </property>
</Properties>
</file>