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7B6F94" w14:textId="6A0E52E9" w:rsidR="001E576C" w:rsidRPr="00AB5B4B" w:rsidRDefault="001E576C" w:rsidP="001E576C">
      <w:pPr>
        <w:rPr>
          <w:rFonts w:asciiTheme="minorHAnsi" w:hAnsiTheme="minorHAnsi" w:cstheme="minorHAnsi"/>
          <w:b/>
          <w:sz w:val="24"/>
          <w:szCs w:val="24"/>
          <w:lang w:val="en-GB"/>
        </w:rPr>
      </w:pPr>
      <w:r w:rsidRPr="00AB5B4B">
        <w:rPr>
          <w:rFonts w:asciiTheme="minorHAnsi" w:hAnsiTheme="minorHAnsi" w:cstheme="minorHAnsi"/>
          <w:b/>
          <w:sz w:val="24"/>
          <w:szCs w:val="24"/>
          <w:lang w:val="en-GB"/>
        </w:rPr>
        <w:t>Date</w:t>
      </w:r>
      <w:r w:rsidRPr="00AB5B4B">
        <w:rPr>
          <w:rFonts w:asciiTheme="minorHAnsi" w:hAnsiTheme="minorHAnsi" w:cstheme="minorHAnsi"/>
          <w:b/>
          <w:sz w:val="24"/>
          <w:szCs w:val="24"/>
          <w:lang w:val="en-GB"/>
        </w:rPr>
        <w:tab/>
      </w:r>
      <w:r w:rsidRPr="00AB5B4B">
        <w:rPr>
          <w:rFonts w:asciiTheme="minorHAnsi" w:hAnsiTheme="minorHAnsi" w:cstheme="minorHAnsi"/>
          <w:b/>
          <w:sz w:val="24"/>
          <w:szCs w:val="24"/>
          <w:lang w:val="en-GB"/>
        </w:rPr>
        <w:tab/>
      </w:r>
      <w:r w:rsidRPr="00AB5B4B">
        <w:rPr>
          <w:rFonts w:asciiTheme="minorHAnsi" w:hAnsiTheme="minorHAnsi" w:cstheme="minorHAnsi"/>
          <w:b/>
          <w:sz w:val="24"/>
          <w:szCs w:val="24"/>
          <w:lang w:val="en-GB"/>
        </w:rPr>
        <w:tab/>
      </w:r>
      <w:r w:rsidRPr="00AB5B4B">
        <w:rPr>
          <w:rFonts w:asciiTheme="minorHAnsi" w:hAnsiTheme="minorHAnsi" w:cstheme="minorHAnsi"/>
          <w:b/>
          <w:sz w:val="24"/>
          <w:szCs w:val="24"/>
          <w:lang w:val="en-GB"/>
        </w:rPr>
        <w:tab/>
        <w:t>E-mail</w:t>
      </w:r>
      <w:r w:rsidRPr="00AB5B4B">
        <w:rPr>
          <w:rFonts w:asciiTheme="minorHAnsi" w:hAnsiTheme="minorHAnsi" w:cstheme="minorHAnsi"/>
          <w:b/>
          <w:sz w:val="24"/>
          <w:szCs w:val="24"/>
          <w:lang w:val="en-GB"/>
        </w:rPr>
        <w:tab/>
      </w:r>
      <w:r w:rsidRPr="00AB5B4B">
        <w:rPr>
          <w:rFonts w:asciiTheme="minorHAnsi" w:hAnsiTheme="minorHAnsi" w:cstheme="minorHAnsi"/>
          <w:b/>
          <w:sz w:val="24"/>
          <w:szCs w:val="24"/>
          <w:lang w:val="en-GB"/>
        </w:rPr>
        <w:tab/>
      </w:r>
      <w:r w:rsidRPr="00AB5B4B">
        <w:rPr>
          <w:rFonts w:asciiTheme="minorHAnsi" w:hAnsiTheme="minorHAnsi" w:cstheme="minorHAnsi"/>
          <w:b/>
          <w:sz w:val="24"/>
          <w:szCs w:val="24"/>
          <w:lang w:val="en-GB"/>
        </w:rPr>
        <w:tab/>
      </w:r>
      <w:r w:rsidRPr="00AB5B4B">
        <w:rPr>
          <w:rFonts w:asciiTheme="minorHAnsi" w:hAnsiTheme="minorHAnsi" w:cstheme="minorHAnsi"/>
          <w:b/>
          <w:sz w:val="24"/>
          <w:szCs w:val="24"/>
          <w:lang w:val="en-GB"/>
        </w:rPr>
        <w:tab/>
      </w:r>
      <w:r w:rsidRPr="00AB5B4B">
        <w:rPr>
          <w:rFonts w:asciiTheme="minorHAnsi" w:hAnsiTheme="minorHAnsi" w:cstheme="minorHAnsi"/>
          <w:b/>
          <w:sz w:val="24"/>
          <w:szCs w:val="24"/>
          <w:lang w:val="en-GB"/>
        </w:rPr>
        <w:tab/>
      </w:r>
      <w:r w:rsidR="00C82390">
        <w:rPr>
          <w:rFonts w:asciiTheme="minorHAnsi" w:hAnsiTheme="minorHAnsi" w:cstheme="minorHAnsi"/>
          <w:b/>
          <w:sz w:val="24"/>
          <w:szCs w:val="24"/>
          <w:lang w:val="en-GB"/>
        </w:rPr>
        <w:tab/>
      </w:r>
      <w:r w:rsidRPr="00AB5B4B">
        <w:rPr>
          <w:rFonts w:asciiTheme="minorHAnsi" w:hAnsiTheme="minorHAnsi" w:cstheme="minorHAnsi"/>
          <w:b/>
          <w:sz w:val="24"/>
          <w:szCs w:val="24"/>
          <w:lang w:val="en-GB"/>
        </w:rPr>
        <w:t>Subject</w:t>
      </w:r>
    </w:p>
    <w:p w14:paraId="53179A90" w14:textId="47C2A2E0" w:rsidR="009004B9" w:rsidRDefault="00940651" w:rsidP="001E576C">
      <w:pPr>
        <w:rPr>
          <w:rFonts w:asciiTheme="minorHAnsi" w:hAnsiTheme="minorHAnsi" w:cstheme="minorHAnsi"/>
          <w:sz w:val="24"/>
          <w:szCs w:val="24"/>
          <w:lang w:val="en-GB"/>
        </w:rPr>
      </w:pPr>
      <w:r>
        <w:rPr>
          <w:rFonts w:asciiTheme="minorHAnsi" w:hAnsiTheme="minorHAnsi" w:cstheme="minorHAnsi"/>
          <w:sz w:val="24"/>
          <w:szCs w:val="24"/>
          <w:lang w:val="en-GB"/>
        </w:rPr>
        <w:t>July</w:t>
      </w:r>
      <w:r w:rsidR="009F2D0B">
        <w:rPr>
          <w:rFonts w:asciiTheme="minorHAnsi" w:hAnsiTheme="minorHAnsi" w:cstheme="minorHAnsi"/>
          <w:sz w:val="24"/>
          <w:szCs w:val="24"/>
          <w:lang w:val="en-GB"/>
        </w:rPr>
        <w:t xml:space="preserve"> </w:t>
      </w:r>
      <w:r>
        <w:rPr>
          <w:rFonts w:asciiTheme="minorHAnsi" w:hAnsiTheme="minorHAnsi" w:cstheme="minorHAnsi"/>
          <w:sz w:val="24"/>
          <w:szCs w:val="24"/>
          <w:lang w:val="en-GB"/>
        </w:rPr>
        <w:t>3</w:t>
      </w:r>
      <w:r w:rsidRPr="00940651">
        <w:rPr>
          <w:rFonts w:asciiTheme="minorHAnsi" w:hAnsiTheme="minorHAnsi" w:cstheme="minorHAnsi"/>
          <w:sz w:val="24"/>
          <w:szCs w:val="24"/>
          <w:vertAlign w:val="superscript"/>
          <w:lang w:val="en-GB"/>
        </w:rPr>
        <w:t>rd</w:t>
      </w:r>
      <w:r w:rsidR="009F2D0B">
        <w:rPr>
          <w:rFonts w:asciiTheme="minorHAnsi" w:hAnsiTheme="minorHAnsi" w:cstheme="minorHAnsi"/>
          <w:sz w:val="24"/>
          <w:szCs w:val="24"/>
          <w:lang w:val="en-GB"/>
        </w:rPr>
        <w:t xml:space="preserve">, </w:t>
      </w:r>
      <w:proofErr w:type="gramStart"/>
      <w:r w:rsidR="009F2D0B">
        <w:rPr>
          <w:rFonts w:asciiTheme="minorHAnsi" w:hAnsiTheme="minorHAnsi" w:cstheme="minorHAnsi"/>
          <w:sz w:val="24"/>
          <w:szCs w:val="24"/>
          <w:lang w:val="en-GB"/>
        </w:rPr>
        <w:t>2026</w:t>
      </w:r>
      <w:proofErr w:type="gramEnd"/>
      <w:r w:rsidR="009F2D0B">
        <w:rPr>
          <w:rFonts w:asciiTheme="minorHAnsi" w:hAnsiTheme="minorHAnsi" w:cstheme="minorHAnsi"/>
          <w:sz w:val="24"/>
          <w:szCs w:val="24"/>
          <w:lang w:val="en-GB"/>
        </w:rPr>
        <w:t xml:space="preserve"> </w:t>
      </w:r>
      <w:r w:rsidR="001E576C" w:rsidRPr="00AB5B4B">
        <w:rPr>
          <w:rFonts w:asciiTheme="minorHAnsi" w:hAnsiTheme="minorHAnsi" w:cstheme="minorHAnsi"/>
          <w:sz w:val="24"/>
          <w:szCs w:val="24"/>
          <w:lang w:val="en-GB"/>
        </w:rPr>
        <w:tab/>
      </w:r>
      <w:r w:rsidR="001E576C" w:rsidRPr="00AB5B4B">
        <w:rPr>
          <w:rFonts w:asciiTheme="minorHAnsi" w:hAnsiTheme="minorHAnsi" w:cstheme="minorHAnsi"/>
          <w:sz w:val="24"/>
          <w:szCs w:val="24"/>
          <w:lang w:val="en-GB"/>
        </w:rPr>
        <w:tab/>
      </w:r>
      <w:r>
        <w:rPr>
          <w:rFonts w:asciiTheme="minorHAnsi" w:hAnsiTheme="minorHAnsi" w:cstheme="minorHAnsi"/>
          <w:sz w:val="24"/>
          <w:szCs w:val="24"/>
          <w:lang w:val="en-GB"/>
        </w:rPr>
        <w:tab/>
      </w:r>
      <w:hyperlink r:id="rId11" w:history="1">
        <w:r w:rsidRPr="0071080F">
          <w:rPr>
            <w:rStyle w:val="Hyperlink"/>
            <w:rFonts w:asciiTheme="minorHAnsi" w:hAnsiTheme="minorHAnsi" w:cstheme="minorHAnsi"/>
            <w:sz w:val="24"/>
            <w:szCs w:val="24"/>
            <w:lang w:val="en-GB"/>
          </w:rPr>
          <w:t>j.e.e.pouw@amsterdamumc.nl</w:t>
        </w:r>
      </w:hyperlink>
      <w:r w:rsidR="001A28D9" w:rsidRPr="001A28D9">
        <w:rPr>
          <w:lang w:val="en-GB"/>
        </w:rPr>
        <w:t xml:space="preserve"> </w:t>
      </w:r>
      <w:r w:rsidR="001A28D9">
        <w:rPr>
          <w:lang w:val="en-GB"/>
        </w:rPr>
        <w:tab/>
      </w:r>
      <w:r w:rsidR="00C82390" w:rsidRPr="00C82390">
        <w:rPr>
          <w:lang w:val="en-GB"/>
        </w:rPr>
        <w:t xml:space="preserve"> </w:t>
      </w:r>
      <w:r w:rsidR="00C82390">
        <w:rPr>
          <w:lang w:val="en-GB"/>
        </w:rPr>
        <w:tab/>
      </w:r>
      <w:r w:rsidR="009004B9">
        <w:rPr>
          <w:rFonts w:asciiTheme="minorHAnsi" w:hAnsiTheme="minorHAnsi" w:cstheme="minorHAnsi"/>
          <w:sz w:val="24"/>
          <w:szCs w:val="24"/>
          <w:lang w:val="en-GB"/>
        </w:rPr>
        <w:t>Response to Reviewers</w:t>
      </w:r>
    </w:p>
    <w:p w14:paraId="4474616C" w14:textId="628BF0A1" w:rsidR="001E576C" w:rsidRPr="006C7092" w:rsidRDefault="00940651" w:rsidP="00940651">
      <w:pPr>
        <w:ind w:left="2127" w:firstLine="709"/>
        <w:rPr>
          <w:rFonts w:asciiTheme="minorHAnsi" w:hAnsiTheme="minorHAnsi" w:cstheme="minorHAnsi"/>
          <w:sz w:val="24"/>
          <w:szCs w:val="24"/>
          <w:lang w:val="en-GB"/>
        </w:rPr>
      </w:pPr>
      <w:r>
        <w:rPr>
          <w:rFonts w:asciiTheme="minorHAnsi" w:hAnsiTheme="minorHAnsi" w:cstheme="minorHAnsi"/>
          <w:sz w:val="24"/>
          <w:szCs w:val="24"/>
          <w:lang w:val="en-GB"/>
        </w:rPr>
        <w:fldChar w:fldCharType="begin"/>
      </w:r>
      <w:r>
        <w:rPr>
          <w:rFonts w:asciiTheme="minorHAnsi" w:hAnsiTheme="minorHAnsi" w:cstheme="minorHAnsi"/>
          <w:sz w:val="24"/>
          <w:szCs w:val="24"/>
          <w:lang w:val="en-GB"/>
        </w:rPr>
        <w:instrText>HYPERLINK "mailto:</w:instrText>
      </w:r>
      <w:r w:rsidRPr="00940651">
        <w:rPr>
          <w:rFonts w:asciiTheme="minorHAnsi" w:hAnsiTheme="minorHAnsi" w:cstheme="minorHAnsi"/>
          <w:sz w:val="24"/>
          <w:szCs w:val="24"/>
          <w:lang w:val="en-GB"/>
        </w:rPr>
        <w:instrText>m.stavenga@amsterdamumc.nl</w:instrText>
      </w:r>
      <w:r>
        <w:rPr>
          <w:rFonts w:asciiTheme="minorHAnsi" w:hAnsiTheme="minorHAnsi" w:cstheme="minorHAnsi"/>
          <w:sz w:val="24"/>
          <w:szCs w:val="24"/>
          <w:lang w:val="en-GB"/>
        </w:rPr>
        <w:instrText>"</w:instrText>
      </w:r>
      <w:r>
        <w:rPr>
          <w:rFonts w:asciiTheme="minorHAnsi" w:hAnsiTheme="minorHAnsi" w:cstheme="minorHAnsi"/>
          <w:sz w:val="24"/>
          <w:szCs w:val="24"/>
          <w:lang w:val="en-GB"/>
        </w:rPr>
        <w:fldChar w:fldCharType="separate"/>
      </w:r>
      <w:r w:rsidRPr="0071080F">
        <w:rPr>
          <w:rStyle w:val="Hyperlink"/>
          <w:rFonts w:asciiTheme="minorHAnsi" w:hAnsiTheme="minorHAnsi" w:cstheme="minorHAnsi"/>
          <w:sz w:val="24"/>
          <w:szCs w:val="24"/>
          <w:lang w:val="en-GB"/>
        </w:rPr>
        <w:t>m.stavenga@amsterdamumc.nl</w:t>
      </w:r>
      <w:r>
        <w:rPr>
          <w:rFonts w:asciiTheme="minorHAnsi" w:hAnsiTheme="minorHAnsi" w:cstheme="minorHAnsi"/>
          <w:sz w:val="24"/>
          <w:szCs w:val="24"/>
          <w:lang w:val="en-GB"/>
        </w:rPr>
        <w:fldChar w:fldCharType="end"/>
      </w:r>
      <w:r w:rsidR="006C7092" w:rsidRPr="006C7092">
        <w:rPr>
          <w:rFonts w:asciiTheme="minorHAnsi" w:hAnsiTheme="minorHAnsi" w:cstheme="minorHAnsi"/>
          <w:sz w:val="24"/>
          <w:szCs w:val="24"/>
          <w:lang w:val="en-GB"/>
        </w:rPr>
        <w:t xml:space="preserve"> </w:t>
      </w:r>
      <w:r w:rsidR="006C7092" w:rsidRPr="006C7092">
        <w:rPr>
          <w:rFonts w:asciiTheme="minorHAnsi" w:hAnsiTheme="minorHAnsi" w:cstheme="minorHAnsi"/>
          <w:sz w:val="24"/>
          <w:szCs w:val="24"/>
          <w:lang w:val="en-GB"/>
        </w:rPr>
        <w:tab/>
      </w:r>
      <w:r w:rsidR="001E576C" w:rsidRPr="00AB5B4B">
        <w:rPr>
          <w:rFonts w:asciiTheme="minorHAnsi" w:hAnsiTheme="minorHAnsi" w:cstheme="minorHAnsi"/>
          <w:sz w:val="24"/>
          <w:szCs w:val="24"/>
          <w:lang w:val="en-GB"/>
        </w:rPr>
        <w:tab/>
      </w:r>
    </w:p>
    <w:p w14:paraId="4FC0C39F" w14:textId="1F4D0B65" w:rsidR="001E576C" w:rsidRPr="00AB5B4B" w:rsidRDefault="001E576C" w:rsidP="001E576C">
      <w:pPr>
        <w:jc w:val="both"/>
        <w:rPr>
          <w:rFonts w:asciiTheme="minorHAnsi" w:hAnsiTheme="minorHAnsi" w:cstheme="minorHAnsi"/>
          <w:sz w:val="24"/>
          <w:szCs w:val="24"/>
          <w:lang w:val="en-GB"/>
        </w:rPr>
      </w:pPr>
      <w:r w:rsidRPr="00AB5B4B">
        <w:rPr>
          <w:rFonts w:asciiTheme="minorHAnsi" w:hAnsiTheme="minorHAnsi" w:cstheme="minorHAnsi"/>
          <w:sz w:val="24"/>
          <w:szCs w:val="24"/>
          <w:lang w:val="en-GB"/>
        </w:rPr>
        <w:br/>
        <w:t xml:space="preserve">Dear </w:t>
      </w:r>
      <w:r w:rsidR="009F2D0B">
        <w:rPr>
          <w:rFonts w:asciiTheme="minorHAnsi" w:hAnsiTheme="minorHAnsi" w:cstheme="minorHAnsi"/>
          <w:sz w:val="24"/>
          <w:szCs w:val="24"/>
          <w:lang w:val="en-GB"/>
        </w:rPr>
        <w:t>reviewers</w:t>
      </w:r>
      <w:r w:rsidRPr="00AB5B4B">
        <w:rPr>
          <w:rFonts w:asciiTheme="minorHAnsi" w:hAnsiTheme="minorHAnsi" w:cstheme="minorHAnsi"/>
          <w:sz w:val="24"/>
          <w:szCs w:val="24"/>
          <w:lang w:val="en-GB"/>
        </w:rPr>
        <w:t>,</w:t>
      </w:r>
    </w:p>
    <w:p w14:paraId="311D9B15" w14:textId="77777777" w:rsidR="001E576C" w:rsidRPr="00AB5B4B" w:rsidRDefault="001E576C" w:rsidP="001E576C">
      <w:pPr>
        <w:jc w:val="both"/>
        <w:rPr>
          <w:rFonts w:asciiTheme="minorHAnsi" w:hAnsiTheme="minorHAnsi" w:cstheme="minorHAnsi"/>
          <w:sz w:val="24"/>
          <w:szCs w:val="24"/>
          <w:lang w:val="en-GB"/>
        </w:rPr>
      </w:pPr>
    </w:p>
    <w:p w14:paraId="57D332D1" w14:textId="2F1A88FC" w:rsidR="001E576C" w:rsidRPr="004477C6" w:rsidRDefault="001E576C" w:rsidP="001E576C">
      <w:pPr>
        <w:jc w:val="both"/>
        <w:rPr>
          <w:rFonts w:asciiTheme="minorHAnsi" w:hAnsiTheme="minorHAnsi" w:cstheme="minorHAnsi"/>
          <w:i/>
          <w:sz w:val="24"/>
          <w:szCs w:val="24"/>
          <w:lang w:val="en-US"/>
        </w:rPr>
      </w:pPr>
      <w:r w:rsidRPr="00AB5B4B">
        <w:rPr>
          <w:rFonts w:asciiTheme="minorHAnsi" w:hAnsiTheme="minorHAnsi" w:cstheme="minorHAnsi"/>
          <w:sz w:val="24"/>
          <w:szCs w:val="24"/>
          <w:lang w:val="en-GB"/>
        </w:rPr>
        <w:t xml:space="preserve">We would like </w:t>
      </w:r>
      <w:r w:rsidR="009F2D0B">
        <w:rPr>
          <w:rFonts w:asciiTheme="minorHAnsi" w:hAnsiTheme="minorHAnsi" w:cstheme="minorHAnsi"/>
          <w:sz w:val="24"/>
          <w:szCs w:val="24"/>
          <w:lang w:val="en-GB"/>
        </w:rPr>
        <w:t xml:space="preserve">to sincerely thank you for your thorough review of the </w:t>
      </w:r>
      <w:r w:rsidRPr="00AB5B4B">
        <w:rPr>
          <w:rFonts w:asciiTheme="minorHAnsi" w:hAnsiTheme="minorHAnsi" w:cstheme="minorHAnsi"/>
          <w:sz w:val="24"/>
          <w:szCs w:val="24"/>
          <w:lang w:val="en-GB"/>
        </w:rPr>
        <w:t>manuscript titled “</w:t>
      </w:r>
      <w:r w:rsidR="001A28D9" w:rsidRPr="001A28D9">
        <w:rPr>
          <w:rFonts w:asciiTheme="minorHAnsi" w:hAnsiTheme="minorHAnsi" w:cstheme="minorHAnsi"/>
          <w:i/>
          <w:sz w:val="24"/>
          <w:szCs w:val="24"/>
          <w:lang w:val="en-GB"/>
        </w:rPr>
        <w:t>PET pharmacokinetics of [¹⁸</w:t>
      </w:r>
      <w:proofErr w:type="gramStart"/>
      <w:r w:rsidR="001A28D9" w:rsidRPr="001A28D9">
        <w:rPr>
          <w:rFonts w:asciiTheme="minorHAnsi" w:hAnsiTheme="minorHAnsi" w:cstheme="minorHAnsi"/>
          <w:i/>
          <w:sz w:val="24"/>
          <w:szCs w:val="24"/>
          <w:lang w:val="en-GB"/>
        </w:rPr>
        <w:t>F]F</w:t>
      </w:r>
      <w:proofErr w:type="gramEnd"/>
      <w:r w:rsidR="001A28D9" w:rsidRPr="001A28D9">
        <w:rPr>
          <w:rFonts w:asciiTheme="minorHAnsi" w:hAnsiTheme="minorHAnsi" w:cstheme="minorHAnsi"/>
          <w:i/>
          <w:sz w:val="24"/>
          <w:szCs w:val="24"/>
          <w:lang w:val="en-GB"/>
        </w:rPr>
        <w:t>-AraG as a marker of T Cell Activation during immunotherapy with a STING agonist with and without anti-PD-1.</w:t>
      </w:r>
      <w:r w:rsidRPr="00AB5B4B">
        <w:rPr>
          <w:rFonts w:asciiTheme="minorHAnsi" w:hAnsiTheme="minorHAnsi" w:cstheme="minorHAnsi"/>
          <w:i/>
          <w:sz w:val="24"/>
          <w:szCs w:val="24"/>
          <w:lang w:val="en-GB"/>
        </w:rPr>
        <w:t xml:space="preserve">” </w:t>
      </w:r>
      <w:r w:rsidRPr="00AB5B4B">
        <w:rPr>
          <w:rFonts w:asciiTheme="minorHAnsi" w:hAnsiTheme="minorHAnsi" w:cstheme="minorHAnsi"/>
          <w:sz w:val="24"/>
          <w:szCs w:val="24"/>
          <w:lang w:val="en-GB"/>
        </w:rPr>
        <w:t xml:space="preserve">Based on </w:t>
      </w:r>
      <w:r w:rsidR="009F2D0B">
        <w:rPr>
          <w:rFonts w:asciiTheme="minorHAnsi" w:hAnsiTheme="minorHAnsi" w:cstheme="minorHAnsi"/>
          <w:sz w:val="24"/>
          <w:szCs w:val="24"/>
          <w:lang w:val="en-GB"/>
        </w:rPr>
        <w:t>your</w:t>
      </w:r>
      <w:r w:rsidRPr="00AB5B4B">
        <w:rPr>
          <w:rFonts w:asciiTheme="minorHAnsi" w:hAnsiTheme="minorHAnsi" w:cstheme="minorHAnsi"/>
          <w:sz w:val="24"/>
          <w:szCs w:val="24"/>
          <w:lang w:val="en-GB"/>
        </w:rPr>
        <w:t xml:space="preserve"> valuable feedback we </w:t>
      </w:r>
      <w:r w:rsidR="009F2D0B">
        <w:rPr>
          <w:rFonts w:asciiTheme="minorHAnsi" w:hAnsiTheme="minorHAnsi" w:cstheme="minorHAnsi"/>
          <w:sz w:val="24"/>
          <w:szCs w:val="24"/>
          <w:lang w:val="en-GB"/>
        </w:rPr>
        <w:t xml:space="preserve">were able to make improvement to the manuscript </w:t>
      </w:r>
      <w:r w:rsidRPr="00AB5B4B">
        <w:rPr>
          <w:rFonts w:asciiTheme="minorHAnsi" w:hAnsiTheme="minorHAnsi" w:cstheme="minorHAnsi"/>
          <w:sz w:val="24"/>
          <w:szCs w:val="24"/>
          <w:lang w:val="en-GB"/>
        </w:rPr>
        <w:t xml:space="preserve">which we believe have contributed to an improved version of this manuscript. </w:t>
      </w:r>
      <w:r w:rsidR="0067578F">
        <w:rPr>
          <w:rFonts w:asciiTheme="minorHAnsi" w:hAnsiTheme="minorHAnsi" w:cstheme="minorHAnsi"/>
          <w:sz w:val="24"/>
          <w:szCs w:val="24"/>
          <w:lang w:val="en-GB"/>
        </w:rPr>
        <w:t xml:space="preserve">Please find our responses to the comments </w:t>
      </w:r>
      <w:r w:rsidR="004477C6">
        <w:rPr>
          <w:rFonts w:asciiTheme="minorHAnsi" w:hAnsiTheme="minorHAnsi" w:cstheme="minorHAnsi"/>
          <w:sz w:val="24"/>
          <w:szCs w:val="24"/>
          <w:lang w:val="en-GB"/>
        </w:rPr>
        <w:t>below</w:t>
      </w:r>
      <w:r w:rsidR="001A28D9">
        <w:rPr>
          <w:rFonts w:asciiTheme="minorHAnsi" w:hAnsiTheme="minorHAnsi" w:cstheme="minorHAnsi"/>
          <w:sz w:val="24"/>
          <w:szCs w:val="24"/>
          <w:lang w:val="en-GB"/>
        </w:rPr>
        <w:t xml:space="preserve"> in blue</w:t>
      </w:r>
      <w:r w:rsidR="004477C6">
        <w:rPr>
          <w:rFonts w:asciiTheme="minorHAnsi" w:hAnsiTheme="minorHAnsi" w:cstheme="minorHAnsi"/>
          <w:sz w:val="24"/>
          <w:szCs w:val="24"/>
          <w:lang w:val="en-GB"/>
        </w:rPr>
        <w:t>.</w:t>
      </w:r>
      <w:r w:rsidR="004477C6" w:rsidRPr="004477C6">
        <w:rPr>
          <w:rFonts w:asciiTheme="minorHAnsi" w:hAnsiTheme="minorHAnsi" w:cstheme="minorHAnsi"/>
          <w:sz w:val="24"/>
          <w:szCs w:val="24"/>
          <w:lang w:val="en-GB"/>
        </w:rPr>
        <w:t xml:space="preserve"> All changes in the manuscript are indicated by red text.</w:t>
      </w:r>
    </w:p>
    <w:p w14:paraId="5C5172FC" w14:textId="77777777" w:rsidR="001E576C" w:rsidRPr="00AB5B4B" w:rsidRDefault="001E576C" w:rsidP="001E576C">
      <w:pPr>
        <w:jc w:val="both"/>
        <w:rPr>
          <w:rFonts w:asciiTheme="minorHAnsi" w:hAnsiTheme="minorHAnsi" w:cstheme="minorHAnsi"/>
          <w:i/>
          <w:sz w:val="24"/>
          <w:szCs w:val="24"/>
          <w:lang w:val="en-GB"/>
        </w:rPr>
      </w:pPr>
    </w:p>
    <w:p w14:paraId="3BB51F70" w14:textId="1664F238" w:rsidR="001E576C" w:rsidRPr="00AB5B4B" w:rsidRDefault="004477C6" w:rsidP="001E576C">
      <w:pPr>
        <w:jc w:val="both"/>
        <w:rPr>
          <w:rFonts w:asciiTheme="minorHAnsi" w:hAnsiTheme="minorHAnsi" w:cstheme="minorHAnsi"/>
          <w:sz w:val="24"/>
          <w:szCs w:val="24"/>
          <w:lang w:val="en-GB"/>
        </w:rPr>
      </w:pPr>
      <w:r>
        <w:rPr>
          <w:rFonts w:asciiTheme="minorHAnsi" w:hAnsiTheme="minorHAnsi" w:cstheme="minorHAnsi"/>
          <w:sz w:val="24"/>
          <w:szCs w:val="24"/>
          <w:lang w:val="en-GB"/>
        </w:rPr>
        <w:t xml:space="preserve">We hope that </w:t>
      </w:r>
      <w:r w:rsidR="00510403">
        <w:rPr>
          <w:rFonts w:asciiTheme="minorHAnsi" w:hAnsiTheme="minorHAnsi" w:cstheme="minorHAnsi"/>
          <w:sz w:val="24"/>
          <w:szCs w:val="24"/>
          <w:lang w:val="en-GB"/>
        </w:rPr>
        <w:t xml:space="preserve">the </w:t>
      </w:r>
      <w:r>
        <w:rPr>
          <w:rFonts w:asciiTheme="minorHAnsi" w:hAnsiTheme="minorHAnsi" w:cstheme="minorHAnsi"/>
          <w:sz w:val="24"/>
          <w:szCs w:val="24"/>
          <w:lang w:val="en-GB"/>
        </w:rPr>
        <w:t xml:space="preserve">comments have been addressed to your satisfaction, and the article can be accepted for publication in </w:t>
      </w:r>
      <w:r w:rsidR="009E4F16">
        <w:rPr>
          <w:rFonts w:asciiTheme="minorHAnsi" w:hAnsiTheme="minorHAnsi" w:cstheme="minorHAnsi"/>
          <w:sz w:val="24"/>
          <w:szCs w:val="24"/>
          <w:lang w:val="en-GB"/>
        </w:rPr>
        <w:t>EJNMMI Research</w:t>
      </w:r>
      <w:r>
        <w:rPr>
          <w:rFonts w:asciiTheme="minorHAnsi" w:hAnsiTheme="minorHAnsi" w:cstheme="minorHAnsi"/>
          <w:sz w:val="24"/>
          <w:szCs w:val="24"/>
          <w:lang w:val="en-GB"/>
        </w:rPr>
        <w:t xml:space="preserve">. </w:t>
      </w:r>
      <w:r w:rsidR="001E576C" w:rsidRPr="00AB5B4B">
        <w:rPr>
          <w:rFonts w:asciiTheme="minorHAnsi" w:hAnsiTheme="minorHAnsi" w:cstheme="minorHAnsi"/>
          <w:sz w:val="24"/>
          <w:szCs w:val="24"/>
          <w:lang w:val="en-GB"/>
        </w:rPr>
        <w:t>Thank you for</w:t>
      </w:r>
      <w:r>
        <w:rPr>
          <w:rFonts w:asciiTheme="minorHAnsi" w:hAnsiTheme="minorHAnsi" w:cstheme="minorHAnsi"/>
          <w:sz w:val="24"/>
          <w:szCs w:val="24"/>
          <w:lang w:val="en-GB"/>
        </w:rPr>
        <w:t xml:space="preserve"> review. </w:t>
      </w:r>
    </w:p>
    <w:p w14:paraId="2E83E920" w14:textId="77777777" w:rsidR="001E576C" w:rsidRPr="00AB5B4B" w:rsidRDefault="001E576C" w:rsidP="001E576C">
      <w:pPr>
        <w:jc w:val="both"/>
        <w:rPr>
          <w:rFonts w:asciiTheme="minorHAnsi" w:hAnsiTheme="minorHAnsi" w:cstheme="minorHAnsi"/>
          <w:i/>
          <w:sz w:val="24"/>
          <w:szCs w:val="24"/>
          <w:lang w:val="en-GB"/>
        </w:rPr>
      </w:pPr>
    </w:p>
    <w:p w14:paraId="15933783" w14:textId="77777777" w:rsidR="001E576C" w:rsidRPr="00AB5B4B" w:rsidRDefault="001E576C" w:rsidP="001E576C">
      <w:pPr>
        <w:jc w:val="both"/>
        <w:rPr>
          <w:rFonts w:asciiTheme="minorHAnsi" w:hAnsiTheme="minorHAnsi" w:cstheme="minorHAnsi"/>
          <w:sz w:val="24"/>
          <w:szCs w:val="24"/>
          <w:lang w:val="en-GB"/>
        </w:rPr>
      </w:pPr>
      <w:r w:rsidRPr="00AB5B4B">
        <w:rPr>
          <w:rFonts w:asciiTheme="minorHAnsi" w:hAnsiTheme="minorHAnsi" w:cstheme="minorHAnsi"/>
          <w:sz w:val="24"/>
          <w:szCs w:val="24"/>
          <w:lang w:val="en-GB"/>
        </w:rPr>
        <w:t xml:space="preserve">Yours sincerely, on behalf of all co-authors, </w:t>
      </w:r>
    </w:p>
    <w:p w14:paraId="4BC5499F" w14:textId="77777777" w:rsidR="001E576C" w:rsidRPr="00AB5B4B" w:rsidRDefault="001E576C" w:rsidP="001E576C">
      <w:pPr>
        <w:jc w:val="both"/>
        <w:rPr>
          <w:rFonts w:asciiTheme="minorHAnsi" w:hAnsiTheme="minorHAnsi" w:cstheme="minorHAnsi"/>
          <w:sz w:val="24"/>
          <w:szCs w:val="24"/>
          <w:lang w:val="en-GB"/>
        </w:rPr>
      </w:pPr>
    </w:p>
    <w:p w14:paraId="6AA638F8" w14:textId="25ED3374" w:rsidR="001E576C" w:rsidRPr="00AC1310" w:rsidRDefault="009004B9" w:rsidP="001E576C">
      <w:pPr>
        <w:jc w:val="both"/>
        <w:rPr>
          <w:rFonts w:asciiTheme="minorHAnsi" w:hAnsiTheme="minorHAnsi" w:cstheme="minorHAnsi"/>
          <w:sz w:val="24"/>
          <w:szCs w:val="24"/>
          <w:lang w:val="en-GB"/>
        </w:rPr>
      </w:pPr>
      <w:r w:rsidRPr="00AC1310">
        <w:rPr>
          <w:rFonts w:asciiTheme="minorHAnsi" w:hAnsiTheme="minorHAnsi" w:cstheme="minorHAnsi"/>
          <w:sz w:val="24"/>
          <w:szCs w:val="24"/>
          <w:lang w:val="en-GB"/>
        </w:rPr>
        <w:t>J.E.E Pouw</w:t>
      </w:r>
      <w:r w:rsidR="006C7092" w:rsidRPr="00AC1310">
        <w:rPr>
          <w:rFonts w:asciiTheme="minorHAnsi" w:hAnsiTheme="minorHAnsi" w:cstheme="minorHAnsi"/>
          <w:sz w:val="24"/>
          <w:szCs w:val="24"/>
          <w:lang w:val="en-GB"/>
        </w:rPr>
        <w:t xml:space="preserve"> and</w:t>
      </w:r>
      <w:r w:rsidR="001A28D9" w:rsidRPr="00AC1310">
        <w:rPr>
          <w:rFonts w:asciiTheme="minorHAnsi" w:hAnsiTheme="minorHAnsi" w:cstheme="minorHAnsi"/>
          <w:sz w:val="24"/>
          <w:szCs w:val="24"/>
          <w:lang w:val="en-GB"/>
        </w:rPr>
        <w:t xml:space="preserve"> M</w:t>
      </w:r>
      <w:r w:rsidR="006C7092" w:rsidRPr="00AC1310">
        <w:rPr>
          <w:rFonts w:asciiTheme="minorHAnsi" w:hAnsiTheme="minorHAnsi" w:cstheme="minorHAnsi"/>
          <w:sz w:val="24"/>
          <w:szCs w:val="24"/>
          <w:lang w:val="en-GB"/>
        </w:rPr>
        <w:t xml:space="preserve">. </w:t>
      </w:r>
      <w:proofErr w:type="spellStart"/>
      <w:r w:rsidR="006C7092" w:rsidRPr="00AC1310">
        <w:rPr>
          <w:rFonts w:asciiTheme="minorHAnsi" w:hAnsiTheme="minorHAnsi" w:cstheme="minorHAnsi"/>
          <w:sz w:val="24"/>
          <w:szCs w:val="24"/>
          <w:lang w:val="en-GB"/>
        </w:rPr>
        <w:t>Stavenga</w:t>
      </w:r>
      <w:proofErr w:type="spellEnd"/>
      <w:r w:rsidR="006C7092" w:rsidRPr="00AC1310">
        <w:rPr>
          <w:rFonts w:asciiTheme="minorHAnsi" w:hAnsiTheme="minorHAnsi" w:cstheme="minorHAnsi"/>
          <w:sz w:val="24"/>
          <w:szCs w:val="24"/>
          <w:lang w:val="en-GB"/>
        </w:rPr>
        <w:t>, MSc.</w:t>
      </w:r>
      <w:r w:rsidR="001A28D9" w:rsidRPr="00AC1310">
        <w:rPr>
          <w:rFonts w:asciiTheme="minorHAnsi" w:hAnsiTheme="minorHAnsi" w:cstheme="minorHAnsi"/>
          <w:sz w:val="24"/>
          <w:szCs w:val="24"/>
          <w:lang w:val="en-GB"/>
        </w:rPr>
        <w:t xml:space="preserve"> </w:t>
      </w:r>
    </w:p>
    <w:p w14:paraId="05E464A1" w14:textId="77777777" w:rsidR="001E576C" w:rsidRPr="00AB5B4B" w:rsidRDefault="001E576C" w:rsidP="001E576C">
      <w:pPr>
        <w:jc w:val="both"/>
        <w:rPr>
          <w:rFonts w:asciiTheme="minorHAnsi" w:hAnsiTheme="minorHAnsi" w:cstheme="minorHAnsi"/>
          <w:sz w:val="24"/>
          <w:szCs w:val="24"/>
          <w:lang w:val="en-GB"/>
        </w:rPr>
      </w:pPr>
      <w:r w:rsidRPr="00AB5B4B">
        <w:rPr>
          <w:rFonts w:asciiTheme="minorHAnsi" w:hAnsiTheme="minorHAnsi" w:cstheme="minorHAnsi"/>
          <w:sz w:val="24"/>
          <w:szCs w:val="24"/>
          <w:lang w:val="en-GB"/>
        </w:rPr>
        <w:t xml:space="preserve">Department of Medical Oncology, Cancer </w:t>
      </w:r>
      <w:proofErr w:type="spellStart"/>
      <w:r w:rsidRPr="00AB5B4B">
        <w:rPr>
          <w:rFonts w:asciiTheme="minorHAnsi" w:hAnsiTheme="minorHAnsi" w:cstheme="minorHAnsi"/>
          <w:sz w:val="24"/>
          <w:szCs w:val="24"/>
          <w:lang w:val="en-GB"/>
        </w:rPr>
        <w:t>Center</w:t>
      </w:r>
      <w:proofErr w:type="spellEnd"/>
      <w:r w:rsidRPr="00AB5B4B">
        <w:rPr>
          <w:rFonts w:asciiTheme="minorHAnsi" w:hAnsiTheme="minorHAnsi" w:cstheme="minorHAnsi"/>
          <w:sz w:val="24"/>
          <w:szCs w:val="24"/>
          <w:lang w:val="en-GB"/>
        </w:rPr>
        <w:t xml:space="preserve"> Amsterdam</w:t>
      </w:r>
    </w:p>
    <w:p w14:paraId="25F5227F" w14:textId="77777777" w:rsidR="001E576C" w:rsidRPr="00AE31FF" w:rsidRDefault="001E576C" w:rsidP="001E576C">
      <w:pPr>
        <w:jc w:val="both"/>
        <w:rPr>
          <w:rFonts w:asciiTheme="minorHAnsi" w:hAnsiTheme="minorHAnsi" w:cstheme="minorHAnsi"/>
          <w:i/>
          <w:sz w:val="24"/>
          <w:szCs w:val="24"/>
        </w:rPr>
      </w:pPr>
      <w:r w:rsidRPr="00AE31FF">
        <w:rPr>
          <w:rFonts w:asciiTheme="minorHAnsi" w:hAnsiTheme="minorHAnsi" w:cstheme="minorHAnsi"/>
          <w:sz w:val="24"/>
          <w:szCs w:val="24"/>
        </w:rPr>
        <w:t xml:space="preserve">Amsterdam University </w:t>
      </w:r>
      <w:proofErr w:type="spellStart"/>
      <w:r w:rsidRPr="00AE31FF">
        <w:rPr>
          <w:rFonts w:asciiTheme="minorHAnsi" w:hAnsiTheme="minorHAnsi" w:cstheme="minorHAnsi"/>
          <w:sz w:val="24"/>
          <w:szCs w:val="24"/>
        </w:rPr>
        <w:t>Medical</w:t>
      </w:r>
      <w:proofErr w:type="spellEnd"/>
      <w:r w:rsidRPr="00AE31FF">
        <w:rPr>
          <w:rFonts w:asciiTheme="minorHAnsi" w:hAnsiTheme="minorHAnsi" w:cstheme="minorHAnsi"/>
          <w:sz w:val="24"/>
          <w:szCs w:val="24"/>
        </w:rPr>
        <w:t xml:space="preserve"> Centers, </w:t>
      </w:r>
      <w:proofErr w:type="spellStart"/>
      <w:r w:rsidRPr="00AE31FF">
        <w:rPr>
          <w:rFonts w:asciiTheme="minorHAnsi" w:hAnsiTheme="minorHAnsi" w:cstheme="minorHAnsi"/>
          <w:sz w:val="24"/>
          <w:szCs w:val="24"/>
        </w:rPr>
        <w:t>location</w:t>
      </w:r>
      <w:proofErr w:type="spellEnd"/>
      <w:r w:rsidRPr="00AE31FF">
        <w:rPr>
          <w:rFonts w:asciiTheme="minorHAnsi" w:hAnsiTheme="minorHAnsi" w:cstheme="minorHAnsi"/>
          <w:sz w:val="24"/>
          <w:szCs w:val="24"/>
        </w:rPr>
        <w:t xml:space="preserve"> Vrije Universiteit</w:t>
      </w:r>
    </w:p>
    <w:p w14:paraId="47C49A37" w14:textId="77777777" w:rsidR="001E576C" w:rsidRPr="004735F7" w:rsidRDefault="001E576C" w:rsidP="001E576C"/>
    <w:p w14:paraId="5C5D1189" w14:textId="18F4E87E" w:rsidR="001E576C" w:rsidRDefault="001E576C" w:rsidP="001E576C">
      <w:pPr>
        <w:rPr>
          <w:b/>
          <w:bCs/>
          <w:lang w:val="en-GB"/>
        </w:rPr>
      </w:pPr>
      <w:r w:rsidRPr="004477C6">
        <w:rPr>
          <w:b/>
          <w:bCs/>
          <w:lang w:val="en-GB"/>
        </w:rPr>
        <w:t xml:space="preserve">With regards to the comments of </w:t>
      </w:r>
      <w:r w:rsidR="00C82390">
        <w:rPr>
          <w:b/>
          <w:bCs/>
          <w:lang w:val="en-GB"/>
        </w:rPr>
        <w:t xml:space="preserve">the reviewers: </w:t>
      </w:r>
    </w:p>
    <w:p w14:paraId="3026646F" w14:textId="77777777" w:rsidR="00C82390" w:rsidRDefault="00C82390" w:rsidP="001E576C">
      <w:pPr>
        <w:rPr>
          <w:lang w:val="en-GB"/>
        </w:rPr>
      </w:pPr>
      <w:r w:rsidRPr="009827B6">
        <w:rPr>
          <w:lang w:val="en-GB"/>
        </w:rPr>
        <w:br/>
        <w:t>Reviewer #1: I would like to thank the authors for their work and the opportunity to review this manuscript. The study addresses an important topic; however, several points require clarification to improve the rigor and readability of the manuscript.</w:t>
      </w:r>
      <w:r w:rsidRPr="009827B6">
        <w:rPr>
          <w:lang w:val="en-GB"/>
        </w:rPr>
        <w:br/>
      </w:r>
      <w:r w:rsidRPr="009827B6">
        <w:rPr>
          <w:lang w:val="en-GB"/>
        </w:rPr>
        <w:br/>
        <w:t>Methods (Line 94)</w:t>
      </w:r>
      <w:r w:rsidRPr="009827B6">
        <w:rPr>
          <w:lang w:val="en-GB"/>
        </w:rPr>
        <w:br/>
        <w:t>The authors state that patient D received 0.2 mg of GSK3745417, whereas patients A, B, and C received only 0.1 mg. Could the authors clarify the rationale for this difference in dosing? Additionally, what are the potential implications of this discrepancy on the interpretation of the results?</w:t>
      </w:r>
      <w:r w:rsidRPr="009827B6">
        <w:rPr>
          <w:lang w:val="en-GB"/>
        </w:rPr>
        <w:br/>
      </w:r>
    </w:p>
    <w:p w14:paraId="14A8F041" w14:textId="0828E11B" w:rsidR="00C82390" w:rsidRPr="001A28D9" w:rsidRDefault="00C82390" w:rsidP="001E576C">
      <w:pPr>
        <w:rPr>
          <w:color w:val="4F81BD" w:themeColor="accent1"/>
          <w:lang w:val="en-GB"/>
        </w:rPr>
      </w:pPr>
      <w:r w:rsidRPr="001A28D9">
        <w:rPr>
          <w:color w:val="4F81BD" w:themeColor="accent1"/>
          <w:lang w:val="en-GB"/>
        </w:rPr>
        <w:t xml:space="preserve">That is correct. The PET-imaging trial was a </w:t>
      </w:r>
      <w:proofErr w:type="spellStart"/>
      <w:r w:rsidRPr="001A28D9">
        <w:rPr>
          <w:color w:val="4F81BD" w:themeColor="accent1"/>
          <w:lang w:val="en-GB"/>
        </w:rPr>
        <w:t>substudy</w:t>
      </w:r>
      <w:proofErr w:type="spellEnd"/>
      <w:r w:rsidRPr="001A28D9">
        <w:rPr>
          <w:color w:val="4F81BD" w:themeColor="accent1"/>
          <w:lang w:val="en-GB"/>
        </w:rPr>
        <w:t xml:space="preserve"> of the phase 1 trial investigating STING agonist GSK3745417 in combination with anti-PD-1 therapy </w:t>
      </w:r>
      <w:proofErr w:type="spellStart"/>
      <w:r w:rsidRPr="001A28D9">
        <w:rPr>
          <w:color w:val="4F81BD" w:themeColor="accent1"/>
          <w:lang w:val="en-GB"/>
        </w:rPr>
        <w:t>dostarlimab</w:t>
      </w:r>
      <w:proofErr w:type="spellEnd"/>
      <w:r w:rsidRPr="001A28D9">
        <w:rPr>
          <w:color w:val="4F81BD" w:themeColor="accent1"/>
          <w:lang w:val="en-GB"/>
        </w:rPr>
        <w:t xml:space="preserve"> for safety, preliminary clinical activity and recommended dose.</w:t>
      </w:r>
      <w:r w:rsidR="00646BBA">
        <w:rPr>
          <w:color w:val="4F81BD" w:themeColor="accent1"/>
          <w:lang w:val="en-GB"/>
        </w:rPr>
        <w:t xml:space="preserve"> </w:t>
      </w:r>
      <w:r w:rsidRPr="001A28D9">
        <w:rPr>
          <w:color w:val="4F81BD" w:themeColor="accent1"/>
          <w:lang w:val="en-GB"/>
        </w:rPr>
        <w:t xml:space="preserve"> It was registered under clinicaltrials.gov identifier NCT03843359.</w:t>
      </w:r>
      <w:r w:rsidR="00D2472D" w:rsidRPr="001A28D9">
        <w:rPr>
          <w:color w:val="4F81BD" w:themeColor="accent1"/>
          <w:lang w:val="en-GB"/>
        </w:rPr>
        <w:t xml:space="preserve"> </w:t>
      </w:r>
      <w:r w:rsidRPr="001A28D9">
        <w:rPr>
          <w:color w:val="4F81BD" w:themeColor="accent1"/>
          <w:lang w:val="en-GB"/>
        </w:rPr>
        <w:t>This phase 1 study included a dose escalation part</w:t>
      </w:r>
      <w:r w:rsidR="00D2472D" w:rsidRPr="001A28D9">
        <w:rPr>
          <w:color w:val="4F81BD" w:themeColor="accent1"/>
          <w:lang w:val="en-GB"/>
        </w:rPr>
        <w:t xml:space="preserve">. Patients that were included in the Imaging </w:t>
      </w:r>
      <w:proofErr w:type="spellStart"/>
      <w:r w:rsidR="00D2472D" w:rsidRPr="001A28D9">
        <w:rPr>
          <w:color w:val="4F81BD" w:themeColor="accent1"/>
          <w:lang w:val="en-GB"/>
        </w:rPr>
        <w:t>substudy</w:t>
      </w:r>
      <w:proofErr w:type="spellEnd"/>
      <w:r w:rsidR="00D2472D" w:rsidRPr="001A28D9">
        <w:rPr>
          <w:color w:val="4F81BD" w:themeColor="accent1"/>
          <w:lang w:val="en-GB"/>
        </w:rPr>
        <w:t xml:space="preserve"> were part of the dose escalation cohort that was being tested at that moment. The first three patients included in the imaging </w:t>
      </w:r>
      <w:proofErr w:type="spellStart"/>
      <w:r w:rsidR="00D2472D" w:rsidRPr="001A28D9">
        <w:rPr>
          <w:color w:val="4F81BD" w:themeColor="accent1"/>
          <w:lang w:val="en-GB"/>
        </w:rPr>
        <w:t>substudy</w:t>
      </w:r>
      <w:proofErr w:type="spellEnd"/>
      <w:r w:rsidR="00D2472D" w:rsidRPr="001A28D9">
        <w:rPr>
          <w:color w:val="4F81BD" w:themeColor="accent1"/>
          <w:lang w:val="en-GB"/>
        </w:rPr>
        <w:t xml:space="preserve"> were included in the 0.1 mg GSK3745417 dose cohort and the last patient (D) in the 0.2 mg GSK3745417 cohort. </w:t>
      </w:r>
      <w:r w:rsidR="0009158C">
        <w:rPr>
          <w:color w:val="4F81BD" w:themeColor="accent1"/>
          <w:lang w:val="en-GB"/>
        </w:rPr>
        <w:t>No</w:t>
      </w:r>
      <w:r w:rsidR="00793A82">
        <w:rPr>
          <w:color w:val="4F81BD" w:themeColor="accent1"/>
          <w:lang w:val="en-GB"/>
        </w:rPr>
        <w:t xml:space="preserve"> </w:t>
      </w:r>
      <w:r w:rsidR="0009158C">
        <w:rPr>
          <w:color w:val="4F81BD" w:themeColor="accent1"/>
          <w:lang w:val="en-GB"/>
        </w:rPr>
        <w:t xml:space="preserve">patients were included in other dose cohorts </w:t>
      </w:r>
      <w:proofErr w:type="spellStart"/>
      <w:r w:rsidR="00201701">
        <w:rPr>
          <w:color w:val="4F81BD" w:themeColor="accent1"/>
          <w:lang w:val="en-GB"/>
        </w:rPr>
        <w:t>becaise</w:t>
      </w:r>
      <w:proofErr w:type="spellEnd"/>
      <w:r w:rsidR="0009158C">
        <w:rPr>
          <w:color w:val="4F81BD" w:themeColor="accent1"/>
          <w:lang w:val="en-GB"/>
        </w:rPr>
        <w:t xml:space="preserve"> the</w:t>
      </w:r>
      <w:r w:rsidR="00793A82">
        <w:rPr>
          <w:color w:val="4F81BD" w:themeColor="accent1"/>
          <w:lang w:val="en-GB"/>
        </w:rPr>
        <w:t xml:space="preserve"> main phase 1</w:t>
      </w:r>
      <w:r w:rsidR="0009158C">
        <w:rPr>
          <w:color w:val="4F81BD" w:themeColor="accent1"/>
          <w:lang w:val="en-GB"/>
        </w:rPr>
        <w:t xml:space="preserve"> study was </w:t>
      </w:r>
      <w:r w:rsidR="0009158C">
        <w:rPr>
          <w:color w:val="4F81BD" w:themeColor="accent1"/>
          <w:lang w:val="en-GB"/>
        </w:rPr>
        <w:lastRenderedPageBreak/>
        <w:t>terminated</w:t>
      </w:r>
      <w:r w:rsidR="00201701">
        <w:rPr>
          <w:color w:val="4F81BD" w:themeColor="accent1"/>
          <w:lang w:val="en-GB"/>
        </w:rPr>
        <w:t xml:space="preserve"> </w:t>
      </w:r>
      <w:r w:rsidR="00201701" w:rsidRPr="00201701">
        <w:rPr>
          <w:color w:val="4F81BD" w:themeColor="accent1"/>
          <w:lang w:val="en-GB"/>
        </w:rPr>
        <w:t>prematurely</w:t>
      </w:r>
      <w:r w:rsidR="0009158C">
        <w:rPr>
          <w:color w:val="4F81BD" w:themeColor="accent1"/>
          <w:lang w:val="en-GB"/>
        </w:rPr>
        <w:t xml:space="preserve">. </w:t>
      </w:r>
      <w:r w:rsidR="00D2472D" w:rsidRPr="001A28D9">
        <w:rPr>
          <w:color w:val="4F81BD" w:themeColor="accent1"/>
          <w:lang w:val="en-GB"/>
        </w:rPr>
        <w:t>This is explained in the methods section with the following wording: ‘</w:t>
      </w:r>
      <w:bookmarkStart w:id="0" w:name="_Hlk232338690"/>
      <w:r w:rsidR="00D2472D" w:rsidRPr="001A28D9">
        <w:rPr>
          <w:color w:val="4F81BD" w:themeColor="accent1"/>
          <w:lang w:val="en-GB"/>
        </w:rPr>
        <w:t xml:space="preserve">The PET-imaging trial was a </w:t>
      </w:r>
      <w:proofErr w:type="spellStart"/>
      <w:r w:rsidR="00D2472D" w:rsidRPr="001A28D9">
        <w:rPr>
          <w:color w:val="4F81BD" w:themeColor="accent1"/>
          <w:lang w:val="en-GB"/>
        </w:rPr>
        <w:t>substudy</w:t>
      </w:r>
      <w:proofErr w:type="spellEnd"/>
      <w:r w:rsidR="00D2472D" w:rsidRPr="001A28D9">
        <w:rPr>
          <w:color w:val="4F81BD" w:themeColor="accent1"/>
          <w:lang w:val="en-GB"/>
        </w:rPr>
        <w:t xml:space="preserve"> of the phase 1 trial investigating STING agonist GSK3745417 in combination with anti-PD-1 therapy </w:t>
      </w:r>
      <w:proofErr w:type="spellStart"/>
      <w:r w:rsidR="00D2472D" w:rsidRPr="001A28D9">
        <w:rPr>
          <w:color w:val="4F81BD" w:themeColor="accent1"/>
          <w:lang w:val="en-GB"/>
        </w:rPr>
        <w:t>dostarlimab</w:t>
      </w:r>
      <w:proofErr w:type="spellEnd"/>
      <w:r w:rsidR="00D2472D" w:rsidRPr="001A28D9">
        <w:rPr>
          <w:color w:val="4F81BD" w:themeColor="accent1"/>
          <w:lang w:val="en-GB"/>
        </w:rPr>
        <w:t xml:space="preserve"> for safety, preliminary clinical activity and recommended dose. It was registered under clinicaltrials.gov identifier NCT03843359.</w:t>
      </w:r>
      <w:bookmarkEnd w:id="0"/>
      <w:r w:rsidR="00D2472D" w:rsidRPr="001A28D9">
        <w:rPr>
          <w:color w:val="4F81BD" w:themeColor="accent1"/>
          <w:lang w:val="en-GB"/>
        </w:rPr>
        <w:t xml:space="preserve">’ </w:t>
      </w:r>
    </w:p>
    <w:p w14:paraId="498F787E" w14:textId="77777777" w:rsidR="00C82390" w:rsidRPr="001A28D9" w:rsidRDefault="00C82390" w:rsidP="001E576C">
      <w:pPr>
        <w:rPr>
          <w:color w:val="4F81BD" w:themeColor="accent1"/>
          <w:lang w:val="en-GB"/>
        </w:rPr>
      </w:pPr>
    </w:p>
    <w:p w14:paraId="6015066E" w14:textId="0E677315" w:rsidR="00C82390" w:rsidRPr="001A28D9" w:rsidRDefault="00E1490D" w:rsidP="001E576C">
      <w:pPr>
        <w:rPr>
          <w:color w:val="4F81BD" w:themeColor="accent1"/>
          <w:lang w:val="en-GB"/>
        </w:rPr>
      </w:pPr>
      <w:r w:rsidRPr="001A28D9">
        <w:rPr>
          <w:color w:val="4F81BD" w:themeColor="accent1"/>
          <w:lang w:val="en-GB"/>
        </w:rPr>
        <w:t xml:space="preserve">The wording in the methods has been updated to clarify the reason why two different doses have been used: </w:t>
      </w:r>
    </w:p>
    <w:p w14:paraId="685E23D6" w14:textId="39AD18AD" w:rsidR="00040472" w:rsidRPr="001A28D9" w:rsidRDefault="00E1490D" w:rsidP="001E576C">
      <w:pPr>
        <w:rPr>
          <w:color w:val="FF0000"/>
          <w:lang w:val="en-GB"/>
        </w:rPr>
      </w:pPr>
      <w:r w:rsidRPr="001A28D9">
        <w:rPr>
          <w:color w:val="FF0000"/>
          <w:lang w:val="en-GB"/>
        </w:rPr>
        <w:t>“</w:t>
      </w:r>
      <w:r w:rsidR="00040472" w:rsidRPr="001A28D9">
        <w:rPr>
          <w:color w:val="FF0000"/>
          <w:lang w:val="en-GB"/>
        </w:rPr>
        <w:t xml:space="preserve">Patients A, B, and C were administered 0.1 mg GSK3745417, whereas patient D received 0.2 mg following prior escalation to this dose level in the phase 1 dose-escalation study.’ </w:t>
      </w:r>
    </w:p>
    <w:p w14:paraId="7546A047" w14:textId="3621FC20" w:rsidR="00304787" w:rsidRDefault="00304787" w:rsidP="001E576C">
      <w:pPr>
        <w:rPr>
          <w:lang w:val="en-GB"/>
        </w:rPr>
      </w:pPr>
    </w:p>
    <w:p w14:paraId="01047D28" w14:textId="77777777" w:rsidR="004274EE" w:rsidRDefault="00304787" w:rsidP="001E576C">
      <w:pPr>
        <w:rPr>
          <w:lang w:val="en-GB"/>
        </w:rPr>
      </w:pPr>
      <w:r w:rsidRPr="009827B6">
        <w:rPr>
          <w:lang w:val="en-GB"/>
        </w:rPr>
        <w:t>Additionally, what are the potential implications of this discrepancy on the interpretation of the results?</w:t>
      </w:r>
    </w:p>
    <w:p w14:paraId="13DFB243" w14:textId="77777777" w:rsidR="004274EE" w:rsidRDefault="004274EE" w:rsidP="001E576C">
      <w:pPr>
        <w:rPr>
          <w:lang w:val="en-GB"/>
        </w:rPr>
      </w:pPr>
    </w:p>
    <w:p w14:paraId="0CB572FE" w14:textId="034802BF" w:rsidR="006458D0" w:rsidRPr="001A28D9" w:rsidRDefault="006458D0" w:rsidP="001E576C">
      <w:pPr>
        <w:rPr>
          <w:color w:val="4F81BD" w:themeColor="accent1"/>
          <w:lang w:val="en-GB"/>
        </w:rPr>
      </w:pPr>
      <w:r w:rsidRPr="001A28D9">
        <w:rPr>
          <w:color w:val="4F81BD" w:themeColor="accent1"/>
          <w:lang w:val="en-GB"/>
        </w:rPr>
        <w:t xml:space="preserve">In theory, the higher GSK3745417 dose administered to patient D could have resulted in greater biological activity. However, we consider it unlikely that this dosing difference affected the interpretation of the pharmacokinetic analyses. First, only patient A demonstrated an objective response to treatment (CR/PR), indicating that any potential increase in biological activity at the higher dose </w:t>
      </w:r>
      <w:r w:rsidR="009E4F16">
        <w:rPr>
          <w:color w:val="4F81BD" w:themeColor="accent1"/>
          <w:lang w:val="en-GB"/>
        </w:rPr>
        <w:t xml:space="preserve">in patient D </w:t>
      </w:r>
      <w:r w:rsidRPr="001A28D9">
        <w:rPr>
          <w:color w:val="4F81BD" w:themeColor="accent1"/>
          <w:lang w:val="en-GB"/>
        </w:rPr>
        <w:t xml:space="preserve">did not translate into an observable clinical effect. Second, </w:t>
      </w:r>
      <w:r w:rsidR="00620181" w:rsidRPr="001A28D9">
        <w:rPr>
          <w:color w:val="4F81BD" w:themeColor="accent1"/>
          <w:lang w:val="en-GB"/>
        </w:rPr>
        <w:t>while</w:t>
      </w:r>
      <w:r w:rsidRPr="001A28D9">
        <w:rPr>
          <w:color w:val="4F81BD" w:themeColor="accent1"/>
          <w:lang w:val="en-GB"/>
        </w:rPr>
        <w:t xml:space="preserve"> patients C and D had a greater proportion of lesions for which the 2T4K model was preferred compared with patients A and B (Table 3), no consistent differences</w:t>
      </w:r>
      <w:r w:rsidR="00620181" w:rsidRPr="001A28D9">
        <w:rPr>
          <w:color w:val="4F81BD" w:themeColor="accent1"/>
          <w:lang w:val="en-GB"/>
        </w:rPr>
        <w:t xml:space="preserve"> in preferred PK-model</w:t>
      </w:r>
      <w:r w:rsidRPr="001A28D9">
        <w:rPr>
          <w:color w:val="4F81BD" w:themeColor="accent1"/>
          <w:lang w:val="en-GB"/>
        </w:rPr>
        <w:t xml:space="preserve"> were observed between patient D and the other</w:t>
      </w:r>
      <w:r w:rsidR="00620181" w:rsidRPr="001A28D9">
        <w:rPr>
          <w:color w:val="4F81BD" w:themeColor="accent1"/>
          <w:lang w:val="en-GB"/>
        </w:rPr>
        <w:t xml:space="preserve"> three</w:t>
      </w:r>
      <w:r w:rsidRPr="001A28D9">
        <w:rPr>
          <w:color w:val="4F81BD" w:themeColor="accent1"/>
          <w:lang w:val="en-GB"/>
        </w:rPr>
        <w:t xml:space="preserve"> patients, nor between baseline and on-treatment assessments. </w:t>
      </w:r>
      <w:r w:rsidR="009E4F16" w:rsidRPr="001A28D9">
        <w:rPr>
          <w:color w:val="4F81BD" w:themeColor="accent1"/>
          <w:lang w:val="en-GB"/>
        </w:rPr>
        <w:t>Also,</w:t>
      </w:r>
      <w:r w:rsidR="00620181" w:rsidRPr="001A28D9">
        <w:rPr>
          <w:color w:val="4F81BD" w:themeColor="accent1"/>
          <w:lang w:val="en-GB"/>
        </w:rPr>
        <w:t xml:space="preserve"> in the relation between </w:t>
      </w:r>
      <w:r w:rsidRPr="001A28D9">
        <w:rPr>
          <w:color w:val="4F81BD" w:themeColor="accent1"/>
          <w:lang w:val="en-GB"/>
        </w:rPr>
        <w:t xml:space="preserve">the preferred pharmacokinetic model and the simplified uptake measures </w:t>
      </w:r>
      <w:r w:rsidR="00620181" w:rsidRPr="001A28D9">
        <w:rPr>
          <w:color w:val="4F81BD" w:themeColor="accent1"/>
          <w:lang w:val="en-GB"/>
        </w:rPr>
        <w:t xml:space="preserve">the results </w:t>
      </w:r>
      <w:r w:rsidRPr="001A28D9">
        <w:rPr>
          <w:color w:val="4F81BD" w:themeColor="accent1"/>
          <w:lang w:val="en-GB"/>
        </w:rPr>
        <w:t xml:space="preserve">were not systematically different </w:t>
      </w:r>
      <w:proofErr w:type="gramStart"/>
      <w:r w:rsidRPr="001A28D9">
        <w:rPr>
          <w:color w:val="4F81BD" w:themeColor="accent1"/>
          <w:lang w:val="en-GB"/>
        </w:rPr>
        <w:t>in patient</w:t>
      </w:r>
      <w:proofErr w:type="gramEnd"/>
      <w:r w:rsidRPr="001A28D9">
        <w:rPr>
          <w:color w:val="4F81BD" w:themeColor="accent1"/>
          <w:lang w:val="en-GB"/>
        </w:rPr>
        <w:t xml:space="preserve"> D</w:t>
      </w:r>
      <w:r w:rsidR="00620181" w:rsidRPr="001A28D9">
        <w:rPr>
          <w:color w:val="4F81BD" w:themeColor="accent1"/>
          <w:lang w:val="en-GB"/>
        </w:rPr>
        <w:t xml:space="preserve"> compared to the other patients</w:t>
      </w:r>
      <w:r w:rsidRPr="001A28D9">
        <w:rPr>
          <w:color w:val="4F81BD" w:themeColor="accent1"/>
          <w:lang w:val="en-GB"/>
        </w:rPr>
        <w:t>. Collectively, these observations suggest that, if biological effects related to the different STING agonist doses were present, they did not affect the identification of the preferred pharmacokinetic model, the interpretation of the parameters or the corresponding simplified uptake measures.</w:t>
      </w:r>
    </w:p>
    <w:p w14:paraId="6556ABC0" w14:textId="77777777" w:rsidR="00546010" w:rsidRDefault="00546010" w:rsidP="001E576C">
      <w:pPr>
        <w:rPr>
          <w:lang w:val="en-GB"/>
        </w:rPr>
      </w:pPr>
    </w:p>
    <w:p w14:paraId="39267D0D" w14:textId="77777777" w:rsidR="00546010" w:rsidRPr="00546010" w:rsidRDefault="00546010" w:rsidP="001E576C">
      <w:pPr>
        <w:rPr>
          <w:color w:val="FF0000"/>
          <w:lang w:val="en-GB"/>
        </w:rPr>
      </w:pPr>
      <w:r w:rsidRPr="001A28D9">
        <w:rPr>
          <w:color w:val="4F81BD" w:themeColor="accent1"/>
          <w:lang w:val="en-GB"/>
        </w:rPr>
        <w:t xml:space="preserve">We have addressed this in the discussion: </w:t>
      </w:r>
      <w:r w:rsidRPr="00546010">
        <w:rPr>
          <w:color w:val="FF0000"/>
          <w:lang w:val="en-GB"/>
        </w:rPr>
        <w:t xml:space="preserve">‘In addition, patients A, B and C received 0.1 mg GSK3745417, whereas patient D received 0.2 mg. Although the higher dose could theoretically have resulted in greater biological activity, no objective response was observed in patient D, and no consistent differences in the preferred pharmacokinetic model, model parameters, or corresponding simplified uptake measures were observed compared with the other patients, nor between the baseline and on-treatment scans. Therefore, the dose difference is unlikely to have affected the interpretation of the pharmacokinetic analyses.’ </w:t>
      </w:r>
    </w:p>
    <w:p w14:paraId="37B4607B" w14:textId="77777777" w:rsidR="00E4707A" w:rsidRDefault="00C82390" w:rsidP="001E576C">
      <w:pPr>
        <w:rPr>
          <w:lang w:val="en-GB"/>
        </w:rPr>
      </w:pPr>
      <w:r w:rsidRPr="009827B6">
        <w:rPr>
          <w:lang w:val="en-GB"/>
        </w:rPr>
        <w:br/>
        <w:t>Results</w:t>
      </w:r>
      <w:r w:rsidRPr="009827B6">
        <w:rPr>
          <w:lang w:val="en-GB"/>
        </w:rPr>
        <w:br/>
      </w:r>
      <w:r w:rsidRPr="009827B6">
        <w:rPr>
          <w:lang w:val="en-GB"/>
        </w:rPr>
        <w:br/>
        <w:t>Line 155 - Please clarify whether a 2T1K model or a 1T2K model was used, as this point is currently ambiguous.</w:t>
      </w:r>
      <w:r w:rsidRPr="009827B6">
        <w:rPr>
          <w:lang w:val="en-GB"/>
        </w:rPr>
        <w:br/>
      </w:r>
    </w:p>
    <w:p w14:paraId="32823479" w14:textId="77777777" w:rsidR="009E4F16" w:rsidRPr="009E4F16" w:rsidRDefault="009E4F16" w:rsidP="009E4F16">
      <w:pPr>
        <w:rPr>
          <w:color w:val="4F81BD" w:themeColor="accent1"/>
          <w:lang w:val="en-GB"/>
        </w:rPr>
      </w:pPr>
      <w:r w:rsidRPr="009E4F16">
        <w:rPr>
          <w:color w:val="4F81BD" w:themeColor="accent1"/>
          <w:lang w:val="en-GB"/>
        </w:rPr>
        <w:t>We used three pharmacokinetic models: 1T2K, 2T3K, and 2T4K. The reference to a 2T1K model was included in error. This has now been corrected, and we thank the reviewer for pointing out this mistake.</w:t>
      </w:r>
    </w:p>
    <w:p w14:paraId="4E2B9601" w14:textId="77777777" w:rsidR="00E4707A" w:rsidRDefault="00E4707A" w:rsidP="001E576C">
      <w:pPr>
        <w:rPr>
          <w:lang w:val="en-GB"/>
        </w:rPr>
      </w:pPr>
    </w:p>
    <w:p w14:paraId="09555CEA" w14:textId="662A5448" w:rsidR="00130AD3" w:rsidRDefault="00C82390" w:rsidP="001E576C">
      <w:pPr>
        <w:rPr>
          <w:lang w:val="en-GB"/>
        </w:rPr>
      </w:pPr>
      <w:r w:rsidRPr="009827B6">
        <w:rPr>
          <w:lang w:val="en-GB"/>
        </w:rPr>
        <w:t>Table 2</w:t>
      </w:r>
      <w:r w:rsidRPr="009827B6">
        <w:rPr>
          <w:lang w:val="en-GB"/>
        </w:rPr>
        <w:br/>
        <w:t>There appears to be a discrepancy between the table and the corresponding text. Specifically, could the authors verify whether there is a possible inversion between the liver and the choroid plexus? In the table, the liver is reported with a value of 4 for the 1T2K model, which seems inconsistent with the description in the text.</w:t>
      </w:r>
    </w:p>
    <w:p w14:paraId="0E1E66C2" w14:textId="77777777" w:rsidR="00130AD3" w:rsidRDefault="00130AD3" w:rsidP="001E576C">
      <w:pPr>
        <w:rPr>
          <w:lang w:val="en-GB"/>
        </w:rPr>
      </w:pPr>
    </w:p>
    <w:p w14:paraId="5323C2D1" w14:textId="76BD3BDD" w:rsidR="00283C18" w:rsidRPr="001A28D9" w:rsidRDefault="00130AD3" w:rsidP="001E576C">
      <w:pPr>
        <w:rPr>
          <w:color w:val="4F81BD" w:themeColor="accent1"/>
          <w:lang w:val="en-GB"/>
        </w:rPr>
      </w:pPr>
      <w:r w:rsidRPr="001A28D9">
        <w:rPr>
          <w:color w:val="4F81BD" w:themeColor="accent1"/>
          <w:lang w:val="en-GB"/>
        </w:rPr>
        <w:t xml:space="preserve">The liver showed an AIC preference for the 1T2K </w:t>
      </w:r>
      <w:proofErr w:type="gramStart"/>
      <w:r w:rsidRPr="001A28D9">
        <w:rPr>
          <w:color w:val="4F81BD" w:themeColor="accent1"/>
          <w:lang w:val="en-GB"/>
        </w:rPr>
        <w:t>model, but</w:t>
      </w:r>
      <w:proofErr w:type="gramEnd"/>
      <w:r w:rsidRPr="001A28D9">
        <w:rPr>
          <w:color w:val="4F81BD" w:themeColor="accent1"/>
          <w:lang w:val="en-GB"/>
        </w:rPr>
        <w:t xml:space="preserve"> based on evaluation of the curve and the parameters the 2T3K </w:t>
      </w:r>
      <w:r w:rsidR="009E4F16">
        <w:rPr>
          <w:color w:val="4F81BD" w:themeColor="accent1"/>
          <w:lang w:val="en-GB"/>
        </w:rPr>
        <w:t xml:space="preserve">model </w:t>
      </w:r>
      <w:r w:rsidRPr="001A28D9">
        <w:rPr>
          <w:color w:val="4F81BD" w:themeColor="accent1"/>
          <w:lang w:val="en-GB"/>
        </w:rPr>
        <w:t xml:space="preserve">was selected as the preferred pharmacokinetic model. </w:t>
      </w:r>
      <w:r w:rsidR="00283C18" w:rsidRPr="001A28D9">
        <w:rPr>
          <w:color w:val="4F81BD" w:themeColor="accent1"/>
          <w:lang w:val="en-GB"/>
        </w:rPr>
        <w:t xml:space="preserve">The model selection criteria </w:t>
      </w:r>
      <w:r w:rsidR="009E4F16">
        <w:rPr>
          <w:color w:val="4F81BD" w:themeColor="accent1"/>
          <w:lang w:val="en-GB"/>
        </w:rPr>
        <w:t>are</w:t>
      </w:r>
      <w:r w:rsidR="00283C18" w:rsidRPr="001A28D9">
        <w:rPr>
          <w:color w:val="4F81BD" w:themeColor="accent1"/>
          <w:lang w:val="en-GB"/>
        </w:rPr>
        <w:t xml:space="preserve"> present in the methods section: ‘Final model selection was based on the AIC-values, expert visual inspection of fit quality and the reliability of the estimated parameters, defined as their consistency across </w:t>
      </w:r>
      <w:proofErr w:type="spellStart"/>
      <w:r w:rsidR="00283C18" w:rsidRPr="001A28D9">
        <w:rPr>
          <w:color w:val="4F81BD" w:themeColor="accent1"/>
          <w:lang w:val="en-GB"/>
        </w:rPr>
        <w:t>tumors</w:t>
      </w:r>
      <w:proofErr w:type="spellEnd"/>
      <w:r w:rsidR="00283C18" w:rsidRPr="001A28D9">
        <w:rPr>
          <w:color w:val="4F81BD" w:themeColor="accent1"/>
          <w:lang w:val="en-GB"/>
        </w:rPr>
        <w:t xml:space="preserve"> or specific organs and based on alignment with biologically plausible ranges.’ </w:t>
      </w:r>
      <w:r w:rsidR="009E4F16">
        <w:rPr>
          <w:color w:val="4F81BD" w:themeColor="accent1"/>
          <w:lang w:val="en-GB"/>
        </w:rPr>
        <w:t>T</w:t>
      </w:r>
      <w:r w:rsidRPr="001A28D9">
        <w:rPr>
          <w:color w:val="4F81BD" w:themeColor="accent1"/>
          <w:lang w:val="en-GB"/>
        </w:rPr>
        <w:t>he rationale behind th</w:t>
      </w:r>
      <w:r w:rsidR="00283C18" w:rsidRPr="001A28D9">
        <w:rPr>
          <w:color w:val="4F81BD" w:themeColor="accent1"/>
          <w:lang w:val="en-GB"/>
        </w:rPr>
        <w:t>e</w:t>
      </w:r>
      <w:r w:rsidRPr="001A28D9">
        <w:rPr>
          <w:color w:val="4F81BD" w:themeColor="accent1"/>
          <w:lang w:val="en-GB"/>
        </w:rPr>
        <w:t xml:space="preserve"> decision</w:t>
      </w:r>
      <w:r w:rsidR="00283C18" w:rsidRPr="001A28D9">
        <w:rPr>
          <w:color w:val="4F81BD" w:themeColor="accent1"/>
          <w:lang w:val="en-GB"/>
        </w:rPr>
        <w:t xml:space="preserve"> to select a different model for the liver than the AIC-preferred model</w:t>
      </w:r>
      <w:r w:rsidRPr="001A28D9">
        <w:rPr>
          <w:color w:val="4F81BD" w:themeColor="accent1"/>
          <w:lang w:val="en-GB"/>
        </w:rPr>
        <w:t xml:space="preserve"> has been</w:t>
      </w:r>
      <w:r w:rsidR="009E4F16">
        <w:rPr>
          <w:color w:val="4F81BD" w:themeColor="accent1"/>
          <w:lang w:val="en-GB"/>
        </w:rPr>
        <w:t xml:space="preserve"> further</w:t>
      </w:r>
      <w:r w:rsidRPr="001A28D9">
        <w:rPr>
          <w:color w:val="4F81BD" w:themeColor="accent1"/>
          <w:lang w:val="en-GB"/>
        </w:rPr>
        <w:t xml:space="preserve"> clarified</w:t>
      </w:r>
      <w:r w:rsidR="009E4F16">
        <w:rPr>
          <w:color w:val="4F81BD" w:themeColor="accent1"/>
          <w:lang w:val="en-GB"/>
        </w:rPr>
        <w:t xml:space="preserve"> </w:t>
      </w:r>
      <w:r w:rsidRPr="001A28D9">
        <w:rPr>
          <w:color w:val="4F81BD" w:themeColor="accent1"/>
          <w:lang w:val="en-GB"/>
        </w:rPr>
        <w:t>in the results section</w:t>
      </w:r>
      <w:r w:rsidR="00283C18" w:rsidRPr="001A28D9">
        <w:rPr>
          <w:color w:val="4F81BD" w:themeColor="accent1"/>
          <w:lang w:val="en-GB"/>
        </w:rPr>
        <w:t xml:space="preserve">: </w:t>
      </w:r>
    </w:p>
    <w:p w14:paraId="2EF4DFE1" w14:textId="77777777" w:rsidR="00283C18" w:rsidRDefault="00283C18" w:rsidP="001E576C">
      <w:pPr>
        <w:rPr>
          <w:lang w:val="en-GB"/>
        </w:rPr>
      </w:pPr>
    </w:p>
    <w:p w14:paraId="7A88CFF5" w14:textId="77777777" w:rsidR="00283C18" w:rsidRPr="00283C18" w:rsidRDefault="00283C18" w:rsidP="001E576C">
      <w:pPr>
        <w:rPr>
          <w:color w:val="FF0000"/>
          <w:lang w:val="en-GB"/>
        </w:rPr>
      </w:pPr>
      <w:r w:rsidRPr="00283C18">
        <w:rPr>
          <w:color w:val="FF0000"/>
          <w:lang w:val="en-GB"/>
        </w:rPr>
        <w:t>In most organs, the AIC showed a preference for the 2T3K-model, which was therefore selected as the preferred pharmacokinetic model (</w:t>
      </w:r>
      <w:r w:rsidRPr="00283C18">
        <w:rPr>
          <w:b/>
          <w:color w:val="FF0000"/>
          <w:lang w:val="en-GB"/>
        </w:rPr>
        <w:t xml:space="preserve">Table 2). </w:t>
      </w:r>
      <w:r w:rsidRPr="00283C18">
        <w:rPr>
          <w:bCs/>
          <w:color w:val="FF0000"/>
          <w:lang w:val="en-GB"/>
        </w:rPr>
        <w:t>In the liver, t</w:t>
      </w:r>
      <w:r w:rsidRPr="00283C18">
        <w:rPr>
          <w:color w:val="FF0000"/>
          <w:lang w:val="en-GB"/>
        </w:rPr>
        <w:t>he 2T3K model was also selected despite the 1T2K model showing the lowest AIC, based on the observed increase in uptake over time (</w:t>
      </w:r>
      <w:r w:rsidRPr="00283C18">
        <w:rPr>
          <w:b/>
          <w:color w:val="FF0000"/>
          <w:lang w:val="en-GB"/>
        </w:rPr>
        <w:t>Fig. 2</w:t>
      </w:r>
      <w:r w:rsidRPr="00283C18">
        <w:rPr>
          <w:color w:val="FF0000"/>
          <w:lang w:val="en-GB"/>
        </w:rPr>
        <w:t>), an implausible high 1T2K-derived V</w:t>
      </w:r>
      <w:r w:rsidRPr="00283C18">
        <w:rPr>
          <w:color w:val="FF0000"/>
          <w:vertAlign w:val="subscript"/>
          <w:lang w:val="en-GB"/>
        </w:rPr>
        <w:t>T</w:t>
      </w:r>
      <w:r w:rsidRPr="00283C18">
        <w:rPr>
          <w:color w:val="FF0000"/>
          <w:lang w:val="en-GB"/>
        </w:rPr>
        <w:t xml:space="preserve"> (Median V</w:t>
      </w:r>
      <w:r w:rsidRPr="00283C18">
        <w:rPr>
          <w:color w:val="FF0000"/>
          <w:vertAlign w:val="subscript"/>
          <w:lang w:val="en-GB"/>
        </w:rPr>
        <w:t>T</w:t>
      </w:r>
      <w:r w:rsidRPr="00283C18">
        <w:rPr>
          <w:color w:val="FF0000"/>
          <w:lang w:val="en-GB"/>
        </w:rPr>
        <w:t xml:space="preserve"> 98, IQR 87-100), and a small mean AIC difference between models (</w:t>
      </w:r>
      <w:r w:rsidRPr="00283C18">
        <w:rPr>
          <w:color w:val="FF0000"/>
        </w:rPr>
        <w:t>Δ</w:t>
      </w:r>
      <w:r w:rsidRPr="00283C18">
        <w:rPr>
          <w:color w:val="FF0000"/>
          <w:lang w:val="en-GB"/>
        </w:rPr>
        <w:t>AIC = 2).</w:t>
      </w:r>
    </w:p>
    <w:p w14:paraId="02C59970" w14:textId="77777777" w:rsidR="00283C18" w:rsidRDefault="00283C18" w:rsidP="001E576C">
      <w:pPr>
        <w:rPr>
          <w:lang w:val="en-GB"/>
        </w:rPr>
      </w:pPr>
    </w:p>
    <w:p w14:paraId="0337B7BC" w14:textId="0CFEB27A" w:rsidR="009004B9" w:rsidRDefault="00C82390" w:rsidP="001E576C">
      <w:pPr>
        <w:rPr>
          <w:color w:val="4F81BD" w:themeColor="accent1"/>
          <w:lang w:val="en-GB"/>
        </w:rPr>
      </w:pPr>
      <w:r w:rsidRPr="009827B6">
        <w:rPr>
          <w:lang w:val="en-GB"/>
        </w:rPr>
        <w:br/>
        <w:t>Overall, addressing these points would help strengthen the clarity and reliability of the manuscript.</w:t>
      </w:r>
      <w:r w:rsidRPr="009827B6">
        <w:rPr>
          <w:lang w:val="en-GB"/>
        </w:rPr>
        <w:br/>
      </w:r>
      <w:r w:rsidRPr="009827B6">
        <w:rPr>
          <w:lang w:val="en-GB"/>
        </w:rPr>
        <w:br/>
      </w:r>
      <w:r w:rsidRPr="009827B6">
        <w:rPr>
          <w:lang w:val="en-GB"/>
        </w:rPr>
        <w:br/>
        <w:t>Reviewer #2: The manuscript "PET pharmacokinetics 1 of [¹⁸</w:t>
      </w:r>
      <w:proofErr w:type="gramStart"/>
      <w:r w:rsidRPr="009827B6">
        <w:rPr>
          <w:lang w:val="en-GB"/>
        </w:rPr>
        <w:t>F]F</w:t>
      </w:r>
      <w:proofErr w:type="gramEnd"/>
      <w:r w:rsidRPr="009827B6">
        <w:rPr>
          <w:lang w:val="en-GB"/>
        </w:rPr>
        <w:t>-AraG as a marker of T Cell Activation during immunotherapy with a STING agonist with and without anti-PD-1" by</w:t>
      </w:r>
      <w:r w:rsidRPr="009827B6">
        <w:rPr>
          <w:lang w:val="en-GB"/>
        </w:rPr>
        <w:br/>
        <w:t>Pouw et al describes the [18</w:t>
      </w:r>
      <w:proofErr w:type="gramStart"/>
      <w:r w:rsidRPr="009827B6">
        <w:rPr>
          <w:lang w:val="en-GB"/>
        </w:rPr>
        <w:t>F]F</w:t>
      </w:r>
      <w:proofErr w:type="gramEnd"/>
      <w:r w:rsidRPr="009827B6">
        <w:rPr>
          <w:lang w:val="en-GB"/>
        </w:rPr>
        <w:t xml:space="preserve">-AraG tracer, developed to image activated T cells, in additional </w:t>
      </w:r>
      <w:proofErr w:type="spellStart"/>
      <w:r w:rsidRPr="009827B6">
        <w:rPr>
          <w:lang w:val="en-GB"/>
        </w:rPr>
        <w:t>tumor</w:t>
      </w:r>
      <w:proofErr w:type="spellEnd"/>
      <w:r w:rsidRPr="009827B6">
        <w:rPr>
          <w:lang w:val="en-GB"/>
        </w:rPr>
        <w:t xml:space="preserve"> types undergoing immunotherapy, and examines [18</w:t>
      </w:r>
      <w:proofErr w:type="gramStart"/>
      <w:r w:rsidRPr="009827B6">
        <w:rPr>
          <w:lang w:val="en-GB"/>
        </w:rPr>
        <w:t>F]F</w:t>
      </w:r>
      <w:proofErr w:type="gramEnd"/>
      <w:r w:rsidRPr="009827B6">
        <w:rPr>
          <w:lang w:val="en-GB"/>
        </w:rPr>
        <w:t xml:space="preserve">-AraG kinetics in various organs. Four patients with advanced solid </w:t>
      </w:r>
      <w:proofErr w:type="spellStart"/>
      <w:r w:rsidRPr="009827B6">
        <w:rPr>
          <w:lang w:val="en-GB"/>
        </w:rPr>
        <w:t>tumors</w:t>
      </w:r>
      <w:proofErr w:type="spellEnd"/>
      <w:r w:rsidRPr="009827B6">
        <w:rPr>
          <w:lang w:val="en-GB"/>
        </w:rPr>
        <w:t xml:space="preserve"> were included in this phase 1 trial investigating a STING agonist plus and minus anti PD-1. The tracer kinetics in </w:t>
      </w:r>
      <w:proofErr w:type="spellStart"/>
      <w:r w:rsidRPr="009827B6">
        <w:rPr>
          <w:lang w:val="en-GB"/>
        </w:rPr>
        <w:t>tumors</w:t>
      </w:r>
      <w:proofErr w:type="spellEnd"/>
      <w:r w:rsidRPr="009827B6">
        <w:rPr>
          <w:lang w:val="en-GB"/>
        </w:rPr>
        <w:t xml:space="preserve"> and organs were </w:t>
      </w:r>
      <w:proofErr w:type="spellStart"/>
      <w:r w:rsidRPr="009827B6">
        <w:rPr>
          <w:lang w:val="en-GB"/>
        </w:rPr>
        <w:t>modeled</w:t>
      </w:r>
      <w:proofErr w:type="spellEnd"/>
      <w:r w:rsidRPr="009827B6">
        <w:rPr>
          <w:lang w:val="en-GB"/>
        </w:rPr>
        <w:t xml:space="preserve"> using three compartment models and found that the kinetics of all </w:t>
      </w:r>
      <w:proofErr w:type="spellStart"/>
      <w:r w:rsidRPr="009827B6">
        <w:rPr>
          <w:lang w:val="en-GB"/>
        </w:rPr>
        <w:t>tumors</w:t>
      </w:r>
      <w:proofErr w:type="spellEnd"/>
      <w:r w:rsidRPr="009827B6">
        <w:rPr>
          <w:lang w:val="en-GB"/>
        </w:rPr>
        <w:t xml:space="preserve"> and most organs were adequately described with the two-tissue irreversible model (2T3K).</w:t>
      </w:r>
      <w:r w:rsidRPr="009827B6">
        <w:rPr>
          <w:lang w:val="en-GB"/>
        </w:rPr>
        <w:br/>
        <w:t xml:space="preserve">The manuscript mainly addresses methodological issues in a very small cohort of Phase 1 treated patients bearing </w:t>
      </w:r>
      <w:proofErr w:type="spellStart"/>
      <w:r w:rsidRPr="009827B6">
        <w:rPr>
          <w:lang w:val="en-GB"/>
        </w:rPr>
        <w:t>esophageal</w:t>
      </w:r>
      <w:proofErr w:type="spellEnd"/>
      <w:r w:rsidRPr="009827B6">
        <w:rPr>
          <w:lang w:val="en-GB"/>
        </w:rPr>
        <w:t>, melanoma and anus. The results are clear in term of best model identification although it is not clear a quantitative active T cell evaluation in a context of considerable uptake in the majority of organs.</w:t>
      </w:r>
      <w:r w:rsidRPr="009827B6">
        <w:rPr>
          <w:lang w:val="en-GB"/>
        </w:rPr>
        <w:br/>
      </w:r>
      <w:r w:rsidRPr="009827B6">
        <w:rPr>
          <w:lang w:val="en-GB"/>
        </w:rPr>
        <w:br/>
      </w:r>
      <w:r w:rsidRPr="009827B6">
        <w:rPr>
          <w:lang w:val="en-GB"/>
        </w:rPr>
        <w:br/>
      </w:r>
      <w:bookmarkStart w:id="1" w:name="_Hlk232659687"/>
      <w:r w:rsidR="002A6FE9" w:rsidRPr="002A6FE9">
        <w:rPr>
          <w:color w:val="4F81BD" w:themeColor="accent1"/>
          <w:lang w:val="en-GB"/>
        </w:rPr>
        <w:t>We thank the reviewer for this insightful comment and agree that the widespread physiological uptake of [18</w:t>
      </w:r>
      <w:proofErr w:type="gramStart"/>
      <w:r w:rsidR="002A6FE9" w:rsidRPr="002A6FE9">
        <w:rPr>
          <w:color w:val="4F81BD" w:themeColor="accent1"/>
          <w:lang w:val="en-GB"/>
        </w:rPr>
        <w:t>F]F</w:t>
      </w:r>
      <w:proofErr w:type="gramEnd"/>
      <w:r w:rsidR="002A6FE9" w:rsidRPr="002A6FE9">
        <w:rPr>
          <w:color w:val="4F81BD" w:themeColor="accent1"/>
          <w:lang w:val="en-GB"/>
        </w:rPr>
        <w:t>-AraG raises important questions regarding its specificity as a biomarker of activated T cells</w:t>
      </w:r>
      <w:r w:rsidR="009126E3">
        <w:rPr>
          <w:color w:val="4F81BD" w:themeColor="accent1"/>
          <w:lang w:val="en-GB"/>
        </w:rPr>
        <w:t xml:space="preserve">. To </w:t>
      </w:r>
      <w:r w:rsidR="00943AC8">
        <w:rPr>
          <w:color w:val="4F81BD" w:themeColor="accent1"/>
          <w:lang w:val="en-GB"/>
        </w:rPr>
        <w:t>address</w:t>
      </w:r>
      <w:r w:rsidR="002A6FE9">
        <w:rPr>
          <w:color w:val="4F81BD" w:themeColor="accent1"/>
          <w:lang w:val="en-GB"/>
        </w:rPr>
        <w:t xml:space="preserve"> this</w:t>
      </w:r>
      <w:r w:rsidR="00943AC8">
        <w:rPr>
          <w:color w:val="4F81BD" w:themeColor="accent1"/>
          <w:lang w:val="en-GB"/>
        </w:rPr>
        <w:t xml:space="preserve"> important</w:t>
      </w:r>
      <w:r w:rsidR="002A6FE9">
        <w:rPr>
          <w:color w:val="4F81BD" w:themeColor="accent1"/>
          <w:lang w:val="en-GB"/>
        </w:rPr>
        <w:t xml:space="preserve"> limitation, we </w:t>
      </w:r>
      <w:r w:rsidR="009126E3">
        <w:rPr>
          <w:color w:val="4F81BD" w:themeColor="accent1"/>
          <w:lang w:val="en-GB"/>
        </w:rPr>
        <w:t xml:space="preserve">have added the following wording in the discussion: </w:t>
      </w:r>
    </w:p>
    <w:p w14:paraId="20CA531E" w14:textId="77777777" w:rsidR="009126E3" w:rsidRDefault="009126E3" w:rsidP="001E576C">
      <w:pPr>
        <w:rPr>
          <w:b/>
          <w:bCs/>
          <w:lang w:val="en-GB"/>
        </w:rPr>
      </w:pPr>
    </w:p>
    <w:p w14:paraId="4A6CF9B8" w14:textId="0CA99882" w:rsidR="006F6616" w:rsidRPr="00BF5BD2" w:rsidRDefault="002A6FE9" w:rsidP="00AC1310">
      <w:pPr>
        <w:rPr>
          <w:lang w:val="en-GB"/>
        </w:rPr>
      </w:pPr>
      <w:r w:rsidRPr="002A6FE9">
        <w:rPr>
          <w:color w:val="FF0000"/>
          <w:lang w:val="en-GB"/>
        </w:rPr>
        <w:t>In general, substantial physiological [</w:t>
      </w:r>
      <w:r w:rsidRPr="002A6FE9">
        <w:rPr>
          <w:color w:val="FF0000"/>
          <w:vertAlign w:val="superscript"/>
          <w:lang w:val="en-GB"/>
        </w:rPr>
        <w:t>18</w:t>
      </w:r>
      <w:proofErr w:type="gramStart"/>
      <w:r w:rsidRPr="002A6FE9">
        <w:rPr>
          <w:color w:val="FF0000"/>
          <w:lang w:val="en-GB"/>
        </w:rPr>
        <w:t>F]F</w:t>
      </w:r>
      <w:proofErr w:type="gramEnd"/>
      <w:r w:rsidRPr="002A6FE9">
        <w:rPr>
          <w:color w:val="FF0000"/>
          <w:lang w:val="en-GB"/>
        </w:rPr>
        <w:t xml:space="preserve">-AraG uptake was observed across multiple organs, including those that are not generally considered </w:t>
      </w:r>
      <w:r w:rsidRPr="00BF5BD2">
        <w:rPr>
          <w:color w:val="FF0000"/>
          <w:lang w:val="en-GB"/>
        </w:rPr>
        <w:t xml:space="preserve">major reservoirs </w:t>
      </w:r>
      <w:r w:rsidRPr="002A6FE9">
        <w:rPr>
          <w:color w:val="FF0000"/>
          <w:lang w:val="en-GB"/>
        </w:rPr>
        <w:t xml:space="preserve">of T cells and are not primarily involved in tracer clearance (e.g., pancreas, thyroid gland, adrenal gland). </w:t>
      </w:r>
      <w:bookmarkEnd w:id="1"/>
      <w:r w:rsidR="00BF5BD2" w:rsidRPr="00BF5BD2">
        <w:rPr>
          <w:color w:val="FF0000"/>
          <w:lang w:val="en-GB"/>
        </w:rPr>
        <w:t>Although the pharmacokinetic parameters (Supplementary Table 1) suggest that uptake in these tissues is not solely explained by non-specific tracer distribution, the underlying biological mechanism remains unknow</w:t>
      </w:r>
      <w:r w:rsidR="00AC1310">
        <w:rPr>
          <w:color w:val="FF0000"/>
          <w:lang w:val="en-GB"/>
        </w:rPr>
        <w:t xml:space="preserve">n. </w:t>
      </w:r>
      <w:proofErr w:type="spellStart"/>
      <w:r w:rsidR="009F51DA">
        <w:rPr>
          <w:color w:val="FF0000"/>
        </w:rPr>
        <w:t>This</w:t>
      </w:r>
      <w:proofErr w:type="spellEnd"/>
      <w:r w:rsidR="009F51DA">
        <w:rPr>
          <w:color w:val="FF0000"/>
        </w:rPr>
        <w:t xml:space="preserve"> </w:t>
      </w:r>
      <w:proofErr w:type="spellStart"/>
      <w:r w:rsidR="009F51DA">
        <w:rPr>
          <w:color w:val="FF0000"/>
        </w:rPr>
        <w:t>widespread</w:t>
      </w:r>
      <w:proofErr w:type="spellEnd"/>
      <w:r w:rsidR="009F51DA">
        <w:rPr>
          <w:color w:val="FF0000"/>
        </w:rPr>
        <w:t xml:space="preserve"> </w:t>
      </w:r>
      <w:proofErr w:type="spellStart"/>
      <w:r w:rsidR="009F51DA">
        <w:rPr>
          <w:color w:val="FF0000"/>
        </w:rPr>
        <w:t>physiological</w:t>
      </w:r>
      <w:proofErr w:type="spellEnd"/>
      <w:r w:rsidR="009F51DA">
        <w:rPr>
          <w:color w:val="FF0000"/>
        </w:rPr>
        <w:t xml:space="preserve"> </w:t>
      </w:r>
      <w:proofErr w:type="spellStart"/>
      <w:r w:rsidR="009F51DA">
        <w:rPr>
          <w:color w:val="FF0000"/>
        </w:rPr>
        <w:t>uptake</w:t>
      </w:r>
      <w:proofErr w:type="spellEnd"/>
      <w:r w:rsidR="009F51DA">
        <w:rPr>
          <w:rStyle w:val="apple-converted-space"/>
          <w:color w:val="FF0000"/>
        </w:rPr>
        <w:t> </w:t>
      </w:r>
      <w:proofErr w:type="spellStart"/>
      <w:r w:rsidR="009F51DA">
        <w:rPr>
          <w:color w:val="FF0000"/>
        </w:rPr>
        <w:t>should</w:t>
      </w:r>
      <w:proofErr w:type="spellEnd"/>
      <w:r w:rsidR="009F51DA">
        <w:rPr>
          <w:color w:val="FF0000"/>
        </w:rPr>
        <w:t> </w:t>
      </w:r>
      <w:proofErr w:type="spellStart"/>
      <w:r w:rsidR="009F51DA">
        <w:rPr>
          <w:color w:val="FF0000"/>
        </w:rPr>
        <w:t>be</w:t>
      </w:r>
      <w:proofErr w:type="spellEnd"/>
      <w:r w:rsidR="009F51DA">
        <w:rPr>
          <w:color w:val="FF0000"/>
        </w:rPr>
        <w:t xml:space="preserve"> </w:t>
      </w:r>
      <w:proofErr w:type="spellStart"/>
      <w:r w:rsidR="009F51DA">
        <w:rPr>
          <w:color w:val="FF0000"/>
        </w:rPr>
        <w:t>considered</w:t>
      </w:r>
      <w:proofErr w:type="spellEnd"/>
      <w:r w:rsidR="009F51DA">
        <w:rPr>
          <w:color w:val="FF0000"/>
        </w:rPr>
        <w:t xml:space="preserve"> </w:t>
      </w:r>
      <w:proofErr w:type="spellStart"/>
      <w:r w:rsidR="009F51DA">
        <w:rPr>
          <w:color w:val="FF0000"/>
        </w:rPr>
        <w:t>when</w:t>
      </w:r>
      <w:proofErr w:type="spellEnd"/>
      <w:r w:rsidR="009F51DA">
        <w:rPr>
          <w:color w:val="FF0000"/>
        </w:rPr>
        <w:t xml:space="preserve"> </w:t>
      </w:r>
      <w:proofErr w:type="spellStart"/>
      <w:r w:rsidR="009F51DA">
        <w:rPr>
          <w:color w:val="FF0000"/>
        </w:rPr>
        <w:t>interpreting</w:t>
      </w:r>
      <w:proofErr w:type="spellEnd"/>
      <w:r w:rsidR="009F51DA">
        <w:rPr>
          <w:rStyle w:val="apple-converted-space"/>
          <w:color w:val="FF0000"/>
        </w:rPr>
        <w:t> </w:t>
      </w:r>
      <w:r w:rsidR="009F51DA">
        <w:rPr>
          <w:color w:val="FF0000"/>
        </w:rPr>
        <w:t>[</w:t>
      </w:r>
      <w:r w:rsidR="009F51DA">
        <w:rPr>
          <w:color w:val="FF0000"/>
          <w:vertAlign w:val="superscript"/>
        </w:rPr>
        <w:t>18</w:t>
      </w:r>
      <w:r w:rsidR="009F51DA">
        <w:rPr>
          <w:color w:val="FF0000"/>
        </w:rPr>
        <w:t>F]F-</w:t>
      </w:r>
      <w:proofErr w:type="spellStart"/>
      <w:r w:rsidR="009F51DA">
        <w:rPr>
          <w:color w:val="FF0000"/>
        </w:rPr>
        <w:t>AraG</w:t>
      </w:r>
      <w:proofErr w:type="spellEnd"/>
      <w:r w:rsidR="009F51DA">
        <w:rPr>
          <w:color w:val="FF0000"/>
        </w:rPr>
        <w:t xml:space="preserve"> PET </w:t>
      </w:r>
      <w:proofErr w:type="spellStart"/>
      <w:r w:rsidR="009F51DA">
        <w:rPr>
          <w:color w:val="FF0000"/>
        </w:rPr>
        <w:t>signals</w:t>
      </w:r>
      <w:proofErr w:type="spellEnd"/>
      <w:r w:rsidR="009F51DA">
        <w:rPr>
          <w:color w:val="FF0000"/>
        </w:rPr>
        <w:t xml:space="preserve"> </w:t>
      </w:r>
      <w:proofErr w:type="spellStart"/>
      <w:r w:rsidR="009F51DA">
        <w:rPr>
          <w:color w:val="FF0000"/>
        </w:rPr>
        <w:t>and</w:t>
      </w:r>
      <w:proofErr w:type="spellEnd"/>
      <w:r w:rsidR="009F51DA">
        <w:rPr>
          <w:color w:val="FF0000"/>
        </w:rPr>
        <w:t> </w:t>
      </w:r>
      <w:proofErr w:type="spellStart"/>
      <w:r w:rsidR="009F51DA">
        <w:rPr>
          <w:color w:val="FF0000"/>
        </w:rPr>
        <w:t>evaluating</w:t>
      </w:r>
      <w:proofErr w:type="spellEnd"/>
      <w:r w:rsidR="009F51DA">
        <w:rPr>
          <w:color w:val="FF0000"/>
        </w:rPr>
        <w:t xml:space="preserve"> [</w:t>
      </w:r>
      <w:r w:rsidR="009F51DA">
        <w:rPr>
          <w:color w:val="FF0000"/>
          <w:vertAlign w:val="superscript"/>
        </w:rPr>
        <w:t>18</w:t>
      </w:r>
      <w:r w:rsidR="009F51DA">
        <w:rPr>
          <w:color w:val="FF0000"/>
        </w:rPr>
        <w:t>F]F-</w:t>
      </w:r>
      <w:proofErr w:type="spellStart"/>
      <w:r w:rsidR="009F51DA">
        <w:rPr>
          <w:color w:val="FF0000"/>
        </w:rPr>
        <w:t>AraG</w:t>
      </w:r>
      <w:proofErr w:type="spellEnd"/>
      <w:r w:rsidR="009F51DA">
        <w:rPr>
          <w:color w:val="FF0000"/>
        </w:rPr>
        <w:t xml:space="preserve"> as </w:t>
      </w:r>
      <w:proofErr w:type="spellStart"/>
      <w:r w:rsidR="009F51DA">
        <w:rPr>
          <w:color w:val="FF0000"/>
        </w:rPr>
        <w:t>an</w:t>
      </w:r>
      <w:proofErr w:type="spellEnd"/>
      <w:r w:rsidR="009F51DA">
        <w:rPr>
          <w:color w:val="FF0000"/>
        </w:rPr>
        <w:t xml:space="preserve"> imaging </w:t>
      </w:r>
      <w:proofErr w:type="spellStart"/>
      <w:r w:rsidR="009F51DA">
        <w:rPr>
          <w:color w:val="FF0000"/>
        </w:rPr>
        <w:t>biomarker</w:t>
      </w:r>
      <w:proofErr w:type="spellEnd"/>
      <w:r w:rsidR="009F51DA">
        <w:rPr>
          <w:color w:val="FF0000"/>
        </w:rPr>
        <w:t xml:space="preserve"> of </w:t>
      </w:r>
      <w:proofErr w:type="spellStart"/>
      <w:r w:rsidR="009F51DA">
        <w:rPr>
          <w:color w:val="FF0000"/>
        </w:rPr>
        <w:t>activated</w:t>
      </w:r>
      <w:proofErr w:type="spellEnd"/>
      <w:r w:rsidR="009F51DA">
        <w:rPr>
          <w:color w:val="FF0000"/>
        </w:rPr>
        <w:t xml:space="preserve"> T </w:t>
      </w:r>
      <w:proofErr w:type="spellStart"/>
      <w:r w:rsidR="009F51DA">
        <w:rPr>
          <w:color w:val="FF0000"/>
        </w:rPr>
        <w:t>cells</w:t>
      </w:r>
      <w:proofErr w:type="spellEnd"/>
      <w:r w:rsidR="009F51DA">
        <w:rPr>
          <w:color w:val="FF0000"/>
        </w:rPr>
        <w:t>.</w:t>
      </w:r>
    </w:p>
    <w:sectPr w:rsidR="006F6616" w:rsidRPr="00BF5BD2" w:rsidSect="006F3CDF">
      <w:headerReference w:type="default" r:id="rId12"/>
      <w:headerReference w:type="first" r:id="rId13"/>
      <w:footerReference w:type="first" r:id="rId14"/>
      <w:pgSz w:w="11901" w:h="16817" w:code="9"/>
      <w:pgMar w:top="2835" w:right="1134" w:bottom="1701" w:left="1134" w:header="2098" w:footer="510" w:gutter="0"/>
      <w:paperSrc w:first="15" w:other="15"/>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E5ACDB" w14:textId="77777777" w:rsidR="00F43C41" w:rsidRDefault="00F43C41">
      <w:pPr>
        <w:spacing w:line="240" w:lineRule="auto"/>
      </w:pPr>
      <w:r>
        <w:separator/>
      </w:r>
    </w:p>
  </w:endnote>
  <w:endnote w:type="continuationSeparator" w:id="0">
    <w:p w14:paraId="0BA762C1" w14:textId="77777777" w:rsidR="00F43C41" w:rsidRDefault="00F43C4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Rounded 300">
    <w:altName w:val="Calibri"/>
    <w:panose1 w:val="020B0604020202020204"/>
    <w:charset w:val="00"/>
    <w:family w:val="auto"/>
    <w:pitch w:val="variable"/>
    <w:sig w:usb0="A00000AF" w:usb1="4000004B" w:usb2="00000000" w:usb3="00000000" w:csb0="0000009B"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DCDF77" w14:textId="77777777" w:rsidR="002065BD" w:rsidRDefault="00C80221">
    <w:pPr>
      <w:pStyle w:val="Footer"/>
    </w:pPr>
    <w:r>
      <w:softHyphen/>
    </w:r>
    <w:r>
      <w:softHyphen/>
    </w:r>
    <w:r w:rsidR="002065BD">
      <w:rPr>
        <w:noProof/>
        <w:lang w:eastAsia="nl-NL"/>
      </w:rPr>
      <w:drawing>
        <wp:anchor distT="0" distB="0" distL="114300" distR="114300" simplePos="0" relativeHeight="251658242" behindDoc="1" locked="1" layoutInCell="1" allowOverlap="0" wp14:anchorId="300D5AAE" wp14:editId="0B5C8295">
          <wp:simplePos x="0" y="0"/>
          <wp:positionH relativeFrom="page">
            <wp:posOffset>-18415</wp:posOffset>
          </wp:positionH>
          <wp:positionV relativeFrom="page">
            <wp:posOffset>9633585</wp:posOffset>
          </wp:positionV>
          <wp:extent cx="7576820" cy="1052830"/>
          <wp:effectExtent l="0" t="0" r="5080" b="1270"/>
          <wp:wrapNone/>
          <wp:docPr id="38" name="Graphic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pic:cNvPicPr/>
                </pic:nvPicPr>
                <pic:blipFill>
                  <a:blip r:embed="rId1">
                    <a:extLst>
                      <a:ext uri="{28A0092B-C50C-407E-A947-70E740481C1C}">
                        <a14:useLocalDpi xmlns:a14="http://schemas.microsoft.com/office/drawing/2010/main" val="0"/>
                      </a:ext>
                    </a:extLst>
                  </a:blip>
                  <a:srcRect t="194" b="194"/>
                  <a:stretch>
                    <a:fillRect/>
                  </a:stretch>
                </pic:blipFill>
                <pic:spPr>
                  <a:xfrm>
                    <a:off x="0" y="0"/>
                    <a:ext cx="7576820" cy="105283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E7F06A4" w14:textId="77777777" w:rsidR="00F43C41" w:rsidRDefault="00F43C41">
      <w:pPr>
        <w:spacing w:line="240" w:lineRule="auto"/>
      </w:pPr>
      <w:r>
        <w:separator/>
      </w:r>
    </w:p>
  </w:footnote>
  <w:footnote w:type="continuationSeparator" w:id="0">
    <w:p w14:paraId="5749DDD9" w14:textId="77777777" w:rsidR="00F43C41" w:rsidRDefault="00F43C4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1C7A96" w14:textId="77777777" w:rsidR="002065BD" w:rsidRDefault="002065BD">
    <w:pPr>
      <w:pStyle w:val="Header"/>
    </w:pPr>
    <w:r>
      <w:rPr>
        <w:noProof/>
        <w:lang w:eastAsia="nl-NL"/>
      </w:rPr>
      <w:drawing>
        <wp:anchor distT="0" distB="0" distL="114300" distR="114300" simplePos="0" relativeHeight="251658241" behindDoc="1" locked="1" layoutInCell="1" allowOverlap="0" wp14:anchorId="0843F2A0" wp14:editId="31BF8937">
          <wp:simplePos x="0" y="0"/>
          <wp:positionH relativeFrom="page">
            <wp:align>left</wp:align>
          </wp:positionH>
          <wp:positionV relativeFrom="page">
            <wp:align>top</wp:align>
          </wp:positionV>
          <wp:extent cx="7576820" cy="968375"/>
          <wp:effectExtent l="0" t="0" r="0" b="0"/>
          <wp:wrapNone/>
          <wp:docPr id="35" name="Graphic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raphic 3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77305" cy="96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54743F" w14:textId="77777777" w:rsidR="002065BD" w:rsidRDefault="002065BD">
    <w:pPr>
      <w:pStyle w:val="Header"/>
    </w:pPr>
    <w:r>
      <w:rPr>
        <w:noProof/>
        <w:lang w:eastAsia="nl-NL"/>
      </w:rPr>
      <w:drawing>
        <wp:anchor distT="0" distB="0" distL="114300" distR="114300" simplePos="0" relativeHeight="251658240" behindDoc="1" locked="1" layoutInCell="1" allowOverlap="1" wp14:anchorId="1BFFD973" wp14:editId="4145DBC8">
          <wp:simplePos x="0" y="0"/>
          <wp:positionH relativeFrom="page">
            <wp:posOffset>0</wp:posOffset>
          </wp:positionH>
          <wp:positionV relativeFrom="page">
            <wp:posOffset>-3175</wp:posOffset>
          </wp:positionV>
          <wp:extent cx="7559675" cy="965835"/>
          <wp:effectExtent l="0" t="0" r="0" b="0"/>
          <wp:wrapNone/>
          <wp:docPr id="37" name="Graphic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raphic 37"/>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9658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D"/>
    <w:multiLevelType w:val="singleLevel"/>
    <w:tmpl w:val="B096F8F4"/>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8AE60E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482352E"/>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5A12F39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24CEE1C"/>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6A870E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21891E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614EDA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CBC6E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7C24CA"/>
    <w:multiLevelType w:val="multilevel"/>
    <w:tmpl w:val="2488CC14"/>
    <w:lvl w:ilvl="0">
      <w:start w:val="1"/>
      <w:numFmt w:val="bullet"/>
      <w:pStyle w:val="ListBullet"/>
      <w:lvlText w:val=""/>
      <w:lvlJc w:val="left"/>
      <w:pPr>
        <w:ind w:left="360" w:hanging="360"/>
      </w:pPr>
      <w:rPr>
        <w:rFonts w:ascii="Symbol" w:hAnsi="Symbol" w:hint="default"/>
      </w:rPr>
    </w:lvl>
    <w:lvl w:ilvl="1">
      <w:start w:val="1"/>
      <w:numFmt w:val="bullet"/>
      <w:lvlRestart w:val="0"/>
      <w:pStyle w:val="ListBullet2"/>
      <w:lvlText w:val="o"/>
      <w:lvlJc w:val="left"/>
      <w:pPr>
        <w:ind w:left="720" w:hanging="360"/>
      </w:pPr>
      <w:rPr>
        <w:rFonts w:ascii="Courier New" w:hAnsi="Courier New" w:hint="default"/>
      </w:rPr>
    </w:lvl>
    <w:lvl w:ilvl="2">
      <w:start w:val="1"/>
      <w:numFmt w:val="bullet"/>
      <w:lvlRestart w:val="0"/>
      <w:pStyle w:val="ListBullet3"/>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8F9202C"/>
    <w:multiLevelType w:val="hybridMultilevel"/>
    <w:tmpl w:val="DAF460E4"/>
    <w:lvl w:ilvl="0" w:tplc="EBAE154E">
      <w:start w:val="1"/>
      <w:numFmt w:val="bullet"/>
      <w:lvlText w:val=""/>
      <w:lvlJc w:val="left"/>
      <w:pPr>
        <w:tabs>
          <w:tab w:val="num" w:pos="360"/>
        </w:tabs>
        <w:ind w:left="360" w:hanging="360"/>
      </w:pPr>
      <w:rPr>
        <w:rFonts w:ascii="Wingdings" w:hAnsi="Wingdings" w:hint="default"/>
      </w:rPr>
    </w:lvl>
    <w:lvl w:ilvl="1" w:tplc="CB4CC05E" w:tentative="1">
      <w:start w:val="1"/>
      <w:numFmt w:val="bullet"/>
      <w:lvlText w:val="o"/>
      <w:lvlJc w:val="left"/>
      <w:pPr>
        <w:tabs>
          <w:tab w:val="num" w:pos="1080"/>
        </w:tabs>
        <w:ind w:left="1080" w:hanging="360"/>
      </w:pPr>
      <w:rPr>
        <w:rFonts w:ascii="Courier New" w:hAnsi="Courier New" w:cs="Courier New" w:hint="default"/>
      </w:rPr>
    </w:lvl>
    <w:lvl w:ilvl="2" w:tplc="4886B5FC" w:tentative="1">
      <w:start w:val="1"/>
      <w:numFmt w:val="bullet"/>
      <w:lvlText w:val=""/>
      <w:lvlJc w:val="left"/>
      <w:pPr>
        <w:tabs>
          <w:tab w:val="num" w:pos="1800"/>
        </w:tabs>
        <w:ind w:left="1800" w:hanging="360"/>
      </w:pPr>
      <w:rPr>
        <w:rFonts w:ascii="Wingdings" w:hAnsi="Wingdings" w:hint="default"/>
      </w:rPr>
    </w:lvl>
    <w:lvl w:ilvl="3" w:tplc="1E2A7992" w:tentative="1">
      <w:start w:val="1"/>
      <w:numFmt w:val="bullet"/>
      <w:lvlText w:val=""/>
      <w:lvlJc w:val="left"/>
      <w:pPr>
        <w:tabs>
          <w:tab w:val="num" w:pos="2520"/>
        </w:tabs>
        <w:ind w:left="2520" w:hanging="360"/>
      </w:pPr>
      <w:rPr>
        <w:rFonts w:ascii="Symbol" w:hAnsi="Symbol" w:hint="default"/>
      </w:rPr>
    </w:lvl>
    <w:lvl w:ilvl="4" w:tplc="7D4687C2" w:tentative="1">
      <w:start w:val="1"/>
      <w:numFmt w:val="bullet"/>
      <w:lvlText w:val="o"/>
      <w:lvlJc w:val="left"/>
      <w:pPr>
        <w:tabs>
          <w:tab w:val="num" w:pos="3240"/>
        </w:tabs>
        <w:ind w:left="3240" w:hanging="360"/>
      </w:pPr>
      <w:rPr>
        <w:rFonts w:ascii="Courier New" w:hAnsi="Courier New" w:cs="Courier New" w:hint="default"/>
      </w:rPr>
    </w:lvl>
    <w:lvl w:ilvl="5" w:tplc="91E80B1C" w:tentative="1">
      <w:start w:val="1"/>
      <w:numFmt w:val="bullet"/>
      <w:lvlText w:val=""/>
      <w:lvlJc w:val="left"/>
      <w:pPr>
        <w:tabs>
          <w:tab w:val="num" w:pos="3960"/>
        </w:tabs>
        <w:ind w:left="3960" w:hanging="360"/>
      </w:pPr>
      <w:rPr>
        <w:rFonts w:ascii="Wingdings" w:hAnsi="Wingdings" w:hint="default"/>
      </w:rPr>
    </w:lvl>
    <w:lvl w:ilvl="6" w:tplc="AAB09C66" w:tentative="1">
      <w:start w:val="1"/>
      <w:numFmt w:val="bullet"/>
      <w:lvlText w:val=""/>
      <w:lvlJc w:val="left"/>
      <w:pPr>
        <w:tabs>
          <w:tab w:val="num" w:pos="4680"/>
        </w:tabs>
        <w:ind w:left="4680" w:hanging="360"/>
      </w:pPr>
      <w:rPr>
        <w:rFonts w:ascii="Symbol" w:hAnsi="Symbol" w:hint="default"/>
      </w:rPr>
    </w:lvl>
    <w:lvl w:ilvl="7" w:tplc="61BCDCD8" w:tentative="1">
      <w:start w:val="1"/>
      <w:numFmt w:val="bullet"/>
      <w:lvlText w:val="o"/>
      <w:lvlJc w:val="left"/>
      <w:pPr>
        <w:tabs>
          <w:tab w:val="num" w:pos="5400"/>
        </w:tabs>
        <w:ind w:left="5400" w:hanging="360"/>
      </w:pPr>
      <w:rPr>
        <w:rFonts w:ascii="Courier New" w:hAnsi="Courier New" w:cs="Courier New" w:hint="default"/>
      </w:rPr>
    </w:lvl>
    <w:lvl w:ilvl="8" w:tplc="EE0E50F0"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C8E3487"/>
    <w:multiLevelType w:val="hybridMultilevel"/>
    <w:tmpl w:val="A836BE1A"/>
    <w:lvl w:ilvl="0" w:tplc="9A54ED94">
      <w:numFmt w:val="bullet"/>
      <w:lvlText w:val="-"/>
      <w:lvlJc w:val="left"/>
      <w:pPr>
        <w:tabs>
          <w:tab w:val="num" w:pos="720"/>
        </w:tabs>
        <w:ind w:left="720" w:hanging="360"/>
      </w:pPr>
      <w:rPr>
        <w:rFonts w:ascii="Times New Roman" w:eastAsia="Times New Roman" w:hAnsi="Times New Roman" w:cs="Times New Roman" w:hint="default"/>
      </w:rPr>
    </w:lvl>
    <w:lvl w:ilvl="1" w:tplc="F3D0FD5E" w:tentative="1">
      <w:start w:val="1"/>
      <w:numFmt w:val="bullet"/>
      <w:lvlText w:val="o"/>
      <w:lvlJc w:val="left"/>
      <w:pPr>
        <w:tabs>
          <w:tab w:val="num" w:pos="1440"/>
        </w:tabs>
        <w:ind w:left="1440" w:hanging="360"/>
      </w:pPr>
      <w:rPr>
        <w:rFonts w:ascii="Courier New" w:hAnsi="Courier New" w:hint="default"/>
      </w:rPr>
    </w:lvl>
    <w:lvl w:ilvl="2" w:tplc="B60C7E66" w:tentative="1">
      <w:start w:val="1"/>
      <w:numFmt w:val="bullet"/>
      <w:lvlText w:val=""/>
      <w:lvlJc w:val="left"/>
      <w:pPr>
        <w:tabs>
          <w:tab w:val="num" w:pos="2160"/>
        </w:tabs>
        <w:ind w:left="2160" w:hanging="360"/>
      </w:pPr>
      <w:rPr>
        <w:rFonts w:ascii="Wingdings" w:hAnsi="Wingdings" w:hint="default"/>
      </w:rPr>
    </w:lvl>
    <w:lvl w:ilvl="3" w:tplc="91307718" w:tentative="1">
      <w:start w:val="1"/>
      <w:numFmt w:val="bullet"/>
      <w:lvlText w:val=""/>
      <w:lvlJc w:val="left"/>
      <w:pPr>
        <w:tabs>
          <w:tab w:val="num" w:pos="2880"/>
        </w:tabs>
        <w:ind w:left="2880" w:hanging="360"/>
      </w:pPr>
      <w:rPr>
        <w:rFonts w:ascii="Symbol" w:hAnsi="Symbol" w:hint="default"/>
      </w:rPr>
    </w:lvl>
    <w:lvl w:ilvl="4" w:tplc="740456BE" w:tentative="1">
      <w:start w:val="1"/>
      <w:numFmt w:val="bullet"/>
      <w:lvlText w:val="o"/>
      <w:lvlJc w:val="left"/>
      <w:pPr>
        <w:tabs>
          <w:tab w:val="num" w:pos="3600"/>
        </w:tabs>
        <w:ind w:left="3600" w:hanging="360"/>
      </w:pPr>
      <w:rPr>
        <w:rFonts w:ascii="Courier New" w:hAnsi="Courier New" w:hint="default"/>
      </w:rPr>
    </w:lvl>
    <w:lvl w:ilvl="5" w:tplc="3DD8FBBE" w:tentative="1">
      <w:start w:val="1"/>
      <w:numFmt w:val="bullet"/>
      <w:lvlText w:val=""/>
      <w:lvlJc w:val="left"/>
      <w:pPr>
        <w:tabs>
          <w:tab w:val="num" w:pos="4320"/>
        </w:tabs>
        <w:ind w:left="4320" w:hanging="360"/>
      </w:pPr>
      <w:rPr>
        <w:rFonts w:ascii="Wingdings" w:hAnsi="Wingdings" w:hint="default"/>
      </w:rPr>
    </w:lvl>
    <w:lvl w:ilvl="6" w:tplc="32F2B5F6" w:tentative="1">
      <w:start w:val="1"/>
      <w:numFmt w:val="bullet"/>
      <w:lvlText w:val=""/>
      <w:lvlJc w:val="left"/>
      <w:pPr>
        <w:tabs>
          <w:tab w:val="num" w:pos="5040"/>
        </w:tabs>
        <w:ind w:left="5040" w:hanging="360"/>
      </w:pPr>
      <w:rPr>
        <w:rFonts w:ascii="Symbol" w:hAnsi="Symbol" w:hint="default"/>
      </w:rPr>
    </w:lvl>
    <w:lvl w:ilvl="7" w:tplc="5728FAB8" w:tentative="1">
      <w:start w:val="1"/>
      <w:numFmt w:val="bullet"/>
      <w:lvlText w:val="o"/>
      <w:lvlJc w:val="left"/>
      <w:pPr>
        <w:tabs>
          <w:tab w:val="num" w:pos="5760"/>
        </w:tabs>
        <w:ind w:left="5760" w:hanging="360"/>
      </w:pPr>
      <w:rPr>
        <w:rFonts w:ascii="Courier New" w:hAnsi="Courier New" w:hint="default"/>
      </w:rPr>
    </w:lvl>
    <w:lvl w:ilvl="8" w:tplc="0020392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A000A56"/>
    <w:multiLevelType w:val="hybridMultilevel"/>
    <w:tmpl w:val="ADD8CA4A"/>
    <w:lvl w:ilvl="0" w:tplc="3F26EA2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E46E4E"/>
    <w:multiLevelType w:val="hybridMultilevel"/>
    <w:tmpl w:val="0E148B72"/>
    <w:lvl w:ilvl="0" w:tplc="CB4221EE">
      <w:start w:val="1"/>
      <w:numFmt w:val="bullet"/>
      <w:lvlText w:val=""/>
      <w:lvlJc w:val="left"/>
      <w:pPr>
        <w:tabs>
          <w:tab w:val="num" w:pos="360"/>
        </w:tabs>
        <w:ind w:left="360" w:hanging="360"/>
      </w:pPr>
      <w:rPr>
        <w:rFonts w:ascii="Symbol" w:hAnsi="Symbol" w:hint="default"/>
      </w:rPr>
    </w:lvl>
    <w:lvl w:ilvl="1" w:tplc="FD7E8638" w:tentative="1">
      <w:start w:val="1"/>
      <w:numFmt w:val="bullet"/>
      <w:lvlText w:val="o"/>
      <w:lvlJc w:val="left"/>
      <w:pPr>
        <w:tabs>
          <w:tab w:val="num" w:pos="1080"/>
        </w:tabs>
        <w:ind w:left="1080" w:hanging="360"/>
      </w:pPr>
      <w:rPr>
        <w:rFonts w:ascii="Courier New" w:hAnsi="Courier New" w:cs="Courier New" w:hint="default"/>
      </w:rPr>
    </w:lvl>
    <w:lvl w:ilvl="2" w:tplc="894A7ACE" w:tentative="1">
      <w:start w:val="1"/>
      <w:numFmt w:val="bullet"/>
      <w:lvlText w:val=""/>
      <w:lvlJc w:val="left"/>
      <w:pPr>
        <w:tabs>
          <w:tab w:val="num" w:pos="1800"/>
        </w:tabs>
        <w:ind w:left="1800" w:hanging="360"/>
      </w:pPr>
      <w:rPr>
        <w:rFonts w:ascii="Wingdings" w:hAnsi="Wingdings" w:hint="default"/>
      </w:rPr>
    </w:lvl>
    <w:lvl w:ilvl="3" w:tplc="8CD073E0" w:tentative="1">
      <w:start w:val="1"/>
      <w:numFmt w:val="bullet"/>
      <w:lvlText w:val=""/>
      <w:lvlJc w:val="left"/>
      <w:pPr>
        <w:tabs>
          <w:tab w:val="num" w:pos="2520"/>
        </w:tabs>
        <w:ind w:left="2520" w:hanging="360"/>
      </w:pPr>
      <w:rPr>
        <w:rFonts w:ascii="Symbol" w:hAnsi="Symbol" w:hint="default"/>
      </w:rPr>
    </w:lvl>
    <w:lvl w:ilvl="4" w:tplc="B636D812" w:tentative="1">
      <w:start w:val="1"/>
      <w:numFmt w:val="bullet"/>
      <w:lvlText w:val="o"/>
      <w:lvlJc w:val="left"/>
      <w:pPr>
        <w:tabs>
          <w:tab w:val="num" w:pos="3240"/>
        </w:tabs>
        <w:ind w:left="3240" w:hanging="360"/>
      </w:pPr>
      <w:rPr>
        <w:rFonts w:ascii="Courier New" w:hAnsi="Courier New" w:cs="Courier New" w:hint="default"/>
      </w:rPr>
    </w:lvl>
    <w:lvl w:ilvl="5" w:tplc="C18A85DE" w:tentative="1">
      <w:start w:val="1"/>
      <w:numFmt w:val="bullet"/>
      <w:lvlText w:val=""/>
      <w:lvlJc w:val="left"/>
      <w:pPr>
        <w:tabs>
          <w:tab w:val="num" w:pos="3960"/>
        </w:tabs>
        <w:ind w:left="3960" w:hanging="360"/>
      </w:pPr>
      <w:rPr>
        <w:rFonts w:ascii="Wingdings" w:hAnsi="Wingdings" w:hint="default"/>
      </w:rPr>
    </w:lvl>
    <w:lvl w:ilvl="6" w:tplc="340C2362" w:tentative="1">
      <w:start w:val="1"/>
      <w:numFmt w:val="bullet"/>
      <w:lvlText w:val=""/>
      <w:lvlJc w:val="left"/>
      <w:pPr>
        <w:tabs>
          <w:tab w:val="num" w:pos="4680"/>
        </w:tabs>
        <w:ind w:left="4680" w:hanging="360"/>
      </w:pPr>
      <w:rPr>
        <w:rFonts w:ascii="Symbol" w:hAnsi="Symbol" w:hint="default"/>
      </w:rPr>
    </w:lvl>
    <w:lvl w:ilvl="7" w:tplc="C930A9F4" w:tentative="1">
      <w:start w:val="1"/>
      <w:numFmt w:val="bullet"/>
      <w:lvlText w:val="o"/>
      <w:lvlJc w:val="left"/>
      <w:pPr>
        <w:tabs>
          <w:tab w:val="num" w:pos="5400"/>
        </w:tabs>
        <w:ind w:left="5400" w:hanging="360"/>
      </w:pPr>
      <w:rPr>
        <w:rFonts w:ascii="Courier New" w:hAnsi="Courier New" w:cs="Courier New" w:hint="default"/>
      </w:rPr>
    </w:lvl>
    <w:lvl w:ilvl="8" w:tplc="A1CC9E0A"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62B5CEA"/>
    <w:multiLevelType w:val="hybridMultilevel"/>
    <w:tmpl w:val="86806002"/>
    <w:lvl w:ilvl="0" w:tplc="CBE6AA8E">
      <w:numFmt w:val="bullet"/>
      <w:lvlText w:val="-"/>
      <w:lvlJc w:val="left"/>
      <w:pPr>
        <w:tabs>
          <w:tab w:val="num" w:pos="720"/>
        </w:tabs>
        <w:ind w:left="720" w:hanging="360"/>
      </w:pPr>
      <w:rPr>
        <w:rFonts w:ascii="Times New Roman" w:eastAsia="Times New Roman" w:hAnsi="Times New Roman" w:cs="Times New Roman" w:hint="default"/>
      </w:rPr>
    </w:lvl>
    <w:lvl w:ilvl="1" w:tplc="BCC4404C" w:tentative="1">
      <w:start w:val="1"/>
      <w:numFmt w:val="bullet"/>
      <w:lvlText w:val="o"/>
      <w:lvlJc w:val="left"/>
      <w:pPr>
        <w:tabs>
          <w:tab w:val="num" w:pos="1440"/>
        </w:tabs>
        <w:ind w:left="1440" w:hanging="360"/>
      </w:pPr>
      <w:rPr>
        <w:rFonts w:ascii="Courier New" w:hAnsi="Courier New" w:cs="Courier New" w:hint="default"/>
      </w:rPr>
    </w:lvl>
    <w:lvl w:ilvl="2" w:tplc="F99C936A" w:tentative="1">
      <w:start w:val="1"/>
      <w:numFmt w:val="bullet"/>
      <w:lvlText w:val=""/>
      <w:lvlJc w:val="left"/>
      <w:pPr>
        <w:tabs>
          <w:tab w:val="num" w:pos="2160"/>
        </w:tabs>
        <w:ind w:left="2160" w:hanging="360"/>
      </w:pPr>
      <w:rPr>
        <w:rFonts w:ascii="Wingdings" w:hAnsi="Wingdings" w:hint="default"/>
      </w:rPr>
    </w:lvl>
    <w:lvl w:ilvl="3" w:tplc="DB7A98B8" w:tentative="1">
      <w:start w:val="1"/>
      <w:numFmt w:val="bullet"/>
      <w:lvlText w:val=""/>
      <w:lvlJc w:val="left"/>
      <w:pPr>
        <w:tabs>
          <w:tab w:val="num" w:pos="2880"/>
        </w:tabs>
        <w:ind w:left="2880" w:hanging="360"/>
      </w:pPr>
      <w:rPr>
        <w:rFonts w:ascii="Symbol" w:hAnsi="Symbol" w:hint="default"/>
      </w:rPr>
    </w:lvl>
    <w:lvl w:ilvl="4" w:tplc="4DB0B696" w:tentative="1">
      <w:start w:val="1"/>
      <w:numFmt w:val="bullet"/>
      <w:lvlText w:val="o"/>
      <w:lvlJc w:val="left"/>
      <w:pPr>
        <w:tabs>
          <w:tab w:val="num" w:pos="3600"/>
        </w:tabs>
        <w:ind w:left="3600" w:hanging="360"/>
      </w:pPr>
      <w:rPr>
        <w:rFonts w:ascii="Courier New" w:hAnsi="Courier New" w:cs="Courier New" w:hint="default"/>
      </w:rPr>
    </w:lvl>
    <w:lvl w:ilvl="5" w:tplc="301C2946" w:tentative="1">
      <w:start w:val="1"/>
      <w:numFmt w:val="bullet"/>
      <w:lvlText w:val=""/>
      <w:lvlJc w:val="left"/>
      <w:pPr>
        <w:tabs>
          <w:tab w:val="num" w:pos="4320"/>
        </w:tabs>
        <w:ind w:left="4320" w:hanging="360"/>
      </w:pPr>
      <w:rPr>
        <w:rFonts w:ascii="Wingdings" w:hAnsi="Wingdings" w:hint="default"/>
      </w:rPr>
    </w:lvl>
    <w:lvl w:ilvl="6" w:tplc="CBB4723A" w:tentative="1">
      <w:start w:val="1"/>
      <w:numFmt w:val="bullet"/>
      <w:lvlText w:val=""/>
      <w:lvlJc w:val="left"/>
      <w:pPr>
        <w:tabs>
          <w:tab w:val="num" w:pos="5040"/>
        </w:tabs>
        <w:ind w:left="5040" w:hanging="360"/>
      </w:pPr>
      <w:rPr>
        <w:rFonts w:ascii="Symbol" w:hAnsi="Symbol" w:hint="default"/>
      </w:rPr>
    </w:lvl>
    <w:lvl w:ilvl="7" w:tplc="94AE7F52" w:tentative="1">
      <w:start w:val="1"/>
      <w:numFmt w:val="bullet"/>
      <w:lvlText w:val="o"/>
      <w:lvlJc w:val="left"/>
      <w:pPr>
        <w:tabs>
          <w:tab w:val="num" w:pos="5760"/>
        </w:tabs>
        <w:ind w:left="5760" w:hanging="360"/>
      </w:pPr>
      <w:rPr>
        <w:rFonts w:ascii="Courier New" w:hAnsi="Courier New" w:cs="Courier New" w:hint="default"/>
      </w:rPr>
    </w:lvl>
    <w:lvl w:ilvl="8" w:tplc="ED80E5E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E906DB"/>
    <w:multiLevelType w:val="multilevel"/>
    <w:tmpl w:val="CFAC9790"/>
    <w:lvl w:ilvl="0">
      <w:start w:val="1"/>
      <w:numFmt w:val="decimal"/>
      <w:pStyle w:val="ListNumber"/>
      <w:lvlText w:val="%1."/>
      <w:lvlJc w:val="left"/>
      <w:pPr>
        <w:ind w:left="360" w:hanging="360"/>
      </w:pPr>
      <w:rPr>
        <w:rFonts w:hint="default"/>
      </w:rPr>
    </w:lvl>
    <w:lvl w:ilvl="1">
      <w:start w:val="1"/>
      <w:numFmt w:val="lowerLetter"/>
      <w:lvlRestart w:val="0"/>
      <w:pStyle w:val="ListNumber2"/>
      <w:lvlText w:val="%2."/>
      <w:lvlJc w:val="left"/>
      <w:pPr>
        <w:ind w:left="720" w:hanging="360"/>
      </w:pPr>
      <w:rPr>
        <w:rFonts w:hint="default"/>
      </w:rPr>
    </w:lvl>
    <w:lvl w:ilvl="2">
      <w:start w:val="1"/>
      <w:numFmt w:val="lowerRoman"/>
      <w:lvlRestart w:val="0"/>
      <w:pStyle w:val="ListNumber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881A36"/>
    <w:multiLevelType w:val="hybridMultilevel"/>
    <w:tmpl w:val="41F011B2"/>
    <w:lvl w:ilvl="0" w:tplc="80F6037A">
      <w:start w:val="1"/>
      <w:numFmt w:val="decimal"/>
      <w:lvlText w:val="%1."/>
      <w:lvlJc w:val="left"/>
      <w:pPr>
        <w:tabs>
          <w:tab w:val="num" w:pos="720"/>
        </w:tabs>
        <w:ind w:left="720" w:hanging="360"/>
      </w:pPr>
      <w:rPr>
        <w:rFonts w:hint="default"/>
      </w:rPr>
    </w:lvl>
    <w:lvl w:ilvl="1" w:tplc="D2AA5156" w:tentative="1">
      <w:start w:val="1"/>
      <w:numFmt w:val="lowerLetter"/>
      <w:lvlText w:val="%2."/>
      <w:lvlJc w:val="left"/>
      <w:pPr>
        <w:tabs>
          <w:tab w:val="num" w:pos="1440"/>
        </w:tabs>
        <w:ind w:left="1440" w:hanging="360"/>
      </w:pPr>
    </w:lvl>
    <w:lvl w:ilvl="2" w:tplc="BB7CF692" w:tentative="1">
      <w:start w:val="1"/>
      <w:numFmt w:val="lowerRoman"/>
      <w:lvlText w:val="%3."/>
      <w:lvlJc w:val="right"/>
      <w:pPr>
        <w:tabs>
          <w:tab w:val="num" w:pos="2160"/>
        </w:tabs>
        <w:ind w:left="2160" w:hanging="180"/>
      </w:pPr>
    </w:lvl>
    <w:lvl w:ilvl="3" w:tplc="EAC64374" w:tentative="1">
      <w:start w:val="1"/>
      <w:numFmt w:val="decimal"/>
      <w:lvlText w:val="%4."/>
      <w:lvlJc w:val="left"/>
      <w:pPr>
        <w:tabs>
          <w:tab w:val="num" w:pos="2880"/>
        </w:tabs>
        <w:ind w:left="2880" w:hanging="360"/>
      </w:pPr>
    </w:lvl>
    <w:lvl w:ilvl="4" w:tplc="0E52B14A" w:tentative="1">
      <w:start w:val="1"/>
      <w:numFmt w:val="lowerLetter"/>
      <w:lvlText w:val="%5."/>
      <w:lvlJc w:val="left"/>
      <w:pPr>
        <w:tabs>
          <w:tab w:val="num" w:pos="3600"/>
        </w:tabs>
        <w:ind w:left="3600" w:hanging="360"/>
      </w:pPr>
    </w:lvl>
    <w:lvl w:ilvl="5" w:tplc="F8E28EF8" w:tentative="1">
      <w:start w:val="1"/>
      <w:numFmt w:val="lowerRoman"/>
      <w:lvlText w:val="%6."/>
      <w:lvlJc w:val="right"/>
      <w:pPr>
        <w:tabs>
          <w:tab w:val="num" w:pos="4320"/>
        </w:tabs>
        <w:ind w:left="4320" w:hanging="180"/>
      </w:pPr>
    </w:lvl>
    <w:lvl w:ilvl="6" w:tplc="2DE2B64C" w:tentative="1">
      <w:start w:val="1"/>
      <w:numFmt w:val="decimal"/>
      <w:lvlText w:val="%7."/>
      <w:lvlJc w:val="left"/>
      <w:pPr>
        <w:tabs>
          <w:tab w:val="num" w:pos="5040"/>
        </w:tabs>
        <w:ind w:left="5040" w:hanging="360"/>
      </w:pPr>
    </w:lvl>
    <w:lvl w:ilvl="7" w:tplc="30743700" w:tentative="1">
      <w:start w:val="1"/>
      <w:numFmt w:val="lowerLetter"/>
      <w:lvlText w:val="%8."/>
      <w:lvlJc w:val="left"/>
      <w:pPr>
        <w:tabs>
          <w:tab w:val="num" w:pos="5760"/>
        </w:tabs>
        <w:ind w:left="5760" w:hanging="360"/>
      </w:pPr>
    </w:lvl>
    <w:lvl w:ilvl="8" w:tplc="5B8EAF46" w:tentative="1">
      <w:start w:val="1"/>
      <w:numFmt w:val="lowerRoman"/>
      <w:lvlText w:val="%9."/>
      <w:lvlJc w:val="right"/>
      <w:pPr>
        <w:tabs>
          <w:tab w:val="num" w:pos="6480"/>
        </w:tabs>
        <w:ind w:left="6480" w:hanging="180"/>
      </w:pPr>
    </w:lvl>
  </w:abstractNum>
  <w:abstractNum w:abstractNumId="17" w15:restartNumberingAfterBreak="0">
    <w:nsid w:val="7A137B9D"/>
    <w:multiLevelType w:val="hybridMultilevel"/>
    <w:tmpl w:val="F8FA1190"/>
    <w:lvl w:ilvl="0" w:tplc="8F32D9FA">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1A5B7D"/>
    <w:multiLevelType w:val="hybridMultilevel"/>
    <w:tmpl w:val="83E8FBEA"/>
    <w:lvl w:ilvl="0" w:tplc="D10C3AD6">
      <w:start w:val="10"/>
      <w:numFmt w:val="bullet"/>
      <w:lvlText w:val="-"/>
      <w:lvlJc w:val="left"/>
      <w:pPr>
        <w:ind w:left="720" w:hanging="360"/>
      </w:pPr>
      <w:rPr>
        <w:rFonts w:ascii="Trebuchet MS" w:eastAsia="Calibri" w:hAnsi="Trebuchet MS" w:cs="Times New Roman" w:hint="default"/>
        <w:i w:val="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00939875">
    <w:abstractNumId w:val="11"/>
  </w:num>
  <w:num w:numId="2" w16cid:durableId="1690375330">
    <w:abstractNumId w:val="14"/>
  </w:num>
  <w:num w:numId="3" w16cid:durableId="1605259547">
    <w:abstractNumId w:val="16"/>
  </w:num>
  <w:num w:numId="4" w16cid:durableId="275596808">
    <w:abstractNumId w:val="13"/>
  </w:num>
  <w:num w:numId="5" w16cid:durableId="1260942415">
    <w:abstractNumId w:val="10"/>
  </w:num>
  <w:num w:numId="6" w16cid:durableId="1041705771">
    <w:abstractNumId w:val="8"/>
  </w:num>
  <w:num w:numId="7" w16cid:durableId="964429651">
    <w:abstractNumId w:val="6"/>
  </w:num>
  <w:num w:numId="8" w16cid:durableId="262879034">
    <w:abstractNumId w:val="5"/>
  </w:num>
  <w:num w:numId="9" w16cid:durableId="418870704">
    <w:abstractNumId w:val="4"/>
  </w:num>
  <w:num w:numId="10" w16cid:durableId="498083214">
    <w:abstractNumId w:val="3"/>
  </w:num>
  <w:num w:numId="11" w16cid:durableId="1271085289">
    <w:abstractNumId w:val="7"/>
  </w:num>
  <w:num w:numId="12" w16cid:durableId="1966689719">
    <w:abstractNumId w:val="2"/>
  </w:num>
  <w:num w:numId="13" w16cid:durableId="242682843">
    <w:abstractNumId w:val="1"/>
  </w:num>
  <w:num w:numId="14" w16cid:durableId="1555582583">
    <w:abstractNumId w:val="0"/>
  </w:num>
  <w:num w:numId="15" w16cid:durableId="946740534">
    <w:abstractNumId w:val="9"/>
  </w:num>
  <w:num w:numId="16" w16cid:durableId="1255088860">
    <w:abstractNumId w:val="15"/>
  </w:num>
  <w:num w:numId="17" w16cid:durableId="870605569">
    <w:abstractNumId w:val="12"/>
  </w:num>
  <w:num w:numId="18" w16cid:durableId="1741246669">
    <w:abstractNumId w:val="17"/>
  </w:num>
  <w:num w:numId="19" w16cid:durableId="144646688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uthor-Date&lt;/Style&gt;&lt;LeftDelim&gt;{&lt;/LeftDelim&gt;&lt;RightDelim&gt;}&lt;/RightDelim&gt;&lt;FontName&gt;Trebuchet MS&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xaxvtxefz0zt01e9evnpvz24rf9etepesa2p&quot;&gt;EndNoteLibraryVUmc_1.4&lt;record-ids&gt;&lt;item&gt;714&lt;/item&gt;&lt;item&gt;790&lt;/item&gt;&lt;item&gt;1340&lt;/item&gt;&lt;item&gt;1587&lt;/item&gt;&lt;item&gt;1588&lt;/item&gt;&lt;item&gt;1589&lt;/item&gt;&lt;item&gt;1590&lt;/item&gt;&lt;/record-ids&gt;&lt;/item&gt;&lt;/Libraries&gt;"/>
  </w:docVars>
  <w:rsids>
    <w:rsidRoot w:val="001E576C"/>
    <w:rsid w:val="00004BE6"/>
    <w:rsid w:val="00004E37"/>
    <w:rsid w:val="00004F56"/>
    <w:rsid w:val="00012914"/>
    <w:rsid w:val="00024A78"/>
    <w:rsid w:val="000344DC"/>
    <w:rsid w:val="00040472"/>
    <w:rsid w:val="00052B94"/>
    <w:rsid w:val="000530C6"/>
    <w:rsid w:val="000577C9"/>
    <w:rsid w:val="00060B88"/>
    <w:rsid w:val="000656BD"/>
    <w:rsid w:val="00066A37"/>
    <w:rsid w:val="00070C86"/>
    <w:rsid w:val="000754AF"/>
    <w:rsid w:val="0008421B"/>
    <w:rsid w:val="0009158C"/>
    <w:rsid w:val="000949D4"/>
    <w:rsid w:val="00097429"/>
    <w:rsid w:val="000A5ADB"/>
    <w:rsid w:val="000B013C"/>
    <w:rsid w:val="000B48AB"/>
    <w:rsid w:val="000E7949"/>
    <w:rsid w:val="001023DC"/>
    <w:rsid w:val="00102E84"/>
    <w:rsid w:val="0012307C"/>
    <w:rsid w:val="00124AAC"/>
    <w:rsid w:val="00124B64"/>
    <w:rsid w:val="00130AD3"/>
    <w:rsid w:val="0013199A"/>
    <w:rsid w:val="001429A8"/>
    <w:rsid w:val="001651A8"/>
    <w:rsid w:val="001655A1"/>
    <w:rsid w:val="00172CE3"/>
    <w:rsid w:val="00182433"/>
    <w:rsid w:val="001854D6"/>
    <w:rsid w:val="001A28D9"/>
    <w:rsid w:val="001A33A6"/>
    <w:rsid w:val="001B04F9"/>
    <w:rsid w:val="001B0E30"/>
    <w:rsid w:val="001B15DC"/>
    <w:rsid w:val="001B3063"/>
    <w:rsid w:val="001B5DC2"/>
    <w:rsid w:val="001B7871"/>
    <w:rsid w:val="001B791E"/>
    <w:rsid w:val="001D6845"/>
    <w:rsid w:val="001E07E3"/>
    <w:rsid w:val="001E0A21"/>
    <w:rsid w:val="001E576C"/>
    <w:rsid w:val="001E7CF1"/>
    <w:rsid w:val="001F1CCB"/>
    <w:rsid w:val="00201701"/>
    <w:rsid w:val="002053A2"/>
    <w:rsid w:val="002065BD"/>
    <w:rsid w:val="00212A65"/>
    <w:rsid w:val="00215330"/>
    <w:rsid w:val="00220D85"/>
    <w:rsid w:val="00223B82"/>
    <w:rsid w:val="002272A8"/>
    <w:rsid w:val="00227B2B"/>
    <w:rsid w:val="0023089E"/>
    <w:rsid w:val="00236AEB"/>
    <w:rsid w:val="002839F2"/>
    <w:rsid w:val="00283C18"/>
    <w:rsid w:val="00284B76"/>
    <w:rsid w:val="002A46AF"/>
    <w:rsid w:val="002A6FE9"/>
    <w:rsid w:val="002B077B"/>
    <w:rsid w:val="002C6D3E"/>
    <w:rsid w:val="002D24CE"/>
    <w:rsid w:val="002D5990"/>
    <w:rsid w:val="002E136B"/>
    <w:rsid w:val="002E1BA7"/>
    <w:rsid w:val="002E52FA"/>
    <w:rsid w:val="002E5DB2"/>
    <w:rsid w:val="002F39D7"/>
    <w:rsid w:val="00302401"/>
    <w:rsid w:val="00304787"/>
    <w:rsid w:val="00315509"/>
    <w:rsid w:val="00322D44"/>
    <w:rsid w:val="00340ECD"/>
    <w:rsid w:val="003434F0"/>
    <w:rsid w:val="00355FBD"/>
    <w:rsid w:val="003571FD"/>
    <w:rsid w:val="003615C6"/>
    <w:rsid w:val="003745FA"/>
    <w:rsid w:val="00382488"/>
    <w:rsid w:val="0038553A"/>
    <w:rsid w:val="003A5785"/>
    <w:rsid w:val="003A632E"/>
    <w:rsid w:val="003A69B3"/>
    <w:rsid w:val="003C5987"/>
    <w:rsid w:val="003D2A61"/>
    <w:rsid w:val="003D2B6C"/>
    <w:rsid w:val="003D5467"/>
    <w:rsid w:val="003D5C3D"/>
    <w:rsid w:val="003E26E9"/>
    <w:rsid w:val="003E313A"/>
    <w:rsid w:val="003E31DA"/>
    <w:rsid w:val="003E5586"/>
    <w:rsid w:val="00404326"/>
    <w:rsid w:val="00404F99"/>
    <w:rsid w:val="00407E6D"/>
    <w:rsid w:val="00412CC1"/>
    <w:rsid w:val="0041788B"/>
    <w:rsid w:val="00423D09"/>
    <w:rsid w:val="004274EE"/>
    <w:rsid w:val="00427C87"/>
    <w:rsid w:val="00434711"/>
    <w:rsid w:val="00434DA9"/>
    <w:rsid w:val="00444EBE"/>
    <w:rsid w:val="004477C6"/>
    <w:rsid w:val="00451909"/>
    <w:rsid w:val="004704DA"/>
    <w:rsid w:val="004735F7"/>
    <w:rsid w:val="00487EC4"/>
    <w:rsid w:val="004A4A66"/>
    <w:rsid w:val="004A65DC"/>
    <w:rsid w:val="004B5FD0"/>
    <w:rsid w:val="004B65AA"/>
    <w:rsid w:val="004C46DF"/>
    <w:rsid w:val="004C77FD"/>
    <w:rsid w:val="004C7AF8"/>
    <w:rsid w:val="004D3DB6"/>
    <w:rsid w:val="004E2DA7"/>
    <w:rsid w:val="004E4DE5"/>
    <w:rsid w:val="004F3004"/>
    <w:rsid w:val="0050588C"/>
    <w:rsid w:val="00510403"/>
    <w:rsid w:val="0051229D"/>
    <w:rsid w:val="00521059"/>
    <w:rsid w:val="0052122C"/>
    <w:rsid w:val="005435F6"/>
    <w:rsid w:val="005459E7"/>
    <w:rsid w:val="00546010"/>
    <w:rsid w:val="005566DE"/>
    <w:rsid w:val="005637C7"/>
    <w:rsid w:val="00566D2D"/>
    <w:rsid w:val="00590706"/>
    <w:rsid w:val="0059646C"/>
    <w:rsid w:val="005A400B"/>
    <w:rsid w:val="005D0390"/>
    <w:rsid w:val="005E4A35"/>
    <w:rsid w:val="005E5AE4"/>
    <w:rsid w:val="00600153"/>
    <w:rsid w:val="00603691"/>
    <w:rsid w:val="006162B5"/>
    <w:rsid w:val="00620181"/>
    <w:rsid w:val="00624D1B"/>
    <w:rsid w:val="00631016"/>
    <w:rsid w:val="006327E1"/>
    <w:rsid w:val="00632C10"/>
    <w:rsid w:val="00633D36"/>
    <w:rsid w:val="00634A08"/>
    <w:rsid w:val="006458D0"/>
    <w:rsid w:val="00646BBA"/>
    <w:rsid w:val="00647515"/>
    <w:rsid w:val="006662A6"/>
    <w:rsid w:val="00667537"/>
    <w:rsid w:val="00670CC7"/>
    <w:rsid w:val="006722B2"/>
    <w:rsid w:val="006722E6"/>
    <w:rsid w:val="006750FC"/>
    <w:rsid w:val="0067578F"/>
    <w:rsid w:val="006948D7"/>
    <w:rsid w:val="006C3331"/>
    <w:rsid w:val="006C57AC"/>
    <w:rsid w:val="006C7092"/>
    <w:rsid w:val="006D6322"/>
    <w:rsid w:val="006E01DF"/>
    <w:rsid w:val="006E08E2"/>
    <w:rsid w:val="006E1800"/>
    <w:rsid w:val="006F3CDF"/>
    <w:rsid w:val="006F4703"/>
    <w:rsid w:val="006F5DA0"/>
    <w:rsid w:val="006F6616"/>
    <w:rsid w:val="00702768"/>
    <w:rsid w:val="00703E14"/>
    <w:rsid w:val="007065F2"/>
    <w:rsid w:val="00731294"/>
    <w:rsid w:val="00745F22"/>
    <w:rsid w:val="00750E53"/>
    <w:rsid w:val="00752E35"/>
    <w:rsid w:val="00754CB9"/>
    <w:rsid w:val="00767A55"/>
    <w:rsid w:val="00793A82"/>
    <w:rsid w:val="007948A5"/>
    <w:rsid w:val="007B0514"/>
    <w:rsid w:val="007B368C"/>
    <w:rsid w:val="007C2962"/>
    <w:rsid w:val="007C58A2"/>
    <w:rsid w:val="007E76E7"/>
    <w:rsid w:val="007F3B36"/>
    <w:rsid w:val="00823213"/>
    <w:rsid w:val="00825B0D"/>
    <w:rsid w:val="00832983"/>
    <w:rsid w:val="0083710D"/>
    <w:rsid w:val="00845D51"/>
    <w:rsid w:val="00853018"/>
    <w:rsid w:val="008742B5"/>
    <w:rsid w:val="0087481A"/>
    <w:rsid w:val="008776FA"/>
    <w:rsid w:val="00890FA8"/>
    <w:rsid w:val="008A4DDF"/>
    <w:rsid w:val="008A5D6A"/>
    <w:rsid w:val="008B50B5"/>
    <w:rsid w:val="008B7100"/>
    <w:rsid w:val="008D5F8C"/>
    <w:rsid w:val="008E6E62"/>
    <w:rsid w:val="00900161"/>
    <w:rsid w:val="009004B9"/>
    <w:rsid w:val="009060BD"/>
    <w:rsid w:val="009126E3"/>
    <w:rsid w:val="00913677"/>
    <w:rsid w:val="00927680"/>
    <w:rsid w:val="00933181"/>
    <w:rsid w:val="00940651"/>
    <w:rsid w:val="00943AC8"/>
    <w:rsid w:val="00947715"/>
    <w:rsid w:val="009510F5"/>
    <w:rsid w:val="00952D60"/>
    <w:rsid w:val="00956D5E"/>
    <w:rsid w:val="00963A87"/>
    <w:rsid w:val="00975F42"/>
    <w:rsid w:val="00981228"/>
    <w:rsid w:val="009E423C"/>
    <w:rsid w:val="009E4F16"/>
    <w:rsid w:val="009F2D0B"/>
    <w:rsid w:val="009F51DA"/>
    <w:rsid w:val="00A1320A"/>
    <w:rsid w:val="00A21AAB"/>
    <w:rsid w:val="00A22838"/>
    <w:rsid w:val="00A265D7"/>
    <w:rsid w:val="00A34888"/>
    <w:rsid w:val="00A36E70"/>
    <w:rsid w:val="00A5331D"/>
    <w:rsid w:val="00A73139"/>
    <w:rsid w:val="00A75FDA"/>
    <w:rsid w:val="00A8394A"/>
    <w:rsid w:val="00A83F53"/>
    <w:rsid w:val="00A85C95"/>
    <w:rsid w:val="00A9618A"/>
    <w:rsid w:val="00AA3C0D"/>
    <w:rsid w:val="00AA4384"/>
    <w:rsid w:val="00AB2C52"/>
    <w:rsid w:val="00AC1310"/>
    <w:rsid w:val="00AC24DD"/>
    <w:rsid w:val="00AC5456"/>
    <w:rsid w:val="00AD516B"/>
    <w:rsid w:val="00AD5A0E"/>
    <w:rsid w:val="00AE5312"/>
    <w:rsid w:val="00AF5487"/>
    <w:rsid w:val="00AF5BD0"/>
    <w:rsid w:val="00B04516"/>
    <w:rsid w:val="00B05B80"/>
    <w:rsid w:val="00B15139"/>
    <w:rsid w:val="00B23239"/>
    <w:rsid w:val="00B322FF"/>
    <w:rsid w:val="00B45D56"/>
    <w:rsid w:val="00B51C80"/>
    <w:rsid w:val="00B55C20"/>
    <w:rsid w:val="00B55DD5"/>
    <w:rsid w:val="00B60069"/>
    <w:rsid w:val="00B61C0A"/>
    <w:rsid w:val="00B662A7"/>
    <w:rsid w:val="00B714A5"/>
    <w:rsid w:val="00B71EBA"/>
    <w:rsid w:val="00B73027"/>
    <w:rsid w:val="00B875D6"/>
    <w:rsid w:val="00B90D0A"/>
    <w:rsid w:val="00BC0F05"/>
    <w:rsid w:val="00BC10DF"/>
    <w:rsid w:val="00BC327D"/>
    <w:rsid w:val="00BC3973"/>
    <w:rsid w:val="00BC59BA"/>
    <w:rsid w:val="00BE019D"/>
    <w:rsid w:val="00BF1156"/>
    <w:rsid w:val="00BF1334"/>
    <w:rsid w:val="00BF1BE2"/>
    <w:rsid w:val="00BF3F21"/>
    <w:rsid w:val="00BF5BD2"/>
    <w:rsid w:val="00C34545"/>
    <w:rsid w:val="00C43189"/>
    <w:rsid w:val="00C453DA"/>
    <w:rsid w:val="00C53A9B"/>
    <w:rsid w:val="00C55E36"/>
    <w:rsid w:val="00C67805"/>
    <w:rsid w:val="00C715E4"/>
    <w:rsid w:val="00C73306"/>
    <w:rsid w:val="00C80221"/>
    <w:rsid w:val="00C81521"/>
    <w:rsid w:val="00C82390"/>
    <w:rsid w:val="00C90182"/>
    <w:rsid w:val="00CA012B"/>
    <w:rsid w:val="00CA1DD3"/>
    <w:rsid w:val="00CA3A11"/>
    <w:rsid w:val="00CA4000"/>
    <w:rsid w:val="00CA6202"/>
    <w:rsid w:val="00CA6B4C"/>
    <w:rsid w:val="00CB1343"/>
    <w:rsid w:val="00CB4446"/>
    <w:rsid w:val="00CB5F31"/>
    <w:rsid w:val="00CC6ED8"/>
    <w:rsid w:val="00CE20DF"/>
    <w:rsid w:val="00CF351A"/>
    <w:rsid w:val="00D11EB4"/>
    <w:rsid w:val="00D2472D"/>
    <w:rsid w:val="00D31E08"/>
    <w:rsid w:val="00D32290"/>
    <w:rsid w:val="00D32F5E"/>
    <w:rsid w:val="00D44724"/>
    <w:rsid w:val="00D532D6"/>
    <w:rsid w:val="00D55A1F"/>
    <w:rsid w:val="00D63331"/>
    <w:rsid w:val="00D718E3"/>
    <w:rsid w:val="00D74391"/>
    <w:rsid w:val="00D751E4"/>
    <w:rsid w:val="00D75AB4"/>
    <w:rsid w:val="00D76155"/>
    <w:rsid w:val="00D768FC"/>
    <w:rsid w:val="00D82BC6"/>
    <w:rsid w:val="00DA2EFA"/>
    <w:rsid w:val="00DA460F"/>
    <w:rsid w:val="00DB6B13"/>
    <w:rsid w:val="00DC78E7"/>
    <w:rsid w:val="00DE0EB1"/>
    <w:rsid w:val="00DF270B"/>
    <w:rsid w:val="00DF3DD2"/>
    <w:rsid w:val="00DF484C"/>
    <w:rsid w:val="00E13C91"/>
    <w:rsid w:val="00E1490D"/>
    <w:rsid w:val="00E25DF8"/>
    <w:rsid w:val="00E26342"/>
    <w:rsid w:val="00E41FAB"/>
    <w:rsid w:val="00E4707A"/>
    <w:rsid w:val="00E54198"/>
    <w:rsid w:val="00E559A5"/>
    <w:rsid w:val="00E60668"/>
    <w:rsid w:val="00E62100"/>
    <w:rsid w:val="00E65249"/>
    <w:rsid w:val="00E67629"/>
    <w:rsid w:val="00E71E1F"/>
    <w:rsid w:val="00E8488D"/>
    <w:rsid w:val="00E8650F"/>
    <w:rsid w:val="00E87B3A"/>
    <w:rsid w:val="00EA1C76"/>
    <w:rsid w:val="00EA2D80"/>
    <w:rsid w:val="00EB015A"/>
    <w:rsid w:val="00EC4A42"/>
    <w:rsid w:val="00ED09F1"/>
    <w:rsid w:val="00ED20C3"/>
    <w:rsid w:val="00ED497C"/>
    <w:rsid w:val="00ED6C77"/>
    <w:rsid w:val="00EE3D81"/>
    <w:rsid w:val="00EF4D93"/>
    <w:rsid w:val="00F0226F"/>
    <w:rsid w:val="00F07431"/>
    <w:rsid w:val="00F26012"/>
    <w:rsid w:val="00F43606"/>
    <w:rsid w:val="00F43C41"/>
    <w:rsid w:val="00F46A23"/>
    <w:rsid w:val="00F61FE7"/>
    <w:rsid w:val="00F76F69"/>
    <w:rsid w:val="00F83AA4"/>
    <w:rsid w:val="00F8477F"/>
    <w:rsid w:val="00F84947"/>
    <w:rsid w:val="00F87EE2"/>
    <w:rsid w:val="00FA5E5A"/>
    <w:rsid w:val="00FA7C1F"/>
    <w:rsid w:val="00FB69F2"/>
    <w:rsid w:val="00FC20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27D8A1"/>
  <w15:docId w15:val="{A588D768-6903-4B05-961B-BBB5D8B61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0"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576C"/>
    <w:pPr>
      <w:spacing w:line="276" w:lineRule="auto"/>
    </w:pPr>
    <w:rPr>
      <w:rFonts w:eastAsia="Calibri"/>
      <w:kern w:val="2"/>
      <w:lang w:eastAsia="en-US"/>
      <w14:ligatures w14:val="standardContextual"/>
    </w:rPr>
  </w:style>
  <w:style w:type="paragraph" w:styleId="Heading1">
    <w:name w:val="heading 1"/>
    <w:basedOn w:val="Normal"/>
    <w:next w:val="Normal"/>
    <w:autoRedefine/>
    <w:uiPriority w:val="1"/>
    <w:qFormat/>
    <w:rsid w:val="004735F7"/>
    <w:pPr>
      <w:keepNext/>
      <w:tabs>
        <w:tab w:val="right" w:pos="8505"/>
      </w:tabs>
      <w:jc w:val="both"/>
      <w:outlineLvl w:val="0"/>
    </w:pPr>
    <w:rPr>
      <w:b/>
      <w:lang w:val="en-GB"/>
    </w:rPr>
  </w:style>
  <w:style w:type="paragraph" w:styleId="Heading2">
    <w:name w:val="heading 2"/>
    <w:basedOn w:val="Normal"/>
    <w:next w:val="Normal"/>
    <w:uiPriority w:val="1"/>
    <w:qFormat/>
    <w:rsid w:val="00BF1BE2"/>
    <w:pPr>
      <w:keepNext/>
      <w:outlineLvl w:val="1"/>
    </w:pPr>
    <w:rPr>
      <w:rFonts w:cs="Arial"/>
      <w:bCs/>
      <w:iCs/>
      <w:szCs w:val="28"/>
      <w:u w:val="single"/>
    </w:rPr>
  </w:style>
  <w:style w:type="paragraph" w:styleId="Heading3">
    <w:name w:val="heading 3"/>
    <w:basedOn w:val="Normal"/>
    <w:next w:val="Normal"/>
    <w:uiPriority w:val="1"/>
    <w:qFormat/>
    <w:rsid w:val="00BF1BE2"/>
    <w:pPr>
      <w:keepNext/>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
    <w:rsid w:val="00422110"/>
    <w:pPr>
      <w:tabs>
        <w:tab w:val="center" w:pos="4536"/>
        <w:tab w:val="right" w:pos="9072"/>
      </w:tabs>
    </w:pPr>
    <w:rPr>
      <w:sz w:val="19"/>
    </w:rPr>
  </w:style>
  <w:style w:type="paragraph" w:styleId="Footer">
    <w:name w:val="footer"/>
    <w:basedOn w:val="Normal"/>
    <w:link w:val="FooterChar"/>
    <w:uiPriority w:val="99"/>
    <w:rsid w:val="002065BD"/>
    <w:pPr>
      <w:tabs>
        <w:tab w:val="center" w:pos="4536"/>
        <w:tab w:val="right" w:pos="9072"/>
      </w:tabs>
      <w:ind w:right="-573"/>
      <w:jc w:val="right"/>
    </w:pPr>
    <w:rPr>
      <w:sz w:val="16"/>
    </w:rPr>
  </w:style>
  <w:style w:type="paragraph" w:customStyle="1" w:styleId="BriefhoofdL">
    <w:name w:val="Briefhoofd L"/>
    <w:basedOn w:val="Normal"/>
    <w:uiPriority w:val="9"/>
    <w:rsid w:val="00566D2D"/>
  </w:style>
  <w:style w:type="character" w:customStyle="1" w:styleId="FooterChar">
    <w:name w:val="Footer Char"/>
    <w:basedOn w:val="DefaultParagraphFont"/>
    <w:link w:val="Footer"/>
    <w:uiPriority w:val="99"/>
    <w:rsid w:val="002065BD"/>
    <w:rPr>
      <w:sz w:val="16"/>
    </w:rPr>
  </w:style>
  <w:style w:type="table" w:styleId="TableGrid">
    <w:name w:val="Table Grid"/>
    <w:basedOn w:val="TableNormal"/>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eNumber">
    <w:name w:val="page number"/>
    <w:uiPriority w:val="9"/>
    <w:rsid w:val="00566D2D"/>
    <w:rPr>
      <w:rFonts w:ascii="Trebuchet MS" w:hAnsi="Trebuchet MS"/>
      <w:sz w:val="20"/>
    </w:rPr>
  </w:style>
  <w:style w:type="paragraph" w:styleId="ListBullet">
    <w:name w:val="List Bullet"/>
    <w:basedOn w:val="Normal"/>
    <w:uiPriority w:val="2"/>
    <w:qFormat/>
    <w:rsid w:val="00BF1BE2"/>
    <w:pPr>
      <w:numPr>
        <w:numId w:val="15"/>
      </w:numPr>
    </w:pPr>
  </w:style>
  <w:style w:type="paragraph" w:styleId="ListNumber">
    <w:name w:val="List Number"/>
    <w:basedOn w:val="Normal"/>
    <w:uiPriority w:val="2"/>
    <w:qFormat/>
    <w:rsid w:val="00223B82"/>
    <w:pPr>
      <w:numPr>
        <w:numId w:val="16"/>
      </w:numPr>
    </w:pPr>
    <w:rPr>
      <w:rFonts w:ascii="Museo Sans Rounded 300" w:hAnsi="Museo Sans Rounded 300"/>
    </w:rPr>
  </w:style>
  <w:style w:type="paragraph" w:styleId="ListBullet2">
    <w:name w:val="List Bullet 2"/>
    <w:basedOn w:val="Normal"/>
    <w:uiPriority w:val="2"/>
    <w:rsid w:val="00422110"/>
    <w:pPr>
      <w:numPr>
        <w:ilvl w:val="1"/>
        <w:numId w:val="15"/>
      </w:numPr>
      <w:contextualSpacing/>
    </w:pPr>
  </w:style>
  <w:style w:type="paragraph" w:styleId="ListBullet3">
    <w:name w:val="List Bullet 3"/>
    <w:basedOn w:val="Normal"/>
    <w:uiPriority w:val="2"/>
    <w:rsid w:val="00422110"/>
    <w:pPr>
      <w:numPr>
        <w:ilvl w:val="2"/>
        <w:numId w:val="15"/>
      </w:numPr>
      <w:contextualSpacing/>
    </w:pPr>
  </w:style>
  <w:style w:type="paragraph" w:styleId="ListNumber2">
    <w:name w:val="List Number 2"/>
    <w:basedOn w:val="Normal"/>
    <w:uiPriority w:val="2"/>
    <w:rsid w:val="00422110"/>
    <w:pPr>
      <w:numPr>
        <w:ilvl w:val="1"/>
        <w:numId w:val="16"/>
      </w:numPr>
      <w:contextualSpacing/>
    </w:pPr>
  </w:style>
  <w:style w:type="paragraph" w:styleId="ListNumber3">
    <w:name w:val="List Number 3"/>
    <w:basedOn w:val="Normal"/>
    <w:uiPriority w:val="2"/>
    <w:rsid w:val="00422110"/>
    <w:pPr>
      <w:numPr>
        <w:ilvl w:val="2"/>
        <w:numId w:val="16"/>
      </w:numPr>
      <w:contextualSpacing/>
    </w:pPr>
  </w:style>
  <w:style w:type="character" w:customStyle="1" w:styleId="HeaderChar">
    <w:name w:val="Header Char"/>
    <w:basedOn w:val="DefaultParagraphFont"/>
    <w:link w:val="Header"/>
    <w:uiPriority w:val="9"/>
    <w:rsid w:val="002065BD"/>
    <w:rPr>
      <w:sz w:val="19"/>
    </w:rPr>
  </w:style>
  <w:style w:type="character" w:styleId="CommentReference">
    <w:name w:val="annotation reference"/>
    <w:basedOn w:val="DefaultParagraphFont"/>
    <w:uiPriority w:val="99"/>
    <w:semiHidden/>
    <w:unhideWhenUsed/>
    <w:rsid w:val="001E576C"/>
    <w:rPr>
      <w:sz w:val="16"/>
      <w:szCs w:val="16"/>
    </w:rPr>
  </w:style>
  <w:style w:type="paragraph" w:styleId="CommentText">
    <w:name w:val="annotation text"/>
    <w:basedOn w:val="Normal"/>
    <w:link w:val="CommentTextChar"/>
    <w:uiPriority w:val="99"/>
    <w:unhideWhenUsed/>
    <w:rsid w:val="001E576C"/>
    <w:pPr>
      <w:spacing w:line="240" w:lineRule="auto"/>
    </w:pPr>
  </w:style>
  <w:style w:type="character" w:customStyle="1" w:styleId="CommentTextChar">
    <w:name w:val="Comment Text Char"/>
    <w:basedOn w:val="DefaultParagraphFont"/>
    <w:link w:val="CommentText"/>
    <w:uiPriority w:val="99"/>
    <w:rsid w:val="001E576C"/>
    <w:rPr>
      <w:rFonts w:eastAsia="Calibri"/>
      <w:kern w:val="2"/>
      <w:lang w:eastAsia="en-US"/>
      <w14:ligatures w14:val="standardContextual"/>
    </w:rPr>
  </w:style>
  <w:style w:type="character" w:styleId="Hyperlink">
    <w:name w:val="Hyperlink"/>
    <w:basedOn w:val="DefaultParagraphFont"/>
    <w:uiPriority w:val="99"/>
    <w:unhideWhenUsed/>
    <w:rsid w:val="001E576C"/>
    <w:rPr>
      <w:color w:val="0000FF" w:themeColor="hyperlink"/>
      <w:u w:val="single"/>
    </w:rPr>
  </w:style>
  <w:style w:type="paragraph" w:styleId="ListParagraph">
    <w:name w:val="List Paragraph"/>
    <w:basedOn w:val="Normal"/>
    <w:uiPriority w:val="34"/>
    <w:rsid w:val="004477C6"/>
    <w:pPr>
      <w:ind w:left="720"/>
      <w:contextualSpacing/>
    </w:pPr>
  </w:style>
  <w:style w:type="paragraph" w:styleId="CommentSubject">
    <w:name w:val="annotation subject"/>
    <w:basedOn w:val="CommentText"/>
    <w:next w:val="CommentText"/>
    <w:link w:val="CommentSubjectChar"/>
    <w:uiPriority w:val="9"/>
    <w:semiHidden/>
    <w:unhideWhenUsed/>
    <w:rsid w:val="00754CB9"/>
    <w:rPr>
      <w:b/>
      <w:bCs/>
    </w:rPr>
  </w:style>
  <w:style w:type="character" w:customStyle="1" w:styleId="CommentSubjectChar">
    <w:name w:val="Comment Subject Char"/>
    <w:basedOn w:val="CommentTextChar"/>
    <w:link w:val="CommentSubject"/>
    <w:uiPriority w:val="9"/>
    <w:semiHidden/>
    <w:rsid w:val="00754CB9"/>
    <w:rPr>
      <w:rFonts w:eastAsia="Calibri"/>
      <w:b/>
      <w:bCs/>
      <w:kern w:val="2"/>
      <w:lang w:eastAsia="en-US"/>
      <w14:ligatures w14:val="standardContextual"/>
    </w:rPr>
  </w:style>
  <w:style w:type="paragraph" w:customStyle="1" w:styleId="EndNoteBibliographyTitle">
    <w:name w:val="EndNote Bibliography Title"/>
    <w:basedOn w:val="Normal"/>
    <w:link w:val="EndNoteBibliographyTitleChar"/>
    <w:rsid w:val="003615C6"/>
    <w:pPr>
      <w:jc w:val="center"/>
    </w:pPr>
    <w:rPr>
      <w:noProof/>
      <w:lang w:val="en-US"/>
    </w:rPr>
  </w:style>
  <w:style w:type="character" w:customStyle="1" w:styleId="EndNoteBibliographyTitleChar">
    <w:name w:val="EndNote Bibliography Title Char"/>
    <w:basedOn w:val="DefaultParagraphFont"/>
    <w:link w:val="EndNoteBibliographyTitle"/>
    <w:rsid w:val="003615C6"/>
    <w:rPr>
      <w:rFonts w:eastAsia="Calibri"/>
      <w:noProof/>
      <w:kern w:val="2"/>
      <w:lang w:val="en-US" w:eastAsia="en-US"/>
      <w14:ligatures w14:val="standardContextual"/>
    </w:rPr>
  </w:style>
  <w:style w:type="paragraph" w:customStyle="1" w:styleId="EndNoteBibliography">
    <w:name w:val="EndNote Bibliography"/>
    <w:basedOn w:val="Normal"/>
    <w:link w:val="EndNoteBibliographyChar"/>
    <w:rsid w:val="003615C6"/>
    <w:pPr>
      <w:spacing w:line="240" w:lineRule="auto"/>
    </w:pPr>
    <w:rPr>
      <w:noProof/>
      <w:lang w:val="en-US"/>
    </w:rPr>
  </w:style>
  <w:style w:type="character" w:customStyle="1" w:styleId="EndNoteBibliographyChar">
    <w:name w:val="EndNote Bibliography Char"/>
    <w:basedOn w:val="DefaultParagraphFont"/>
    <w:link w:val="EndNoteBibliography"/>
    <w:rsid w:val="003615C6"/>
    <w:rPr>
      <w:rFonts w:eastAsia="Calibri"/>
      <w:noProof/>
      <w:kern w:val="2"/>
      <w:lang w:val="en-US" w:eastAsia="en-US"/>
      <w14:ligatures w14:val="standardContextual"/>
    </w:rPr>
  </w:style>
  <w:style w:type="character" w:customStyle="1" w:styleId="Onopgelostemelding1">
    <w:name w:val="Onopgeloste melding1"/>
    <w:basedOn w:val="DefaultParagraphFont"/>
    <w:uiPriority w:val="99"/>
    <w:semiHidden/>
    <w:unhideWhenUsed/>
    <w:rsid w:val="003615C6"/>
    <w:rPr>
      <w:color w:val="605E5C"/>
      <w:shd w:val="clear" w:color="auto" w:fill="E1DFDD"/>
    </w:rPr>
  </w:style>
  <w:style w:type="paragraph" w:styleId="BalloonText">
    <w:name w:val="Balloon Text"/>
    <w:basedOn w:val="Normal"/>
    <w:link w:val="BalloonTextChar"/>
    <w:uiPriority w:val="9"/>
    <w:semiHidden/>
    <w:unhideWhenUsed/>
    <w:rsid w:val="003D546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
    <w:semiHidden/>
    <w:rsid w:val="003D5467"/>
    <w:rPr>
      <w:rFonts w:ascii="Tahoma" w:eastAsia="Calibri" w:hAnsi="Tahoma" w:cs="Tahoma"/>
      <w:kern w:val="2"/>
      <w:sz w:val="16"/>
      <w:szCs w:val="16"/>
      <w:lang w:eastAsia="en-US"/>
      <w14:ligatures w14:val="standardContextual"/>
    </w:rPr>
  </w:style>
  <w:style w:type="paragraph" w:styleId="Revision">
    <w:name w:val="Revision"/>
    <w:hidden/>
    <w:uiPriority w:val="99"/>
    <w:semiHidden/>
    <w:rsid w:val="00302401"/>
    <w:rPr>
      <w:rFonts w:eastAsia="Calibri"/>
      <w:kern w:val="2"/>
      <w:lang w:eastAsia="en-US"/>
      <w14:ligatures w14:val="standardContextual"/>
    </w:rPr>
  </w:style>
  <w:style w:type="character" w:styleId="UnresolvedMention">
    <w:name w:val="Unresolved Mention"/>
    <w:basedOn w:val="DefaultParagraphFont"/>
    <w:uiPriority w:val="99"/>
    <w:semiHidden/>
    <w:unhideWhenUsed/>
    <w:rsid w:val="0013199A"/>
    <w:rPr>
      <w:color w:val="605E5C"/>
      <w:shd w:val="clear" w:color="auto" w:fill="E1DFDD"/>
    </w:rPr>
  </w:style>
  <w:style w:type="character" w:styleId="FollowedHyperlink">
    <w:name w:val="FollowedHyperlink"/>
    <w:basedOn w:val="DefaultParagraphFont"/>
    <w:uiPriority w:val="9"/>
    <w:semiHidden/>
    <w:unhideWhenUsed/>
    <w:rsid w:val="00940651"/>
    <w:rPr>
      <w:color w:val="800080" w:themeColor="followedHyperlink"/>
      <w:u w:val="single"/>
    </w:rPr>
  </w:style>
  <w:style w:type="character" w:customStyle="1" w:styleId="apple-converted-space">
    <w:name w:val="apple-converted-space"/>
    <w:basedOn w:val="DefaultParagraphFont"/>
    <w:rsid w:val="009F51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946335">
      <w:bodyDiv w:val="1"/>
      <w:marLeft w:val="0"/>
      <w:marRight w:val="0"/>
      <w:marTop w:val="0"/>
      <w:marBottom w:val="0"/>
      <w:divBdr>
        <w:top w:val="none" w:sz="0" w:space="0" w:color="auto"/>
        <w:left w:val="none" w:sz="0" w:space="0" w:color="auto"/>
        <w:bottom w:val="none" w:sz="0" w:space="0" w:color="auto"/>
        <w:right w:val="none" w:sz="0" w:space="0" w:color="auto"/>
      </w:divBdr>
    </w:div>
    <w:div w:id="514733635">
      <w:bodyDiv w:val="1"/>
      <w:marLeft w:val="0"/>
      <w:marRight w:val="0"/>
      <w:marTop w:val="0"/>
      <w:marBottom w:val="0"/>
      <w:divBdr>
        <w:top w:val="none" w:sz="0" w:space="0" w:color="auto"/>
        <w:left w:val="none" w:sz="0" w:space="0" w:color="auto"/>
        <w:bottom w:val="none" w:sz="0" w:space="0" w:color="auto"/>
        <w:right w:val="none" w:sz="0" w:space="0" w:color="auto"/>
      </w:divBdr>
    </w:div>
    <w:div w:id="581794534">
      <w:bodyDiv w:val="1"/>
      <w:marLeft w:val="0"/>
      <w:marRight w:val="0"/>
      <w:marTop w:val="0"/>
      <w:marBottom w:val="0"/>
      <w:divBdr>
        <w:top w:val="none" w:sz="0" w:space="0" w:color="auto"/>
        <w:left w:val="none" w:sz="0" w:space="0" w:color="auto"/>
        <w:bottom w:val="none" w:sz="0" w:space="0" w:color="auto"/>
        <w:right w:val="none" w:sz="0" w:space="0" w:color="auto"/>
      </w:divBdr>
    </w:div>
    <w:div w:id="637416148">
      <w:bodyDiv w:val="1"/>
      <w:marLeft w:val="0"/>
      <w:marRight w:val="0"/>
      <w:marTop w:val="0"/>
      <w:marBottom w:val="0"/>
      <w:divBdr>
        <w:top w:val="none" w:sz="0" w:space="0" w:color="auto"/>
        <w:left w:val="none" w:sz="0" w:space="0" w:color="auto"/>
        <w:bottom w:val="none" w:sz="0" w:space="0" w:color="auto"/>
        <w:right w:val="none" w:sz="0" w:space="0" w:color="auto"/>
      </w:divBdr>
    </w:div>
    <w:div w:id="638192837">
      <w:bodyDiv w:val="1"/>
      <w:marLeft w:val="0"/>
      <w:marRight w:val="0"/>
      <w:marTop w:val="0"/>
      <w:marBottom w:val="0"/>
      <w:divBdr>
        <w:top w:val="none" w:sz="0" w:space="0" w:color="auto"/>
        <w:left w:val="none" w:sz="0" w:space="0" w:color="auto"/>
        <w:bottom w:val="none" w:sz="0" w:space="0" w:color="auto"/>
        <w:right w:val="none" w:sz="0" w:space="0" w:color="auto"/>
      </w:divBdr>
    </w:div>
    <w:div w:id="920602728">
      <w:bodyDiv w:val="1"/>
      <w:marLeft w:val="0"/>
      <w:marRight w:val="0"/>
      <w:marTop w:val="0"/>
      <w:marBottom w:val="0"/>
      <w:divBdr>
        <w:top w:val="none" w:sz="0" w:space="0" w:color="auto"/>
        <w:left w:val="none" w:sz="0" w:space="0" w:color="auto"/>
        <w:bottom w:val="none" w:sz="0" w:space="0" w:color="auto"/>
        <w:right w:val="none" w:sz="0" w:space="0" w:color="auto"/>
      </w:divBdr>
    </w:div>
    <w:div w:id="934483724">
      <w:bodyDiv w:val="1"/>
      <w:marLeft w:val="0"/>
      <w:marRight w:val="0"/>
      <w:marTop w:val="0"/>
      <w:marBottom w:val="0"/>
      <w:divBdr>
        <w:top w:val="none" w:sz="0" w:space="0" w:color="auto"/>
        <w:left w:val="none" w:sz="0" w:space="0" w:color="auto"/>
        <w:bottom w:val="none" w:sz="0" w:space="0" w:color="auto"/>
        <w:right w:val="none" w:sz="0" w:space="0" w:color="auto"/>
      </w:divBdr>
    </w:div>
    <w:div w:id="1187595935">
      <w:bodyDiv w:val="1"/>
      <w:marLeft w:val="0"/>
      <w:marRight w:val="0"/>
      <w:marTop w:val="0"/>
      <w:marBottom w:val="0"/>
      <w:divBdr>
        <w:top w:val="none" w:sz="0" w:space="0" w:color="auto"/>
        <w:left w:val="none" w:sz="0" w:space="0" w:color="auto"/>
        <w:bottom w:val="none" w:sz="0" w:space="0" w:color="auto"/>
        <w:right w:val="none" w:sz="0" w:space="0" w:color="auto"/>
      </w:divBdr>
    </w:div>
    <w:div w:id="1217666403">
      <w:bodyDiv w:val="1"/>
      <w:marLeft w:val="0"/>
      <w:marRight w:val="0"/>
      <w:marTop w:val="0"/>
      <w:marBottom w:val="0"/>
      <w:divBdr>
        <w:top w:val="none" w:sz="0" w:space="0" w:color="auto"/>
        <w:left w:val="none" w:sz="0" w:space="0" w:color="auto"/>
        <w:bottom w:val="none" w:sz="0" w:space="0" w:color="auto"/>
        <w:right w:val="none" w:sz="0" w:space="0" w:color="auto"/>
      </w:divBdr>
    </w:div>
    <w:div w:id="1349062354">
      <w:bodyDiv w:val="1"/>
      <w:marLeft w:val="0"/>
      <w:marRight w:val="0"/>
      <w:marTop w:val="0"/>
      <w:marBottom w:val="0"/>
      <w:divBdr>
        <w:top w:val="none" w:sz="0" w:space="0" w:color="auto"/>
        <w:left w:val="none" w:sz="0" w:space="0" w:color="auto"/>
        <w:bottom w:val="none" w:sz="0" w:space="0" w:color="auto"/>
        <w:right w:val="none" w:sz="0" w:space="0" w:color="auto"/>
      </w:divBdr>
    </w:div>
    <w:div w:id="1417282888">
      <w:bodyDiv w:val="1"/>
      <w:marLeft w:val="0"/>
      <w:marRight w:val="0"/>
      <w:marTop w:val="0"/>
      <w:marBottom w:val="0"/>
      <w:divBdr>
        <w:top w:val="none" w:sz="0" w:space="0" w:color="auto"/>
        <w:left w:val="none" w:sz="0" w:space="0" w:color="auto"/>
        <w:bottom w:val="none" w:sz="0" w:space="0" w:color="auto"/>
        <w:right w:val="none" w:sz="0" w:space="0" w:color="auto"/>
      </w:divBdr>
    </w:div>
    <w:div w:id="1524592549">
      <w:bodyDiv w:val="1"/>
      <w:marLeft w:val="0"/>
      <w:marRight w:val="0"/>
      <w:marTop w:val="0"/>
      <w:marBottom w:val="0"/>
      <w:divBdr>
        <w:top w:val="none" w:sz="0" w:space="0" w:color="auto"/>
        <w:left w:val="none" w:sz="0" w:space="0" w:color="auto"/>
        <w:bottom w:val="none" w:sz="0" w:space="0" w:color="auto"/>
        <w:right w:val="none" w:sz="0" w:space="0" w:color="auto"/>
      </w:divBdr>
    </w:div>
    <w:div w:id="1883402210">
      <w:bodyDiv w:val="1"/>
      <w:marLeft w:val="0"/>
      <w:marRight w:val="0"/>
      <w:marTop w:val="0"/>
      <w:marBottom w:val="0"/>
      <w:divBdr>
        <w:top w:val="none" w:sz="0" w:space="0" w:color="auto"/>
        <w:left w:val="none" w:sz="0" w:space="0" w:color="auto"/>
        <w:bottom w:val="none" w:sz="0" w:space="0" w:color="auto"/>
        <w:right w:val="none" w:sz="0" w:space="0" w:color="auto"/>
      </w:divBdr>
    </w:div>
    <w:div w:id="1885946881">
      <w:bodyDiv w:val="1"/>
      <w:marLeft w:val="0"/>
      <w:marRight w:val="0"/>
      <w:marTop w:val="0"/>
      <w:marBottom w:val="0"/>
      <w:divBdr>
        <w:top w:val="none" w:sz="0" w:space="0" w:color="auto"/>
        <w:left w:val="none" w:sz="0" w:space="0" w:color="auto"/>
        <w:bottom w:val="none" w:sz="0" w:space="0" w:color="auto"/>
        <w:right w:val="none" w:sz="0" w:space="0" w:color="auto"/>
      </w:divBdr>
    </w:div>
    <w:div w:id="212299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e.e.pouw@amsterdamumc.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156D1876414A4488963BBA073FA5B2" ma:contentTypeVersion="18" ma:contentTypeDescription="Create a new document." ma:contentTypeScope="" ma:versionID="48d7eb5b70c8494dd14393193aeca30f">
  <xsd:schema xmlns:xsd="http://www.w3.org/2001/XMLSchema" xmlns:xs="http://www.w3.org/2001/XMLSchema" xmlns:p="http://schemas.microsoft.com/office/2006/metadata/properties" xmlns:ns2="1af47f13-0aff-411d-a822-5f30586fad8b" xmlns:ns3="5be36042-8b78-4e97-a272-09bae868807e" targetNamespace="http://schemas.microsoft.com/office/2006/metadata/properties" ma:root="true" ma:fieldsID="cde569d399c6167cf6c1778a3fba5e5a" ns2:_="" ns3:_="">
    <xsd:import namespace="1af47f13-0aff-411d-a822-5f30586fad8b"/>
    <xsd:import namespace="5be36042-8b78-4e97-a272-09bae868807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47f13-0aff-411d-a822-5f30586fad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a56f5c0-7d9a-44d7-a5c0-9a0bf9f241b6}" ma:internalName="TaxCatchAll" ma:showField="CatchAllData" ma:web="1af47f13-0aff-411d-a822-5f30586fad8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e36042-8b78-4e97-a272-09bae868807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451d461-d530-465a-81eb-73ef42a83da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be36042-8b78-4e97-a272-09bae868807e">
      <Terms xmlns="http://schemas.microsoft.com/office/infopath/2007/PartnerControls"/>
    </lcf76f155ced4ddcb4097134ff3c332f>
    <TaxCatchAll xmlns="1af47f13-0aff-411d-a822-5f30586fad8b" xsi:nil="true"/>
  </documentManagement>
</p:properties>
</file>

<file path=customXml/itemProps1.xml><?xml version="1.0" encoding="utf-8"?>
<ds:datastoreItem xmlns:ds="http://schemas.openxmlformats.org/officeDocument/2006/customXml" ds:itemID="{BF115583-2474-4ACA-9737-6FC08691E5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f47f13-0aff-411d-a822-5f30586fad8b"/>
    <ds:schemaRef ds:uri="5be36042-8b78-4e97-a272-09bae8688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0EDA15-A2B0-417E-A296-6A1F76E266B1}">
  <ds:schemaRefs>
    <ds:schemaRef ds:uri="http://schemas.openxmlformats.org/officeDocument/2006/bibliography"/>
  </ds:schemaRefs>
</ds:datastoreItem>
</file>

<file path=customXml/itemProps3.xml><?xml version="1.0" encoding="utf-8"?>
<ds:datastoreItem xmlns:ds="http://schemas.openxmlformats.org/officeDocument/2006/customXml" ds:itemID="{5700BE13-AFAC-4CC6-BB44-D7B7DFC1B7F7}">
  <ds:schemaRefs>
    <ds:schemaRef ds:uri="http://schemas.microsoft.com/sharepoint/v3/contenttype/forms"/>
  </ds:schemaRefs>
</ds:datastoreItem>
</file>

<file path=customXml/itemProps4.xml><?xml version="1.0" encoding="utf-8"?>
<ds:datastoreItem xmlns:ds="http://schemas.openxmlformats.org/officeDocument/2006/customXml" ds:itemID="{815E8C8C-6FFF-4F2C-9457-B20BF3CD4800}">
  <ds:schemaRefs>
    <ds:schemaRef ds:uri="http://schemas.microsoft.com/office/2006/metadata/properties"/>
    <ds:schemaRef ds:uri="http://schemas.microsoft.com/office/infopath/2007/PartnerControls"/>
    <ds:schemaRef ds:uri="5be36042-8b78-4e97-a272-09bae868807e"/>
    <ds:schemaRef ds:uri="1af47f13-0aff-411d-a822-5f30586fad8b"/>
  </ds:schemaRefs>
</ds:datastoreItem>
</file>

<file path=docMetadata/LabelInfo.xml><?xml version="1.0" encoding="utf-8"?>
<clbl:labelList xmlns:clbl="http://schemas.microsoft.com/office/2020/mipLabelMetadata">
  <clbl:label id="{0df3522f-8c42-44b0-bea3-7f162a60ea50}" enabled="1" method="Standard" siteId="{63982aff-fb6c-4c22-973b-70e4acfb63e6}" removed="0"/>
  <clbl:label id="{bfd0b529-4a04-4616-88d2-531082d94bb8}" enabled="1" method="Standard" siteId="{e1f8af86-ee95-4718-bd0d-375b37366c83}" removed="0"/>
</clbl:labelList>
</file>

<file path=docProps/app.xml><?xml version="1.0" encoding="utf-8"?>
<Properties xmlns="http://schemas.openxmlformats.org/officeDocument/2006/extended-properties" xmlns:vt="http://schemas.openxmlformats.org/officeDocument/2006/docPropsVTypes">
  <Template>Normal.dotm</Template>
  <TotalTime>1368</TotalTime>
  <Pages>3</Pages>
  <Words>1362</Words>
  <Characters>7601</Characters>
  <Application>Microsoft Office Word</Application>
  <DocSecurity>0</DocSecurity>
  <Lines>133</Lines>
  <Paragraphs>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vt:lpstr>
      <vt:lpstr>.</vt:lpstr>
    </vt:vector>
  </TitlesOfParts>
  <Company>AMC</Company>
  <LinksUpToDate>false</LinksUpToDate>
  <CharactersWithSpaces>8933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Pouw, J.E.E. (Hanneke)</dc:creator>
  <cp:keywords/>
  <dc:description/>
  <cp:lastModifiedBy>Hanneke Pouw</cp:lastModifiedBy>
  <cp:revision>40</cp:revision>
  <cp:lastPrinted>2018-06-14T12:23:00Z</cp:lastPrinted>
  <dcterms:created xsi:type="dcterms:W3CDTF">2026-06-11T14:55:00Z</dcterms:created>
  <dcterms:modified xsi:type="dcterms:W3CDTF">2026-07-03T14:45:00Z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0x010100B6156D1876414A4488963BBA073FA5B2</vt:lpwstr>
  </property>
  <property fmtid="{D5CDD505-2E9C-101B-9397-08002B2CF9AE}" pid="3" name="MediaServiceImageTags">
    <vt:lpwstr/>
  </property>
</Properties>
</file>