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5BD3" w:rsidRPr="00C67C07" w:rsidRDefault="004D5BD3" w:rsidP="004D5BD3">
      <w:pPr>
        <w:spacing w:before="120" w:after="0" w:line="480" w:lineRule="auto"/>
        <w:jc w:val="both"/>
        <w:rPr>
          <w:rFonts w:eastAsiaTheme="minorEastAsia" w:cs="Arial"/>
          <w:b/>
          <w:sz w:val="20"/>
          <w:szCs w:val="20"/>
        </w:rPr>
      </w:pPr>
      <w:r w:rsidRPr="00C67C07">
        <w:rPr>
          <w:rFonts w:eastAsiaTheme="minorEastAsia" w:cs="Arial"/>
          <w:b/>
          <w:sz w:val="20"/>
          <w:szCs w:val="20"/>
        </w:rPr>
        <w:t xml:space="preserve">Technical appendix </w:t>
      </w:r>
    </w:p>
    <w:p w:rsidR="004D5BD3" w:rsidRPr="00C67C07" w:rsidRDefault="004D5BD3" w:rsidP="004D5BD3">
      <w:pPr>
        <w:spacing w:before="120" w:after="0" w:line="240" w:lineRule="auto"/>
        <w:jc w:val="both"/>
        <w:rPr>
          <w:rFonts w:eastAsiaTheme="minorEastAsia" w:cs="Arial"/>
          <w:sz w:val="20"/>
          <w:szCs w:val="20"/>
          <w:u w:val="single"/>
        </w:rPr>
      </w:pPr>
      <w:r w:rsidRPr="00C67C07">
        <w:rPr>
          <w:rFonts w:eastAsiaTheme="minorEastAsia" w:cs="Arial"/>
          <w:sz w:val="20"/>
          <w:szCs w:val="20"/>
          <w:u w:val="single"/>
        </w:rPr>
        <w:t>Epidemiological calculations</w:t>
      </w:r>
    </w:p>
    <w:p w:rsidR="004D5BD3" w:rsidRPr="00B36DC0" w:rsidRDefault="004D5BD3" w:rsidP="004D5BD3">
      <w:pPr>
        <w:spacing w:before="120" w:after="0" w:line="240" w:lineRule="auto"/>
        <w:jc w:val="both"/>
        <w:rPr>
          <w:rFonts w:eastAsiaTheme="minorEastAsia" w:cs="Arial"/>
          <w:sz w:val="20"/>
          <w:szCs w:val="20"/>
        </w:rPr>
      </w:pPr>
      <w:r>
        <w:rPr>
          <w:rFonts w:eastAsiaTheme="minorEastAsia" w:cs="Arial"/>
          <w:sz w:val="20"/>
          <w:szCs w:val="20"/>
        </w:rPr>
        <w:t xml:space="preserve">Figure A1 shows the </w:t>
      </w:r>
      <w:r w:rsidRPr="00B36DC0">
        <w:rPr>
          <w:rFonts w:eastAsiaTheme="minorEastAsia" w:cs="Arial"/>
          <w:sz w:val="20"/>
          <w:szCs w:val="20"/>
        </w:rPr>
        <w:t xml:space="preserve">structure of the prospective single cohort model developed. Equations 1 -3 illustrate the incidence and mortality calculations included in the model for HPV related diseases. Figures A2 and A3 illustrate the age-specific epidemiology per 100,000 used in the model. It should be noted that the incidence and mortality rates used, referred to the total burden of the under study diseases (HPV-related diseases and cancers). Weighting for the proportion of incident cases and deaths that can be causally attributed to HPV infection was included in the calculation of vaccine efficacy. Thus, figures A2 and A3 illustrate the total epidemiological burden of the under study diseases rather than the proportion that can be causally linked to HPV infection.   </w:t>
      </w:r>
    </w:p>
    <w:p w:rsidR="004D5BD3" w:rsidRPr="00B36DC0" w:rsidRDefault="004D5BD3" w:rsidP="004D5BD3">
      <w:pPr>
        <w:spacing w:before="120" w:after="0" w:line="240" w:lineRule="auto"/>
        <w:jc w:val="both"/>
        <w:rPr>
          <w:rFonts w:eastAsiaTheme="minorEastAsia" w:cs="Arial"/>
          <w:sz w:val="20"/>
          <w:szCs w:val="20"/>
        </w:rPr>
      </w:pPr>
      <w:r w:rsidRPr="00B36DC0">
        <w:rPr>
          <w:rFonts w:eastAsiaTheme="minorEastAsia" w:cs="Arial"/>
          <w:sz w:val="20"/>
          <w:szCs w:val="20"/>
        </w:rPr>
        <w:t xml:space="preserve">For cervical cancer age-specific mortality data were used to simulate the annual age-specific mortality that can be attributed to cancers linked with HPV infection (equation 2). For all other cancers, annual mortality of incident cases was calculated based on case-fatality rates multiplied by the annual age-specific incidence as in equation 3. The resulting deaths at each year were summed to produce the total mortality for the under study cancers for the cohort under analysis. The total number of deaths attributed to HPV related diseases was calculated as the lifetime sum of the single cohort annual deaths that can be attributed to cervical cancer and other HPV related cancers (equations 2 and 3). </w:t>
      </w:r>
    </w:p>
    <w:p w:rsidR="004D5BD3" w:rsidRPr="00B36DC0" w:rsidRDefault="004D5BD3" w:rsidP="004D5BD3">
      <w:pPr>
        <w:spacing w:before="120" w:after="0" w:line="240" w:lineRule="auto"/>
        <w:jc w:val="both"/>
        <w:rPr>
          <w:rFonts w:eastAsiaTheme="minorEastAsia" w:cs="Arial"/>
          <w:sz w:val="20"/>
          <w:szCs w:val="20"/>
        </w:rPr>
      </w:pPr>
      <w:r w:rsidRPr="00B36DC0">
        <w:rPr>
          <w:rFonts w:eastAsiaTheme="minorEastAsia" w:cs="Arial"/>
          <w:sz w:val="20"/>
          <w:szCs w:val="20"/>
        </w:rPr>
        <w:t xml:space="preserve">For the immunized cohort, incidence was reduced by the efficacy of the </w:t>
      </w:r>
      <w:proofErr w:type="spellStart"/>
      <w:r w:rsidRPr="00B36DC0">
        <w:rPr>
          <w:rFonts w:eastAsiaTheme="minorEastAsia" w:cs="Arial"/>
          <w:sz w:val="20"/>
          <w:szCs w:val="20"/>
        </w:rPr>
        <w:t>quadrivalent</w:t>
      </w:r>
      <w:proofErr w:type="spellEnd"/>
      <w:r w:rsidRPr="00B36DC0">
        <w:rPr>
          <w:rFonts w:eastAsiaTheme="minorEastAsia" w:cs="Arial"/>
          <w:sz w:val="20"/>
          <w:szCs w:val="20"/>
        </w:rPr>
        <w:t xml:space="preserve"> HPV vaccine which, in turn, was a function of vaccination coverage and the proportion of cancers that can be causally attributed to HPV infection (equation 4). Similarly, the aforementioned vaccine efficacy was used to calculate the number of cervical cancer and all-other HPV-related cancers deaths for the immunized cohort. </w:t>
      </w:r>
    </w:p>
    <w:p w:rsidR="004D5BD3" w:rsidRPr="00B36DC0" w:rsidRDefault="004D5BD3" w:rsidP="004D5BD3">
      <w:pPr>
        <w:pBdr>
          <w:top w:val="single" w:sz="4" w:space="1" w:color="auto"/>
          <w:left w:val="single" w:sz="4" w:space="4" w:color="auto"/>
          <w:bottom w:val="single" w:sz="4" w:space="1" w:color="auto"/>
          <w:right w:val="single" w:sz="4" w:space="4" w:color="auto"/>
        </w:pBdr>
        <w:spacing w:before="120" w:after="0" w:line="240" w:lineRule="auto"/>
        <w:jc w:val="both"/>
        <w:rPr>
          <w:rFonts w:eastAsiaTheme="minorEastAsia" w:cs="Arial"/>
          <w:sz w:val="20"/>
          <w:szCs w:val="20"/>
        </w:rPr>
      </w:pPr>
      <w:r w:rsidRPr="00622B62">
        <w:rPr>
          <w:rFonts w:eastAsiaTheme="minorEastAsia" w:cs="Arial"/>
          <w:b/>
          <w:sz w:val="20"/>
          <w:szCs w:val="20"/>
        </w:rPr>
        <w:t>Annual incidence of HPV-related diseases</w:t>
      </w:r>
      <w:r w:rsidRPr="00B36DC0">
        <w:rPr>
          <w:rFonts w:eastAsiaTheme="minorEastAsia" w:cs="Arial"/>
          <w:sz w:val="20"/>
          <w:szCs w:val="20"/>
        </w:rPr>
        <w:t xml:space="preserve"> = cohort’s survivors (in each year) x annual incidence of HPV related diseases </w:t>
      </w:r>
      <w:r w:rsidRPr="00B36DC0">
        <w:rPr>
          <w:rFonts w:eastAsiaTheme="minorEastAsia" w:cs="Arial"/>
          <w:sz w:val="20"/>
          <w:szCs w:val="20"/>
        </w:rPr>
        <w:tab/>
      </w:r>
      <w:r w:rsidRPr="00B36DC0">
        <w:rPr>
          <w:rFonts w:eastAsiaTheme="minorEastAsia" w:cs="Arial"/>
          <w:sz w:val="20"/>
          <w:szCs w:val="20"/>
        </w:rPr>
        <w:tab/>
      </w:r>
      <w:r w:rsidRPr="00B36DC0">
        <w:rPr>
          <w:rFonts w:eastAsiaTheme="minorEastAsia" w:cs="Arial"/>
          <w:sz w:val="20"/>
          <w:szCs w:val="20"/>
        </w:rPr>
        <w:tab/>
      </w:r>
      <w:r w:rsidRPr="00B36DC0">
        <w:rPr>
          <w:rFonts w:eastAsiaTheme="minorEastAsia" w:cs="Arial"/>
          <w:sz w:val="20"/>
          <w:szCs w:val="20"/>
        </w:rPr>
        <w:tab/>
      </w:r>
      <w:r w:rsidRPr="00B36DC0">
        <w:rPr>
          <w:rFonts w:eastAsiaTheme="minorEastAsia" w:cs="Arial"/>
          <w:sz w:val="20"/>
          <w:szCs w:val="20"/>
        </w:rPr>
        <w:tab/>
      </w:r>
      <w:r w:rsidRPr="00B36DC0">
        <w:rPr>
          <w:rFonts w:eastAsiaTheme="minorEastAsia" w:cs="Arial"/>
          <w:sz w:val="20"/>
          <w:szCs w:val="20"/>
        </w:rPr>
        <w:tab/>
      </w:r>
      <w:r w:rsidRPr="00B36DC0">
        <w:rPr>
          <w:rFonts w:eastAsiaTheme="minorEastAsia" w:cs="Arial"/>
          <w:sz w:val="20"/>
          <w:szCs w:val="20"/>
        </w:rPr>
        <w:tab/>
      </w:r>
      <w:r w:rsidRPr="00B36DC0">
        <w:rPr>
          <w:rFonts w:eastAsiaTheme="minorEastAsia" w:cs="Arial"/>
          <w:sz w:val="20"/>
          <w:szCs w:val="20"/>
        </w:rPr>
        <w:tab/>
      </w:r>
      <w:r w:rsidRPr="00B36DC0">
        <w:rPr>
          <w:rFonts w:eastAsiaTheme="minorEastAsia" w:cs="Arial"/>
          <w:sz w:val="20"/>
          <w:szCs w:val="20"/>
        </w:rPr>
        <w:tab/>
      </w:r>
      <w:r w:rsidRPr="00B36DC0">
        <w:rPr>
          <w:rFonts w:eastAsiaTheme="minorEastAsia" w:cs="Arial"/>
          <w:sz w:val="20"/>
          <w:szCs w:val="20"/>
        </w:rPr>
        <w:tab/>
      </w:r>
      <w:r w:rsidRPr="00B36DC0">
        <w:rPr>
          <w:rFonts w:eastAsiaTheme="minorEastAsia" w:cs="Arial"/>
          <w:sz w:val="20"/>
          <w:szCs w:val="20"/>
        </w:rPr>
        <w:tab/>
        <w:t xml:space="preserve">          </w:t>
      </w:r>
    </w:p>
    <w:p w:rsidR="004D5BD3" w:rsidRPr="00B36DC0" w:rsidRDefault="004D5BD3" w:rsidP="004D5BD3">
      <w:pPr>
        <w:pBdr>
          <w:top w:val="single" w:sz="4" w:space="1" w:color="auto"/>
          <w:left w:val="single" w:sz="4" w:space="4" w:color="auto"/>
          <w:bottom w:val="single" w:sz="4" w:space="1" w:color="auto"/>
          <w:right w:val="single" w:sz="4" w:space="4" w:color="auto"/>
        </w:pBdr>
        <w:spacing w:before="120" w:after="0" w:line="240" w:lineRule="auto"/>
        <w:jc w:val="both"/>
        <w:rPr>
          <w:rFonts w:eastAsiaTheme="minorEastAsia" w:cs="Arial"/>
          <w:sz w:val="20"/>
          <w:szCs w:val="20"/>
        </w:rPr>
      </w:pPr>
      <w:r w:rsidRPr="00B36DC0">
        <w:rPr>
          <w:rFonts w:eastAsiaTheme="minorEastAsia" w:cs="Arial"/>
          <w:sz w:val="20"/>
          <w:szCs w:val="20"/>
        </w:rPr>
        <w:t>(1)</w:t>
      </w:r>
    </w:p>
    <w:p w:rsidR="004D5BD3" w:rsidRPr="00B36DC0" w:rsidRDefault="004D5BD3" w:rsidP="004D5BD3">
      <w:pPr>
        <w:pBdr>
          <w:top w:val="single" w:sz="4" w:space="1" w:color="auto"/>
          <w:left w:val="single" w:sz="4" w:space="4" w:color="auto"/>
          <w:bottom w:val="single" w:sz="4" w:space="1" w:color="auto"/>
          <w:right w:val="single" w:sz="4" w:space="4" w:color="auto"/>
        </w:pBdr>
        <w:spacing w:before="120" w:after="0" w:line="240" w:lineRule="auto"/>
        <w:jc w:val="both"/>
        <w:rPr>
          <w:rFonts w:eastAsiaTheme="minorEastAsia" w:cs="Arial"/>
          <w:sz w:val="20"/>
          <w:szCs w:val="20"/>
        </w:rPr>
      </w:pPr>
      <w:r w:rsidRPr="00622B62">
        <w:rPr>
          <w:rFonts w:eastAsiaTheme="minorEastAsia" w:cs="Arial"/>
          <w:b/>
          <w:sz w:val="20"/>
          <w:szCs w:val="20"/>
        </w:rPr>
        <w:t>Annual number of deaths attributable to cervical cancer</w:t>
      </w:r>
      <w:r w:rsidRPr="00B36DC0">
        <w:rPr>
          <w:rFonts w:eastAsiaTheme="minorEastAsia" w:cs="Arial"/>
          <w:sz w:val="20"/>
          <w:szCs w:val="20"/>
        </w:rPr>
        <w:t xml:space="preserve"> = cohort’s survivors (in each year) x age-specific mortality of cervical cancer </w:t>
      </w:r>
      <w:r w:rsidRPr="00B36DC0">
        <w:rPr>
          <w:rFonts w:eastAsiaTheme="minorEastAsia" w:cs="Arial"/>
          <w:sz w:val="20"/>
          <w:szCs w:val="20"/>
        </w:rPr>
        <w:tab/>
      </w:r>
      <w:r w:rsidRPr="00B36DC0">
        <w:rPr>
          <w:rFonts w:eastAsiaTheme="minorEastAsia" w:cs="Arial"/>
          <w:sz w:val="20"/>
          <w:szCs w:val="20"/>
        </w:rPr>
        <w:tab/>
      </w:r>
      <w:r w:rsidRPr="00B36DC0">
        <w:rPr>
          <w:rFonts w:eastAsiaTheme="minorEastAsia" w:cs="Arial"/>
          <w:sz w:val="20"/>
          <w:szCs w:val="20"/>
        </w:rPr>
        <w:tab/>
      </w:r>
      <w:r w:rsidRPr="00B36DC0">
        <w:rPr>
          <w:rFonts w:eastAsiaTheme="minorEastAsia" w:cs="Arial"/>
          <w:sz w:val="20"/>
          <w:szCs w:val="20"/>
        </w:rPr>
        <w:tab/>
      </w:r>
      <w:r w:rsidRPr="00B36DC0">
        <w:rPr>
          <w:rFonts w:eastAsiaTheme="minorEastAsia" w:cs="Arial"/>
          <w:sz w:val="20"/>
          <w:szCs w:val="20"/>
        </w:rPr>
        <w:tab/>
      </w:r>
      <w:r w:rsidRPr="00B36DC0">
        <w:rPr>
          <w:rFonts w:eastAsiaTheme="minorEastAsia" w:cs="Arial"/>
          <w:sz w:val="20"/>
          <w:szCs w:val="20"/>
        </w:rPr>
        <w:tab/>
      </w:r>
      <w:r w:rsidRPr="00B36DC0">
        <w:rPr>
          <w:rFonts w:eastAsiaTheme="minorEastAsia" w:cs="Arial"/>
          <w:sz w:val="20"/>
          <w:szCs w:val="20"/>
        </w:rPr>
        <w:tab/>
      </w:r>
      <w:r w:rsidRPr="00B36DC0">
        <w:rPr>
          <w:rFonts w:eastAsiaTheme="minorEastAsia" w:cs="Arial"/>
          <w:sz w:val="20"/>
          <w:szCs w:val="20"/>
        </w:rPr>
        <w:tab/>
      </w:r>
      <w:r w:rsidRPr="00B36DC0">
        <w:rPr>
          <w:rFonts w:eastAsiaTheme="minorEastAsia" w:cs="Arial"/>
          <w:sz w:val="20"/>
          <w:szCs w:val="20"/>
        </w:rPr>
        <w:tab/>
      </w:r>
      <w:r w:rsidRPr="00B36DC0">
        <w:rPr>
          <w:rFonts w:eastAsiaTheme="minorEastAsia" w:cs="Arial"/>
          <w:sz w:val="20"/>
          <w:szCs w:val="20"/>
        </w:rPr>
        <w:tab/>
        <w:t xml:space="preserve">          </w:t>
      </w:r>
    </w:p>
    <w:p w:rsidR="004D5BD3" w:rsidRPr="00B36DC0" w:rsidRDefault="004D5BD3" w:rsidP="004D5BD3">
      <w:pPr>
        <w:pBdr>
          <w:top w:val="single" w:sz="4" w:space="1" w:color="auto"/>
          <w:left w:val="single" w:sz="4" w:space="4" w:color="auto"/>
          <w:bottom w:val="single" w:sz="4" w:space="1" w:color="auto"/>
          <w:right w:val="single" w:sz="4" w:space="4" w:color="auto"/>
        </w:pBdr>
        <w:spacing w:before="120" w:after="0" w:line="240" w:lineRule="auto"/>
        <w:jc w:val="both"/>
        <w:rPr>
          <w:rFonts w:eastAsiaTheme="minorEastAsia" w:cs="Arial"/>
          <w:sz w:val="20"/>
          <w:szCs w:val="20"/>
        </w:rPr>
      </w:pPr>
      <w:r w:rsidRPr="00B36DC0">
        <w:rPr>
          <w:rFonts w:eastAsiaTheme="minorEastAsia" w:cs="Arial"/>
          <w:sz w:val="20"/>
          <w:szCs w:val="20"/>
        </w:rPr>
        <w:t>(2)</w:t>
      </w:r>
    </w:p>
    <w:p w:rsidR="004D5BD3" w:rsidRPr="00B36DC0" w:rsidRDefault="004D5BD3" w:rsidP="004D5BD3">
      <w:pPr>
        <w:pBdr>
          <w:top w:val="single" w:sz="4" w:space="1" w:color="auto"/>
          <w:left w:val="single" w:sz="4" w:space="4" w:color="auto"/>
          <w:bottom w:val="single" w:sz="4" w:space="1" w:color="auto"/>
          <w:right w:val="single" w:sz="4" w:space="4" w:color="auto"/>
        </w:pBdr>
        <w:spacing w:before="120" w:after="0" w:line="240" w:lineRule="auto"/>
        <w:jc w:val="both"/>
        <w:rPr>
          <w:rFonts w:eastAsiaTheme="minorEastAsia" w:cs="Arial"/>
          <w:sz w:val="20"/>
          <w:szCs w:val="20"/>
        </w:rPr>
      </w:pPr>
      <w:r w:rsidRPr="00622B62">
        <w:rPr>
          <w:rFonts w:eastAsiaTheme="minorEastAsia" w:cs="Arial"/>
          <w:b/>
          <w:sz w:val="20"/>
          <w:szCs w:val="20"/>
        </w:rPr>
        <w:t>Annual number of deaths attributable to HPV-related cancers</w:t>
      </w:r>
      <w:r w:rsidRPr="00B36DC0">
        <w:rPr>
          <w:rFonts w:eastAsiaTheme="minorEastAsia" w:cs="Arial"/>
          <w:sz w:val="20"/>
          <w:szCs w:val="20"/>
        </w:rPr>
        <w:t xml:space="preserve"> (excluding cervical cancer) = cohort’s survivors (in each year) x annual incidence of HPV related cancers x case fatality rates of HPV related cancers </w:t>
      </w:r>
      <w:r w:rsidRPr="00B36DC0">
        <w:rPr>
          <w:rFonts w:eastAsiaTheme="minorEastAsia" w:cs="Arial"/>
          <w:sz w:val="20"/>
          <w:szCs w:val="20"/>
        </w:rPr>
        <w:tab/>
      </w:r>
      <w:r w:rsidRPr="00B36DC0">
        <w:rPr>
          <w:rFonts w:eastAsiaTheme="minorEastAsia" w:cs="Arial"/>
          <w:sz w:val="20"/>
          <w:szCs w:val="20"/>
        </w:rPr>
        <w:tab/>
        <w:t xml:space="preserve">          </w:t>
      </w:r>
    </w:p>
    <w:p w:rsidR="004D5BD3" w:rsidRPr="00B36DC0" w:rsidRDefault="004D5BD3" w:rsidP="004D5BD3">
      <w:pPr>
        <w:pBdr>
          <w:top w:val="single" w:sz="4" w:space="1" w:color="auto"/>
          <w:left w:val="single" w:sz="4" w:space="4" w:color="auto"/>
          <w:bottom w:val="single" w:sz="4" w:space="1" w:color="auto"/>
          <w:right w:val="single" w:sz="4" w:space="4" w:color="auto"/>
        </w:pBdr>
        <w:spacing w:before="120" w:after="0" w:line="240" w:lineRule="auto"/>
        <w:jc w:val="both"/>
        <w:rPr>
          <w:rFonts w:eastAsiaTheme="minorEastAsia" w:cs="Arial"/>
          <w:sz w:val="20"/>
          <w:szCs w:val="20"/>
        </w:rPr>
      </w:pPr>
      <w:r w:rsidRPr="00B36DC0">
        <w:rPr>
          <w:rFonts w:eastAsiaTheme="minorEastAsia" w:cs="Arial"/>
          <w:sz w:val="20"/>
          <w:szCs w:val="20"/>
        </w:rPr>
        <w:t>(3)</w:t>
      </w:r>
    </w:p>
    <w:p w:rsidR="004D5BD3" w:rsidRPr="00B36DC0" w:rsidRDefault="004D5BD3" w:rsidP="004D5BD3">
      <w:pPr>
        <w:pBdr>
          <w:top w:val="single" w:sz="4" w:space="1" w:color="auto"/>
          <w:left w:val="single" w:sz="4" w:space="4" w:color="auto"/>
          <w:bottom w:val="single" w:sz="4" w:space="1" w:color="auto"/>
          <w:right w:val="single" w:sz="4" w:space="4" w:color="auto"/>
        </w:pBdr>
        <w:spacing w:before="120" w:after="0" w:line="240" w:lineRule="auto"/>
        <w:jc w:val="both"/>
        <w:rPr>
          <w:rFonts w:eastAsiaTheme="minorEastAsia" w:cs="Arial"/>
          <w:sz w:val="20"/>
          <w:szCs w:val="20"/>
        </w:rPr>
      </w:pPr>
      <w:r w:rsidRPr="00622B62">
        <w:rPr>
          <w:rFonts w:eastAsiaTheme="minorEastAsia" w:cs="Arial"/>
          <w:b/>
          <w:sz w:val="20"/>
          <w:szCs w:val="20"/>
        </w:rPr>
        <w:t>Annual incidence of HPV-related diseases</w:t>
      </w:r>
      <w:r w:rsidRPr="00B36DC0">
        <w:rPr>
          <w:rFonts w:eastAsiaTheme="minorEastAsia" w:cs="Arial"/>
          <w:sz w:val="20"/>
          <w:szCs w:val="20"/>
        </w:rPr>
        <w:t xml:space="preserve"> (for the immunized cohort) = cohort’s survivors (in each year) x annual incidence of HPV related disease x (1- Efficacy of the </w:t>
      </w:r>
      <w:proofErr w:type="spellStart"/>
      <w:r w:rsidRPr="00B36DC0">
        <w:rPr>
          <w:rFonts w:eastAsiaTheme="minorEastAsia" w:cs="Arial"/>
          <w:sz w:val="20"/>
          <w:szCs w:val="20"/>
        </w:rPr>
        <w:t>quadrivalent</w:t>
      </w:r>
      <w:proofErr w:type="spellEnd"/>
      <w:r w:rsidRPr="00B36DC0">
        <w:rPr>
          <w:rFonts w:eastAsiaTheme="minorEastAsia" w:cs="Arial"/>
          <w:sz w:val="20"/>
          <w:szCs w:val="20"/>
        </w:rPr>
        <w:t xml:space="preserve"> HPV vaccine against the incidence of HPV related epidemiology, adjusted for the proportion attributed to the vaccine HPV serotypes) x vaccination coverage                  </w:t>
      </w:r>
    </w:p>
    <w:p w:rsidR="004D5BD3" w:rsidRPr="00B36DC0" w:rsidRDefault="004D5BD3" w:rsidP="004D5BD3">
      <w:pPr>
        <w:pBdr>
          <w:top w:val="single" w:sz="4" w:space="1" w:color="auto"/>
          <w:left w:val="single" w:sz="4" w:space="4" w:color="auto"/>
          <w:bottom w:val="single" w:sz="4" w:space="1" w:color="auto"/>
          <w:right w:val="single" w:sz="4" w:space="4" w:color="auto"/>
        </w:pBdr>
        <w:spacing w:before="120" w:after="0" w:line="240" w:lineRule="auto"/>
        <w:jc w:val="both"/>
        <w:rPr>
          <w:rFonts w:eastAsiaTheme="minorEastAsia" w:cs="Arial"/>
          <w:sz w:val="20"/>
          <w:szCs w:val="20"/>
        </w:rPr>
      </w:pPr>
      <w:r w:rsidRPr="00B36DC0">
        <w:rPr>
          <w:rFonts w:eastAsiaTheme="minorEastAsia" w:cs="Arial"/>
          <w:sz w:val="20"/>
          <w:szCs w:val="20"/>
        </w:rPr>
        <w:t>(4)</w:t>
      </w:r>
    </w:p>
    <w:p w:rsidR="004D5BD3" w:rsidRPr="00B36DC0" w:rsidRDefault="004D5BD3" w:rsidP="004D5BD3">
      <w:pPr>
        <w:spacing w:before="120" w:after="0" w:line="240" w:lineRule="auto"/>
        <w:jc w:val="both"/>
        <w:rPr>
          <w:rFonts w:cs="Arial"/>
          <w:sz w:val="20"/>
          <w:szCs w:val="20"/>
          <w:u w:val="single"/>
        </w:rPr>
      </w:pPr>
      <w:r w:rsidRPr="00B36DC0">
        <w:rPr>
          <w:rFonts w:cs="Arial"/>
          <w:sz w:val="20"/>
          <w:szCs w:val="20"/>
          <w:u w:val="single"/>
        </w:rPr>
        <w:t xml:space="preserve">Economic appraisals </w:t>
      </w:r>
    </w:p>
    <w:p w:rsidR="004D5BD3" w:rsidRDefault="004D5BD3" w:rsidP="004D5BD3">
      <w:pPr>
        <w:shd w:val="clear" w:color="auto" w:fill="FFFFFF" w:themeFill="background1"/>
        <w:spacing w:before="120" w:after="0" w:line="240" w:lineRule="auto"/>
        <w:jc w:val="both"/>
        <w:rPr>
          <w:rFonts w:eastAsiaTheme="minorEastAsia" w:cs="Arial"/>
          <w:sz w:val="20"/>
          <w:szCs w:val="20"/>
        </w:rPr>
      </w:pPr>
      <w:r w:rsidRPr="00B36DC0">
        <w:rPr>
          <w:rFonts w:eastAsiaTheme="minorEastAsia" w:cs="Arial"/>
          <w:sz w:val="20"/>
          <w:szCs w:val="20"/>
        </w:rPr>
        <w:t>The fiscal or government perspective economic appraisal was conducted as illustrated in equations 5 and 6. Furthermore, a cost: benefit ratio (BCR) was calculated as a proxy measure of return on investment (equation 7). Annual direct medical costs were calculated as the annual number of incident HPV related disease cases multiplied by the annual cost per case. Potential side-effects associated with the vaccine were not included in</w:t>
      </w:r>
      <w:r>
        <w:rPr>
          <w:rFonts w:eastAsiaTheme="minorEastAsia" w:cs="Arial"/>
          <w:sz w:val="20"/>
          <w:szCs w:val="20"/>
        </w:rPr>
        <w:t xml:space="preserve"> this analysis as they were not expected to significantly influence the economic appraisals. In the sensitivity analysis national insurance costs were estimated based on the cost of </w:t>
      </w:r>
      <w:proofErr w:type="spellStart"/>
      <w:r>
        <w:rPr>
          <w:rFonts w:eastAsiaTheme="minorEastAsia" w:cs="Arial"/>
          <w:sz w:val="20"/>
          <w:szCs w:val="20"/>
        </w:rPr>
        <w:t>abseentism</w:t>
      </w:r>
      <w:proofErr w:type="spellEnd"/>
      <w:r>
        <w:rPr>
          <w:rFonts w:eastAsiaTheme="minorEastAsia" w:cs="Arial"/>
          <w:sz w:val="20"/>
          <w:szCs w:val="20"/>
        </w:rPr>
        <w:t xml:space="preserve"> covered by the national insurance system for the economically active individuals. Cost and benefits were discounted (r: discount rate). </w:t>
      </w:r>
    </w:p>
    <w:p w:rsidR="00344E77" w:rsidRDefault="00344E77" w:rsidP="004D5BD3">
      <w:pPr>
        <w:shd w:val="clear" w:color="auto" w:fill="FFFFFF" w:themeFill="background1"/>
        <w:spacing w:before="120" w:after="0" w:line="240" w:lineRule="auto"/>
        <w:jc w:val="both"/>
        <w:rPr>
          <w:rFonts w:eastAsiaTheme="minorEastAsia" w:cs="Arial"/>
          <w:sz w:val="20"/>
          <w:szCs w:val="20"/>
        </w:rPr>
      </w:pPr>
    </w:p>
    <w:p w:rsidR="004D5BD3" w:rsidRPr="00C67C07" w:rsidRDefault="004D5BD3" w:rsidP="004D5BD3">
      <w:pPr>
        <w:shd w:val="clear" w:color="auto" w:fill="FFFFFF" w:themeFill="background1"/>
        <w:spacing w:before="120" w:after="0" w:line="240" w:lineRule="auto"/>
        <w:jc w:val="both"/>
        <w:rPr>
          <w:rFonts w:eastAsiaTheme="minorEastAsia" w:cs="Arial"/>
          <w:sz w:val="20"/>
          <w:szCs w:val="20"/>
        </w:rPr>
      </w:pPr>
      <w:r w:rsidRPr="00C67C07">
        <w:rPr>
          <w:rFonts w:eastAsiaTheme="minorEastAsia" w:cs="Arial"/>
          <w:sz w:val="20"/>
          <w:szCs w:val="20"/>
        </w:rPr>
        <w:lastRenderedPageBreak/>
        <w:t xml:space="preserve">The societal analysis was conducted following a similar approach however, instead of the expected annual gross tax, the expected annual earnings was factored into the calculations. </w:t>
      </w:r>
      <w:r>
        <w:rPr>
          <w:rFonts w:eastAsiaTheme="minorEastAsia" w:cs="Arial"/>
          <w:sz w:val="20"/>
          <w:szCs w:val="20"/>
        </w:rPr>
        <w:t xml:space="preserve">In addition, in the sensitivity analysis, the societal analysis included </w:t>
      </w:r>
      <w:proofErr w:type="spellStart"/>
      <w:r>
        <w:rPr>
          <w:rFonts w:eastAsiaTheme="minorEastAsia" w:cs="Arial"/>
          <w:sz w:val="20"/>
          <w:szCs w:val="20"/>
        </w:rPr>
        <w:t>abseentism</w:t>
      </w:r>
      <w:proofErr w:type="spellEnd"/>
      <w:r>
        <w:rPr>
          <w:rFonts w:eastAsiaTheme="minorEastAsia" w:cs="Arial"/>
          <w:sz w:val="20"/>
          <w:szCs w:val="20"/>
        </w:rPr>
        <w:t xml:space="preserve">, valued with the human capital method, as an indirect cost to the society. Thus, BOD for immunized and non-immunized cohorts reflected the societal BOD. </w:t>
      </w:r>
    </w:p>
    <w:p w:rsidR="004D5BD3" w:rsidRPr="00C67C07" w:rsidRDefault="004D5BD3" w:rsidP="004D5BD3">
      <w:pPr>
        <w:shd w:val="clear" w:color="auto" w:fill="FFFFFF" w:themeFill="background1"/>
        <w:spacing w:before="120" w:after="0" w:line="240" w:lineRule="auto"/>
        <w:jc w:val="both"/>
        <w:rPr>
          <w:rFonts w:eastAsiaTheme="minorEastAsia" w:cs="Arial"/>
          <w:sz w:val="20"/>
          <w:szCs w:val="20"/>
        </w:rPr>
      </w:pPr>
    </w:p>
    <w:p w:rsidR="004D5BD3" w:rsidRPr="00C67C07" w:rsidRDefault="002B5910" w:rsidP="004D5BD3">
      <w:pPr>
        <w:spacing w:before="120" w:after="0" w:line="240" w:lineRule="auto"/>
        <w:jc w:val="both"/>
        <w:rPr>
          <w:rFonts w:eastAsiaTheme="minorEastAsia" w:cs="Arial"/>
          <w:sz w:val="20"/>
          <w:szCs w:val="20"/>
        </w:rPr>
      </w:pPr>
      <m:oMath>
        <m:sSub>
          <m:sSubPr>
            <m:ctrlPr>
              <w:rPr>
                <w:rFonts w:ascii="Cambria Math" w:eastAsiaTheme="minorEastAsia" w:hAnsi="Cambria Math" w:cs="Arial"/>
                <w:i/>
                <w:sz w:val="20"/>
                <w:szCs w:val="20"/>
              </w:rPr>
            </m:ctrlPr>
          </m:sSubPr>
          <m:e>
            <m:r>
              <w:rPr>
                <w:rFonts w:ascii="Cambria Math" w:eastAsiaTheme="minorEastAsia" w:hAnsi="Cambria Math" w:cs="Arial"/>
                <w:sz w:val="20"/>
                <w:szCs w:val="20"/>
              </w:rPr>
              <m:t>BOD</m:t>
            </m:r>
          </m:e>
          <m:sub>
            <m:r>
              <w:rPr>
                <w:rFonts w:ascii="Cambria Math" w:eastAsiaTheme="minorEastAsia" w:hAnsi="Cambria Math" w:cs="Arial"/>
                <w:sz w:val="20"/>
                <w:szCs w:val="20"/>
              </w:rPr>
              <m:t>fiscal</m:t>
            </m:r>
          </m:sub>
        </m:sSub>
        <m:r>
          <w:rPr>
            <w:rFonts w:ascii="Cambria Math" w:eastAsiaTheme="minorEastAsia" w:hAnsi="Cambria Math" w:cs="Arial"/>
            <w:sz w:val="20"/>
            <w:szCs w:val="20"/>
          </w:rPr>
          <m:t>=</m:t>
        </m:r>
        <m:nary>
          <m:naryPr>
            <m:chr m:val="∑"/>
            <m:limLoc m:val="undOvr"/>
            <m:ctrlPr>
              <w:rPr>
                <w:rFonts w:ascii="Cambria Math" w:eastAsiaTheme="minorEastAsia" w:hAnsi="Cambria Math" w:cs="Arial"/>
                <w:i/>
                <w:sz w:val="20"/>
                <w:szCs w:val="20"/>
              </w:rPr>
            </m:ctrlPr>
          </m:naryPr>
          <m:sub>
            <m:r>
              <w:rPr>
                <w:rFonts w:ascii="Cambria Math" w:eastAsiaTheme="minorEastAsia" w:hAnsi="Cambria Math" w:cs="Arial"/>
                <w:sz w:val="20"/>
                <w:szCs w:val="20"/>
              </w:rPr>
              <m:t>t</m:t>
            </m:r>
          </m:sub>
          <m:sup>
            <m:r>
              <w:rPr>
                <w:rFonts w:ascii="Cambria Math" w:eastAsiaTheme="minorEastAsia" w:hAnsi="Cambria Math" w:cs="Arial"/>
                <w:sz w:val="20"/>
                <w:szCs w:val="20"/>
              </w:rPr>
              <m:t>Le</m:t>
            </m:r>
          </m:sup>
          <m:e>
            <m:f>
              <m:fPr>
                <m:ctrlPr>
                  <w:rPr>
                    <w:rFonts w:ascii="Cambria Math" w:eastAsiaTheme="minorEastAsia" w:hAnsi="Cambria Math" w:cs="Arial"/>
                    <w:i/>
                    <w:sz w:val="20"/>
                    <w:szCs w:val="20"/>
                  </w:rPr>
                </m:ctrlPr>
              </m:fPr>
              <m:num>
                <m:r>
                  <w:rPr>
                    <w:rFonts w:ascii="Cambria Math" w:eastAsiaTheme="minorEastAsia" w:hAnsi="Cambria Math" w:cs="Arial"/>
                    <w:sz w:val="20"/>
                    <w:szCs w:val="20"/>
                  </w:rPr>
                  <m:t>expected annual gross tax</m:t>
                </m:r>
              </m:num>
              <m:den>
                <m:sSup>
                  <m:sSupPr>
                    <m:ctrlPr>
                      <w:rPr>
                        <w:rFonts w:ascii="Cambria Math" w:eastAsiaTheme="minorEastAsia" w:hAnsi="Cambria Math" w:cs="Arial"/>
                        <w:i/>
                        <w:sz w:val="20"/>
                        <w:szCs w:val="20"/>
                      </w:rPr>
                    </m:ctrlPr>
                  </m:sSupPr>
                  <m:e>
                    <m:r>
                      <w:rPr>
                        <w:rFonts w:ascii="Cambria Math" w:eastAsiaTheme="minorEastAsia" w:hAnsi="Cambria Math" w:cs="Arial"/>
                        <w:sz w:val="20"/>
                        <w:szCs w:val="20"/>
                      </w:rPr>
                      <m:t>(1+r)</m:t>
                    </m:r>
                  </m:e>
                  <m:sup>
                    <m:r>
                      <w:rPr>
                        <w:rFonts w:ascii="Cambria Math" w:eastAsiaTheme="minorEastAsia" w:hAnsi="Cambria Math" w:cs="Arial"/>
                        <w:sz w:val="20"/>
                        <w:szCs w:val="20"/>
                      </w:rPr>
                      <m:t>t</m:t>
                    </m:r>
                  </m:sup>
                </m:sSup>
              </m:den>
            </m:f>
          </m:e>
        </m:nary>
        <m:r>
          <w:rPr>
            <w:rFonts w:ascii="Cambria Math" w:eastAsiaTheme="minorEastAsia" w:hAnsi="Cambria Math" w:cs="Arial"/>
            <w:sz w:val="20"/>
            <w:szCs w:val="20"/>
          </w:rPr>
          <m:t>+</m:t>
        </m:r>
        <m:nary>
          <m:naryPr>
            <m:chr m:val="∑"/>
            <m:limLoc m:val="undOvr"/>
            <m:ctrlPr>
              <w:rPr>
                <w:rFonts w:ascii="Cambria Math" w:eastAsiaTheme="minorEastAsia" w:hAnsi="Cambria Math" w:cs="Arial"/>
                <w:i/>
                <w:sz w:val="20"/>
                <w:szCs w:val="20"/>
              </w:rPr>
            </m:ctrlPr>
          </m:naryPr>
          <m:sub>
            <m:r>
              <w:rPr>
                <w:rFonts w:ascii="Cambria Math" w:eastAsiaTheme="minorEastAsia" w:hAnsi="Cambria Math" w:cs="Arial"/>
                <w:sz w:val="20"/>
                <w:szCs w:val="20"/>
              </w:rPr>
              <m:t>t</m:t>
            </m:r>
          </m:sub>
          <m:sup>
            <m:r>
              <w:rPr>
                <w:rFonts w:ascii="Cambria Math" w:eastAsiaTheme="minorEastAsia" w:hAnsi="Cambria Math" w:cs="Arial"/>
                <w:sz w:val="20"/>
                <w:szCs w:val="20"/>
              </w:rPr>
              <m:t>Le</m:t>
            </m:r>
          </m:sup>
          <m:e>
            <m:f>
              <m:fPr>
                <m:ctrlPr>
                  <w:rPr>
                    <w:rFonts w:ascii="Cambria Math" w:eastAsiaTheme="minorEastAsia" w:hAnsi="Cambria Math" w:cs="Arial"/>
                    <w:i/>
                    <w:sz w:val="20"/>
                    <w:szCs w:val="20"/>
                  </w:rPr>
                </m:ctrlPr>
              </m:fPr>
              <m:num>
                <m:r>
                  <w:rPr>
                    <w:rFonts w:ascii="Cambria Math" w:eastAsiaTheme="minorEastAsia" w:hAnsi="Cambria Math" w:cs="Arial"/>
                    <w:sz w:val="20"/>
                    <w:szCs w:val="20"/>
                  </w:rPr>
                  <m:t>an</m:t>
                </m:r>
                <m:r>
                  <w:rPr>
                    <w:rFonts w:ascii="Cambria Math" w:eastAsiaTheme="minorEastAsia" w:hAnsi="Cambria Math" w:cs="Arial"/>
                    <w:sz w:val="20"/>
                    <w:szCs w:val="20"/>
                  </w:rPr>
                  <m:t>nual direct medical costs+(annual National Insurance costs)</m:t>
                </m:r>
              </m:num>
              <m:den>
                <m:sSup>
                  <m:sSupPr>
                    <m:ctrlPr>
                      <w:rPr>
                        <w:rFonts w:ascii="Cambria Math" w:eastAsiaTheme="minorEastAsia" w:hAnsi="Cambria Math" w:cs="Arial"/>
                        <w:i/>
                        <w:sz w:val="20"/>
                        <w:szCs w:val="20"/>
                      </w:rPr>
                    </m:ctrlPr>
                  </m:sSupPr>
                  <m:e>
                    <m:r>
                      <w:rPr>
                        <w:rFonts w:ascii="Cambria Math" w:eastAsiaTheme="minorEastAsia" w:hAnsi="Cambria Math" w:cs="Arial"/>
                        <w:sz w:val="20"/>
                        <w:szCs w:val="20"/>
                      </w:rPr>
                      <m:t>(1+r)</m:t>
                    </m:r>
                  </m:e>
                  <m:sup>
                    <m:r>
                      <w:rPr>
                        <w:rFonts w:ascii="Cambria Math" w:eastAsiaTheme="minorEastAsia" w:hAnsi="Cambria Math" w:cs="Arial"/>
                        <w:sz w:val="20"/>
                        <w:szCs w:val="20"/>
                      </w:rPr>
                      <m:t>t</m:t>
                    </m:r>
                  </m:sup>
                </m:sSup>
              </m:den>
            </m:f>
          </m:e>
        </m:nary>
        <m:r>
          <w:rPr>
            <w:rFonts w:ascii="Cambria Math" w:eastAsiaTheme="minorEastAsia" w:hAnsi="Cambria Math" w:cs="Arial"/>
            <w:sz w:val="20"/>
            <w:szCs w:val="20"/>
          </w:rPr>
          <m:t xml:space="preserve"> </m:t>
        </m:r>
      </m:oMath>
      <w:r w:rsidR="004D5BD3">
        <w:rPr>
          <w:rFonts w:eastAsiaTheme="minorEastAsia" w:cs="Arial"/>
          <w:sz w:val="20"/>
          <w:szCs w:val="20"/>
        </w:rPr>
        <w:tab/>
      </w:r>
      <w:r w:rsidR="004D5BD3" w:rsidRPr="00C67C07">
        <w:rPr>
          <w:rFonts w:eastAsiaTheme="minorEastAsia" w:cs="Arial"/>
          <w:sz w:val="20"/>
          <w:szCs w:val="20"/>
        </w:rPr>
        <w:t>(5)</w:t>
      </w:r>
    </w:p>
    <w:p w:rsidR="004D5BD3" w:rsidRDefault="004D5BD3" w:rsidP="004D5BD3">
      <w:pPr>
        <w:spacing w:line="240" w:lineRule="auto"/>
        <w:rPr>
          <w:rFonts w:eastAsiaTheme="minorEastAsia" w:cs="Arial"/>
          <w:sz w:val="20"/>
          <w:szCs w:val="20"/>
        </w:rPr>
      </w:pPr>
    </w:p>
    <w:p w:rsidR="004D5BD3" w:rsidRPr="00C67C07" w:rsidRDefault="004D5BD3" w:rsidP="004D5BD3">
      <w:pPr>
        <w:spacing w:line="240" w:lineRule="auto"/>
        <w:rPr>
          <w:rFonts w:eastAsiaTheme="minorEastAsia" w:cs="Arial"/>
          <w:sz w:val="20"/>
          <w:szCs w:val="20"/>
        </w:rPr>
      </w:pPr>
      <w:r w:rsidRPr="00C67C07">
        <w:rPr>
          <w:rFonts w:eastAsiaTheme="minorEastAsia" w:cs="Arial"/>
          <w:sz w:val="20"/>
          <w:szCs w:val="20"/>
        </w:rPr>
        <w:t xml:space="preserve">Net Benefit fiscal = (BOD </w:t>
      </w:r>
      <w:r>
        <w:rPr>
          <w:rFonts w:eastAsiaTheme="minorEastAsia" w:cs="Arial"/>
          <w:sz w:val="20"/>
          <w:szCs w:val="20"/>
          <w:vertAlign w:val="subscript"/>
        </w:rPr>
        <w:t xml:space="preserve">fiscal </w:t>
      </w:r>
      <w:r w:rsidRPr="00C67C07">
        <w:rPr>
          <w:rFonts w:eastAsiaTheme="minorEastAsia" w:cs="Arial"/>
          <w:sz w:val="20"/>
          <w:szCs w:val="20"/>
          <w:vertAlign w:val="subscript"/>
        </w:rPr>
        <w:t>non-immunized</w:t>
      </w:r>
      <w:r w:rsidRPr="00C67C07">
        <w:rPr>
          <w:rFonts w:eastAsiaTheme="minorEastAsia" w:cs="Arial"/>
          <w:sz w:val="20"/>
          <w:szCs w:val="20"/>
        </w:rPr>
        <w:t xml:space="preserve"> - BOD </w:t>
      </w:r>
      <w:r>
        <w:rPr>
          <w:rFonts w:eastAsiaTheme="minorEastAsia" w:cs="Arial"/>
          <w:sz w:val="20"/>
          <w:szCs w:val="20"/>
          <w:vertAlign w:val="subscript"/>
        </w:rPr>
        <w:t>fiscal i</w:t>
      </w:r>
      <w:r w:rsidRPr="00C67C07">
        <w:rPr>
          <w:rFonts w:eastAsiaTheme="minorEastAsia" w:cs="Arial"/>
          <w:sz w:val="20"/>
          <w:szCs w:val="20"/>
          <w:vertAlign w:val="subscript"/>
        </w:rPr>
        <w:t>mmunized</w:t>
      </w:r>
      <w:r w:rsidRPr="00C67C07">
        <w:rPr>
          <w:rFonts w:eastAsiaTheme="minorEastAsia" w:cs="Arial"/>
          <w:sz w:val="20"/>
          <w:szCs w:val="20"/>
        </w:rPr>
        <w:t xml:space="preserve">) – Vaccination cost  </w:t>
      </w:r>
      <w:r w:rsidRPr="00C67C07">
        <w:rPr>
          <w:rFonts w:eastAsiaTheme="minorEastAsia" w:cs="Arial"/>
          <w:sz w:val="20"/>
          <w:szCs w:val="20"/>
        </w:rPr>
        <w:tab/>
      </w:r>
      <w:r>
        <w:rPr>
          <w:rFonts w:eastAsiaTheme="minorEastAsia" w:cs="Arial"/>
          <w:sz w:val="20"/>
          <w:szCs w:val="20"/>
        </w:rPr>
        <w:tab/>
      </w:r>
      <w:r>
        <w:rPr>
          <w:rFonts w:eastAsiaTheme="minorEastAsia" w:cs="Arial"/>
          <w:sz w:val="20"/>
          <w:szCs w:val="20"/>
        </w:rPr>
        <w:tab/>
      </w:r>
      <w:r>
        <w:rPr>
          <w:rFonts w:eastAsiaTheme="minorEastAsia" w:cs="Arial"/>
          <w:sz w:val="20"/>
          <w:szCs w:val="20"/>
        </w:rPr>
        <w:tab/>
        <w:t>(6)</w:t>
      </w:r>
    </w:p>
    <w:p w:rsidR="004D5BD3" w:rsidRDefault="004D5BD3" w:rsidP="004D5BD3">
      <w:pPr>
        <w:spacing w:line="240" w:lineRule="auto"/>
        <w:rPr>
          <w:rFonts w:eastAsiaTheme="minorEastAsia" w:cs="Arial"/>
          <w:sz w:val="20"/>
          <w:szCs w:val="20"/>
        </w:rPr>
      </w:pPr>
      <w:r>
        <w:rPr>
          <w:rFonts w:eastAsiaTheme="minorEastAsia" w:cs="Arial"/>
          <w:sz w:val="20"/>
          <w:szCs w:val="20"/>
        </w:rPr>
        <w:t xml:space="preserve">BCR fiscal = </w:t>
      </w:r>
      <w:r w:rsidRPr="00C67C07">
        <w:rPr>
          <w:rFonts w:eastAsiaTheme="minorEastAsia" w:cs="Arial"/>
          <w:sz w:val="20"/>
          <w:szCs w:val="20"/>
        </w:rPr>
        <w:t xml:space="preserve">(BOD </w:t>
      </w:r>
      <w:r>
        <w:rPr>
          <w:rFonts w:eastAsiaTheme="minorEastAsia" w:cs="Arial"/>
          <w:sz w:val="20"/>
          <w:szCs w:val="20"/>
          <w:vertAlign w:val="subscript"/>
        </w:rPr>
        <w:t xml:space="preserve">fiscal </w:t>
      </w:r>
      <w:r w:rsidRPr="00C67C07">
        <w:rPr>
          <w:rFonts w:eastAsiaTheme="minorEastAsia" w:cs="Arial"/>
          <w:sz w:val="20"/>
          <w:szCs w:val="20"/>
          <w:vertAlign w:val="subscript"/>
        </w:rPr>
        <w:t>non-immunized</w:t>
      </w:r>
      <w:r w:rsidRPr="00C67C07">
        <w:rPr>
          <w:rFonts w:eastAsiaTheme="minorEastAsia" w:cs="Arial"/>
          <w:sz w:val="20"/>
          <w:szCs w:val="20"/>
        </w:rPr>
        <w:t xml:space="preserve"> - BOD </w:t>
      </w:r>
      <w:r>
        <w:rPr>
          <w:rFonts w:eastAsiaTheme="minorEastAsia" w:cs="Arial"/>
          <w:sz w:val="20"/>
          <w:szCs w:val="20"/>
          <w:vertAlign w:val="subscript"/>
        </w:rPr>
        <w:t>fiscal i</w:t>
      </w:r>
      <w:r w:rsidRPr="00C67C07">
        <w:rPr>
          <w:rFonts w:eastAsiaTheme="minorEastAsia" w:cs="Arial"/>
          <w:sz w:val="20"/>
          <w:szCs w:val="20"/>
          <w:vertAlign w:val="subscript"/>
        </w:rPr>
        <w:t>mmunized</w:t>
      </w:r>
      <w:proofErr w:type="gramStart"/>
      <w:r>
        <w:rPr>
          <w:rFonts w:eastAsiaTheme="minorEastAsia" w:cs="Arial"/>
          <w:sz w:val="20"/>
          <w:szCs w:val="20"/>
        </w:rPr>
        <w:t>) :</w:t>
      </w:r>
      <w:proofErr w:type="gramEnd"/>
      <w:r>
        <w:rPr>
          <w:rFonts w:eastAsiaTheme="minorEastAsia" w:cs="Arial"/>
          <w:sz w:val="20"/>
          <w:szCs w:val="20"/>
        </w:rPr>
        <w:t xml:space="preserve"> </w:t>
      </w:r>
      <w:r w:rsidRPr="00C67C07">
        <w:rPr>
          <w:rFonts w:eastAsiaTheme="minorEastAsia" w:cs="Arial"/>
          <w:sz w:val="20"/>
          <w:szCs w:val="20"/>
        </w:rPr>
        <w:t>Vaccination cost</w:t>
      </w:r>
      <w:r w:rsidRPr="00C67C07" w:rsidDel="00F4107C">
        <w:rPr>
          <w:rFonts w:eastAsiaTheme="minorEastAsia" w:cs="Arial"/>
          <w:sz w:val="20"/>
          <w:szCs w:val="20"/>
        </w:rPr>
        <w:t xml:space="preserve"> </w:t>
      </w:r>
      <w:r>
        <w:rPr>
          <w:rFonts w:eastAsiaTheme="minorEastAsia" w:cs="Arial"/>
          <w:sz w:val="20"/>
          <w:szCs w:val="20"/>
        </w:rPr>
        <w:tab/>
      </w:r>
      <w:r>
        <w:rPr>
          <w:rFonts w:eastAsiaTheme="minorEastAsia" w:cs="Arial"/>
          <w:sz w:val="20"/>
          <w:szCs w:val="20"/>
        </w:rPr>
        <w:tab/>
      </w:r>
      <w:r>
        <w:rPr>
          <w:rFonts w:eastAsiaTheme="minorEastAsia" w:cs="Arial"/>
          <w:sz w:val="20"/>
          <w:szCs w:val="20"/>
        </w:rPr>
        <w:tab/>
      </w:r>
      <w:r>
        <w:rPr>
          <w:rFonts w:eastAsiaTheme="minorEastAsia" w:cs="Arial"/>
          <w:sz w:val="20"/>
          <w:szCs w:val="20"/>
        </w:rPr>
        <w:tab/>
      </w:r>
      <w:r>
        <w:rPr>
          <w:rFonts w:eastAsiaTheme="minorEastAsia" w:cs="Arial"/>
          <w:sz w:val="20"/>
          <w:szCs w:val="20"/>
        </w:rPr>
        <w:tab/>
        <w:t>(7)</w:t>
      </w:r>
    </w:p>
    <w:p w:rsidR="004D5BD3" w:rsidRPr="00C67C07" w:rsidRDefault="004D5BD3" w:rsidP="004D5BD3">
      <w:pPr>
        <w:spacing w:line="240" w:lineRule="auto"/>
        <w:rPr>
          <w:rFonts w:eastAsiaTheme="minorEastAsia" w:cs="Arial"/>
          <w:sz w:val="20"/>
          <w:szCs w:val="20"/>
        </w:rPr>
      </w:pPr>
      <w:r w:rsidRPr="00C67C07">
        <w:rPr>
          <w:rFonts w:eastAsiaTheme="minorEastAsia" w:cs="Arial"/>
          <w:sz w:val="20"/>
          <w:szCs w:val="20"/>
        </w:rPr>
        <w:t>The generational accounting assessment of net discounted tax was assesse</w:t>
      </w:r>
      <w:r>
        <w:rPr>
          <w:rFonts w:eastAsiaTheme="minorEastAsia" w:cs="Arial"/>
          <w:sz w:val="20"/>
          <w:szCs w:val="20"/>
        </w:rPr>
        <w:t>d</w:t>
      </w:r>
      <w:r w:rsidRPr="00C67C07">
        <w:rPr>
          <w:rFonts w:eastAsiaTheme="minorEastAsia" w:cs="Arial"/>
          <w:sz w:val="20"/>
          <w:szCs w:val="20"/>
        </w:rPr>
        <w:t xml:space="preserve"> using equations </w:t>
      </w:r>
      <w:r>
        <w:rPr>
          <w:rFonts w:eastAsiaTheme="minorEastAsia" w:cs="Arial"/>
          <w:sz w:val="20"/>
          <w:szCs w:val="20"/>
        </w:rPr>
        <w:t>8</w:t>
      </w:r>
      <w:r w:rsidRPr="00C67C07">
        <w:rPr>
          <w:rFonts w:eastAsiaTheme="minorEastAsia" w:cs="Arial"/>
          <w:sz w:val="20"/>
          <w:szCs w:val="20"/>
        </w:rPr>
        <w:t>-</w:t>
      </w:r>
      <w:r>
        <w:rPr>
          <w:rFonts w:eastAsiaTheme="minorEastAsia" w:cs="Arial"/>
          <w:sz w:val="20"/>
          <w:szCs w:val="20"/>
        </w:rPr>
        <w:t>10</w:t>
      </w:r>
      <w:r w:rsidRPr="00C67C07">
        <w:rPr>
          <w:rFonts w:eastAsiaTheme="minorEastAsia" w:cs="Arial"/>
          <w:sz w:val="20"/>
          <w:szCs w:val="20"/>
        </w:rPr>
        <w:t>.</w:t>
      </w:r>
    </w:p>
    <w:p w:rsidR="004D5BD3" w:rsidRPr="00C67C07" w:rsidRDefault="002B5910" w:rsidP="004D5BD3">
      <w:pPr>
        <w:spacing w:before="120" w:after="0" w:line="240" w:lineRule="auto"/>
        <w:jc w:val="both"/>
        <w:rPr>
          <w:rFonts w:eastAsiaTheme="minorEastAsia" w:cs="Arial"/>
          <w:sz w:val="20"/>
          <w:szCs w:val="20"/>
        </w:rPr>
      </w:pPr>
      <m:oMath>
        <m:sSub>
          <m:sSubPr>
            <m:ctrlPr>
              <w:rPr>
                <w:rFonts w:ascii="Cambria Math" w:eastAsiaTheme="minorEastAsia" w:hAnsi="Cambria Math" w:cs="Arial"/>
                <w:i/>
                <w:iCs/>
                <w:sz w:val="20"/>
                <w:szCs w:val="20"/>
                <w:lang w:val="en-GB"/>
              </w:rPr>
            </m:ctrlPr>
          </m:sSubPr>
          <m:e>
            <m:r>
              <w:rPr>
                <w:rFonts w:ascii="Cambria Math" w:eastAsiaTheme="minorEastAsia" w:hAnsi="Cambria Math" w:cs="Arial"/>
                <w:sz w:val="20"/>
                <w:szCs w:val="20"/>
                <w:lang w:val="en-GB"/>
              </w:rPr>
              <m:t>Net discounted tax</m:t>
            </m:r>
          </m:e>
          <m:sub>
            <m:r>
              <w:rPr>
                <w:rFonts w:ascii="Cambria Math" w:eastAsiaTheme="minorEastAsia" w:hAnsi="Cambria Math" w:cs="Arial"/>
                <w:sz w:val="20"/>
                <w:szCs w:val="20"/>
                <w:lang w:val="en-GB"/>
              </w:rPr>
              <m:t>lifetime</m:t>
            </m:r>
          </m:sub>
        </m:sSub>
        <m:r>
          <w:rPr>
            <w:rFonts w:ascii="Cambria Math" w:eastAsiaTheme="minorEastAsia" w:hAnsi="Cambria Math" w:cs="Arial"/>
            <w:sz w:val="20"/>
            <w:szCs w:val="20"/>
            <w:lang w:val="en-GB"/>
          </w:rPr>
          <m:t>= </m:t>
        </m:r>
        <m:nary>
          <m:naryPr>
            <m:chr m:val="∑"/>
            <m:limLoc m:val="undOvr"/>
            <m:ctrlPr>
              <w:rPr>
                <w:rFonts w:ascii="Cambria Math" w:eastAsiaTheme="minorEastAsia" w:hAnsi="Cambria Math" w:cs="Arial"/>
                <w:i/>
                <w:iCs/>
                <w:sz w:val="20"/>
                <w:szCs w:val="20"/>
                <w:lang w:val="en-GB"/>
              </w:rPr>
            </m:ctrlPr>
          </m:naryPr>
          <m:sub>
            <m:r>
              <w:rPr>
                <w:rFonts w:ascii="Cambria Math" w:eastAsiaTheme="minorEastAsia" w:hAnsi="Cambria Math" w:cs="Arial"/>
                <w:sz w:val="20"/>
                <w:szCs w:val="20"/>
                <w:lang w:val="en-GB"/>
              </w:rPr>
              <m:t>13</m:t>
            </m:r>
          </m:sub>
          <m:sup>
            <m:r>
              <w:rPr>
                <w:rFonts w:ascii="Cambria Math" w:eastAsiaTheme="minorEastAsia" w:hAnsi="Cambria Math" w:cs="Arial"/>
                <w:sz w:val="20"/>
                <w:szCs w:val="20"/>
                <w:lang w:val="en-GB"/>
              </w:rPr>
              <m:t>Le</m:t>
            </m:r>
          </m:sup>
          <m:e>
            <m:f>
              <m:fPr>
                <m:ctrlPr>
                  <w:rPr>
                    <w:rFonts w:ascii="Cambria Math" w:eastAsiaTheme="minorEastAsia" w:hAnsi="Cambria Math" w:cs="Arial"/>
                    <w:i/>
                    <w:iCs/>
                    <w:sz w:val="20"/>
                    <w:szCs w:val="20"/>
                    <w:lang w:val="en-GB"/>
                  </w:rPr>
                </m:ctrlPr>
              </m:fPr>
              <m:num>
                <m:sSub>
                  <m:sSubPr>
                    <m:ctrlPr>
                      <w:rPr>
                        <w:rFonts w:ascii="Cambria Math" w:eastAsiaTheme="minorEastAsia" w:hAnsi="Cambria Math" w:cs="Arial"/>
                        <w:i/>
                        <w:iCs/>
                        <w:sz w:val="20"/>
                        <w:szCs w:val="20"/>
                        <w:lang w:val="en-GB"/>
                      </w:rPr>
                    </m:ctrlPr>
                  </m:sSubPr>
                  <m:e>
                    <m:r>
                      <w:rPr>
                        <w:rFonts w:ascii="Cambria Math" w:eastAsiaTheme="minorEastAsia" w:hAnsi="Cambria Math" w:cs="Arial"/>
                        <w:sz w:val="20"/>
                        <w:szCs w:val="20"/>
                        <w:lang w:val="en-GB"/>
                      </w:rPr>
                      <m:t>Tax</m:t>
                    </m:r>
                  </m:e>
                  <m:sub>
                    <m:r>
                      <w:rPr>
                        <w:rFonts w:ascii="Cambria Math" w:eastAsiaTheme="minorEastAsia" w:hAnsi="Cambria Math" w:cs="Arial"/>
                        <w:sz w:val="20"/>
                        <w:szCs w:val="20"/>
                        <w:lang w:val="en-GB"/>
                      </w:rPr>
                      <m:t>t</m:t>
                    </m:r>
                  </m:sub>
                </m:sSub>
                <m:r>
                  <w:rPr>
                    <w:rFonts w:ascii="Cambria Math" w:eastAsiaTheme="minorEastAsia" w:hAnsi="Cambria Math" w:cs="Arial"/>
                    <w:sz w:val="20"/>
                    <w:szCs w:val="20"/>
                    <w:lang w:val="en-GB"/>
                  </w:rPr>
                  <m:t>-</m:t>
                </m:r>
                <m:sSub>
                  <m:sSubPr>
                    <m:ctrlPr>
                      <w:rPr>
                        <w:rFonts w:ascii="Cambria Math" w:eastAsiaTheme="minorEastAsia" w:hAnsi="Cambria Math" w:cs="Arial"/>
                        <w:i/>
                        <w:iCs/>
                        <w:sz w:val="20"/>
                        <w:szCs w:val="20"/>
                        <w:lang w:val="en-GB"/>
                      </w:rPr>
                    </m:ctrlPr>
                  </m:sSubPr>
                  <m:e>
                    <m:r>
                      <w:rPr>
                        <w:rFonts w:ascii="Cambria Math" w:eastAsiaTheme="minorEastAsia" w:hAnsi="Cambria Math" w:cs="Arial"/>
                        <w:sz w:val="20"/>
                        <w:szCs w:val="20"/>
                        <w:lang w:val="en-GB"/>
                      </w:rPr>
                      <m:t>Cost</m:t>
                    </m:r>
                  </m:e>
                  <m:sub>
                    <m:r>
                      <w:rPr>
                        <w:rFonts w:ascii="Cambria Math" w:eastAsiaTheme="minorEastAsia" w:hAnsi="Cambria Math" w:cs="Arial"/>
                        <w:sz w:val="20"/>
                        <w:szCs w:val="20"/>
                        <w:lang w:val="en-GB"/>
                      </w:rPr>
                      <m:t>t</m:t>
                    </m:r>
                  </m:sub>
                </m:sSub>
              </m:num>
              <m:den>
                <m:sSup>
                  <m:sSupPr>
                    <m:ctrlPr>
                      <w:rPr>
                        <w:rFonts w:ascii="Cambria Math" w:eastAsiaTheme="minorEastAsia" w:hAnsi="Cambria Math" w:cs="Arial"/>
                        <w:i/>
                        <w:iCs/>
                        <w:sz w:val="20"/>
                        <w:szCs w:val="20"/>
                        <w:lang w:val="en-GB"/>
                      </w:rPr>
                    </m:ctrlPr>
                  </m:sSupPr>
                  <m:e>
                    <m:r>
                      <w:rPr>
                        <w:rFonts w:ascii="Cambria Math" w:eastAsiaTheme="minorEastAsia" w:hAnsi="Cambria Math" w:cs="Arial"/>
                        <w:sz w:val="20"/>
                        <w:szCs w:val="20"/>
                        <w:lang w:val="en-GB"/>
                      </w:rPr>
                      <m:t>(1+r)</m:t>
                    </m:r>
                  </m:e>
                  <m:sup>
                    <m:r>
                      <w:rPr>
                        <w:rFonts w:ascii="Cambria Math" w:eastAsiaTheme="minorEastAsia" w:hAnsi="Cambria Math" w:cs="Arial"/>
                        <w:sz w:val="20"/>
                        <w:szCs w:val="20"/>
                        <w:lang w:val="en-GB"/>
                      </w:rPr>
                      <m:t>t</m:t>
                    </m:r>
                  </m:sup>
                </m:sSup>
              </m:den>
            </m:f>
          </m:e>
        </m:nary>
      </m:oMath>
      <w:r w:rsidR="004D5BD3" w:rsidRPr="00C67C07">
        <w:rPr>
          <w:rFonts w:eastAsiaTheme="minorEastAsia" w:cs="Arial"/>
          <w:sz w:val="20"/>
          <w:szCs w:val="20"/>
          <w:lang w:val="en-GB"/>
        </w:rPr>
        <w:tab/>
      </w:r>
      <w:r w:rsidR="004D5BD3">
        <w:rPr>
          <w:rFonts w:eastAsiaTheme="minorEastAsia" w:cs="Arial"/>
          <w:sz w:val="20"/>
          <w:szCs w:val="20"/>
          <w:lang w:val="en-GB"/>
        </w:rPr>
        <w:tab/>
      </w:r>
      <w:r w:rsidR="004D5BD3">
        <w:rPr>
          <w:rFonts w:eastAsiaTheme="minorEastAsia" w:cs="Arial"/>
          <w:sz w:val="20"/>
          <w:szCs w:val="20"/>
          <w:lang w:val="en-GB"/>
        </w:rPr>
        <w:tab/>
      </w:r>
      <w:r w:rsidR="004D5BD3">
        <w:rPr>
          <w:rFonts w:eastAsiaTheme="minorEastAsia" w:cs="Arial"/>
          <w:sz w:val="20"/>
          <w:szCs w:val="20"/>
          <w:lang w:val="en-GB"/>
        </w:rPr>
        <w:tab/>
      </w:r>
      <w:r w:rsidR="004D5BD3">
        <w:rPr>
          <w:rFonts w:eastAsiaTheme="minorEastAsia" w:cs="Arial"/>
          <w:sz w:val="20"/>
          <w:szCs w:val="20"/>
          <w:lang w:val="en-GB"/>
        </w:rPr>
        <w:tab/>
      </w:r>
      <w:r w:rsidR="004D5BD3">
        <w:rPr>
          <w:rFonts w:eastAsiaTheme="minorEastAsia" w:cs="Arial"/>
          <w:sz w:val="20"/>
          <w:szCs w:val="20"/>
          <w:lang w:val="en-GB"/>
        </w:rPr>
        <w:tab/>
      </w:r>
      <w:r w:rsidR="004D5BD3">
        <w:rPr>
          <w:rFonts w:eastAsiaTheme="minorEastAsia" w:cs="Arial"/>
          <w:sz w:val="20"/>
          <w:szCs w:val="20"/>
          <w:lang w:val="en-GB"/>
        </w:rPr>
        <w:tab/>
        <w:t>(8)</w:t>
      </w:r>
      <w:r w:rsidR="004D5BD3" w:rsidRPr="00C67C07">
        <w:rPr>
          <w:rFonts w:eastAsiaTheme="minorEastAsia" w:cs="Arial"/>
          <w:sz w:val="20"/>
          <w:szCs w:val="20"/>
          <w:lang w:val="en-GB"/>
        </w:rPr>
        <w:tab/>
      </w:r>
      <w:r w:rsidR="004D5BD3" w:rsidRPr="00C67C07">
        <w:rPr>
          <w:rFonts w:eastAsiaTheme="minorEastAsia" w:cs="Arial"/>
          <w:sz w:val="20"/>
          <w:szCs w:val="20"/>
          <w:lang w:val="en-GB"/>
        </w:rPr>
        <w:tab/>
      </w:r>
      <w:r w:rsidR="004D5BD3" w:rsidRPr="00C67C07">
        <w:rPr>
          <w:rFonts w:eastAsiaTheme="minorEastAsia" w:cs="Arial"/>
          <w:sz w:val="20"/>
          <w:szCs w:val="20"/>
          <w:lang w:val="en-GB"/>
        </w:rPr>
        <w:tab/>
      </w:r>
      <w:r w:rsidR="004D5BD3" w:rsidRPr="00C67C07">
        <w:rPr>
          <w:rFonts w:eastAsiaTheme="minorEastAsia" w:cs="Arial"/>
          <w:sz w:val="20"/>
          <w:szCs w:val="20"/>
          <w:lang w:val="en-GB"/>
        </w:rPr>
        <w:tab/>
      </w:r>
      <w:r w:rsidR="004D5BD3" w:rsidRPr="00C67C07">
        <w:rPr>
          <w:rFonts w:eastAsiaTheme="minorEastAsia" w:cs="Arial"/>
          <w:sz w:val="20"/>
          <w:szCs w:val="20"/>
          <w:lang w:val="en-GB"/>
        </w:rPr>
        <w:tab/>
      </w:r>
      <w:r w:rsidR="004D5BD3" w:rsidRPr="00C67C07">
        <w:rPr>
          <w:rFonts w:eastAsiaTheme="minorEastAsia" w:cs="Arial"/>
          <w:sz w:val="20"/>
          <w:szCs w:val="20"/>
          <w:lang w:val="en-GB"/>
        </w:rPr>
        <w:tab/>
      </w:r>
      <w:r w:rsidR="004D5BD3" w:rsidRPr="00C67C07">
        <w:rPr>
          <w:rFonts w:eastAsiaTheme="minorEastAsia" w:cs="Arial"/>
          <w:sz w:val="20"/>
          <w:szCs w:val="20"/>
          <w:lang w:val="en-GB"/>
        </w:rPr>
        <w:tab/>
        <w:t xml:space="preserve">         </w:t>
      </w:r>
    </w:p>
    <w:p w:rsidR="004D5BD3" w:rsidRPr="00C67C07" w:rsidRDefault="004D5BD3" w:rsidP="004D5BD3">
      <w:pPr>
        <w:spacing w:before="120" w:after="0" w:line="240" w:lineRule="auto"/>
        <w:jc w:val="both"/>
        <w:rPr>
          <w:rFonts w:eastAsiaTheme="minorEastAsia" w:cs="Arial"/>
          <w:sz w:val="20"/>
          <w:szCs w:val="20"/>
        </w:rPr>
      </w:pPr>
      <w:r w:rsidRPr="00C67C07">
        <w:rPr>
          <w:rFonts w:eastAsiaTheme="minorEastAsia" w:cs="Arial"/>
          <w:sz w:val="20"/>
          <w:szCs w:val="20"/>
          <w:lang w:val="en-GB"/>
        </w:rPr>
        <w:t>Where in year</w:t>
      </w:r>
      <w:r>
        <w:rPr>
          <w:rFonts w:eastAsiaTheme="minorEastAsia" w:cs="Arial"/>
          <w:sz w:val="20"/>
          <w:szCs w:val="20"/>
          <w:lang w:val="en-GB"/>
        </w:rPr>
        <w:t xml:space="preserve"> of age</w:t>
      </w:r>
      <w:r w:rsidRPr="00C67C07">
        <w:rPr>
          <w:rFonts w:eastAsiaTheme="minorEastAsia" w:cs="Arial"/>
          <w:sz w:val="20"/>
          <w:szCs w:val="20"/>
          <w:lang w:val="en-GB"/>
        </w:rPr>
        <w:t xml:space="preserve"> t: </w:t>
      </w:r>
    </w:p>
    <w:p w:rsidR="004D5BD3" w:rsidRPr="00C67C07" w:rsidRDefault="002B5910" w:rsidP="004D5BD3">
      <w:pPr>
        <w:spacing w:before="120" w:after="0" w:line="240" w:lineRule="auto"/>
        <w:jc w:val="both"/>
        <w:rPr>
          <w:rFonts w:eastAsiaTheme="minorEastAsia" w:cs="Arial"/>
          <w:sz w:val="20"/>
          <w:szCs w:val="20"/>
        </w:rPr>
      </w:pPr>
      <m:oMath>
        <m:sSub>
          <m:sSubPr>
            <m:ctrlPr>
              <w:rPr>
                <w:rFonts w:ascii="Cambria Math" w:eastAsiaTheme="minorEastAsia" w:hAnsi="Cambria Math" w:cs="Arial"/>
                <w:i/>
                <w:iCs/>
                <w:sz w:val="20"/>
                <w:szCs w:val="20"/>
                <w:lang w:val="en-GB"/>
              </w:rPr>
            </m:ctrlPr>
          </m:sSubPr>
          <m:e>
            <m:r>
              <w:rPr>
                <w:rFonts w:ascii="Cambria Math" w:eastAsiaTheme="minorEastAsia" w:hAnsi="Cambria Math" w:cs="Arial"/>
                <w:sz w:val="20"/>
                <w:szCs w:val="20"/>
                <w:lang w:val="en-GB"/>
              </w:rPr>
              <m:t>Tax</m:t>
            </m:r>
          </m:e>
          <m:sub>
            <m:r>
              <w:rPr>
                <w:rFonts w:ascii="Cambria Math" w:eastAsiaTheme="minorEastAsia" w:hAnsi="Cambria Math" w:cs="Arial"/>
                <w:sz w:val="20"/>
                <w:szCs w:val="20"/>
                <w:lang w:val="en-GB"/>
              </w:rPr>
              <m:t>t</m:t>
            </m:r>
          </m:sub>
        </m:sSub>
        <m:r>
          <w:rPr>
            <w:rFonts w:ascii="Cambria Math" w:eastAsiaTheme="minorEastAsia" w:hAnsi="Cambria Math" w:cs="Arial"/>
            <w:sz w:val="20"/>
            <w:szCs w:val="20"/>
            <w:lang w:val="en-GB"/>
          </w:rPr>
          <m:t>=</m:t>
        </m:r>
        <m:sSub>
          <m:sSubPr>
            <m:ctrlPr>
              <w:rPr>
                <w:rFonts w:ascii="Cambria Math" w:eastAsiaTheme="minorEastAsia" w:hAnsi="Cambria Math" w:cs="Arial"/>
                <w:i/>
                <w:iCs/>
                <w:sz w:val="20"/>
                <w:szCs w:val="20"/>
                <w:lang w:val="en-GB"/>
              </w:rPr>
            </m:ctrlPr>
          </m:sSubPr>
          <m:e>
            <m:r>
              <w:rPr>
                <w:rFonts w:ascii="Cambria Math" w:eastAsiaTheme="minorEastAsia" w:hAnsi="Cambria Math" w:cs="Arial"/>
                <w:sz w:val="20"/>
                <w:szCs w:val="20"/>
                <w:lang w:val="en-GB"/>
              </w:rPr>
              <m:t>Direct tax</m:t>
            </m:r>
          </m:e>
          <m:sub>
            <m:r>
              <w:rPr>
                <w:rFonts w:ascii="Cambria Math" w:eastAsiaTheme="minorEastAsia" w:hAnsi="Cambria Math" w:cs="Arial"/>
                <w:sz w:val="20"/>
                <w:szCs w:val="20"/>
                <w:lang w:val="en-GB"/>
              </w:rPr>
              <m:t>t</m:t>
            </m:r>
          </m:sub>
        </m:sSub>
        <m:r>
          <w:rPr>
            <w:rFonts w:ascii="Cambria Math" w:eastAsiaTheme="minorEastAsia" w:hAnsi="Cambria Math" w:cs="Arial"/>
            <w:sz w:val="20"/>
            <w:szCs w:val="20"/>
            <w:lang w:val="en-GB"/>
          </w:rPr>
          <m:t>+</m:t>
        </m:r>
        <m:sSub>
          <m:sSubPr>
            <m:ctrlPr>
              <w:rPr>
                <w:rFonts w:ascii="Cambria Math" w:eastAsiaTheme="minorEastAsia" w:hAnsi="Cambria Math" w:cs="Arial"/>
                <w:i/>
                <w:iCs/>
                <w:sz w:val="20"/>
                <w:szCs w:val="20"/>
                <w:lang w:val="en-GB"/>
              </w:rPr>
            </m:ctrlPr>
          </m:sSubPr>
          <m:e>
            <m:r>
              <w:rPr>
                <w:rFonts w:ascii="Cambria Math" w:eastAsiaTheme="minorEastAsia" w:hAnsi="Cambria Math" w:cs="Arial"/>
                <w:sz w:val="20"/>
                <w:szCs w:val="20"/>
                <w:lang w:val="en-GB"/>
              </w:rPr>
              <m:t>Indirect tax</m:t>
            </m:r>
          </m:e>
          <m:sub>
            <m:r>
              <w:rPr>
                <w:rFonts w:ascii="Cambria Math" w:eastAsiaTheme="minorEastAsia" w:hAnsi="Cambria Math" w:cs="Arial"/>
                <w:sz w:val="20"/>
                <w:szCs w:val="20"/>
                <w:lang w:val="en-GB"/>
              </w:rPr>
              <m:t>t</m:t>
            </m:r>
          </m:sub>
        </m:sSub>
        <m:r>
          <w:rPr>
            <w:rFonts w:ascii="Cambria Math" w:eastAsiaTheme="minorEastAsia" w:hAnsi="Cambria Math" w:cs="Arial"/>
            <w:sz w:val="20"/>
            <w:szCs w:val="20"/>
            <w:lang w:val="en-GB"/>
          </w:rPr>
          <m:t> +</m:t>
        </m:r>
        <m:sSub>
          <m:sSubPr>
            <m:ctrlPr>
              <w:rPr>
                <w:rFonts w:ascii="Cambria Math" w:eastAsiaTheme="minorEastAsia" w:hAnsi="Cambria Math" w:cs="Arial"/>
                <w:i/>
                <w:iCs/>
                <w:sz w:val="20"/>
                <w:szCs w:val="20"/>
                <w:lang w:val="en-GB"/>
              </w:rPr>
            </m:ctrlPr>
          </m:sSubPr>
          <m:e>
            <m:r>
              <w:rPr>
                <w:rFonts w:ascii="Cambria Math" w:eastAsiaTheme="minorEastAsia" w:hAnsi="Cambria Math" w:cs="Arial"/>
                <w:sz w:val="20"/>
                <w:szCs w:val="20"/>
                <w:lang w:val="en-GB"/>
              </w:rPr>
              <m:t>National insurance contributions</m:t>
            </m:r>
          </m:e>
          <m:sub>
            <m:r>
              <w:rPr>
                <w:rFonts w:ascii="Cambria Math" w:eastAsiaTheme="minorEastAsia" w:hAnsi="Cambria Math" w:cs="Arial"/>
                <w:sz w:val="20"/>
                <w:szCs w:val="20"/>
                <w:lang w:val="en-GB"/>
              </w:rPr>
              <m:t>t</m:t>
            </m:r>
          </m:sub>
        </m:sSub>
      </m:oMath>
      <w:r w:rsidR="004D5BD3" w:rsidRPr="00C67C07">
        <w:rPr>
          <w:rFonts w:eastAsiaTheme="minorEastAsia" w:cs="Arial"/>
          <w:sz w:val="20"/>
          <w:szCs w:val="20"/>
          <w:lang w:val="en-GB"/>
        </w:rPr>
        <w:tab/>
      </w:r>
      <w:r w:rsidR="004D5BD3" w:rsidRPr="00C67C07">
        <w:rPr>
          <w:rFonts w:eastAsiaTheme="minorEastAsia" w:cs="Arial"/>
          <w:sz w:val="20"/>
          <w:szCs w:val="20"/>
          <w:lang w:val="en-GB"/>
        </w:rPr>
        <w:tab/>
      </w:r>
      <w:r w:rsidR="004D5BD3" w:rsidRPr="00C67C07">
        <w:rPr>
          <w:rFonts w:eastAsiaTheme="minorEastAsia" w:cs="Arial"/>
          <w:sz w:val="20"/>
          <w:szCs w:val="20"/>
          <w:lang w:val="en-GB"/>
        </w:rPr>
        <w:tab/>
      </w:r>
      <w:r w:rsidR="004D5BD3" w:rsidRPr="00C67C07">
        <w:rPr>
          <w:rFonts w:eastAsiaTheme="minorEastAsia" w:cs="Arial"/>
          <w:sz w:val="20"/>
          <w:szCs w:val="20"/>
          <w:lang w:val="en-GB"/>
        </w:rPr>
        <w:tab/>
        <w:t>(</w:t>
      </w:r>
      <w:r w:rsidR="004D5BD3">
        <w:rPr>
          <w:rFonts w:eastAsiaTheme="minorEastAsia" w:cs="Arial"/>
          <w:sz w:val="20"/>
          <w:szCs w:val="20"/>
          <w:lang w:val="en-GB"/>
        </w:rPr>
        <w:t>9</w:t>
      </w:r>
      <w:r w:rsidR="004D5BD3" w:rsidRPr="00C67C07">
        <w:rPr>
          <w:rFonts w:eastAsiaTheme="minorEastAsia" w:cs="Arial"/>
          <w:sz w:val="20"/>
          <w:szCs w:val="20"/>
          <w:lang w:val="en-GB"/>
        </w:rPr>
        <w:t>)</w:t>
      </w:r>
    </w:p>
    <w:p w:rsidR="004D5BD3" w:rsidRPr="00C67C07" w:rsidRDefault="002B5910" w:rsidP="004D5BD3">
      <w:pPr>
        <w:spacing w:before="120" w:after="0" w:line="240" w:lineRule="auto"/>
        <w:jc w:val="both"/>
        <w:rPr>
          <w:rFonts w:eastAsiaTheme="minorEastAsia" w:cs="Arial"/>
          <w:sz w:val="20"/>
          <w:szCs w:val="20"/>
          <w:lang w:val="en-GB"/>
        </w:rPr>
      </w:pPr>
      <m:oMath>
        <m:sSub>
          <m:sSubPr>
            <m:ctrlPr>
              <w:rPr>
                <w:rFonts w:ascii="Cambria Math" w:eastAsiaTheme="minorEastAsia" w:hAnsi="Cambria Math" w:cs="Arial"/>
                <w:i/>
                <w:iCs/>
                <w:sz w:val="20"/>
                <w:szCs w:val="20"/>
                <w:lang w:val="en-GB"/>
              </w:rPr>
            </m:ctrlPr>
          </m:sSubPr>
          <m:e>
            <m:r>
              <w:rPr>
                <w:rFonts w:ascii="Cambria Math" w:eastAsiaTheme="minorEastAsia" w:hAnsi="Cambria Math" w:cs="Arial"/>
                <w:sz w:val="20"/>
                <w:szCs w:val="20"/>
                <w:lang w:val="en-GB"/>
              </w:rPr>
              <m:t>Cost</m:t>
            </m:r>
          </m:e>
          <m:sub>
            <m:r>
              <w:rPr>
                <w:rFonts w:ascii="Cambria Math" w:eastAsiaTheme="minorEastAsia" w:hAnsi="Cambria Math" w:cs="Arial"/>
                <w:sz w:val="20"/>
                <w:szCs w:val="20"/>
                <w:lang w:val="en-GB"/>
              </w:rPr>
              <m:t>t</m:t>
            </m:r>
          </m:sub>
        </m:sSub>
        <m:r>
          <w:rPr>
            <w:rFonts w:ascii="Cambria Math" w:eastAsiaTheme="minorEastAsia" w:hAnsi="Cambria Math" w:cs="Arial"/>
            <w:sz w:val="20"/>
            <w:szCs w:val="20"/>
            <w:lang w:val="en-GB"/>
          </w:rPr>
          <m:t xml:space="preserve">= </m:t>
        </m:r>
        <m:sSub>
          <m:sSubPr>
            <m:ctrlPr>
              <w:rPr>
                <w:rFonts w:ascii="Cambria Math" w:eastAsiaTheme="minorEastAsia" w:hAnsi="Cambria Math" w:cs="Arial"/>
                <w:i/>
                <w:iCs/>
                <w:sz w:val="20"/>
                <w:szCs w:val="20"/>
                <w:lang w:val="en-GB"/>
              </w:rPr>
            </m:ctrlPr>
          </m:sSubPr>
          <m:e>
            <m:r>
              <w:rPr>
                <w:rFonts w:ascii="Cambria Math" w:eastAsiaTheme="minorEastAsia" w:hAnsi="Cambria Math" w:cs="Arial"/>
                <w:sz w:val="20"/>
                <w:szCs w:val="20"/>
                <w:lang w:val="en-GB"/>
              </w:rPr>
              <m:t>Health care costs</m:t>
            </m:r>
          </m:e>
          <m:sub>
            <m:r>
              <w:rPr>
                <w:rFonts w:ascii="Cambria Math" w:eastAsiaTheme="minorEastAsia" w:hAnsi="Cambria Math" w:cs="Arial"/>
                <w:sz w:val="20"/>
                <w:szCs w:val="20"/>
                <w:lang w:val="en-GB"/>
              </w:rPr>
              <m:t>t</m:t>
            </m:r>
          </m:sub>
        </m:sSub>
        <m:r>
          <w:rPr>
            <w:rFonts w:ascii="Cambria Math" w:eastAsiaTheme="minorEastAsia" w:hAnsi="Cambria Math" w:cs="Arial"/>
            <w:sz w:val="20"/>
            <w:szCs w:val="20"/>
            <w:lang w:val="en-GB"/>
          </w:rPr>
          <m:t>+</m:t>
        </m:r>
        <m:sSub>
          <m:sSubPr>
            <m:ctrlPr>
              <w:rPr>
                <w:rFonts w:ascii="Cambria Math" w:eastAsiaTheme="minorEastAsia" w:hAnsi="Cambria Math" w:cs="Arial"/>
                <w:i/>
                <w:iCs/>
                <w:sz w:val="20"/>
                <w:szCs w:val="20"/>
                <w:lang w:val="en-GB"/>
              </w:rPr>
            </m:ctrlPr>
          </m:sSubPr>
          <m:e>
            <m:r>
              <w:rPr>
                <w:rFonts w:ascii="Cambria Math" w:eastAsiaTheme="minorEastAsia" w:hAnsi="Cambria Math" w:cs="Arial"/>
                <w:sz w:val="20"/>
                <w:szCs w:val="20"/>
                <w:lang w:val="en-GB"/>
              </w:rPr>
              <m:t>Transfers</m:t>
            </m:r>
          </m:e>
          <m:sub>
            <m:r>
              <w:rPr>
                <w:rFonts w:ascii="Cambria Math" w:eastAsiaTheme="minorEastAsia" w:hAnsi="Cambria Math" w:cs="Arial"/>
                <w:sz w:val="20"/>
                <w:szCs w:val="20"/>
                <w:lang w:val="en-GB"/>
              </w:rPr>
              <m:t>t</m:t>
            </m:r>
          </m:sub>
        </m:sSub>
        <m:r>
          <w:rPr>
            <w:rFonts w:ascii="Cambria Math" w:eastAsiaTheme="minorEastAsia" w:hAnsi="Cambria Math" w:cs="Arial"/>
            <w:sz w:val="20"/>
            <w:szCs w:val="20"/>
          </w:rPr>
          <m:t> </m:t>
        </m:r>
        <m:r>
          <w:rPr>
            <w:rFonts w:ascii="Cambria Math" w:eastAsiaTheme="minorEastAsia" w:hAnsi="Cambria Math" w:cs="Arial"/>
            <w:sz w:val="20"/>
            <w:szCs w:val="20"/>
            <w:lang w:val="en-GB"/>
          </w:rPr>
          <m:t>+</m:t>
        </m:r>
        <m:sSub>
          <m:sSubPr>
            <m:ctrlPr>
              <w:rPr>
                <w:rFonts w:ascii="Cambria Math" w:eastAsiaTheme="minorEastAsia" w:hAnsi="Cambria Math" w:cs="Arial"/>
                <w:i/>
                <w:iCs/>
                <w:sz w:val="20"/>
                <w:szCs w:val="20"/>
                <w:lang w:val="en-GB"/>
              </w:rPr>
            </m:ctrlPr>
          </m:sSubPr>
          <m:e>
            <m:r>
              <w:rPr>
                <w:rFonts w:ascii="Cambria Math" w:eastAsiaTheme="minorEastAsia" w:hAnsi="Cambria Math" w:cs="Arial"/>
                <w:sz w:val="20"/>
                <w:szCs w:val="20"/>
                <w:lang w:val="en-GB"/>
              </w:rPr>
              <m:t>Pension</m:t>
            </m:r>
          </m:e>
          <m:sub>
            <m:r>
              <w:rPr>
                <w:rFonts w:ascii="Cambria Math" w:eastAsiaTheme="minorEastAsia" w:hAnsi="Cambria Math" w:cs="Arial"/>
                <w:sz w:val="20"/>
                <w:szCs w:val="20"/>
                <w:lang w:val="en-GB"/>
              </w:rPr>
              <m:t>t</m:t>
            </m:r>
          </m:sub>
        </m:sSub>
      </m:oMath>
      <w:r w:rsidR="004D5BD3" w:rsidRPr="00C67C07">
        <w:rPr>
          <w:rFonts w:eastAsiaTheme="minorEastAsia" w:cs="Arial"/>
          <w:sz w:val="20"/>
          <w:szCs w:val="20"/>
          <w:lang w:val="en-GB"/>
        </w:rPr>
        <w:t xml:space="preserve"> </w:t>
      </w:r>
      <w:r w:rsidR="004D5BD3" w:rsidRPr="00C67C07">
        <w:rPr>
          <w:rFonts w:eastAsiaTheme="minorEastAsia" w:cs="Arial"/>
          <w:sz w:val="20"/>
          <w:szCs w:val="20"/>
          <w:lang w:val="en-GB"/>
        </w:rPr>
        <w:tab/>
      </w:r>
      <w:r w:rsidR="004D5BD3" w:rsidRPr="00C67C07">
        <w:rPr>
          <w:rFonts w:eastAsiaTheme="minorEastAsia" w:cs="Arial"/>
          <w:sz w:val="20"/>
          <w:szCs w:val="20"/>
          <w:lang w:val="en-GB"/>
        </w:rPr>
        <w:tab/>
      </w:r>
      <w:r w:rsidR="004D5BD3" w:rsidRPr="00C67C07">
        <w:rPr>
          <w:rFonts w:eastAsiaTheme="minorEastAsia" w:cs="Arial"/>
          <w:sz w:val="20"/>
          <w:szCs w:val="20"/>
          <w:lang w:val="en-GB"/>
        </w:rPr>
        <w:tab/>
      </w:r>
      <w:r w:rsidR="004D5BD3" w:rsidRPr="00C67C07">
        <w:rPr>
          <w:rFonts w:eastAsiaTheme="minorEastAsia" w:cs="Arial"/>
          <w:sz w:val="20"/>
          <w:szCs w:val="20"/>
          <w:lang w:val="en-GB"/>
        </w:rPr>
        <w:tab/>
      </w:r>
      <w:r w:rsidR="004D5BD3" w:rsidRPr="00C67C07">
        <w:rPr>
          <w:rFonts w:eastAsiaTheme="minorEastAsia" w:cs="Arial"/>
          <w:sz w:val="20"/>
          <w:szCs w:val="20"/>
          <w:lang w:val="en-GB"/>
        </w:rPr>
        <w:tab/>
      </w:r>
      <w:r w:rsidR="004D5BD3" w:rsidRPr="00C67C07">
        <w:rPr>
          <w:rFonts w:eastAsiaTheme="minorEastAsia" w:cs="Arial"/>
          <w:sz w:val="20"/>
          <w:szCs w:val="20"/>
          <w:lang w:val="en-GB"/>
        </w:rPr>
        <w:tab/>
        <w:t>(</w:t>
      </w:r>
      <w:r w:rsidR="004D5BD3">
        <w:rPr>
          <w:rFonts w:eastAsiaTheme="minorEastAsia" w:cs="Arial"/>
          <w:sz w:val="20"/>
          <w:szCs w:val="20"/>
          <w:lang w:val="en-GB"/>
        </w:rPr>
        <w:t>10</w:t>
      </w:r>
      <w:r w:rsidR="004D5BD3" w:rsidRPr="00C67C07">
        <w:rPr>
          <w:rFonts w:eastAsiaTheme="minorEastAsia" w:cs="Arial"/>
          <w:sz w:val="20"/>
          <w:szCs w:val="20"/>
          <w:lang w:val="en-GB"/>
        </w:rPr>
        <w:t>)</w:t>
      </w:r>
    </w:p>
    <w:p w:rsidR="004D5BD3" w:rsidRPr="00C67C07" w:rsidRDefault="004D5BD3" w:rsidP="004D5BD3">
      <w:pPr>
        <w:spacing w:line="480" w:lineRule="auto"/>
        <w:rPr>
          <w:sz w:val="20"/>
          <w:szCs w:val="20"/>
          <w:lang w:val="en-GB"/>
        </w:rPr>
      </w:pPr>
      <w:r w:rsidRPr="00C67C07">
        <w:rPr>
          <w:sz w:val="20"/>
          <w:szCs w:val="20"/>
          <w:lang w:val="en-GB"/>
        </w:rPr>
        <w:br w:type="page"/>
      </w:r>
    </w:p>
    <w:p w:rsidR="004D5BD3" w:rsidRPr="00613DEB" w:rsidRDefault="004D5BD3" w:rsidP="004D5BD3">
      <w:pPr>
        <w:spacing w:line="480" w:lineRule="auto"/>
        <w:rPr>
          <w:sz w:val="20"/>
          <w:szCs w:val="20"/>
          <w:lang w:val="en-GB"/>
        </w:rPr>
        <w:sectPr w:rsidR="004D5BD3" w:rsidRPr="00613DEB" w:rsidSect="00223056">
          <w:pgSz w:w="12240" w:h="15840"/>
          <w:pgMar w:top="1440" w:right="1440" w:bottom="1440" w:left="1440" w:header="720" w:footer="720" w:gutter="0"/>
          <w:cols w:space="720"/>
          <w:docGrid w:linePitch="360"/>
        </w:sectPr>
      </w:pPr>
    </w:p>
    <w:p w:rsidR="004D5BD3" w:rsidRPr="00CD21EB" w:rsidRDefault="004D5BD3" w:rsidP="004D5BD3">
      <w:pPr>
        <w:jc w:val="center"/>
        <w:rPr>
          <w:b/>
        </w:rPr>
      </w:pPr>
      <w:r w:rsidRPr="00CD21EB">
        <w:rPr>
          <w:b/>
        </w:rPr>
        <w:lastRenderedPageBreak/>
        <w:t>Figure A1</w:t>
      </w:r>
    </w:p>
    <w:p w:rsidR="004D5BD3" w:rsidRDefault="004D5BD3" w:rsidP="004D5BD3">
      <w:pPr>
        <w:jc w:val="center"/>
        <w:rPr>
          <w:b/>
          <w:szCs w:val="20"/>
          <w:lang w:val="en-GB"/>
        </w:rPr>
      </w:pPr>
      <w:r w:rsidRPr="00C11711">
        <w:rPr>
          <w:noProof/>
        </w:rPr>
        <w:drawing>
          <wp:inline distT="0" distB="0" distL="0" distR="0" wp14:anchorId="5A995DDA" wp14:editId="48B2694F">
            <wp:extent cx="8258175" cy="419100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279243" cy="4201692"/>
                    </a:xfrm>
                    <a:prstGeom prst="rect">
                      <a:avLst/>
                    </a:prstGeom>
                    <a:noFill/>
                    <a:ln>
                      <a:noFill/>
                    </a:ln>
                  </pic:spPr>
                </pic:pic>
              </a:graphicData>
            </a:graphic>
          </wp:inline>
        </w:drawing>
      </w:r>
      <w:r>
        <w:rPr>
          <w:b/>
          <w:szCs w:val="20"/>
          <w:lang w:val="en-GB"/>
        </w:rPr>
        <w:br w:type="page"/>
      </w:r>
    </w:p>
    <w:p w:rsidR="004D5BD3" w:rsidRDefault="004D5BD3" w:rsidP="004D5BD3">
      <w:pPr>
        <w:spacing w:line="480" w:lineRule="auto"/>
        <w:rPr>
          <w:b/>
          <w:szCs w:val="20"/>
          <w:lang w:val="en-GB"/>
        </w:rPr>
        <w:sectPr w:rsidR="004D5BD3" w:rsidSect="00D4200F">
          <w:pgSz w:w="15840" w:h="12240" w:orient="landscape"/>
          <w:pgMar w:top="1440" w:right="1440" w:bottom="1440" w:left="1440" w:header="720" w:footer="720" w:gutter="0"/>
          <w:cols w:space="720"/>
          <w:docGrid w:linePitch="360"/>
        </w:sectPr>
      </w:pPr>
    </w:p>
    <w:p w:rsidR="004D5BD3" w:rsidRDefault="004D5BD3" w:rsidP="004D5BD3">
      <w:pPr>
        <w:spacing w:line="480" w:lineRule="auto"/>
        <w:jc w:val="center"/>
        <w:rPr>
          <w:b/>
          <w:szCs w:val="20"/>
          <w:lang w:val="en-GB"/>
        </w:rPr>
      </w:pPr>
      <w:r w:rsidRPr="00613DEB">
        <w:rPr>
          <w:b/>
          <w:szCs w:val="20"/>
          <w:lang w:val="en-GB"/>
        </w:rPr>
        <w:lastRenderedPageBreak/>
        <w:t>Modelled epidemiological inputs</w:t>
      </w:r>
    </w:p>
    <w:p w:rsidR="004D5BD3" w:rsidRDefault="004D5BD3" w:rsidP="004D5BD3">
      <w:pPr>
        <w:spacing w:line="480" w:lineRule="auto"/>
        <w:jc w:val="center"/>
        <w:rPr>
          <w:b/>
          <w:szCs w:val="20"/>
          <w:lang w:val="en-GB"/>
        </w:rPr>
      </w:pPr>
      <w:r>
        <w:rPr>
          <w:b/>
          <w:szCs w:val="20"/>
          <w:lang w:val="en-GB"/>
        </w:rPr>
        <w:t>Figure A2</w:t>
      </w:r>
    </w:p>
    <w:p w:rsidR="004D5BD3" w:rsidRDefault="004D5BD3" w:rsidP="004D5BD3">
      <w:pPr>
        <w:spacing w:line="480" w:lineRule="auto"/>
        <w:jc w:val="center"/>
        <w:rPr>
          <w:b/>
          <w:szCs w:val="20"/>
          <w:lang w:val="en-GB"/>
        </w:rPr>
      </w:pPr>
      <w:r>
        <w:rPr>
          <w:noProof/>
        </w:rPr>
        <w:drawing>
          <wp:inline distT="0" distB="0" distL="0" distR="0" wp14:anchorId="7F7ED1DD" wp14:editId="3F460724">
            <wp:extent cx="4572000" cy="2743200"/>
            <wp:effectExtent l="0" t="0" r="0" b="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4D5BD3" w:rsidRDefault="004D5BD3" w:rsidP="004D5BD3">
      <w:pPr>
        <w:spacing w:line="480" w:lineRule="auto"/>
        <w:jc w:val="center"/>
        <w:rPr>
          <w:b/>
          <w:szCs w:val="20"/>
          <w:lang w:val="en-GB"/>
        </w:rPr>
      </w:pPr>
      <w:r>
        <w:rPr>
          <w:b/>
          <w:szCs w:val="20"/>
          <w:lang w:val="en-GB"/>
        </w:rPr>
        <w:t>Figure A3</w:t>
      </w:r>
    </w:p>
    <w:p w:rsidR="004D5BD3" w:rsidRPr="00613DEB" w:rsidRDefault="004D5BD3" w:rsidP="004D5BD3">
      <w:pPr>
        <w:spacing w:line="480" w:lineRule="auto"/>
        <w:jc w:val="center"/>
        <w:rPr>
          <w:b/>
          <w:szCs w:val="20"/>
          <w:lang w:val="en-GB"/>
        </w:rPr>
      </w:pPr>
      <w:r>
        <w:rPr>
          <w:noProof/>
        </w:rPr>
        <w:drawing>
          <wp:inline distT="0" distB="0" distL="0" distR="0" wp14:anchorId="7C8CD3A8" wp14:editId="41A0BD3B">
            <wp:extent cx="4572000" cy="3175635"/>
            <wp:effectExtent l="0" t="0" r="0" b="5715"/>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4D5BD3" w:rsidRDefault="004D5BD3" w:rsidP="002B5910">
      <w:pPr>
        <w:spacing w:line="480" w:lineRule="auto"/>
        <w:jc w:val="center"/>
      </w:pPr>
      <w:r w:rsidRPr="00B36DC0">
        <w:rPr>
          <w:sz w:val="16"/>
          <w:szCs w:val="16"/>
        </w:rPr>
        <w:t xml:space="preserve">*Kraut et al., 2010; ** Siebert et al., 2006; </w:t>
      </w:r>
      <w:r w:rsidRPr="00B36DC0">
        <w:rPr>
          <w:sz w:val="16"/>
          <w:szCs w:val="16"/>
          <w:vertAlign w:val="superscript"/>
        </w:rPr>
        <w:t>+</w:t>
      </w:r>
      <w:r w:rsidRPr="00B36DC0">
        <w:rPr>
          <w:sz w:val="16"/>
          <w:szCs w:val="16"/>
        </w:rPr>
        <w:t xml:space="preserve">IARC </w:t>
      </w:r>
      <w:proofErr w:type="spellStart"/>
      <w:r w:rsidRPr="00B36DC0">
        <w:rPr>
          <w:sz w:val="16"/>
          <w:szCs w:val="16"/>
        </w:rPr>
        <w:t>Globocan</w:t>
      </w:r>
      <w:proofErr w:type="spellEnd"/>
      <w:r w:rsidRPr="00B36DC0">
        <w:rPr>
          <w:sz w:val="16"/>
          <w:szCs w:val="16"/>
        </w:rPr>
        <w:t>, 2008</w:t>
      </w:r>
      <w:bookmarkStart w:id="0" w:name="_GoBack"/>
      <w:bookmarkEnd w:id="0"/>
    </w:p>
    <w:sectPr w:rsidR="004D5BD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5BD3"/>
    <w:rsid w:val="002B5910"/>
    <w:rsid w:val="00344E77"/>
    <w:rsid w:val="00365E74"/>
    <w:rsid w:val="0038062A"/>
    <w:rsid w:val="004779B6"/>
    <w:rsid w:val="004D5BD3"/>
    <w:rsid w:val="00E76AF0"/>
    <w:rsid w:val="00F907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5BD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D5BD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D5BD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5BD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D5BD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D5BD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hart" Target="charts/chart2.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chart" Target="charts/chart1.xml"/><Relationship Id="rId5" Type="http://schemas.openxmlformats.org/officeDocument/2006/relationships/image" Target="media/image1.emf"/><Relationship Id="rId4" Type="http://schemas.openxmlformats.org/officeDocument/2006/relationships/webSettings" Target="webSettings.xml"/><Relationship Id="rId9"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Nikos\Desktop\HPVgraph.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Nikos\Dropbox\HPV%20working%20docs\HPVgraph.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r>
              <a:rPr lang="en-US" sz="1100"/>
              <a:t>GW &amp; CIN 1-3:  Annual a</a:t>
            </a:r>
            <a:r>
              <a:rPr lang="en-US" sz="1100" baseline="0"/>
              <a:t>ge-specific i</a:t>
            </a:r>
            <a:r>
              <a:rPr lang="en-US" sz="1100"/>
              <a:t>ncidence</a:t>
            </a:r>
            <a:r>
              <a:rPr lang="en-US" sz="1100" baseline="0"/>
              <a:t> per 100,000 </a:t>
            </a:r>
            <a:endParaRPr lang="en-US" sz="1100"/>
          </a:p>
        </c:rich>
      </c:tx>
      <c:layout/>
      <c:overlay val="0"/>
      <c:spPr>
        <a:noFill/>
        <a:ln>
          <a:noFill/>
        </a:ln>
        <a:effectLst/>
      </c:spPr>
    </c:title>
    <c:autoTitleDeleted val="0"/>
    <c:plotArea>
      <c:layout>
        <c:manualLayout>
          <c:layoutTarget val="inner"/>
          <c:xMode val="edge"/>
          <c:yMode val="edge"/>
          <c:x val="0.15705336832895889"/>
          <c:y val="0.12078703703703704"/>
          <c:w val="0.81239107611548556"/>
          <c:h val="0.47028361038203559"/>
        </c:manualLayout>
      </c:layout>
      <c:lineChart>
        <c:grouping val="standard"/>
        <c:varyColors val="0"/>
        <c:ser>
          <c:idx val="0"/>
          <c:order val="0"/>
          <c:tx>
            <c:strRef>
              <c:f>Sheet2!$C$18</c:f>
              <c:strCache>
                <c:ptCount val="1"/>
                <c:pt idx="0">
                  <c:v>GW incidence (females)*</c:v>
                </c:pt>
              </c:strCache>
            </c:strRef>
          </c:tx>
          <c:spPr>
            <a:ln w="28575" cap="rnd">
              <a:solidFill>
                <a:schemeClr val="accent2">
                  <a:lumMod val="50000"/>
                </a:schemeClr>
              </a:solidFill>
              <a:round/>
            </a:ln>
            <a:effectLst/>
          </c:spPr>
          <c:marker>
            <c:symbol val="none"/>
          </c:marker>
          <c:cat>
            <c:strRef>
              <c:f>Sheet2!$D$17:$T$17</c:f>
              <c:strCache>
                <c:ptCount val="17"/>
                <c:pt idx="0">
                  <c:v>12-- 14</c:v>
                </c:pt>
                <c:pt idx="1">
                  <c:v>15-17</c:v>
                </c:pt>
                <c:pt idx="2">
                  <c:v>18-19</c:v>
                </c:pt>
                <c:pt idx="3">
                  <c:v>20-24</c:v>
                </c:pt>
                <c:pt idx="4">
                  <c:v>25-29</c:v>
                </c:pt>
                <c:pt idx="5">
                  <c:v>30-34</c:v>
                </c:pt>
                <c:pt idx="6">
                  <c:v>35-39</c:v>
                </c:pt>
                <c:pt idx="7">
                  <c:v>40-44</c:v>
                </c:pt>
                <c:pt idx="8">
                  <c:v>45-49</c:v>
                </c:pt>
                <c:pt idx="9">
                  <c:v>50-54</c:v>
                </c:pt>
                <c:pt idx="10">
                  <c:v>55-59</c:v>
                </c:pt>
                <c:pt idx="11">
                  <c:v>60-64</c:v>
                </c:pt>
                <c:pt idx="12">
                  <c:v>65-69</c:v>
                </c:pt>
                <c:pt idx="13">
                  <c:v>70-74</c:v>
                </c:pt>
                <c:pt idx="14">
                  <c:v>75-79</c:v>
                </c:pt>
                <c:pt idx="15">
                  <c:v>80-84</c:v>
                </c:pt>
                <c:pt idx="16">
                  <c:v>85+</c:v>
                </c:pt>
              </c:strCache>
            </c:strRef>
          </c:cat>
          <c:val>
            <c:numRef>
              <c:f>Sheet2!$D$18:$T$18</c:f>
              <c:numCache>
                <c:formatCode>0.0</c:formatCode>
                <c:ptCount val="17"/>
                <c:pt idx="0">
                  <c:v>0</c:v>
                </c:pt>
                <c:pt idx="1">
                  <c:v>200</c:v>
                </c:pt>
                <c:pt idx="2">
                  <c:v>449.99999999999994</c:v>
                </c:pt>
                <c:pt idx="3">
                  <c:v>620</c:v>
                </c:pt>
                <c:pt idx="4">
                  <c:v>500</c:v>
                </c:pt>
                <c:pt idx="5">
                  <c:v>310</c:v>
                </c:pt>
                <c:pt idx="6">
                  <c:v>230</c:v>
                </c:pt>
                <c:pt idx="7">
                  <c:v>190</c:v>
                </c:pt>
                <c:pt idx="8">
                  <c:v>500</c:v>
                </c:pt>
                <c:pt idx="9">
                  <c:v>100</c:v>
                </c:pt>
                <c:pt idx="10">
                  <c:v>70</c:v>
                </c:pt>
                <c:pt idx="11">
                  <c:v>50</c:v>
                </c:pt>
                <c:pt idx="12">
                  <c:v>40</c:v>
                </c:pt>
                <c:pt idx="13">
                  <c:v>20</c:v>
                </c:pt>
                <c:pt idx="14">
                  <c:v>10</c:v>
                </c:pt>
                <c:pt idx="15">
                  <c:v>10</c:v>
                </c:pt>
                <c:pt idx="16">
                  <c:v>10</c:v>
                </c:pt>
              </c:numCache>
            </c:numRef>
          </c:val>
          <c:smooth val="0"/>
        </c:ser>
        <c:ser>
          <c:idx val="1"/>
          <c:order val="1"/>
          <c:tx>
            <c:strRef>
              <c:f>Sheet2!$C$19</c:f>
              <c:strCache>
                <c:ptCount val="1"/>
                <c:pt idx="0">
                  <c:v>GW incidence (males)*</c:v>
                </c:pt>
              </c:strCache>
            </c:strRef>
          </c:tx>
          <c:spPr>
            <a:ln w="28575" cap="rnd">
              <a:solidFill>
                <a:schemeClr val="accent2"/>
              </a:solidFill>
              <a:round/>
            </a:ln>
            <a:effectLst/>
          </c:spPr>
          <c:marker>
            <c:symbol val="none"/>
          </c:marker>
          <c:cat>
            <c:strRef>
              <c:f>Sheet2!$D$17:$T$17</c:f>
              <c:strCache>
                <c:ptCount val="17"/>
                <c:pt idx="0">
                  <c:v>12-- 14</c:v>
                </c:pt>
                <c:pt idx="1">
                  <c:v>15-17</c:v>
                </c:pt>
                <c:pt idx="2">
                  <c:v>18-19</c:v>
                </c:pt>
                <c:pt idx="3">
                  <c:v>20-24</c:v>
                </c:pt>
                <c:pt idx="4">
                  <c:v>25-29</c:v>
                </c:pt>
                <c:pt idx="5">
                  <c:v>30-34</c:v>
                </c:pt>
                <c:pt idx="6">
                  <c:v>35-39</c:v>
                </c:pt>
                <c:pt idx="7">
                  <c:v>40-44</c:v>
                </c:pt>
                <c:pt idx="8">
                  <c:v>45-49</c:v>
                </c:pt>
                <c:pt idx="9">
                  <c:v>50-54</c:v>
                </c:pt>
                <c:pt idx="10">
                  <c:v>55-59</c:v>
                </c:pt>
                <c:pt idx="11">
                  <c:v>60-64</c:v>
                </c:pt>
                <c:pt idx="12">
                  <c:v>65-69</c:v>
                </c:pt>
                <c:pt idx="13">
                  <c:v>70-74</c:v>
                </c:pt>
                <c:pt idx="14">
                  <c:v>75-79</c:v>
                </c:pt>
                <c:pt idx="15">
                  <c:v>80-84</c:v>
                </c:pt>
                <c:pt idx="16">
                  <c:v>85+</c:v>
                </c:pt>
              </c:strCache>
            </c:strRef>
          </c:cat>
          <c:val>
            <c:numRef>
              <c:f>Sheet2!$D$19:$T$19</c:f>
              <c:numCache>
                <c:formatCode>0.0</c:formatCode>
                <c:ptCount val="17"/>
                <c:pt idx="0">
                  <c:v>20</c:v>
                </c:pt>
                <c:pt idx="1">
                  <c:v>50</c:v>
                </c:pt>
                <c:pt idx="2">
                  <c:v>200</c:v>
                </c:pt>
                <c:pt idx="3">
                  <c:v>350</c:v>
                </c:pt>
                <c:pt idx="4">
                  <c:v>449.99999999999994</c:v>
                </c:pt>
                <c:pt idx="5">
                  <c:v>330</c:v>
                </c:pt>
                <c:pt idx="6">
                  <c:v>220</c:v>
                </c:pt>
                <c:pt idx="7">
                  <c:v>160</c:v>
                </c:pt>
                <c:pt idx="8">
                  <c:v>100</c:v>
                </c:pt>
                <c:pt idx="9">
                  <c:v>80</c:v>
                </c:pt>
                <c:pt idx="10">
                  <c:v>70</c:v>
                </c:pt>
                <c:pt idx="11">
                  <c:v>50</c:v>
                </c:pt>
                <c:pt idx="12">
                  <c:v>40</c:v>
                </c:pt>
                <c:pt idx="13">
                  <c:v>20</c:v>
                </c:pt>
                <c:pt idx="14">
                  <c:v>10</c:v>
                </c:pt>
                <c:pt idx="15">
                  <c:v>10</c:v>
                </c:pt>
                <c:pt idx="16">
                  <c:v>10</c:v>
                </c:pt>
              </c:numCache>
            </c:numRef>
          </c:val>
          <c:smooth val="0"/>
        </c:ser>
        <c:ser>
          <c:idx val="2"/>
          <c:order val="2"/>
          <c:tx>
            <c:strRef>
              <c:f>Sheet2!$C$20</c:f>
              <c:strCache>
                <c:ptCount val="1"/>
                <c:pt idx="0">
                  <c:v>CIN I incidence**</c:v>
                </c:pt>
              </c:strCache>
            </c:strRef>
          </c:tx>
          <c:spPr>
            <a:ln w="28575" cap="rnd">
              <a:solidFill>
                <a:schemeClr val="accent3"/>
              </a:solidFill>
              <a:round/>
            </a:ln>
            <a:effectLst/>
          </c:spPr>
          <c:marker>
            <c:symbol val="none"/>
          </c:marker>
          <c:cat>
            <c:strRef>
              <c:f>Sheet2!$D$17:$T$17</c:f>
              <c:strCache>
                <c:ptCount val="17"/>
                <c:pt idx="0">
                  <c:v>12-- 14</c:v>
                </c:pt>
                <c:pt idx="1">
                  <c:v>15-17</c:v>
                </c:pt>
                <c:pt idx="2">
                  <c:v>18-19</c:v>
                </c:pt>
                <c:pt idx="3">
                  <c:v>20-24</c:v>
                </c:pt>
                <c:pt idx="4">
                  <c:v>25-29</c:v>
                </c:pt>
                <c:pt idx="5">
                  <c:v>30-34</c:v>
                </c:pt>
                <c:pt idx="6">
                  <c:v>35-39</c:v>
                </c:pt>
                <c:pt idx="7">
                  <c:v>40-44</c:v>
                </c:pt>
                <c:pt idx="8">
                  <c:v>45-49</c:v>
                </c:pt>
                <c:pt idx="9">
                  <c:v>50-54</c:v>
                </c:pt>
                <c:pt idx="10">
                  <c:v>55-59</c:v>
                </c:pt>
                <c:pt idx="11">
                  <c:v>60-64</c:v>
                </c:pt>
                <c:pt idx="12">
                  <c:v>65-69</c:v>
                </c:pt>
                <c:pt idx="13">
                  <c:v>70-74</c:v>
                </c:pt>
                <c:pt idx="14">
                  <c:v>75-79</c:v>
                </c:pt>
                <c:pt idx="15">
                  <c:v>80-84</c:v>
                </c:pt>
                <c:pt idx="16">
                  <c:v>85+</c:v>
                </c:pt>
              </c:strCache>
            </c:strRef>
          </c:cat>
          <c:val>
            <c:numRef>
              <c:f>Sheet2!$D$20:$T$20</c:f>
              <c:numCache>
                <c:formatCode>0.0</c:formatCode>
                <c:ptCount val="17"/>
                <c:pt idx="0">
                  <c:v>0</c:v>
                </c:pt>
                <c:pt idx="1">
                  <c:v>0</c:v>
                </c:pt>
                <c:pt idx="2">
                  <c:v>2640</c:v>
                </c:pt>
                <c:pt idx="3">
                  <c:v>3170</c:v>
                </c:pt>
                <c:pt idx="4">
                  <c:v>3170</c:v>
                </c:pt>
                <c:pt idx="5">
                  <c:v>2730</c:v>
                </c:pt>
                <c:pt idx="6">
                  <c:v>2200</c:v>
                </c:pt>
                <c:pt idx="7">
                  <c:v>1760</c:v>
                </c:pt>
                <c:pt idx="8">
                  <c:v>1320</c:v>
                </c:pt>
                <c:pt idx="9">
                  <c:v>880</c:v>
                </c:pt>
                <c:pt idx="10">
                  <c:v>530</c:v>
                </c:pt>
                <c:pt idx="11">
                  <c:v>400</c:v>
                </c:pt>
                <c:pt idx="12">
                  <c:v>350</c:v>
                </c:pt>
                <c:pt idx="13">
                  <c:v>180</c:v>
                </c:pt>
                <c:pt idx="14">
                  <c:v>180</c:v>
                </c:pt>
                <c:pt idx="15">
                  <c:v>180</c:v>
                </c:pt>
                <c:pt idx="16">
                  <c:v>180</c:v>
                </c:pt>
              </c:numCache>
            </c:numRef>
          </c:val>
          <c:smooth val="0"/>
        </c:ser>
        <c:ser>
          <c:idx val="3"/>
          <c:order val="3"/>
          <c:tx>
            <c:strRef>
              <c:f>Sheet2!$C$21</c:f>
              <c:strCache>
                <c:ptCount val="1"/>
                <c:pt idx="0">
                  <c:v>CIN II incidence **</c:v>
                </c:pt>
              </c:strCache>
            </c:strRef>
          </c:tx>
          <c:spPr>
            <a:ln w="28575" cap="rnd">
              <a:solidFill>
                <a:schemeClr val="accent4"/>
              </a:solidFill>
              <a:round/>
            </a:ln>
            <a:effectLst/>
          </c:spPr>
          <c:marker>
            <c:symbol val="none"/>
          </c:marker>
          <c:cat>
            <c:strRef>
              <c:f>Sheet2!$D$17:$T$17</c:f>
              <c:strCache>
                <c:ptCount val="17"/>
                <c:pt idx="0">
                  <c:v>12-- 14</c:v>
                </c:pt>
                <c:pt idx="1">
                  <c:v>15-17</c:v>
                </c:pt>
                <c:pt idx="2">
                  <c:v>18-19</c:v>
                </c:pt>
                <c:pt idx="3">
                  <c:v>20-24</c:v>
                </c:pt>
                <c:pt idx="4">
                  <c:v>25-29</c:v>
                </c:pt>
                <c:pt idx="5">
                  <c:v>30-34</c:v>
                </c:pt>
                <c:pt idx="6">
                  <c:v>35-39</c:v>
                </c:pt>
                <c:pt idx="7">
                  <c:v>40-44</c:v>
                </c:pt>
                <c:pt idx="8">
                  <c:v>45-49</c:v>
                </c:pt>
                <c:pt idx="9">
                  <c:v>50-54</c:v>
                </c:pt>
                <c:pt idx="10">
                  <c:v>55-59</c:v>
                </c:pt>
                <c:pt idx="11">
                  <c:v>60-64</c:v>
                </c:pt>
                <c:pt idx="12">
                  <c:v>65-69</c:v>
                </c:pt>
                <c:pt idx="13">
                  <c:v>70-74</c:v>
                </c:pt>
                <c:pt idx="14">
                  <c:v>75-79</c:v>
                </c:pt>
                <c:pt idx="15">
                  <c:v>80-84</c:v>
                </c:pt>
                <c:pt idx="16">
                  <c:v>85+</c:v>
                </c:pt>
              </c:strCache>
            </c:strRef>
          </c:cat>
          <c:val>
            <c:numRef>
              <c:f>Sheet2!$D$21:$T$21</c:f>
              <c:numCache>
                <c:formatCode>0.0</c:formatCode>
                <c:ptCount val="17"/>
                <c:pt idx="0">
                  <c:v>0</c:v>
                </c:pt>
                <c:pt idx="1">
                  <c:v>0</c:v>
                </c:pt>
                <c:pt idx="2">
                  <c:v>180</c:v>
                </c:pt>
                <c:pt idx="3">
                  <c:v>440</c:v>
                </c:pt>
                <c:pt idx="4">
                  <c:v>440</c:v>
                </c:pt>
                <c:pt idx="5">
                  <c:v>790.00000000000011</c:v>
                </c:pt>
                <c:pt idx="6">
                  <c:v>880</c:v>
                </c:pt>
                <c:pt idx="7">
                  <c:v>920</c:v>
                </c:pt>
                <c:pt idx="8">
                  <c:v>840</c:v>
                </c:pt>
                <c:pt idx="9">
                  <c:v>790.00000000000011</c:v>
                </c:pt>
                <c:pt idx="10">
                  <c:v>530</c:v>
                </c:pt>
                <c:pt idx="11">
                  <c:v>400</c:v>
                </c:pt>
                <c:pt idx="12">
                  <c:v>350</c:v>
                </c:pt>
                <c:pt idx="13">
                  <c:v>180</c:v>
                </c:pt>
                <c:pt idx="14">
                  <c:v>180</c:v>
                </c:pt>
                <c:pt idx="15">
                  <c:v>180</c:v>
                </c:pt>
                <c:pt idx="16">
                  <c:v>180</c:v>
                </c:pt>
              </c:numCache>
            </c:numRef>
          </c:val>
          <c:smooth val="0"/>
        </c:ser>
        <c:ser>
          <c:idx val="4"/>
          <c:order val="4"/>
          <c:tx>
            <c:strRef>
              <c:f>Sheet2!$C$22</c:f>
              <c:strCache>
                <c:ptCount val="1"/>
                <c:pt idx="0">
                  <c:v>CIN III incidence**</c:v>
                </c:pt>
              </c:strCache>
            </c:strRef>
          </c:tx>
          <c:spPr>
            <a:ln w="28575" cap="rnd">
              <a:solidFill>
                <a:schemeClr val="accent5"/>
              </a:solidFill>
              <a:round/>
            </a:ln>
            <a:effectLst/>
          </c:spPr>
          <c:marker>
            <c:symbol val="none"/>
          </c:marker>
          <c:cat>
            <c:strRef>
              <c:f>Sheet2!$D$17:$T$17</c:f>
              <c:strCache>
                <c:ptCount val="17"/>
                <c:pt idx="0">
                  <c:v>12-- 14</c:v>
                </c:pt>
                <c:pt idx="1">
                  <c:v>15-17</c:v>
                </c:pt>
                <c:pt idx="2">
                  <c:v>18-19</c:v>
                </c:pt>
                <c:pt idx="3">
                  <c:v>20-24</c:v>
                </c:pt>
                <c:pt idx="4">
                  <c:v>25-29</c:v>
                </c:pt>
                <c:pt idx="5">
                  <c:v>30-34</c:v>
                </c:pt>
                <c:pt idx="6">
                  <c:v>35-39</c:v>
                </c:pt>
                <c:pt idx="7">
                  <c:v>40-44</c:v>
                </c:pt>
                <c:pt idx="8">
                  <c:v>45-49</c:v>
                </c:pt>
                <c:pt idx="9">
                  <c:v>50-54</c:v>
                </c:pt>
                <c:pt idx="10">
                  <c:v>55-59</c:v>
                </c:pt>
                <c:pt idx="11">
                  <c:v>60-64</c:v>
                </c:pt>
                <c:pt idx="12">
                  <c:v>65-69</c:v>
                </c:pt>
                <c:pt idx="13">
                  <c:v>70-74</c:v>
                </c:pt>
                <c:pt idx="14">
                  <c:v>75-79</c:v>
                </c:pt>
                <c:pt idx="15">
                  <c:v>80-84</c:v>
                </c:pt>
                <c:pt idx="16">
                  <c:v>85+</c:v>
                </c:pt>
              </c:strCache>
            </c:strRef>
          </c:cat>
          <c:val>
            <c:numRef>
              <c:f>Sheet2!$D$22:$T$22</c:f>
              <c:numCache>
                <c:formatCode>0.0</c:formatCode>
                <c:ptCount val="17"/>
                <c:pt idx="0">
                  <c:v>0</c:v>
                </c:pt>
                <c:pt idx="1">
                  <c:v>0</c:v>
                </c:pt>
                <c:pt idx="2">
                  <c:v>0</c:v>
                </c:pt>
                <c:pt idx="3">
                  <c:v>40</c:v>
                </c:pt>
                <c:pt idx="4">
                  <c:v>40</c:v>
                </c:pt>
                <c:pt idx="5">
                  <c:v>180</c:v>
                </c:pt>
                <c:pt idx="6">
                  <c:v>350</c:v>
                </c:pt>
                <c:pt idx="7">
                  <c:v>400</c:v>
                </c:pt>
                <c:pt idx="8">
                  <c:v>440</c:v>
                </c:pt>
                <c:pt idx="9">
                  <c:v>440</c:v>
                </c:pt>
                <c:pt idx="10">
                  <c:v>400</c:v>
                </c:pt>
                <c:pt idx="11">
                  <c:v>400</c:v>
                </c:pt>
                <c:pt idx="12">
                  <c:v>350</c:v>
                </c:pt>
                <c:pt idx="13">
                  <c:v>180</c:v>
                </c:pt>
                <c:pt idx="14">
                  <c:v>180</c:v>
                </c:pt>
                <c:pt idx="15">
                  <c:v>180</c:v>
                </c:pt>
                <c:pt idx="16">
                  <c:v>180</c:v>
                </c:pt>
              </c:numCache>
            </c:numRef>
          </c:val>
          <c:smooth val="0"/>
        </c:ser>
        <c:dLbls>
          <c:showLegendKey val="0"/>
          <c:showVal val="0"/>
          <c:showCatName val="0"/>
          <c:showSerName val="0"/>
          <c:showPercent val="0"/>
          <c:showBubbleSize val="0"/>
        </c:dLbls>
        <c:marker val="1"/>
        <c:smooth val="0"/>
        <c:axId val="22853504"/>
        <c:axId val="22863872"/>
      </c:lineChart>
      <c:catAx>
        <c:axId val="2285350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Age</a:t>
                </a:r>
              </a:p>
            </c:rich>
          </c:tx>
          <c:layout/>
          <c:overlay val="0"/>
          <c:spPr>
            <a:noFill/>
            <a:ln>
              <a:noFill/>
            </a:ln>
            <a:effectLst/>
          </c:spPr>
        </c:title>
        <c:numFmt formatCode="General" sourceLinked="1"/>
        <c:majorTickMark val="none"/>
        <c:minorTickMark val="none"/>
        <c:tickLblPos val="nextTo"/>
        <c:spPr>
          <a:noFill/>
          <a:ln w="9525" cap="flat" cmpd="sng" algn="ctr">
            <a:solidFill>
              <a:schemeClr val="tx1"/>
            </a:solidFill>
            <a:round/>
          </a:ln>
          <a:effectLst/>
        </c:spPr>
        <c:txPr>
          <a:bodyPr rot="-540000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2863872"/>
        <c:crosses val="autoZero"/>
        <c:auto val="1"/>
        <c:lblAlgn val="ctr"/>
        <c:lblOffset val="100"/>
        <c:noMultiLvlLbl val="0"/>
      </c:catAx>
      <c:valAx>
        <c:axId val="22863872"/>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Annual incidence per 100,000</a:t>
                </a:r>
              </a:p>
            </c:rich>
          </c:tx>
          <c:layout/>
          <c:overlay val="0"/>
          <c:spPr>
            <a:noFill/>
            <a:ln>
              <a:noFill/>
            </a:ln>
            <a:effectLst/>
          </c:spPr>
        </c:title>
        <c:numFmt formatCode="#,##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2853504"/>
        <c:crosses val="autoZero"/>
        <c:crossBetween val="between"/>
      </c:valAx>
      <c:spPr>
        <a:noFill/>
        <a:ln>
          <a:noFill/>
        </a:ln>
        <a:effectLst/>
      </c:spPr>
    </c:plotArea>
    <c:legend>
      <c:legendPos val="b"/>
      <c:layout>
        <c:manualLayout>
          <c:xMode val="edge"/>
          <c:yMode val="edge"/>
          <c:x val="3.5068460192475934E-2"/>
          <c:y val="0.77256780402449698"/>
          <c:w val="0.94652974628171482"/>
          <c:h val="0.22743219597550307"/>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r>
              <a:rPr lang="en-US" sz="1100" baseline="0"/>
              <a:t>HPV-related diseases: Annual age-specific i</a:t>
            </a:r>
            <a:r>
              <a:rPr lang="en-US" sz="1100"/>
              <a:t>ncidence</a:t>
            </a:r>
            <a:r>
              <a:rPr lang="en-US" sz="1100" baseline="0"/>
              <a:t> per 100,000 </a:t>
            </a:r>
            <a:endParaRPr lang="en-US" sz="1100"/>
          </a:p>
        </c:rich>
      </c:tx>
      <c:layout>
        <c:manualLayout>
          <c:xMode val="edge"/>
          <c:yMode val="edge"/>
          <c:x val="0.20373600174978126"/>
          <c:y val="9.2592592592592587E-3"/>
        </c:manualLayout>
      </c:layout>
      <c:overlay val="0"/>
      <c:spPr>
        <a:noFill/>
        <a:ln>
          <a:noFill/>
        </a:ln>
        <a:effectLst/>
      </c:spPr>
    </c:title>
    <c:autoTitleDeleted val="0"/>
    <c:plotArea>
      <c:layout>
        <c:manualLayout>
          <c:layoutTarget val="inner"/>
          <c:xMode val="edge"/>
          <c:yMode val="edge"/>
          <c:x val="0.15705336832895889"/>
          <c:y val="0.14393518518518519"/>
          <c:w val="0.81239107611548556"/>
          <c:h val="0.38554400515192"/>
        </c:manualLayout>
      </c:layout>
      <c:barChart>
        <c:barDir val="col"/>
        <c:grouping val="clustered"/>
        <c:varyColors val="0"/>
        <c:ser>
          <c:idx val="0"/>
          <c:order val="0"/>
          <c:tx>
            <c:strRef>
              <c:f>Sheet2!$C$23</c:f>
              <c:strCache>
                <c:ptCount val="1"/>
                <c:pt idx="0">
                  <c:v>Cervical cancer incidence+</c:v>
                </c:pt>
              </c:strCache>
            </c:strRef>
          </c:tx>
          <c:spPr>
            <a:solidFill>
              <a:schemeClr val="accent1"/>
            </a:solidFill>
            <a:ln>
              <a:noFill/>
            </a:ln>
            <a:effectLst/>
          </c:spPr>
          <c:invertIfNegative val="0"/>
          <c:cat>
            <c:strRef>
              <c:f>Sheet2!$D$17:$T$17</c:f>
              <c:strCache>
                <c:ptCount val="17"/>
                <c:pt idx="0">
                  <c:v>12-- 14</c:v>
                </c:pt>
                <c:pt idx="1">
                  <c:v>15-17</c:v>
                </c:pt>
                <c:pt idx="2">
                  <c:v>18-19</c:v>
                </c:pt>
                <c:pt idx="3">
                  <c:v>20-24</c:v>
                </c:pt>
                <c:pt idx="4">
                  <c:v>25-29</c:v>
                </c:pt>
                <c:pt idx="5">
                  <c:v>30-34</c:v>
                </c:pt>
                <c:pt idx="6">
                  <c:v>35-39</c:v>
                </c:pt>
                <c:pt idx="7">
                  <c:v>40-44</c:v>
                </c:pt>
                <c:pt idx="8">
                  <c:v>45-49</c:v>
                </c:pt>
                <c:pt idx="9">
                  <c:v>50-54</c:v>
                </c:pt>
                <c:pt idx="10">
                  <c:v>55-59</c:v>
                </c:pt>
                <c:pt idx="11">
                  <c:v>60-64</c:v>
                </c:pt>
                <c:pt idx="12">
                  <c:v>65-69</c:v>
                </c:pt>
                <c:pt idx="13">
                  <c:v>70-74</c:v>
                </c:pt>
                <c:pt idx="14">
                  <c:v>75-79</c:v>
                </c:pt>
                <c:pt idx="15">
                  <c:v>80-84</c:v>
                </c:pt>
                <c:pt idx="16">
                  <c:v>85+</c:v>
                </c:pt>
              </c:strCache>
            </c:strRef>
          </c:cat>
          <c:val>
            <c:numRef>
              <c:f>Sheet2!$D$23:$T$23</c:f>
              <c:numCache>
                <c:formatCode>0.0</c:formatCode>
                <c:ptCount val="17"/>
                <c:pt idx="0">
                  <c:v>10</c:v>
                </c:pt>
                <c:pt idx="1">
                  <c:v>10</c:v>
                </c:pt>
                <c:pt idx="2">
                  <c:v>10</c:v>
                </c:pt>
                <c:pt idx="3">
                  <c:v>10</c:v>
                </c:pt>
                <c:pt idx="4">
                  <c:v>10</c:v>
                </c:pt>
                <c:pt idx="5">
                  <c:v>10</c:v>
                </c:pt>
                <c:pt idx="6">
                  <c:v>10</c:v>
                </c:pt>
                <c:pt idx="7">
                  <c:v>10</c:v>
                </c:pt>
                <c:pt idx="8">
                  <c:v>20</c:v>
                </c:pt>
                <c:pt idx="9">
                  <c:v>20</c:v>
                </c:pt>
                <c:pt idx="10">
                  <c:v>20</c:v>
                </c:pt>
                <c:pt idx="11">
                  <c:v>10</c:v>
                </c:pt>
                <c:pt idx="12">
                  <c:v>10</c:v>
                </c:pt>
                <c:pt idx="13">
                  <c:v>10</c:v>
                </c:pt>
                <c:pt idx="14">
                  <c:v>20</c:v>
                </c:pt>
                <c:pt idx="15">
                  <c:v>20</c:v>
                </c:pt>
                <c:pt idx="16">
                  <c:v>170</c:v>
                </c:pt>
              </c:numCache>
            </c:numRef>
          </c:val>
        </c:ser>
        <c:ser>
          <c:idx val="1"/>
          <c:order val="1"/>
          <c:tx>
            <c:strRef>
              <c:f>Sheet2!$C$24</c:f>
              <c:strCache>
                <c:ptCount val="1"/>
                <c:pt idx="0">
                  <c:v>H&amp;N cancer incidence (females) +</c:v>
                </c:pt>
              </c:strCache>
            </c:strRef>
          </c:tx>
          <c:spPr>
            <a:solidFill>
              <a:schemeClr val="accent2"/>
            </a:solidFill>
            <a:ln>
              <a:noFill/>
            </a:ln>
            <a:effectLst/>
          </c:spPr>
          <c:invertIfNegative val="0"/>
          <c:cat>
            <c:strRef>
              <c:f>Sheet2!$D$17:$T$17</c:f>
              <c:strCache>
                <c:ptCount val="17"/>
                <c:pt idx="0">
                  <c:v>12-- 14</c:v>
                </c:pt>
                <c:pt idx="1">
                  <c:v>15-17</c:v>
                </c:pt>
                <c:pt idx="2">
                  <c:v>18-19</c:v>
                </c:pt>
                <c:pt idx="3">
                  <c:v>20-24</c:v>
                </c:pt>
                <c:pt idx="4">
                  <c:v>25-29</c:v>
                </c:pt>
                <c:pt idx="5">
                  <c:v>30-34</c:v>
                </c:pt>
                <c:pt idx="6">
                  <c:v>35-39</c:v>
                </c:pt>
                <c:pt idx="7">
                  <c:v>40-44</c:v>
                </c:pt>
                <c:pt idx="8">
                  <c:v>45-49</c:v>
                </c:pt>
                <c:pt idx="9">
                  <c:v>50-54</c:v>
                </c:pt>
                <c:pt idx="10">
                  <c:v>55-59</c:v>
                </c:pt>
                <c:pt idx="11">
                  <c:v>60-64</c:v>
                </c:pt>
                <c:pt idx="12">
                  <c:v>65-69</c:v>
                </c:pt>
                <c:pt idx="13">
                  <c:v>70-74</c:v>
                </c:pt>
                <c:pt idx="14">
                  <c:v>75-79</c:v>
                </c:pt>
                <c:pt idx="15">
                  <c:v>80-84</c:v>
                </c:pt>
                <c:pt idx="16">
                  <c:v>85+</c:v>
                </c:pt>
              </c:strCache>
            </c:strRef>
          </c:cat>
          <c:val>
            <c:numRef>
              <c:f>Sheet2!$D$24:$T$24</c:f>
              <c:numCache>
                <c:formatCode>0.0</c:formatCode>
                <c:ptCount val="17"/>
                <c:pt idx="0">
                  <c:v>0</c:v>
                </c:pt>
                <c:pt idx="1">
                  <c:v>0</c:v>
                </c:pt>
                <c:pt idx="2">
                  <c:v>0</c:v>
                </c:pt>
                <c:pt idx="3">
                  <c:v>0</c:v>
                </c:pt>
                <c:pt idx="4">
                  <c:v>0</c:v>
                </c:pt>
                <c:pt idx="5">
                  <c:v>0</c:v>
                </c:pt>
                <c:pt idx="6">
                  <c:v>0</c:v>
                </c:pt>
                <c:pt idx="7">
                  <c:v>0</c:v>
                </c:pt>
                <c:pt idx="8">
                  <c:v>10</c:v>
                </c:pt>
                <c:pt idx="9">
                  <c:v>10</c:v>
                </c:pt>
                <c:pt idx="10">
                  <c:v>10</c:v>
                </c:pt>
                <c:pt idx="11">
                  <c:v>10</c:v>
                </c:pt>
                <c:pt idx="12">
                  <c:v>10</c:v>
                </c:pt>
                <c:pt idx="13">
                  <c:v>10</c:v>
                </c:pt>
                <c:pt idx="14">
                  <c:v>10</c:v>
                </c:pt>
                <c:pt idx="15">
                  <c:v>10</c:v>
                </c:pt>
                <c:pt idx="16">
                  <c:v>10</c:v>
                </c:pt>
              </c:numCache>
            </c:numRef>
          </c:val>
        </c:ser>
        <c:ser>
          <c:idx val="2"/>
          <c:order val="2"/>
          <c:tx>
            <c:strRef>
              <c:f>Sheet2!$C$25</c:f>
              <c:strCache>
                <c:ptCount val="1"/>
                <c:pt idx="0">
                  <c:v>Anal cancer incidence  (females) +</c:v>
                </c:pt>
              </c:strCache>
            </c:strRef>
          </c:tx>
          <c:spPr>
            <a:solidFill>
              <a:schemeClr val="accent3"/>
            </a:solidFill>
            <a:ln>
              <a:noFill/>
            </a:ln>
            <a:effectLst/>
          </c:spPr>
          <c:invertIfNegative val="0"/>
          <c:cat>
            <c:strRef>
              <c:f>Sheet2!$D$17:$T$17</c:f>
              <c:strCache>
                <c:ptCount val="17"/>
                <c:pt idx="0">
                  <c:v>12-- 14</c:v>
                </c:pt>
                <c:pt idx="1">
                  <c:v>15-17</c:v>
                </c:pt>
                <c:pt idx="2">
                  <c:v>18-19</c:v>
                </c:pt>
                <c:pt idx="3">
                  <c:v>20-24</c:v>
                </c:pt>
                <c:pt idx="4">
                  <c:v>25-29</c:v>
                </c:pt>
                <c:pt idx="5">
                  <c:v>30-34</c:v>
                </c:pt>
                <c:pt idx="6">
                  <c:v>35-39</c:v>
                </c:pt>
                <c:pt idx="7">
                  <c:v>40-44</c:v>
                </c:pt>
                <c:pt idx="8">
                  <c:v>45-49</c:v>
                </c:pt>
                <c:pt idx="9">
                  <c:v>50-54</c:v>
                </c:pt>
                <c:pt idx="10">
                  <c:v>55-59</c:v>
                </c:pt>
                <c:pt idx="11">
                  <c:v>60-64</c:v>
                </c:pt>
                <c:pt idx="12">
                  <c:v>65-69</c:v>
                </c:pt>
                <c:pt idx="13">
                  <c:v>70-74</c:v>
                </c:pt>
                <c:pt idx="14">
                  <c:v>75-79</c:v>
                </c:pt>
                <c:pt idx="15">
                  <c:v>80-84</c:v>
                </c:pt>
                <c:pt idx="16">
                  <c:v>85+</c:v>
                </c:pt>
              </c:strCache>
            </c:strRef>
          </c:cat>
          <c:val>
            <c:numRef>
              <c:f>Sheet2!$D$25:$T$25</c:f>
              <c:numCache>
                <c:formatCode>0.0</c:formatCode>
                <c:ptCount val="17"/>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10</c:v>
                </c:pt>
                <c:pt idx="15">
                  <c:v>10</c:v>
                </c:pt>
                <c:pt idx="16">
                  <c:v>10</c:v>
                </c:pt>
              </c:numCache>
            </c:numRef>
          </c:val>
        </c:ser>
        <c:ser>
          <c:idx val="3"/>
          <c:order val="3"/>
          <c:tx>
            <c:strRef>
              <c:f>Sheet2!$C$26</c:f>
              <c:strCache>
                <c:ptCount val="1"/>
                <c:pt idx="0">
                  <c:v>Vulvar cancer incidence (females) +</c:v>
                </c:pt>
              </c:strCache>
            </c:strRef>
          </c:tx>
          <c:spPr>
            <a:solidFill>
              <a:schemeClr val="accent4"/>
            </a:solidFill>
            <a:ln>
              <a:noFill/>
            </a:ln>
            <a:effectLst/>
          </c:spPr>
          <c:invertIfNegative val="0"/>
          <c:cat>
            <c:strRef>
              <c:f>Sheet2!$D$17:$T$17</c:f>
              <c:strCache>
                <c:ptCount val="17"/>
                <c:pt idx="0">
                  <c:v>12-- 14</c:v>
                </c:pt>
                <c:pt idx="1">
                  <c:v>15-17</c:v>
                </c:pt>
                <c:pt idx="2">
                  <c:v>18-19</c:v>
                </c:pt>
                <c:pt idx="3">
                  <c:v>20-24</c:v>
                </c:pt>
                <c:pt idx="4">
                  <c:v>25-29</c:v>
                </c:pt>
                <c:pt idx="5">
                  <c:v>30-34</c:v>
                </c:pt>
                <c:pt idx="6">
                  <c:v>35-39</c:v>
                </c:pt>
                <c:pt idx="7">
                  <c:v>40-44</c:v>
                </c:pt>
                <c:pt idx="8">
                  <c:v>45-49</c:v>
                </c:pt>
                <c:pt idx="9">
                  <c:v>50-54</c:v>
                </c:pt>
                <c:pt idx="10">
                  <c:v>55-59</c:v>
                </c:pt>
                <c:pt idx="11">
                  <c:v>60-64</c:v>
                </c:pt>
                <c:pt idx="12">
                  <c:v>65-69</c:v>
                </c:pt>
                <c:pt idx="13">
                  <c:v>70-74</c:v>
                </c:pt>
                <c:pt idx="14">
                  <c:v>75-79</c:v>
                </c:pt>
                <c:pt idx="15">
                  <c:v>80-84</c:v>
                </c:pt>
                <c:pt idx="16">
                  <c:v>85+</c:v>
                </c:pt>
              </c:strCache>
            </c:strRef>
          </c:cat>
          <c:val>
            <c:numRef>
              <c:f>Sheet2!$D$26:$T$26</c:f>
              <c:numCache>
                <c:formatCode>0.0</c:formatCode>
                <c:ptCount val="17"/>
                <c:pt idx="0">
                  <c:v>0</c:v>
                </c:pt>
                <c:pt idx="1">
                  <c:v>0</c:v>
                </c:pt>
                <c:pt idx="2">
                  <c:v>0</c:v>
                </c:pt>
                <c:pt idx="3">
                  <c:v>0</c:v>
                </c:pt>
                <c:pt idx="4">
                  <c:v>0</c:v>
                </c:pt>
                <c:pt idx="5">
                  <c:v>0</c:v>
                </c:pt>
                <c:pt idx="6">
                  <c:v>0</c:v>
                </c:pt>
                <c:pt idx="7">
                  <c:v>0</c:v>
                </c:pt>
                <c:pt idx="8">
                  <c:v>0</c:v>
                </c:pt>
                <c:pt idx="9">
                  <c:v>0</c:v>
                </c:pt>
                <c:pt idx="10">
                  <c:v>0</c:v>
                </c:pt>
                <c:pt idx="11">
                  <c:v>0</c:v>
                </c:pt>
                <c:pt idx="12">
                  <c:v>10</c:v>
                </c:pt>
                <c:pt idx="13">
                  <c:v>10</c:v>
                </c:pt>
                <c:pt idx="14">
                  <c:v>10</c:v>
                </c:pt>
                <c:pt idx="15">
                  <c:v>20</c:v>
                </c:pt>
                <c:pt idx="16">
                  <c:v>20</c:v>
                </c:pt>
              </c:numCache>
            </c:numRef>
          </c:val>
        </c:ser>
        <c:ser>
          <c:idx val="4"/>
          <c:order val="4"/>
          <c:tx>
            <c:strRef>
              <c:f>Sheet2!$C$27</c:f>
              <c:strCache>
                <c:ptCount val="1"/>
                <c:pt idx="0">
                  <c:v>Vaginal cancer incidence (females) +</c:v>
                </c:pt>
              </c:strCache>
            </c:strRef>
          </c:tx>
          <c:spPr>
            <a:solidFill>
              <a:schemeClr val="accent5"/>
            </a:solidFill>
            <a:ln>
              <a:noFill/>
            </a:ln>
            <a:effectLst/>
          </c:spPr>
          <c:invertIfNegative val="0"/>
          <c:cat>
            <c:strRef>
              <c:f>Sheet2!$D$17:$T$17</c:f>
              <c:strCache>
                <c:ptCount val="17"/>
                <c:pt idx="0">
                  <c:v>12-- 14</c:v>
                </c:pt>
                <c:pt idx="1">
                  <c:v>15-17</c:v>
                </c:pt>
                <c:pt idx="2">
                  <c:v>18-19</c:v>
                </c:pt>
                <c:pt idx="3">
                  <c:v>20-24</c:v>
                </c:pt>
                <c:pt idx="4">
                  <c:v>25-29</c:v>
                </c:pt>
                <c:pt idx="5">
                  <c:v>30-34</c:v>
                </c:pt>
                <c:pt idx="6">
                  <c:v>35-39</c:v>
                </c:pt>
                <c:pt idx="7">
                  <c:v>40-44</c:v>
                </c:pt>
                <c:pt idx="8">
                  <c:v>45-49</c:v>
                </c:pt>
                <c:pt idx="9">
                  <c:v>50-54</c:v>
                </c:pt>
                <c:pt idx="10">
                  <c:v>55-59</c:v>
                </c:pt>
                <c:pt idx="11">
                  <c:v>60-64</c:v>
                </c:pt>
                <c:pt idx="12">
                  <c:v>65-69</c:v>
                </c:pt>
                <c:pt idx="13">
                  <c:v>70-74</c:v>
                </c:pt>
                <c:pt idx="14">
                  <c:v>75-79</c:v>
                </c:pt>
                <c:pt idx="15">
                  <c:v>80-84</c:v>
                </c:pt>
                <c:pt idx="16">
                  <c:v>85+</c:v>
                </c:pt>
              </c:strCache>
            </c:strRef>
          </c:cat>
          <c:val>
            <c:numRef>
              <c:f>Sheet2!$D$27:$T$27</c:f>
              <c:numCache>
                <c:formatCode>0.0</c:formatCode>
                <c:ptCount val="17"/>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10</c:v>
                </c:pt>
              </c:numCache>
            </c:numRef>
          </c:val>
        </c:ser>
        <c:ser>
          <c:idx val="5"/>
          <c:order val="5"/>
          <c:tx>
            <c:strRef>
              <c:f>Sheet2!$C$28</c:f>
              <c:strCache>
                <c:ptCount val="1"/>
                <c:pt idx="0">
                  <c:v>H&amp;N cancer incidence (males) +</c:v>
                </c:pt>
              </c:strCache>
            </c:strRef>
          </c:tx>
          <c:spPr>
            <a:solidFill>
              <a:schemeClr val="accent6"/>
            </a:solidFill>
            <a:ln>
              <a:noFill/>
            </a:ln>
            <a:effectLst/>
          </c:spPr>
          <c:invertIfNegative val="0"/>
          <c:cat>
            <c:strRef>
              <c:f>Sheet2!$D$17:$T$17</c:f>
              <c:strCache>
                <c:ptCount val="17"/>
                <c:pt idx="0">
                  <c:v>12-- 14</c:v>
                </c:pt>
                <c:pt idx="1">
                  <c:v>15-17</c:v>
                </c:pt>
                <c:pt idx="2">
                  <c:v>18-19</c:v>
                </c:pt>
                <c:pt idx="3">
                  <c:v>20-24</c:v>
                </c:pt>
                <c:pt idx="4">
                  <c:v>25-29</c:v>
                </c:pt>
                <c:pt idx="5">
                  <c:v>30-34</c:v>
                </c:pt>
                <c:pt idx="6">
                  <c:v>35-39</c:v>
                </c:pt>
                <c:pt idx="7">
                  <c:v>40-44</c:v>
                </c:pt>
                <c:pt idx="8">
                  <c:v>45-49</c:v>
                </c:pt>
                <c:pt idx="9">
                  <c:v>50-54</c:v>
                </c:pt>
                <c:pt idx="10">
                  <c:v>55-59</c:v>
                </c:pt>
                <c:pt idx="11">
                  <c:v>60-64</c:v>
                </c:pt>
                <c:pt idx="12">
                  <c:v>65-69</c:v>
                </c:pt>
                <c:pt idx="13">
                  <c:v>70-74</c:v>
                </c:pt>
                <c:pt idx="14">
                  <c:v>75-79</c:v>
                </c:pt>
                <c:pt idx="15">
                  <c:v>80-84</c:v>
                </c:pt>
                <c:pt idx="16">
                  <c:v>85+</c:v>
                </c:pt>
              </c:strCache>
            </c:strRef>
          </c:cat>
          <c:val>
            <c:numRef>
              <c:f>Sheet2!$D$28:$T$28</c:f>
              <c:numCache>
                <c:formatCode>0.0</c:formatCode>
                <c:ptCount val="17"/>
                <c:pt idx="0">
                  <c:v>0</c:v>
                </c:pt>
                <c:pt idx="1">
                  <c:v>0</c:v>
                </c:pt>
                <c:pt idx="2">
                  <c:v>0</c:v>
                </c:pt>
                <c:pt idx="3">
                  <c:v>0</c:v>
                </c:pt>
                <c:pt idx="4">
                  <c:v>0</c:v>
                </c:pt>
                <c:pt idx="5">
                  <c:v>0</c:v>
                </c:pt>
                <c:pt idx="6">
                  <c:v>0</c:v>
                </c:pt>
                <c:pt idx="7">
                  <c:v>20</c:v>
                </c:pt>
                <c:pt idx="8">
                  <c:v>40</c:v>
                </c:pt>
                <c:pt idx="9">
                  <c:v>59.999999999999993</c:v>
                </c:pt>
                <c:pt idx="10">
                  <c:v>70</c:v>
                </c:pt>
                <c:pt idx="11">
                  <c:v>80</c:v>
                </c:pt>
                <c:pt idx="12">
                  <c:v>70</c:v>
                </c:pt>
                <c:pt idx="13">
                  <c:v>59.999999999999993</c:v>
                </c:pt>
                <c:pt idx="14">
                  <c:v>50</c:v>
                </c:pt>
                <c:pt idx="15">
                  <c:v>50</c:v>
                </c:pt>
                <c:pt idx="16">
                  <c:v>40</c:v>
                </c:pt>
              </c:numCache>
            </c:numRef>
          </c:val>
        </c:ser>
        <c:ser>
          <c:idx val="6"/>
          <c:order val="6"/>
          <c:tx>
            <c:strRef>
              <c:f>Sheet2!$C$29</c:f>
              <c:strCache>
                <c:ptCount val="1"/>
                <c:pt idx="0">
                  <c:v>Anal cancer incidence (males) +</c:v>
                </c:pt>
              </c:strCache>
            </c:strRef>
          </c:tx>
          <c:spPr>
            <a:solidFill>
              <a:schemeClr val="accent1">
                <a:lumMod val="60000"/>
              </a:schemeClr>
            </a:solidFill>
            <a:ln>
              <a:noFill/>
            </a:ln>
            <a:effectLst/>
          </c:spPr>
          <c:invertIfNegative val="0"/>
          <c:cat>
            <c:strRef>
              <c:f>Sheet2!$D$17:$T$17</c:f>
              <c:strCache>
                <c:ptCount val="17"/>
                <c:pt idx="0">
                  <c:v>12-- 14</c:v>
                </c:pt>
                <c:pt idx="1">
                  <c:v>15-17</c:v>
                </c:pt>
                <c:pt idx="2">
                  <c:v>18-19</c:v>
                </c:pt>
                <c:pt idx="3">
                  <c:v>20-24</c:v>
                </c:pt>
                <c:pt idx="4">
                  <c:v>25-29</c:v>
                </c:pt>
                <c:pt idx="5">
                  <c:v>30-34</c:v>
                </c:pt>
                <c:pt idx="6">
                  <c:v>35-39</c:v>
                </c:pt>
                <c:pt idx="7">
                  <c:v>40-44</c:v>
                </c:pt>
                <c:pt idx="8">
                  <c:v>45-49</c:v>
                </c:pt>
                <c:pt idx="9">
                  <c:v>50-54</c:v>
                </c:pt>
                <c:pt idx="10">
                  <c:v>55-59</c:v>
                </c:pt>
                <c:pt idx="11">
                  <c:v>60-64</c:v>
                </c:pt>
                <c:pt idx="12">
                  <c:v>65-69</c:v>
                </c:pt>
                <c:pt idx="13">
                  <c:v>70-74</c:v>
                </c:pt>
                <c:pt idx="14">
                  <c:v>75-79</c:v>
                </c:pt>
                <c:pt idx="15">
                  <c:v>80-84</c:v>
                </c:pt>
                <c:pt idx="16">
                  <c:v>85+</c:v>
                </c:pt>
              </c:strCache>
            </c:strRef>
          </c:cat>
          <c:val>
            <c:numRef>
              <c:f>Sheet2!$D$29:$T$29</c:f>
              <c:numCache>
                <c:formatCode>0.0</c:formatCode>
                <c:ptCount val="17"/>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10</c:v>
                </c:pt>
              </c:numCache>
            </c:numRef>
          </c:val>
        </c:ser>
        <c:dLbls>
          <c:showLegendKey val="0"/>
          <c:showVal val="0"/>
          <c:showCatName val="0"/>
          <c:showSerName val="0"/>
          <c:showPercent val="0"/>
          <c:showBubbleSize val="0"/>
        </c:dLbls>
        <c:gapWidth val="150"/>
        <c:axId val="24421504"/>
        <c:axId val="24423424"/>
      </c:barChart>
      <c:catAx>
        <c:axId val="2442150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Age</a:t>
                </a:r>
              </a:p>
            </c:rich>
          </c:tx>
          <c:layout/>
          <c:overlay val="0"/>
          <c:spPr>
            <a:noFill/>
            <a:ln>
              <a:noFill/>
            </a:ln>
            <a:effectLst/>
          </c:spPr>
        </c:title>
        <c:numFmt formatCode="General" sourceLinked="1"/>
        <c:majorTickMark val="none"/>
        <c:minorTickMark val="none"/>
        <c:tickLblPos val="nextTo"/>
        <c:spPr>
          <a:noFill/>
          <a:ln w="9525" cap="flat" cmpd="sng" algn="ctr">
            <a:solidFill>
              <a:schemeClr val="tx1"/>
            </a:solidFill>
            <a:round/>
          </a:ln>
          <a:effectLst/>
        </c:spPr>
        <c:txPr>
          <a:bodyPr rot="-540000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4423424"/>
        <c:crosses val="autoZero"/>
        <c:auto val="1"/>
        <c:lblAlgn val="ctr"/>
        <c:lblOffset val="100"/>
        <c:noMultiLvlLbl val="0"/>
      </c:catAx>
      <c:valAx>
        <c:axId val="24423424"/>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Annual incidence per 100,000</a:t>
                </a:r>
              </a:p>
            </c:rich>
          </c:tx>
          <c:layout/>
          <c:overlay val="0"/>
          <c:spPr>
            <a:noFill/>
            <a:ln>
              <a:noFill/>
            </a:ln>
            <a:effectLst/>
          </c:spPr>
        </c:title>
        <c:numFmt formatCode="#,##0" sourceLinked="0"/>
        <c:majorTickMark val="none"/>
        <c:minorTickMark val="none"/>
        <c:tickLblPos val="nextTo"/>
        <c:spPr>
          <a:noFill/>
          <a:ln>
            <a:solidFill>
              <a:schemeClr val="dk1"/>
            </a:solid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4421504"/>
        <c:crosses val="autoZero"/>
        <c:crossBetween val="between"/>
      </c:valAx>
      <c:spPr>
        <a:noFill/>
        <a:ln>
          <a:noFill/>
        </a:ln>
        <a:effectLst/>
      </c:spPr>
    </c:plotArea>
    <c:legend>
      <c:legendPos val="b"/>
      <c:layout>
        <c:manualLayout>
          <c:xMode val="edge"/>
          <c:yMode val="edge"/>
          <c:x val="3.5068460192475934E-2"/>
          <c:y val="0.77256780402449698"/>
          <c:w val="0.79298425196850408"/>
          <c:h val="0.22743231032663772"/>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762</Words>
  <Characters>4349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5101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 Connolly GMAS</dc:creator>
  <cp:lastModifiedBy>Real, Francis Frank</cp:lastModifiedBy>
  <cp:revision>5</cp:revision>
  <dcterms:created xsi:type="dcterms:W3CDTF">2015-06-11T15:15:00Z</dcterms:created>
  <dcterms:modified xsi:type="dcterms:W3CDTF">2015-07-14T14:33:00Z</dcterms:modified>
</cp:coreProperties>
</file>