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69410" w14:textId="5070E1A7" w:rsidR="006906C0" w:rsidRPr="00A87857" w:rsidRDefault="006906C0" w:rsidP="006906C0">
      <w:pPr>
        <w:pStyle w:val="Caption"/>
        <w:keepNext/>
        <w:rPr>
          <w:rFonts w:ascii="Times" w:hAnsi="Times" w:cs="Times New Roman"/>
          <w:b/>
          <w:bCs/>
          <w:i w:val="0"/>
          <w:iCs w:val="0"/>
          <w:color w:val="auto"/>
          <w:sz w:val="24"/>
          <w:szCs w:val="24"/>
        </w:rPr>
      </w:pPr>
      <w:r w:rsidRPr="00A87857">
        <w:rPr>
          <w:rFonts w:ascii="Times" w:hAnsi="Times" w:cs="Times New Roman"/>
          <w:b/>
          <w:bCs/>
          <w:i w:val="0"/>
          <w:iCs w:val="0"/>
          <w:color w:val="auto"/>
          <w:sz w:val="24"/>
          <w:szCs w:val="24"/>
        </w:rPr>
        <w:t xml:space="preserve">Additional file </w:t>
      </w:r>
      <w:r w:rsidR="007F010D">
        <w:rPr>
          <w:rFonts w:ascii="Times" w:hAnsi="Times" w:cs="Times New Roman"/>
          <w:b/>
          <w:bCs/>
          <w:i w:val="0"/>
          <w:iCs w:val="0"/>
          <w:color w:val="auto"/>
          <w:sz w:val="24"/>
          <w:szCs w:val="24"/>
        </w:rPr>
        <w:t>2</w:t>
      </w:r>
      <w:r w:rsidRPr="00A87857">
        <w:rPr>
          <w:rFonts w:ascii="Times" w:hAnsi="Times" w:cs="Times New Roman"/>
          <w:b/>
          <w:bCs/>
          <w:i w:val="0"/>
          <w:iCs w:val="0"/>
          <w:color w:val="auto"/>
          <w:sz w:val="24"/>
          <w:szCs w:val="24"/>
        </w:rPr>
        <w:t xml:space="preserve"> </w:t>
      </w:r>
      <w:r w:rsidRPr="00A87857">
        <w:rPr>
          <w:rFonts w:ascii="Times" w:hAnsi="Times" w:cs="Times New Roman"/>
          <w:i w:val="0"/>
          <w:iCs w:val="0"/>
          <w:color w:val="auto"/>
          <w:sz w:val="24"/>
          <w:szCs w:val="24"/>
        </w:rPr>
        <w:t>Risk of bias assessme</w:t>
      </w:r>
      <w:bookmarkStart w:id="0" w:name="_GoBack"/>
      <w:bookmarkEnd w:id="0"/>
      <w:r w:rsidRPr="00A87857">
        <w:rPr>
          <w:rFonts w:ascii="Times" w:hAnsi="Times" w:cs="Times New Roman"/>
          <w:i w:val="0"/>
          <w:iCs w:val="0"/>
          <w:color w:val="auto"/>
          <w:sz w:val="24"/>
          <w:szCs w:val="24"/>
        </w:rPr>
        <w:t>nt table</w:t>
      </w:r>
    </w:p>
    <w:tbl>
      <w:tblPr>
        <w:tblStyle w:val="TableGrid"/>
        <w:tblW w:w="14564" w:type="dxa"/>
        <w:jc w:val="center"/>
        <w:tblLayout w:type="fixed"/>
        <w:tblLook w:val="04A0" w:firstRow="1" w:lastRow="0" w:firstColumn="1" w:lastColumn="0" w:noHBand="0" w:noVBand="1"/>
      </w:tblPr>
      <w:tblGrid>
        <w:gridCol w:w="2552"/>
        <w:gridCol w:w="1134"/>
        <w:gridCol w:w="1276"/>
        <w:gridCol w:w="992"/>
        <w:gridCol w:w="992"/>
        <w:gridCol w:w="992"/>
        <w:gridCol w:w="1134"/>
        <w:gridCol w:w="1416"/>
        <w:gridCol w:w="1042"/>
        <w:gridCol w:w="1363"/>
        <w:gridCol w:w="962"/>
        <w:gridCol w:w="709"/>
      </w:tblGrid>
      <w:tr w:rsidR="006906C0" w:rsidRPr="00233DF2" w14:paraId="6B623D4F" w14:textId="77777777" w:rsidTr="00D81821">
        <w:trPr>
          <w:trHeight w:val="19"/>
          <w:tblHeader/>
          <w:jc w:val="center"/>
        </w:trPr>
        <w:tc>
          <w:tcPr>
            <w:tcW w:w="2552" w:type="dxa"/>
            <w:hideMark/>
          </w:tcPr>
          <w:p w14:paraId="484AE083" w14:textId="77777777" w:rsidR="006906C0" w:rsidRPr="006E50E5" w:rsidRDefault="006906C0" w:rsidP="00D81821">
            <w:pPr>
              <w:spacing w:after="40"/>
              <w:jc w:val="center"/>
              <w:rPr>
                <w:rFonts w:ascii="Times" w:hAnsi="Times" w:cs="Times New Roman"/>
                <w:sz w:val="16"/>
                <w:szCs w:val="16"/>
                <w:lang w:val="en-US" w:eastAsia="zh-CN"/>
              </w:rPr>
            </w:pPr>
            <w:r w:rsidRPr="00E55408">
              <w:rPr>
                <w:rFonts w:ascii="Times" w:hAnsi="Times" w:cs="Times New Roman"/>
                <w:sz w:val="16"/>
                <w:szCs w:val="16"/>
              </w:rPr>
              <w:t>Author</w:t>
            </w:r>
            <w:r>
              <w:rPr>
                <w:rFonts w:ascii="Times" w:hAnsi="Times" w:cs="Times New Roman"/>
                <w:sz w:val="16"/>
                <w:szCs w:val="16"/>
              </w:rPr>
              <w:t>/year/ref</w:t>
            </w:r>
          </w:p>
        </w:tc>
        <w:tc>
          <w:tcPr>
            <w:tcW w:w="1134" w:type="dxa"/>
            <w:hideMark/>
          </w:tcPr>
          <w:p w14:paraId="7B93CBFE" w14:textId="087A0B87" w:rsidR="006906C0" w:rsidRPr="00E55408" w:rsidRDefault="004A2D3B" w:rsidP="00D81821">
            <w:pPr>
              <w:spacing w:after="40"/>
              <w:jc w:val="center"/>
              <w:rPr>
                <w:rFonts w:ascii="Times" w:hAnsi="Times" w:cs="Times New Roman"/>
                <w:sz w:val="16"/>
                <w:szCs w:val="16"/>
                <w:lang w:eastAsia="zh-CN"/>
              </w:rPr>
            </w:pPr>
            <w:r w:rsidRPr="00B10D74">
              <w:rPr>
                <w:rFonts w:ascii="Times" w:hAnsi="Times" w:cs="Times New Roman"/>
                <w:sz w:val="18"/>
                <w:szCs w:val="18"/>
              </w:rPr>
              <w:t xml:space="preserve">Was the study </w:t>
            </w:r>
            <w:r w:rsidRPr="00B10D74">
              <w:rPr>
                <w:rFonts w:ascii="Times" w:hAnsi="Times" w:cs="Times New Roman" w:hint="eastAsia"/>
                <w:sz w:val="18"/>
                <w:szCs w:val="18"/>
                <w:lang w:eastAsia="zh-CN"/>
              </w:rPr>
              <w:t>randomized</w:t>
            </w:r>
            <w:r w:rsidRPr="00B10D74">
              <w:rPr>
                <w:rFonts w:ascii="Times" w:hAnsi="Times" w:cs="Times New Roman"/>
                <w:sz w:val="18"/>
                <w:szCs w:val="18"/>
                <w:lang w:eastAsia="zh-CN"/>
              </w:rPr>
              <w:t xml:space="preserve"> </w:t>
            </w:r>
            <w:r w:rsidRPr="00B10D74">
              <w:rPr>
                <w:rFonts w:ascii="Times" w:hAnsi="Times" w:cs="Times New Roman" w:hint="eastAsia"/>
                <w:sz w:val="18"/>
                <w:szCs w:val="18"/>
                <w:lang w:eastAsia="zh-CN"/>
              </w:rPr>
              <w:t>controlled</w:t>
            </w:r>
            <w:r w:rsidRPr="00B10D74">
              <w:rPr>
                <w:rFonts w:ascii="Times" w:hAnsi="Times" w:cs="Times New Roman"/>
                <w:sz w:val="18"/>
                <w:szCs w:val="18"/>
                <w:lang w:eastAsia="zh-CN"/>
              </w:rPr>
              <w:t xml:space="preserve"> </w:t>
            </w:r>
            <w:r w:rsidRPr="00B10D74">
              <w:rPr>
                <w:rFonts w:ascii="Times" w:hAnsi="Times" w:cs="Times New Roman" w:hint="eastAsia"/>
                <w:sz w:val="18"/>
                <w:szCs w:val="18"/>
                <w:lang w:eastAsia="zh-CN"/>
              </w:rPr>
              <w:t>trial</w:t>
            </w:r>
            <w:r w:rsidRPr="00B10D74">
              <w:rPr>
                <w:rFonts w:ascii="Times" w:hAnsi="Times" w:cs="Times New Roman"/>
                <w:sz w:val="18"/>
                <w:szCs w:val="18"/>
                <w:lang w:val="en-US" w:eastAsia="zh-CN"/>
              </w:rPr>
              <w:t xml:space="preserve"> (RCT)</w:t>
            </w:r>
            <w:r w:rsidRPr="00B10D74">
              <w:rPr>
                <w:rFonts w:ascii="Times" w:hAnsi="Times" w:cs="Times New Roman"/>
                <w:sz w:val="18"/>
                <w:szCs w:val="18"/>
              </w:rPr>
              <w:t xml:space="preserve"> (yes =1, no = 0)</w:t>
            </w:r>
          </w:p>
        </w:tc>
        <w:tc>
          <w:tcPr>
            <w:tcW w:w="1276" w:type="dxa"/>
            <w:hideMark/>
          </w:tcPr>
          <w:p w14:paraId="7005B745" w14:textId="77777777" w:rsidR="006906C0" w:rsidRPr="00CD708B" w:rsidRDefault="006906C0" w:rsidP="00D81821">
            <w:pPr>
              <w:spacing w:after="40"/>
              <w:jc w:val="center"/>
              <w:rPr>
                <w:rFonts w:ascii="Times" w:hAnsi="Times" w:cs="Times New Roman"/>
                <w:sz w:val="16"/>
                <w:szCs w:val="16"/>
                <w:lang w:val="en-US" w:eastAsia="zh-CN"/>
              </w:rPr>
            </w:pPr>
            <w:r w:rsidRPr="00CD708B">
              <w:rPr>
                <w:rFonts w:ascii="Times" w:hAnsi="Times" w:cs="Times New Roman"/>
                <w:sz w:val="16"/>
                <w:szCs w:val="16"/>
              </w:rPr>
              <w:t>Did the study account for attrition rates? (</w:t>
            </w:r>
            <w:r w:rsidRPr="00CD708B">
              <w:rPr>
                <w:rFonts w:ascii="Times" w:hAnsi="Times" w:cs="Times New Roman"/>
                <w:sz w:val="16"/>
                <w:szCs w:val="16"/>
                <w:lang w:val="en-US" w:eastAsia="zh-CN"/>
              </w:rPr>
              <w:t xml:space="preserve">for </w:t>
            </w:r>
            <w:r w:rsidRPr="00CD708B">
              <w:rPr>
                <w:rFonts w:ascii="Times" w:hAnsi="Times" w:cs="Times New Roman" w:hint="eastAsia"/>
                <w:sz w:val="16"/>
                <w:szCs w:val="16"/>
                <w:lang w:val="en-US" w:eastAsia="zh-CN"/>
              </w:rPr>
              <w:t>retrospective</w:t>
            </w:r>
            <w:r w:rsidRPr="00CD708B">
              <w:rPr>
                <w:rFonts w:ascii="Times" w:hAnsi="Times" w:cs="Times New Roman"/>
                <w:sz w:val="16"/>
                <w:szCs w:val="16"/>
                <w:lang w:val="en-US" w:eastAsia="zh-CN"/>
              </w:rPr>
              <w:t xml:space="preserve">/quasi-experimental studies, accounting for the </w:t>
            </w:r>
            <w:r w:rsidRPr="00CD708B">
              <w:rPr>
                <w:rFonts w:ascii="Times" w:hAnsi="Times" w:cs="Times New Roman" w:hint="eastAsia"/>
                <w:sz w:val="16"/>
                <w:szCs w:val="16"/>
                <w:lang w:val="en-US" w:eastAsia="zh-CN"/>
              </w:rPr>
              <w:t>take</w:t>
            </w:r>
            <w:r w:rsidRPr="00CD708B">
              <w:rPr>
                <w:rFonts w:ascii="Times" w:hAnsi="Times" w:cs="Times New Roman"/>
                <w:sz w:val="16"/>
                <w:szCs w:val="16"/>
                <w:lang w:val="en-US" w:eastAsia="zh-CN"/>
              </w:rPr>
              <w:t xml:space="preserve"> up is 1, otherwise 0</w:t>
            </w:r>
            <w:r w:rsidRPr="00CD708B">
              <w:rPr>
                <w:rFonts w:ascii="Times" w:hAnsi="Times" w:cs="Times New Roman"/>
                <w:sz w:val="16"/>
                <w:szCs w:val="16"/>
              </w:rPr>
              <w:t>)</w:t>
            </w:r>
          </w:p>
        </w:tc>
        <w:tc>
          <w:tcPr>
            <w:tcW w:w="992" w:type="dxa"/>
          </w:tcPr>
          <w:p w14:paraId="2654D6C4" w14:textId="4D18FEC0"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Does</w:t>
            </w:r>
            <w:r w:rsidRPr="00E55408">
              <w:rPr>
                <w:rFonts w:ascii="Times" w:hAnsi="Times" w:cs="Times New Roman"/>
                <w:sz w:val="16"/>
                <w:szCs w:val="16"/>
              </w:rPr>
              <w:t xml:space="preserve"> the study </w:t>
            </w:r>
            <w:r>
              <w:rPr>
                <w:rFonts w:ascii="Times" w:hAnsi="Times" w:cs="Times New Roman"/>
                <w:sz w:val="16"/>
                <w:szCs w:val="16"/>
              </w:rPr>
              <w:t>have a</w:t>
            </w:r>
            <w:r w:rsidR="004A2D3B">
              <w:rPr>
                <w:rFonts w:ascii="Times" w:hAnsi="Times" w:cs="Times New Roman"/>
                <w:sz w:val="16"/>
                <w:szCs w:val="16"/>
              </w:rPr>
              <w:t xml:space="preserve">n </w:t>
            </w:r>
            <w:r w:rsidR="004A2D3B">
              <w:rPr>
                <w:rFonts w:ascii="Times" w:hAnsi="Times" w:cs="Times New Roman" w:hint="eastAsia"/>
                <w:sz w:val="16"/>
                <w:szCs w:val="16"/>
                <w:lang w:eastAsia="zh-CN"/>
              </w:rPr>
              <w:t>appropriate</w:t>
            </w:r>
            <w:r>
              <w:rPr>
                <w:rFonts w:ascii="Times" w:hAnsi="Times" w:cs="Times New Roman"/>
                <w:sz w:val="16"/>
                <w:szCs w:val="16"/>
              </w:rPr>
              <w:t xml:space="preserve"> (large) sample size? (yes =1, no = 0)</w:t>
            </w:r>
          </w:p>
        </w:tc>
        <w:tc>
          <w:tcPr>
            <w:tcW w:w="992" w:type="dxa"/>
          </w:tcPr>
          <w:p w14:paraId="1FBFEB0E" w14:textId="77777777" w:rsidR="006906C0" w:rsidRPr="00233DF2" w:rsidRDefault="006906C0" w:rsidP="00D81821">
            <w:pPr>
              <w:spacing w:after="40"/>
              <w:jc w:val="center"/>
              <w:rPr>
                <w:rFonts w:ascii="Times" w:hAnsi="Times" w:cs="Times New Roman"/>
                <w:sz w:val="16"/>
                <w:szCs w:val="16"/>
                <w:lang w:val="en-US"/>
              </w:rPr>
            </w:pPr>
            <w:r>
              <w:rPr>
                <w:rFonts w:ascii="Times" w:hAnsi="Times" w:cs="Times New Roman" w:hint="eastAsia"/>
                <w:sz w:val="16"/>
                <w:szCs w:val="16"/>
                <w:lang w:eastAsia="zh-CN"/>
              </w:rPr>
              <w:t>Does</w:t>
            </w:r>
            <w:r>
              <w:rPr>
                <w:rFonts w:ascii="Times" w:hAnsi="Times" w:cs="Times New Roman"/>
                <w:sz w:val="16"/>
                <w:szCs w:val="16"/>
                <w:lang w:eastAsia="zh-CN"/>
              </w:rPr>
              <w:t xml:space="preserve"> </w:t>
            </w:r>
            <w:r w:rsidRPr="00E55408">
              <w:rPr>
                <w:rFonts w:ascii="Times" w:hAnsi="Times" w:cs="Times New Roman"/>
                <w:sz w:val="16"/>
                <w:szCs w:val="16"/>
              </w:rPr>
              <w:t xml:space="preserve">the </w:t>
            </w:r>
            <w:r>
              <w:rPr>
                <w:rFonts w:ascii="Times" w:hAnsi="Times" w:cs="Times New Roman"/>
                <w:sz w:val="16"/>
                <w:szCs w:val="16"/>
              </w:rPr>
              <w:t>study</w:t>
            </w:r>
            <w:r w:rsidRPr="00E55408">
              <w:rPr>
                <w:rFonts w:ascii="Times" w:hAnsi="Times" w:cs="Times New Roman"/>
                <w:sz w:val="16"/>
                <w:szCs w:val="16"/>
              </w:rPr>
              <w:t xml:space="preserve"> </w:t>
            </w:r>
            <w:r>
              <w:rPr>
                <w:rFonts w:ascii="Times" w:hAnsi="Times" w:cs="Times New Roman"/>
                <w:sz w:val="16"/>
                <w:szCs w:val="16"/>
              </w:rPr>
              <w:t>have a representative sample</w:t>
            </w:r>
            <w:r w:rsidRPr="00E55408">
              <w:rPr>
                <w:rFonts w:ascii="Times" w:hAnsi="Times" w:cs="Times New Roman"/>
                <w:sz w:val="16"/>
                <w:szCs w:val="16"/>
              </w:rPr>
              <w:t>?</w:t>
            </w:r>
            <w:r>
              <w:rPr>
                <w:rFonts w:ascii="Times" w:hAnsi="Times" w:cs="Times New Roman"/>
                <w:sz w:val="16"/>
                <w:szCs w:val="16"/>
              </w:rPr>
              <w:t xml:space="preserve"> (yes =1, no = 0)</w:t>
            </w:r>
          </w:p>
        </w:tc>
        <w:tc>
          <w:tcPr>
            <w:tcW w:w="992" w:type="dxa"/>
            <w:hideMark/>
          </w:tcPr>
          <w:p w14:paraId="20A9475D" w14:textId="28405E27" w:rsidR="006906C0" w:rsidRDefault="006906C0" w:rsidP="00D81821">
            <w:pPr>
              <w:spacing w:after="40"/>
              <w:jc w:val="center"/>
              <w:rPr>
                <w:rFonts w:ascii="Times" w:hAnsi="Times" w:cs="Times New Roman"/>
                <w:sz w:val="16"/>
                <w:szCs w:val="16"/>
              </w:rPr>
            </w:pPr>
            <w:r w:rsidRPr="00E55408">
              <w:rPr>
                <w:rFonts w:ascii="Times" w:hAnsi="Times" w:cs="Times New Roman"/>
                <w:sz w:val="16"/>
                <w:szCs w:val="16"/>
              </w:rPr>
              <w:t xml:space="preserve">Was the </w:t>
            </w:r>
            <w:r>
              <w:rPr>
                <w:rFonts w:ascii="Times" w:hAnsi="Times" w:cs="Times New Roman" w:hint="eastAsia"/>
                <w:sz w:val="16"/>
                <w:szCs w:val="16"/>
                <w:lang w:eastAsia="zh-CN"/>
              </w:rPr>
              <w:t>intervention</w:t>
            </w:r>
            <w:r>
              <w:rPr>
                <w:rFonts w:ascii="Times" w:hAnsi="Times" w:cs="Times New Roman"/>
                <w:sz w:val="16"/>
                <w:szCs w:val="16"/>
                <w:lang w:eastAsia="zh-CN"/>
              </w:rPr>
              <w:t xml:space="preserve"> long </w:t>
            </w:r>
            <w:r w:rsidRPr="00E55408">
              <w:rPr>
                <w:rFonts w:ascii="Times" w:hAnsi="Times" w:cs="Times New Roman"/>
                <w:sz w:val="16"/>
                <w:szCs w:val="16"/>
              </w:rPr>
              <w:t>enough?</w:t>
            </w:r>
          </w:p>
          <w:p w14:paraId="19237502"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(more than 6 month</w:t>
            </w:r>
            <w:r>
              <w:rPr>
                <w:rFonts w:ascii="Times" w:hAnsi="Times" w:cs="Times New Roman" w:hint="eastAsia"/>
                <w:sz w:val="16"/>
                <w:szCs w:val="16"/>
                <w:lang w:eastAsia="zh-CN"/>
              </w:rPr>
              <w:t>s</w:t>
            </w:r>
            <w:r>
              <w:rPr>
                <w:rFonts w:ascii="Times" w:hAnsi="Times" w:cs="Times New Roman"/>
                <w:sz w:val="16"/>
                <w:szCs w:val="16"/>
              </w:rPr>
              <w:t xml:space="preserve"> is 1; 0 </w:t>
            </w:r>
            <w:r>
              <w:rPr>
                <w:rFonts w:ascii="Times" w:hAnsi="Times" w:cs="Times New Roman" w:hint="eastAsia"/>
                <w:sz w:val="16"/>
                <w:szCs w:val="16"/>
                <w:lang w:eastAsia="zh-CN"/>
              </w:rPr>
              <w:t>otherwise</w:t>
            </w:r>
            <w:r>
              <w:rPr>
                <w:rFonts w:ascii="Times" w:hAnsi="Times" w:cs="Times New Roman"/>
                <w:sz w:val="16"/>
                <w:szCs w:val="16"/>
              </w:rPr>
              <w:t>)</w:t>
            </w:r>
          </w:p>
        </w:tc>
        <w:tc>
          <w:tcPr>
            <w:tcW w:w="1134" w:type="dxa"/>
            <w:hideMark/>
          </w:tcPr>
          <w:p w14:paraId="004C8660" w14:textId="77777777" w:rsidR="006906C0" w:rsidRPr="00E55408" w:rsidRDefault="006906C0" w:rsidP="00D81821">
            <w:pPr>
              <w:spacing w:after="40"/>
              <w:jc w:val="center"/>
              <w:rPr>
                <w:rFonts w:ascii="Times" w:hAnsi="Times" w:cs="Times New Roman"/>
                <w:sz w:val="16"/>
                <w:szCs w:val="16"/>
              </w:rPr>
            </w:pPr>
            <w:r w:rsidRPr="00E55408">
              <w:rPr>
                <w:rFonts w:ascii="Times" w:hAnsi="Times" w:cs="Times New Roman"/>
                <w:sz w:val="16"/>
                <w:szCs w:val="16"/>
              </w:rPr>
              <w:t xml:space="preserve">Was the </w:t>
            </w:r>
            <w:r>
              <w:rPr>
                <w:rFonts w:ascii="Times" w:hAnsi="Times" w:cs="Times New Roman"/>
                <w:sz w:val="16"/>
                <w:szCs w:val="16"/>
              </w:rPr>
              <w:t>intervention</w:t>
            </w:r>
            <w:r w:rsidRPr="00E55408">
              <w:rPr>
                <w:rFonts w:ascii="Times" w:hAnsi="Times" w:cs="Times New Roman"/>
                <w:sz w:val="16"/>
                <w:szCs w:val="16"/>
              </w:rPr>
              <w:t xml:space="preserve"> objectively measured?</w:t>
            </w:r>
            <w:r>
              <w:rPr>
                <w:rFonts w:ascii="Times" w:hAnsi="Times" w:cs="Times New Roman"/>
                <w:sz w:val="16"/>
                <w:szCs w:val="16"/>
              </w:rPr>
              <w:t xml:space="preserve"> (the searching </w:t>
            </w:r>
            <w:proofErr w:type="spellStart"/>
            <w:r>
              <w:rPr>
                <w:rFonts w:ascii="Times" w:hAnsi="Times" w:cs="Times New Roman"/>
                <w:sz w:val="16"/>
                <w:szCs w:val="16"/>
              </w:rPr>
              <w:t>behavior</w:t>
            </w:r>
            <w:proofErr w:type="spellEnd"/>
            <w:r>
              <w:rPr>
                <w:rFonts w:ascii="Times" w:hAnsi="Times" w:cs="Times New Roman"/>
                <w:sz w:val="16"/>
                <w:szCs w:val="16"/>
              </w:rPr>
              <w:t xml:space="preserve"> and the usage of information are 1, and the transparency policy implementati</w:t>
            </w:r>
            <w:r>
              <w:rPr>
                <w:rFonts w:ascii="Times" w:hAnsi="Times" w:cs="Times New Roman" w:hint="eastAsia"/>
                <w:sz w:val="16"/>
                <w:szCs w:val="16"/>
                <w:lang w:eastAsia="zh-CN"/>
              </w:rPr>
              <w:t>on</w:t>
            </w:r>
            <w:r>
              <w:rPr>
                <w:rFonts w:ascii="Times" w:hAnsi="Times" w:cs="Times New Roman"/>
                <w:sz w:val="16"/>
                <w:szCs w:val="16"/>
              </w:rPr>
              <w:t xml:space="preserve"> is 1 also; 0 otherwise)</w:t>
            </w:r>
          </w:p>
        </w:tc>
        <w:tc>
          <w:tcPr>
            <w:tcW w:w="1416" w:type="dxa"/>
            <w:hideMark/>
          </w:tcPr>
          <w:p w14:paraId="12CBD0A4" w14:textId="77777777" w:rsidR="006906C0" w:rsidRPr="00E55408" w:rsidRDefault="006906C0" w:rsidP="00D81821">
            <w:pPr>
              <w:spacing w:after="40"/>
              <w:jc w:val="center"/>
              <w:rPr>
                <w:rFonts w:ascii="Times" w:hAnsi="Times" w:cs="Times New Roman"/>
                <w:sz w:val="16"/>
                <w:szCs w:val="16"/>
              </w:rPr>
            </w:pPr>
            <w:r w:rsidRPr="00E55408">
              <w:rPr>
                <w:rFonts w:ascii="Times" w:hAnsi="Times" w:cs="Times New Roman"/>
                <w:sz w:val="16"/>
                <w:szCs w:val="16"/>
              </w:rPr>
              <w:t>W</w:t>
            </w:r>
            <w:r>
              <w:rPr>
                <w:rFonts w:ascii="Times" w:hAnsi="Times" w:cs="Times New Roman"/>
                <w:sz w:val="16"/>
                <w:szCs w:val="16"/>
              </w:rPr>
              <w:t>ere</w:t>
            </w:r>
            <w:r w:rsidRPr="00E55408">
              <w:rPr>
                <w:rFonts w:ascii="Times" w:hAnsi="Times" w:cs="Times New Roman"/>
                <w:sz w:val="16"/>
                <w:szCs w:val="16"/>
              </w:rPr>
              <w:t xml:space="preserve"> the </w:t>
            </w:r>
            <w:r>
              <w:rPr>
                <w:rFonts w:ascii="Times" w:hAnsi="Times" w:cs="Times New Roman"/>
                <w:sz w:val="16"/>
                <w:szCs w:val="16"/>
              </w:rPr>
              <w:t>o</w:t>
            </w:r>
            <w:proofErr w:type="spellStart"/>
            <w:r>
              <w:rPr>
                <w:rFonts w:ascii="Times" w:hAnsi="Times" w:cs="Times New Roman"/>
                <w:sz w:val="16"/>
                <w:szCs w:val="16"/>
                <w:lang w:val="en-US"/>
              </w:rPr>
              <w:t>utcomes</w:t>
            </w:r>
            <w:proofErr w:type="spellEnd"/>
            <w:r w:rsidRPr="00E55408">
              <w:rPr>
                <w:rFonts w:ascii="Times" w:hAnsi="Times" w:cs="Times New Roman"/>
                <w:sz w:val="16"/>
                <w:szCs w:val="16"/>
              </w:rPr>
              <w:t xml:space="preserve"> objectively measured?</w:t>
            </w:r>
            <w:r>
              <w:rPr>
                <w:rFonts w:ascii="Times" w:hAnsi="Times" w:cs="Times New Roman"/>
                <w:sz w:val="16"/>
                <w:szCs w:val="16"/>
              </w:rPr>
              <w:t xml:space="preserve"> (the price and the payment as objective; all self-reported outcomes as not objective)</w:t>
            </w:r>
            <w:r w:rsidRPr="00E55408">
              <w:rPr>
                <w:rFonts w:ascii="Times" w:hAnsi="Times" w:cs="Times New Roman"/>
                <w:sz w:val="16"/>
                <w:szCs w:val="16"/>
              </w:rPr>
              <w:t xml:space="preserve"> </w:t>
            </w:r>
          </w:p>
        </w:tc>
        <w:tc>
          <w:tcPr>
            <w:tcW w:w="1042" w:type="dxa"/>
            <w:hideMark/>
          </w:tcPr>
          <w:p w14:paraId="300FED29" w14:textId="77777777" w:rsidR="006906C0" w:rsidRDefault="006906C0" w:rsidP="00D81821">
            <w:pPr>
              <w:spacing w:after="40"/>
              <w:jc w:val="center"/>
              <w:rPr>
                <w:rFonts w:ascii="Times" w:hAnsi="Times" w:cs="Times New Roman"/>
                <w:sz w:val="16"/>
                <w:szCs w:val="16"/>
              </w:rPr>
            </w:pPr>
            <w:r w:rsidRPr="00E55408">
              <w:rPr>
                <w:rFonts w:ascii="Times" w:hAnsi="Times" w:cs="Times New Roman"/>
                <w:sz w:val="16"/>
                <w:szCs w:val="16"/>
              </w:rPr>
              <w:t>Were all important confounding factors considered?</w:t>
            </w:r>
          </w:p>
          <w:p w14:paraId="6E0A0DF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 xml:space="preserve">(1 if accounts for </w:t>
            </w:r>
            <w:r>
              <w:rPr>
                <w:rFonts w:ascii="Times" w:hAnsi="Times" w:cs="Times New Roman" w:hint="eastAsia"/>
                <w:sz w:val="16"/>
                <w:szCs w:val="16"/>
                <w:lang w:eastAsia="zh-CN"/>
              </w:rPr>
              <w:t>characteristics</w:t>
            </w:r>
            <w:r>
              <w:rPr>
                <w:rFonts w:ascii="Times" w:hAnsi="Times" w:cs="Times New Roman"/>
                <w:sz w:val="16"/>
                <w:szCs w:val="16"/>
                <w:lang w:eastAsia="zh-CN"/>
              </w:rPr>
              <w:t xml:space="preserve"> </w:t>
            </w:r>
            <w:r>
              <w:rPr>
                <w:rFonts w:ascii="Times" w:hAnsi="Times" w:cs="Times New Roman" w:hint="eastAsia"/>
                <w:sz w:val="16"/>
                <w:szCs w:val="16"/>
                <w:lang w:eastAsia="zh-CN"/>
              </w:rPr>
              <w:t>of</w:t>
            </w:r>
            <w:r>
              <w:rPr>
                <w:rFonts w:ascii="Times" w:hAnsi="Times" w:cs="Times New Roman"/>
                <w:sz w:val="16"/>
                <w:szCs w:val="16"/>
                <w:lang w:eastAsia="zh-CN"/>
              </w:rPr>
              <w:t xml:space="preserve"> patients, facilities, and markets</w:t>
            </w:r>
            <w:r>
              <w:rPr>
                <w:rFonts w:ascii="Times" w:hAnsi="Times" w:cs="Times New Roman"/>
                <w:sz w:val="16"/>
                <w:szCs w:val="16"/>
              </w:rPr>
              <w:t>; 0 if only some of those)</w:t>
            </w:r>
            <w:r w:rsidRPr="00E55408">
              <w:rPr>
                <w:rFonts w:ascii="Times" w:hAnsi="Times" w:cs="Times New Roman"/>
                <w:sz w:val="16"/>
                <w:szCs w:val="16"/>
              </w:rPr>
              <w:t xml:space="preserve"> </w:t>
            </w:r>
          </w:p>
        </w:tc>
        <w:tc>
          <w:tcPr>
            <w:tcW w:w="1363" w:type="dxa"/>
            <w:hideMark/>
          </w:tcPr>
          <w:p w14:paraId="12C6F1D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Are</w:t>
            </w:r>
            <w:r w:rsidRPr="00E55408">
              <w:rPr>
                <w:rFonts w:ascii="Times" w:hAnsi="Times" w:cs="Times New Roman"/>
                <w:sz w:val="16"/>
                <w:szCs w:val="16"/>
              </w:rPr>
              <w:t xml:space="preserve"> the results of the treatment effect well reported and is the analysis coherent?</w:t>
            </w:r>
            <w:r>
              <w:rPr>
                <w:rFonts w:ascii="Times" w:hAnsi="Times" w:cs="Times New Roman"/>
                <w:sz w:val="16"/>
                <w:szCs w:val="16"/>
              </w:rPr>
              <w:t xml:space="preserve"> (yes =1, no = 0)</w:t>
            </w:r>
          </w:p>
        </w:tc>
        <w:tc>
          <w:tcPr>
            <w:tcW w:w="962" w:type="dxa"/>
            <w:hideMark/>
          </w:tcPr>
          <w:p w14:paraId="7538534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Are</w:t>
            </w:r>
            <w:r w:rsidRPr="00E55408">
              <w:rPr>
                <w:rFonts w:ascii="Times" w:hAnsi="Times" w:cs="Times New Roman"/>
                <w:sz w:val="16"/>
                <w:szCs w:val="16"/>
              </w:rPr>
              <w:t xml:space="preserve"> the estimate</w:t>
            </w:r>
            <w:r>
              <w:rPr>
                <w:rFonts w:ascii="Times" w:hAnsi="Times" w:cs="Times New Roman"/>
                <w:sz w:val="16"/>
                <w:szCs w:val="16"/>
              </w:rPr>
              <w:t>s</w:t>
            </w:r>
            <w:r w:rsidRPr="00E55408">
              <w:rPr>
                <w:rFonts w:ascii="Times" w:hAnsi="Times" w:cs="Times New Roman"/>
                <w:sz w:val="16"/>
                <w:szCs w:val="16"/>
              </w:rPr>
              <w:t xml:space="preserve"> of the treatment effect precise?</w:t>
            </w:r>
            <w:r>
              <w:rPr>
                <w:rFonts w:ascii="Times" w:hAnsi="Times" w:cs="Times New Roman"/>
                <w:sz w:val="16"/>
                <w:szCs w:val="16"/>
              </w:rPr>
              <w:t xml:space="preserve"> (yes =1, no = 0)</w:t>
            </w:r>
          </w:p>
        </w:tc>
        <w:tc>
          <w:tcPr>
            <w:tcW w:w="709" w:type="dxa"/>
            <w:noWrap/>
            <w:hideMark/>
          </w:tcPr>
          <w:p w14:paraId="0CDF3E35" w14:textId="77777777" w:rsidR="006906C0" w:rsidRPr="00E55408" w:rsidRDefault="006906C0" w:rsidP="00D81821">
            <w:pPr>
              <w:spacing w:after="40"/>
              <w:jc w:val="center"/>
              <w:rPr>
                <w:rFonts w:ascii="Times" w:hAnsi="Times" w:cs="Times New Roman"/>
                <w:b/>
                <w:bCs/>
                <w:sz w:val="16"/>
                <w:szCs w:val="16"/>
              </w:rPr>
            </w:pPr>
            <w:r w:rsidRPr="00E55408">
              <w:rPr>
                <w:rFonts w:ascii="Times" w:hAnsi="Times" w:cs="Times New Roman"/>
                <w:b/>
                <w:bCs/>
                <w:sz w:val="16"/>
                <w:szCs w:val="16"/>
              </w:rPr>
              <w:t>Score</w:t>
            </w:r>
          </w:p>
        </w:tc>
      </w:tr>
      <w:tr w:rsidR="006906C0" w:rsidRPr="00E55408" w14:paraId="3ABFCF84" w14:textId="77777777" w:rsidTr="00D81821">
        <w:trPr>
          <w:trHeight w:val="19"/>
          <w:jc w:val="center"/>
        </w:trPr>
        <w:tc>
          <w:tcPr>
            <w:tcW w:w="2552" w:type="dxa"/>
          </w:tcPr>
          <w:p w14:paraId="32D6F989" w14:textId="77777777" w:rsidR="006906C0" w:rsidRPr="00E55408" w:rsidRDefault="006906C0" w:rsidP="00D81821">
            <w:pPr>
              <w:spacing w:after="40"/>
              <w:jc w:val="center"/>
              <w:rPr>
                <w:rFonts w:ascii="Times" w:hAnsi="Times" w:cs="Times New Roman"/>
                <w:sz w:val="16"/>
                <w:szCs w:val="16"/>
              </w:rPr>
            </w:pPr>
            <w:r w:rsidRPr="00987901">
              <w:rPr>
                <w:rFonts w:ascii="Times New Roman" w:hAnsi="Times New Roman" w:cs="Times New Roman"/>
                <w:sz w:val="16"/>
                <w:szCs w:val="16"/>
              </w:rPr>
              <w:t>Wu et al.</w:t>
            </w:r>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2014)</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{"citationID":"DOqhMp9C","properties":{"formattedCitation":"[44]","plainCitation":"[44]","noteIndex":0},"citationItems":[{"id":1251,"uris":["http://zotero.org/users/7560012/items/MJ86KEHM"],"itemData":{"id":1251,"type":"article-journal","abstract":"To encourage patients to select high-value providers, an insurer-initiated price transparency program that focused on elective advanced imaging procedures was implemented. Patients having at least one outpatient magnetic resonance imaging (MRI) scan in 2010 or 2012 were divided according to their membership in commercial health plans participating in the program (the intervention group) or in nonparticipating commercial health plans (the reference group) in similar US geographic regions. Patients in the intervention group were informed of price differences among available MRI facilities and given the option of selecting different providers. For those patients, the program resulted in a $220 cost reduction (18.7 percent) per test and a decrease in use of hospital-based facilities from 53 percent in 2010 to 45 percent in 2012. Price variation between hospital and nonhospital facilities for the intervention group was reduced by 30 percent after implementation. Nonparticipating members residing in intervention areas also observed price reductions, which indicates increased price competition among providers. The program significantly reduced imaging costs. This suggests that patients select lower-price facilities when informed about available alternatives.","container-title":"Health Affairs","DOI":"10.1377/hlthaff.2014.0168","ISSN":"0278-2715","issue":"8","note":"publisher: Health Affairs","page":"1391-1398","source":"healthaffairs.org (Atypon)","title":"Price Transparency For MRIs Increased Use Of Less Costly Providers And Triggered Provider Competition","volume":"33","author":[{"family":"Wu","given":"Sze-jung"},{"family":"Sylwestrzak","given":"Gosia"},{"family":"Shah","given":"Christiane"},{"family":"DeVries","given":"Andrea"}],"issued":{"date-parts":[["2014",8,1]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[44]</w:t>
            </w:r>
            <w:r w:rsidRPr="00987901">
              <w:rPr>
                <w:rFonts w:ascii="Times New Roman" w:hAnsi="Times New Roman" w:cs="Times New Roman"/>
                <w:sz w:val="16"/>
                <w:szCs w:val="16"/>
              </w:rPr>
              <w:fldChar w:fldCharType="end"/>
            </w:r>
          </w:p>
        </w:tc>
        <w:tc>
          <w:tcPr>
            <w:tcW w:w="1134" w:type="dxa"/>
            <w:noWrap/>
          </w:tcPr>
          <w:p w14:paraId="7C2FBDB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4E8E9B48" w14:textId="77777777" w:rsidR="006906C0" w:rsidRPr="00233DF2" w:rsidRDefault="006906C0" w:rsidP="00D81821">
            <w:pPr>
              <w:spacing w:after="40"/>
              <w:jc w:val="center"/>
              <w:rPr>
                <w:rFonts w:ascii="Times" w:hAnsi="Times" w:cs="Times New Roman"/>
                <w:sz w:val="16"/>
                <w:szCs w:val="16"/>
                <w:lang w:val="en-US" w:eastAsia="zh-CN"/>
              </w:rPr>
            </w:pPr>
            <w:r>
              <w:rPr>
                <w:rFonts w:ascii="Times" w:hAnsi="Times" w:cs="Times New Roman"/>
                <w:sz w:val="16"/>
                <w:szCs w:val="16"/>
                <w:lang w:val="en-US" w:eastAsia="zh-CN"/>
              </w:rPr>
              <w:t>0</w:t>
            </w:r>
          </w:p>
        </w:tc>
        <w:tc>
          <w:tcPr>
            <w:tcW w:w="992" w:type="dxa"/>
          </w:tcPr>
          <w:p w14:paraId="4FE7E5C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0E680913"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4830CD55"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13420EE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684238F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4F8F2F8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363" w:type="dxa"/>
          </w:tcPr>
          <w:p w14:paraId="431FD7F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37ACEAD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7FBAC260"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5</w:t>
            </w:r>
          </w:p>
        </w:tc>
      </w:tr>
      <w:tr w:rsidR="006906C0" w:rsidRPr="00E55408" w14:paraId="36313011" w14:textId="77777777" w:rsidTr="00D81821">
        <w:trPr>
          <w:trHeight w:val="19"/>
          <w:jc w:val="center"/>
        </w:trPr>
        <w:tc>
          <w:tcPr>
            <w:tcW w:w="2552" w:type="dxa"/>
          </w:tcPr>
          <w:p w14:paraId="6B88D17E" w14:textId="77777777" w:rsidR="006906C0" w:rsidRPr="00F6535B" w:rsidRDefault="006906C0" w:rsidP="00D81821">
            <w:pPr>
              <w:spacing w:after="40"/>
              <w:jc w:val="center"/>
              <w:rPr>
                <w:rFonts w:ascii="Times New Roman" w:eastAsia="Times New Roman" w:hAnsi="Times New Roman" w:cs="Times New Roman"/>
                <w:color w:val="000000"/>
                <w:sz w:val="18"/>
                <w:szCs w:val="18"/>
                <w:lang w:eastAsia="en-GB"/>
              </w:rPr>
            </w:pPr>
            <w:r w:rsidRPr="00987901">
              <w:rPr>
                <w:rFonts w:ascii="Times New Roman" w:hAnsi="Times New Roman" w:cs="Times New Roman"/>
                <w:sz w:val="16"/>
                <w:szCs w:val="16"/>
              </w:rPr>
              <w:t xml:space="preserve">C. Whaley et al. </w:t>
            </w:r>
            <w:r w:rsidRPr="00987901">
              <w:rPr>
                <w:rFonts w:ascii="Times New Roman" w:hAnsi="Times New Roman" w:cs="Times New Roman"/>
                <w:sz w:val="16"/>
                <w:szCs w:val="16"/>
                <w:lang w:val="en-US"/>
              </w:rPr>
              <w:t>(</w:t>
            </w:r>
            <w:r w:rsidRPr="00987901">
              <w:rPr>
                <w:rFonts w:ascii="Times New Roman" w:hAnsi="Times New Roman" w:cs="Times New Roman"/>
                <w:sz w:val="16"/>
                <w:szCs w:val="16"/>
              </w:rPr>
              <w:t>2014)</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{"citationID":"ugWsZE8O","properties":{"formattedCitation":"[45]","plainCitation":"[45]","noteIndex":0},"citationItems":[{"id":838,"uris":["http://zotero.org/users/7560012/items/BKMX4R4K"],"itemData":{"id":838,"type":"article-journal","abstract":"IMPORTANCE: Recent governmental and private initiatives have sought to reduce health care costs by making health care prices more transparent.\nOBJECTIVE: To determine whether the use of an employer-sponsored private price transparency platform was associated with lower claims payments for 3 common medical services.\nDESIGN: Payments for clinical services provided were compared between patients who searched a pricing website before using the service with patients who had not researched prior to receiving this service. Multivariable generalized linear model regressions with propensity score adjustment controlled for demographic, geographic, and procedure differences. To test for selection bias, payments for individuals who used the platform to search for services (searchers) were compared with those who did not use the platform to search for services (nonsearchers) in the period before the platform was available. The exposure was the use of the price transparency platform to search for laboratory tests, advanced imaging services, or clinician office visits before receiving care for that service.\nSETTING AND PARTICIPANTS: Medical claims from 2010-2013 of 502,949 patients who were insured in the United States by 18 employers who provided a price transparency platform to their employees.\nMAIN OUTCOMES AND MEASURES: The primary outcome was total claims payments (the sum of employer and employee spending for each claim) for laboratory tests, advanced imaging services, and clinician office visits.\nRESULTS: Following access to the platform, 5.9% of 2,988,663 laboratory test claims, 6.9% of 76,768 advanced imaging claims, and 26.8% of 2,653,227 clinician office visit claims were associated with a prior search on the price transparency platform. Before having access to the price transparency platform, searchers had higher claims payments than nonsearchers for laboratory tests (4.11%; 95% CI, 1.87%-6.41%), higher payments for advanced imaging services (5.57%; 95% CI, 1.83%-9.44%), and no difference in payments for clinician office visits (0.26%; 95% CI; 0.53%-0.005%). Following access to the price transparency platform, relative claim payments for searchers were lower for searchers than nonsearchers by 13.93% (95% CI, 10.28%-17.43%) for laboratory tests, 13.15% (95% CI, 9.49%-16.66%) for advanced imaging, and 1.02% (95% CI, 0.57%-1.47%) for clinician office visits. The absolute payment differences were $3.45 (95% CI, $1.78-$5.12) for laboratory tests, $124.74 (95% CI, $83.06-$166.42) for advanced imaging services, and $1.18 (95% CI, $0.66-$1.70) for clinician office visits.\nCONCLUSIONS AND RELEVANCE: Use of price transparency information was associated with lower total claims payments for common medical services. The magnitude of the difference was largest for advanced imaging services and smallest for clinical office visits. Patient access to pricing information before obtaining clinical services may result in lower overall payments made for clinical care.","container-title":"JAMA","DOI":"10.1001/jama.2014.13373","ISSN":"1538-3598","issue":"16","journalAbbreviation":"JAMA","language":"eng","note":"PMID: 25335149","page":"1670-1676","source":"PubMed","title":"Association between availability of health service prices and payments for these services","volume":"312","author":[{"family":"Whaley","given":"Christopher"},{"family":"Schneider Chafen","given":"Jennifer"},{"family":"Pinkard","given":"Sophie"},{"family":"Kellerman","given":"Gabriella"},{"family":"Bravata","given":"Dena"},{"family":"Kocher","given":"Robert"},{"family":"Sood","given":"Neeraj"}],"issued":{"date-parts":[["2014",10,22]]}}}],"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[45]</w:t>
            </w:r>
            <w:r w:rsidRPr="00987901">
              <w:rPr>
                <w:rFonts w:ascii="Times New Roman" w:hAnsi="Times New Roman" w:cs="Times New Roman"/>
                <w:sz w:val="16"/>
                <w:szCs w:val="16"/>
              </w:rPr>
              <w:fldChar w:fldCharType="end"/>
            </w:r>
          </w:p>
        </w:tc>
        <w:tc>
          <w:tcPr>
            <w:tcW w:w="1134" w:type="dxa"/>
            <w:noWrap/>
          </w:tcPr>
          <w:p w14:paraId="7AD9C71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0FB84C3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2C50F27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387264D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1793935B" w14:textId="77777777" w:rsidR="006906C0" w:rsidRPr="00E55408" w:rsidRDefault="006906C0" w:rsidP="00D81821">
            <w:pPr>
              <w:spacing w:after="40"/>
              <w:jc w:val="center"/>
              <w:rPr>
                <w:rFonts w:ascii="Times" w:hAnsi="Times" w:cs="Times New Roman"/>
                <w:sz w:val="16"/>
                <w:szCs w:val="16"/>
                <w:lang w:eastAsia="zh-CN"/>
              </w:rPr>
            </w:pPr>
            <w:r>
              <w:rPr>
                <w:rFonts w:ascii="Times" w:hAnsi="Times" w:cs="Times New Roman"/>
                <w:sz w:val="16"/>
                <w:szCs w:val="16"/>
              </w:rPr>
              <w:t>1</w:t>
            </w:r>
          </w:p>
        </w:tc>
        <w:tc>
          <w:tcPr>
            <w:tcW w:w="1134" w:type="dxa"/>
          </w:tcPr>
          <w:p w14:paraId="1388B83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7F0FEB9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20CF2435"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45ACB90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0E432F1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709" w:type="dxa"/>
            <w:noWrap/>
          </w:tcPr>
          <w:p w14:paraId="42724E43"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7</w:t>
            </w:r>
          </w:p>
        </w:tc>
      </w:tr>
      <w:tr w:rsidR="006906C0" w:rsidRPr="00E55408" w14:paraId="0F3CB356" w14:textId="77777777" w:rsidTr="00D81821">
        <w:trPr>
          <w:trHeight w:val="19"/>
          <w:jc w:val="center"/>
        </w:trPr>
        <w:tc>
          <w:tcPr>
            <w:tcW w:w="2552" w:type="dxa"/>
          </w:tcPr>
          <w:p w14:paraId="180DB9D8"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Desai et al.</w:t>
            </w:r>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2016)</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{"citationID":"xZK4XAdY","properties":{"formattedCitation":"[46]","plainCitation":"[46]","noteIndex":0},"citationItems":[{"id":1243,"uris":["http://zotero.org/users/7560012/items/5PIU6P6J"],"itemData":{"id":1243,"type":"article-journal","abstract":"IMPORTANCE: There is increasing interest in using price transparency tools to decrease health care spending.\nOBJECTIVE: To measure the association between offering a health care price transparency tool and outpatient spending.\nDESIGN, SETTING, AND PARTICIPANTS: Two large employers represented in multiple market areas across the United States offered an online health care price transparency tool to their employees. One introduced it on April 1, 2011, and the other on January 1, 2012. The tool provided users information about what they would pay out of pocket for services from different physicians, hospitals, or other clinical sites. Using a matched difference-in-differences design, outpatient spending among employees offered the tool (n=148,655) was compared with that among employees from other companies not offered the tool (n=295,983) in the year before and after it was introduced.\nEXPOSURE: Availability of a price transparency tool.\nMAIN OUTCOMES AND MEASURES: Annual outpatient spending, outpatient out-of-pocket spending, use rates of the tool.\nRESULTS: Mean outpatient spending among employees offered the tool was $2021 in the year before the tool was introduced and $2233 in the year after. In comparison, among controls, mean outpatient spending changed from $1985 to $2138. After adjusting for demographic and health characteristics, being offered the tool was associated with a mean $59 (95% CI, $25-$93) increase in outpatient spending. Mean outpatient out-of-pocket spending among those offered the tool was $507 in the year before introduction of the tool and $555 in the year after. Among the comparison group, mean outpatient out-of-pocket spending changed from $490 to $520. Being offered the price transparency tool was associated with a mean $18 (95% CI, $12-$25) increase in out-of-pocket spending after adjusting for relevant factors. In the first 12 months, 10% of employees who were offered the tool used it at least once.\nCONCLUSIONS AND RELEVANCE: Among employees at 2 large companies, offering a price transparency tool was not associated with lower health care spending. The tool was used by only a small percentage of eligible employees.","container-title":"JAMA","DOI":"10.1001/jama.2016.4288","ISSN":"1538-3598","issue":"17","journalAbbreviation":"JAMA","language":"eng","note":"PMID: 27139060","page":"1874-1881","source":"PubMed","title":"Association Between Availability of a Price Transparency Tool and Outpatient Spending","volume":"315","author":[{"family":"Desai","given":"Sunita"},{"family":"Hatfield","given":"Laura A."},{"family":"Hicks","given":"Andrew L."},{"family":"Chernew","given":"Michael E."},{"family":"Mehrotra","given":"Ateev"}],"issued":{"date-parts":[["2016",5,3]]}}}],"schema":"https://github.com/citation-style-language/schema/raw/master/csl-citation.json"}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[46]</w:t>
            </w:r>
            <w:r w:rsidRPr="00987901">
              <w:rPr>
                <w:rFonts w:ascii="Times New Roman" w:hAnsi="Times New Roman" w:cs="Times New Roman"/>
                <w:sz w:val="16"/>
                <w:szCs w:val="16"/>
              </w:rPr>
              <w:fldChar w:fldCharType="end"/>
            </w:r>
          </w:p>
        </w:tc>
        <w:tc>
          <w:tcPr>
            <w:tcW w:w="1134" w:type="dxa"/>
            <w:noWrap/>
          </w:tcPr>
          <w:p w14:paraId="619F59C0" w14:textId="77777777" w:rsidR="006906C0" w:rsidRPr="00E55408" w:rsidRDefault="006906C0" w:rsidP="00D81821">
            <w:pPr>
              <w:spacing w:after="40"/>
              <w:jc w:val="center"/>
              <w:rPr>
                <w:rFonts w:ascii="Times" w:hAnsi="Times" w:cs="Times New Roman"/>
                <w:sz w:val="16"/>
                <w:szCs w:val="16"/>
                <w:lang w:eastAsia="zh-CN"/>
              </w:rPr>
            </w:pPr>
            <w:r>
              <w:rPr>
                <w:rFonts w:ascii="Times" w:hAnsi="Times" w:cs="Times New Roman"/>
                <w:sz w:val="16"/>
                <w:szCs w:val="16"/>
              </w:rPr>
              <w:t>0</w:t>
            </w:r>
          </w:p>
        </w:tc>
        <w:tc>
          <w:tcPr>
            <w:tcW w:w="1276" w:type="dxa"/>
          </w:tcPr>
          <w:p w14:paraId="3943032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5ADBBD7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3AFF513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6FDBC1E2"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5CA9F48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7F17FCB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564718D3"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00904BC5" w14:textId="77777777" w:rsidR="006906C0" w:rsidRPr="00377049" w:rsidRDefault="006906C0" w:rsidP="00D81821">
            <w:pPr>
              <w:spacing w:after="40"/>
              <w:jc w:val="center"/>
              <w:rPr>
                <w:rFonts w:ascii="Times" w:hAnsi="Times" w:cs="Times New Roman"/>
                <w:sz w:val="16"/>
                <w:szCs w:val="16"/>
                <w:lang w:val="en-US"/>
              </w:rPr>
            </w:pPr>
            <w:r>
              <w:rPr>
                <w:rFonts w:ascii="Times" w:hAnsi="Times" w:cs="Times New Roman"/>
                <w:sz w:val="16"/>
                <w:szCs w:val="16"/>
                <w:lang w:val="en-US"/>
              </w:rPr>
              <w:t>1</w:t>
            </w:r>
          </w:p>
        </w:tc>
        <w:tc>
          <w:tcPr>
            <w:tcW w:w="962" w:type="dxa"/>
          </w:tcPr>
          <w:p w14:paraId="3AB7745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2AF83602"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7</w:t>
            </w:r>
          </w:p>
        </w:tc>
      </w:tr>
      <w:tr w:rsidR="006906C0" w:rsidRPr="00E55408" w14:paraId="396A54E5" w14:textId="77777777" w:rsidTr="00D81821">
        <w:trPr>
          <w:trHeight w:val="19"/>
          <w:jc w:val="center"/>
        </w:trPr>
        <w:tc>
          <w:tcPr>
            <w:tcW w:w="2552" w:type="dxa"/>
          </w:tcPr>
          <w:p w14:paraId="26B89E18"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Desai et al. (2017)</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{"citationID":"bBME9Iva","properties":{"formattedCitation":"[47]","plainCitation":"[47]","noteIndex":0},"citationItems":[{"id":3257,"uris":["http://zotero.org/users/7560012/items/TGXMNTVG"],"itemData":{"id":3257,"type":"article-journal","abstract":"Insurers, employers, and states increasingly encourage price transparency so that patients can compare health care prices across providers. However, the evidence on whether price transparency tools encourage patients to receive lower-cost care and reduce overall spending remains limited and mixed. We examined the experience of a large insured population that was offered a price transparency tool, focusing on a set of “shoppable” services (lab tests, office visits, and advanced imaging services). Overall, offering the tool was not associated with lower shoppable services spending. Only 12 percent of employees who were offered the tool used it in the first fifteen months after it was introduced, and use of the tool was not associated with lower prices for lab tests or office visits. The average price paid for imaging services preceded by a price search was 14 percent lower than that paid for imaging services not preceded by a price search. However, only 1 percent of those who received advanced imaging conducted a price search. Simply offering a price transparency tool is not sufficient to meaningfully decrease health care prices or spending.","container-title":"Health Affairs","DOI":"10.1377/hlthaff.2016.1636","ISSN":"0278-2715","issue":"8","note":"publisher: Health Affairs","page":"1401-1407","source":"healthaffairs.org (Atypon)","title":"Offering A Price Transparency Tool Did Not Reduce Overall Spending Among California Public Employees And Retirees","volume":"36","author":[{"family":"Desai","given":"Sunita"},{"family":"Hatfield","given":"Laura A."},{"family":"Hicks","given":"Andrew L."},{"family":"Sinaiko","given":"Anna D."},{"family":"Chernew","given":"Michael E."},{"family":"Cowling","given":"David"},{"family":"Gautam","given":"Santosh"},{"family":"Wu","given":"Sze-jung"},{"family":"Mehrotra","given":"Ateev"}],"issued":{"date-parts":[["2017",8,1]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[47]</w:t>
            </w:r>
            <w:r w:rsidRPr="00987901">
              <w:rPr>
                <w:rFonts w:ascii="Times New Roman" w:hAnsi="Times New Roman" w:cs="Times New Roman"/>
                <w:sz w:val="16"/>
                <w:szCs w:val="16"/>
              </w:rPr>
              <w:fldChar w:fldCharType="end"/>
            </w:r>
          </w:p>
        </w:tc>
        <w:tc>
          <w:tcPr>
            <w:tcW w:w="1134" w:type="dxa"/>
            <w:noWrap/>
          </w:tcPr>
          <w:p w14:paraId="1395CCD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74E14BC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0225A13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78A64ED5"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1F2B46C2"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5A4630F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51D0EE7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5759EFD3"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30525742"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61EA3E2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725EC9A3"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6</w:t>
            </w:r>
          </w:p>
        </w:tc>
      </w:tr>
      <w:tr w:rsidR="006906C0" w:rsidRPr="00E55408" w14:paraId="4F90DD4A" w14:textId="77777777" w:rsidTr="00D81821">
        <w:trPr>
          <w:trHeight w:val="19"/>
          <w:jc w:val="center"/>
        </w:trPr>
        <w:tc>
          <w:tcPr>
            <w:tcW w:w="2552" w:type="dxa"/>
          </w:tcPr>
          <w:p w14:paraId="3F47B793" w14:textId="77777777" w:rsidR="006906C0" w:rsidRPr="00987901" w:rsidRDefault="006906C0" w:rsidP="00D81821">
            <w:pPr>
              <w:spacing w:after="40"/>
              <w:jc w:val="center"/>
              <w:rPr>
                <w:rFonts w:ascii="Times New Roman" w:hAnsi="Times New Roman" w:cs="Times New Roman"/>
                <w:sz w:val="16"/>
                <w:szCs w:val="16"/>
              </w:rPr>
            </w:pPr>
            <w:proofErr w:type="spellStart"/>
            <w:r w:rsidRPr="00987901">
              <w:rPr>
                <w:rFonts w:ascii="Times New Roman" w:hAnsi="Times New Roman" w:cs="Times New Roman"/>
                <w:sz w:val="16"/>
                <w:szCs w:val="16"/>
              </w:rPr>
              <w:t>Lieber</w:t>
            </w:r>
            <w:proofErr w:type="spellEnd"/>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2017)</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{"citationID":"NrRByxQr","properties":{"formattedCitation":"[48]","plainCitation":"[48]","noteIndex":0},"citationItems":[{"id":2611,"uris":["http://zotero.org/users/7560012/items/ZDUR7KCQ"],"itemData":{"id":2611,"type":"article-journal","abstract":"Consumers rarely know the price of medical care before they consume it. I use variation in the timing of access to a new source of price information to show how access to and search for price information leads consumers to pay significantly less for care. I provide suggestive evidence that insurance coverage inhibits the use of price information, rationalizing the relatively low rates of search. The results indicate that availability of price information could have large impacts on prices even in the absence of general equilibrium effects.","container-title":"American Economic Journal: Economic Policy","DOI":"10.1257/pol.20150124","ISSN":"1945-7731","issue":"1","language":"en","page":"154-179","source":"www.aeaweb.org","title":"Does It Pay to Know Prices in Health Care?","volume":"9","author":[{"family":"Lieber","given":"Ethan M. J."}],"issued":{"date-parts":[["2017",2]]}}}],"schema":"https://github.com/citation-style-language/schema/raw/master/csl-citation.json"}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[48]</w:t>
            </w:r>
            <w:r w:rsidRPr="00987901">
              <w:rPr>
                <w:rFonts w:ascii="Times New Roman" w:hAnsi="Times New Roman" w:cs="Times New Roman"/>
                <w:sz w:val="16"/>
                <w:szCs w:val="16"/>
              </w:rPr>
              <w:fldChar w:fldCharType="end"/>
            </w:r>
          </w:p>
        </w:tc>
        <w:tc>
          <w:tcPr>
            <w:tcW w:w="1134" w:type="dxa"/>
            <w:noWrap/>
          </w:tcPr>
          <w:p w14:paraId="3D5A48D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4BA909B1"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2EE59DE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39E6544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543CAAB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134" w:type="dxa"/>
          </w:tcPr>
          <w:p w14:paraId="366F31A3"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62D0024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60F4ED6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363" w:type="dxa"/>
          </w:tcPr>
          <w:p w14:paraId="2F4499C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75CC4FD1"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3A1EEDAD"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5</w:t>
            </w:r>
          </w:p>
        </w:tc>
      </w:tr>
      <w:tr w:rsidR="006906C0" w:rsidRPr="00E55408" w14:paraId="51957DE6" w14:textId="77777777" w:rsidTr="00D81821">
        <w:trPr>
          <w:trHeight w:val="19"/>
          <w:jc w:val="center"/>
        </w:trPr>
        <w:tc>
          <w:tcPr>
            <w:tcW w:w="2552" w:type="dxa"/>
          </w:tcPr>
          <w:p w14:paraId="038638C0"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C. Whaley et al.</w:t>
            </w:r>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2019)</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{"citationID":"f7EVLqr2","properties":{"formattedCitation":"[49]","plainCitation":"[49]","noteIndex":0},"citationItems":[{"id":1636,"uris":["http://zotero.org/users/7560012/items/GEPX3S5C"],"itemData":{"id":1636,"type":"article-journal","abstract":"Efforts to spur patient price shopping by providing access to price transparency tools have been met with limited success. One potential reason is the absence of financial incentives. This paper uses data from a large employer that implemented a price transparency platform and subsequently implemented a reference pricing program for laboratory and diagnostic imaging tests. We find no price shopping effects when the price transparency tool is offered alone. However, combining price transparency with reference pricing leads to significant shifts in consumer choice of facility, resulting in a 27 percent reduction in the average price paid per laboratory test and a 13 percent reduction in price paid per imaging test. A variety of public and purchaser initiatives have sought to further the development and adoption of price transparency tools. Our results imply that these tools will capture the attention of consumers, and influence their behavior, only if patients have strong financial incentives to care about prices.","container-title":"American Journal of Health Economics","DOI":"10.1162/ajhe_a_00118","ISSN":"2332-3493","issue":"2","note":"publisher: The University of Chicago Press","page":"227-249","source":"journals.uchicago.edu (Atypon)","title":"Consumer Responses to Price Transparency Alone versus Price Transparency Combined with Reference Pricing","volume":"5","author":[{"family":"Whaley","given":"Christopher"},{"family":"Brown","given":"Timothy"},{"family":"Robinson","given":"James"}],"issued":{"date-parts":[["2019",4,1]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[49]</w:t>
            </w:r>
            <w:r w:rsidRPr="00987901">
              <w:rPr>
                <w:rFonts w:ascii="Times New Roman" w:hAnsi="Times New Roman" w:cs="Times New Roman"/>
                <w:sz w:val="16"/>
                <w:szCs w:val="16"/>
              </w:rPr>
              <w:fldChar w:fldCharType="end"/>
            </w:r>
          </w:p>
        </w:tc>
        <w:tc>
          <w:tcPr>
            <w:tcW w:w="1134" w:type="dxa"/>
            <w:noWrap/>
          </w:tcPr>
          <w:p w14:paraId="4F3BE18F" w14:textId="77777777" w:rsidR="006906C0" w:rsidRPr="00FA500F" w:rsidRDefault="006906C0" w:rsidP="00D81821">
            <w:pPr>
              <w:spacing w:after="40"/>
              <w:jc w:val="center"/>
              <w:rPr>
                <w:rFonts w:ascii="Times" w:hAnsi="Times" w:cs="Times New Roman"/>
                <w:sz w:val="16"/>
                <w:szCs w:val="16"/>
                <w:lang w:val="en-US"/>
              </w:rPr>
            </w:pPr>
            <w:r>
              <w:rPr>
                <w:rFonts w:ascii="Times" w:hAnsi="Times" w:cs="Times New Roman"/>
                <w:sz w:val="16"/>
                <w:szCs w:val="16"/>
                <w:lang w:val="en-US"/>
              </w:rPr>
              <w:t>0</w:t>
            </w:r>
          </w:p>
        </w:tc>
        <w:tc>
          <w:tcPr>
            <w:tcW w:w="1276" w:type="dxa"/>
          </w:tcPr>
          <w:p w14:paraId="4749138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597FD19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1797EDF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3A8FDB7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3BE4394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3D773895"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21C27E6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363" w:type="dxa"/>
          </w:tcPr>
          <w:p w14:paraId="3D77F9D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3EB80DA3"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709" w:type="dxa"/>
            <w:noWrap/>
          </w:tcPr>
          <w:p w14:paraId="35EFF4F7"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6</w:t>
            </w:r>
          </w:p>
        </w:tc>
      </w:tr>
      <w:tr w:rsidR="006906C0" w:rsidRPr="00E55408" w14:paraId="6B8D0096" w14:textId="77777777" w:rsidTr="00D81821">
        <w:trPr>
          <w:trHeight w:val="19"/>
          <w:jc w:val="center"/>
        </w:trPr>
        <w:tc>
          <w:tcPr>
            <w:tcW w:w="2552" w:type="dxa"/>
          </w:tcPr>
          <w:p w14:paraId="6F0BB60C"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Brown</w:t>
            </w:r>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2019)</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{"citationID":"dHXWDCBV","properties":{"formattedCitation":"[50]","plainCitation":"[50]","noteIndex":0},"citationItems":[{"id":1250,"uris":["http://zotero.org/users/7560012/items/FDFBAGIA"],"itemData":{"id":1250,"type":"article-journal","abstract":"Do information frictions in health care markets lead to higher prices and price dispersion? Focusing on medical imaging procedures, this paper examines the equilibrium effect of a unique statewide price transparency website. Price information leads to a shift to lower-cost providers, especially for patients subject to a deductible. Furthermore, supply-side effects play a significant role in the long run, benefiting all insured individuals. Supply-side effects reduce price dispersion and are especially relevant in concentrated markets. These effects are important given that high prices are thought to be a primary cause of high private health care spending.","container-title":"The Review of Economics and Statistics","DOI":"10.1162/rest_a_00765","ISSN":"0034-6535","issue":"4","journalAbbreviation":"The Review of Economics and Statistics","page":"699-712","source":"Silverchair","title":"Equilibrium Effects of Health Care Price Information","volume":"101","author":[{"family":"Brown","given":"Zach Y."}],"issued":{"date-parts":[["2019",10,1]]}}}],"schema":"https://github.com/citation-style-language/schema/raw/master/csl-citation.json"}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[50]</w:t>
            </w:r>
            <w:r w:rsidRPr="00987901">
              <w:rPr>
                <w:rFonts w:ascii="Times New Roman" w:hAnsi="Times New Roman" w:cs="Times New Roman"/>
                <w:sz w:val="16"/>
                <w:szCs w:val="16"/>
              </w:rPr>
              <w:fldChar w:fldCharType="end"/>
            </w:r>
          </w:p>
        </w:tc>
        <w:tc>
          <w:tcPr>
            <w:tcW w:w="1134" w:type="dxa"/>
            <w:noWrap/>
          </w:tcPr>
          <w:p w14:paraId="2F53CDD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3D0D798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48FB9BD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779552C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369487F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7B2FC32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725E752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2CC125D2"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363" w:type="dxa"/>
          </w:tcPr>
          <w:p w14:paraId="08D4BC3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6446268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724210D7"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6</w:t>
            </w:r>
          </w:p>
        </w:tc>
      </w:tr>
      <w:tr w:rsidR="006906C0" w:rsidRPr="00E55408" w14:paraId="5EC3A054" w14:textId="77777777" w:rsidTr="00D81821">
        <w:trPr>
          <w:trHeight w:val="19"/>
          <w:jc w:val="center"/>
        </w:trPr>
        <w:tc>
          <w:tcPr>
            <w:tcW w:w="2552" w:type="dxa"/>
          </w:tcPr>
          <w:p w14:paraId="1B5C7DB2"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Kobayashi et al.</w:t>
            </w:r>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2019)</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{"citationID":"N9tDUMuO","properties":{"formattedCitation":"[51]","plainCitation":"[51]","noteIndex":0},"citationItems":[{"id":863,"uris":["http://zotero.org/users/7560012/items/GX7KJTW3"],"itemData":{"id":863,"type":"article-journal","abstract":"Evidence is limited and mixed as to how improved price transparency affects patients' demand for healthcare. Price transparency usually affects both the supply and the demand side of healthcare. However, in Japan—where healthcare providers cannot compete on prices—we can examine an independent impact of price transparency on patients' demand for healthcare. The aim of this study is to investigate the impact of improved price transparency on patients' demand for healthcare. We conducted an experiment by presenting patients with the “price list” of individual healthcare services. We provided the price list for a limited time and compared the healthcare spending and utilization of care between these patients who were provided the price list (patients who visited between the first and third week of January in 2016) versus those who were not (patients who visited during the same period in 2015 or 2017), adjusting for potential confounders. A total of 1053 patients were analyzed (27.5% were provided the price list). We found that improved price transparency was associated with a higher total cost per patient (adjusted difference, +16.1%; 95%CI, +0.6% to +34.0%; p = 0.04). We also found that improved price transparency was associated with higher costs related to laboratory tests and imaging studies, and a larger total number of items of blood tests and urine tests. By conducting an experiment in a real-world setting, we found that improved price transparency paradoxically increased the utilization of healthcare services in Japan. These findings suggest that when prices are relatively low, as is the case in Japan, reduced uncertainty about the prices of healthcare service may make patients comfortable requesting more healthcare services.","container-title":"Social Science &amp; Medicine","DOI":"10.1016/j.socscimed.2019.112390","ISSN":"0277-9536","journalAbbreviation":"Social Science &amp; Medicine","language":"en","page":"112390","source":"ScienceDirect","title":"Impact of improved price transparency on patients' demand of healthcare services","volume":"235","author":[{"family":"Kobayashi","given":"Daiki"},{"family":"Goto","given":"Rei"},{"family":"Tsugawa","given":"Yusuke"}],"issued":{"date-parts":[["2019",8,1]]}}}],"schema":"https://github.com/citation-style-language/schema/raw/master/csl-citation.json"}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[51]</w:t>
            </w:r>
            <w:r w:rsidRPr="00987901">
              <w:rPr>
                <w:rFonts w:ascii="Times New Roman" w:hAnsi="Times New Roman" w:cs="Times New Roman"/>
                <w:sz w:val="16"/>
                <w:szCs w:val="16"/>
              </w:rPr>
              <w:fldChar w:fldCharType="end"/>
            </w:r>
          </w:p>
        </w:tc>
        <w:tc>
          <w:tcPr>
            <w:tcW w:w="1134" w:type="dxa"/>
            <w:noWrap/>
          </w:tcPr>
          <w:p w14:paraId="464ECB3D" w14:textId="1A3E7731" w:rsidR="006906C0" w:rsidRPr="00A87857" w:rsidRDefault="006906C0" w:rsidP="00D81821">
            <w:pPr>
              <w:spacing w:after="40"/>
              <w:jc w:val="center"/>
              <w:rPr>
                <w:rFonts w:ascii="Times" w:hAnsi="Times" w:cs="Times New Roman"/>
                <w:sz w:val="16"/>
                <w:szCs w:val="16"/>
                <w:lang w:val="en-US"/>
              </w:rPr>
            </w:pPr>
            <w:r>
              <w:rPr>
                <w:rFonts w:ascii="Times" w:hAnsi="Times" w:cs="Times New Roman"/>
                <w:sz w:val="16"/>
                <w:szCs w:val="16"/>
              </w:rPr>
              <w:t>0</w:t>
            </w:r>
            <w:r w:rsidR="004A2D3B">
              <w:rPr>
                <w:rFonts w:ascii="Times" w:hAnsi="Times" w:cs="Times New Roman" w:hint="eastAsia"/>
                <w:sz w:val="16"/>
                <w:szCs w:val="16"/>
                <w:lang w:eastAsia="zh-CN"/>
              </w:rPr>
              <w:t>a</w:t>
            </w:r>
          </w:p>
        </w:tc>
        <w:tc>
          <w:tcPr>
            <w:tcW w:w="1276" w:type="dxa"/>
          </w:tcPr>
          <w:p w14:paraId="57D7B821" w14:textId="77777777" w:rsidR="006906C0" w:rsidRPr="00CD708B" w:rsidRDefault="006906C0" w:rsidP="00D81821">
            <w:pPr>
              <w:spacing w:after="40"/>
              <w:jc w:val="center"/>
              <w:rPr>
                <w:rFonts w:ascii="Times" w:hAnsi="Times" w:cs="Times New Roman"/>
                <w:sz w:val="16"/>
                <w:szCs w:val="16"/>
                <w:lang w:val="en-US" w:eastAsia="zh-CN"/>
              </w:rPr>
            </w:pPr>
            <w:r>
              <w:rPr>
                <w:rFonts w:ascii="Times" w:hAnsi="Times" w:cs="Times New Roman"/>
                <w:sz w:val="16"/>
                <w:szCs w:val="16"/>
              </w:rPr>
              <w:t>0</w:t>
            </w:r>
          </w:p>
        </w:tc>
        <w:tc>
          <w:tcPr>
            <w:tcW w:w="992" w:type="dxa"/>
          </w:tcPr>
          <w:p w14:paraId="09BFA315"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17E00EF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09AB8F6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134" w:type="dxa"/>
          </w:tcPr>
          <w:p w14:paraId="15A9ECB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32EAF11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7A2FB33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12FAC66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399A48A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6EE192A4"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5</w:t>
            </w:r>
          </w:p>
        </w:tc>
      </w:tr>
      <w:tr w:rsidR="006906C0" w:rsidRPr="00E55408" w14:paraId="1BE7E902" w14:textId="77777777" w:rsidTr="00D81821">
        <w:trPr>
          <w:trHeight w:val="19"/>
          <w:jc w:val="center"/>
        </w:trPr>
        <w:tc>
          <w:tcPr>
            <w:tcW w:w="2552" w:type="dxa"/>
          </w:tcPr>
          <w:p w14:paraId="11EA8F02"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C. M. Whaley</w:t>
            </w:r>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2019)</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{"citationID":"K2HYFffs","properties":{"formattedCitation":"[52]","plainCitation":"[52]","noteIndex":0},"citationItems":[{"id":488,"uris":["http://zotero.org/users/7560012/items/KYKUA7VT"],"itemData":{"id":488,"type":"article-journal","abstract":"Price transparency initiatives have recently emerged as a solution to the lack of health care price information available to consumers. This paper uses the staggered and nationwide diffusion of a leading internet-based price transparency platform to estimate the effects of price transparency on provider prices. I find a 1–4% reduction in provider prices for homogenous services, laboratory tests, but find no price response for differentiated services, office visits. Price responses are driven by active consumer use of price information. This paper demonstrates how reducing consumer search costs can spur limited firm price competition in health care markets.","container-title":"Journal of Health Economics","DOI":"10.1016/j.jhealeco.2019.06.001","ISSN":"0167-6296","journalAbbreviation":"Journal of Health Economics","language":"en","page":"241-259","source":"ScienceDirect","title":"Provider responses to online price transparency","volume":"66","author":[{"family":"Whaley","given":"Christopher M."}],"issued":{"date-parts":[["2019",7,1]]}}}],"schema":"https://github.com/citation-style-language/schema/raw/master/csl-citation.json"}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[52]</w:t>
            </w:r>
            <w:r w:rsidRPr="00987901">
              <w:rPr>
                <w:rFonts w:ascii="Times New Roman" w:hAnsi="Times New Roman" w:cs="Times New Roman"/>
                <w:sz w:val="16"/>
                <w:szCs w:val="16"/>
              </w:rPr>
              <w:fldChar w:fldCharType="end"/>
            </w:r>
          </w:p>
        </w:tc>
        <w:tc>
          <w:tcPr>
            <w:tcW w:w="1134" w:type="dxa"/>
            <w:noWrap/>
          </w:tcPr>
          <w:p w14:paraId="6E7D070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4D84A14A"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742C81C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6A7C813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457622FA"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60289E4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114D9C6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6976109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7167E771"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3A26D1C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7E4AF00C"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8</w:t>
            </w:r>
          </w:p>
        </w:tc>
      </w:tr>
      <w:tr w:rsidR="006906C0" w:rsidRPr="00E55408" w14:paraId="369548EB" w14:textId="77777777" w:rsidTr="00D81821">
        <w:trPr>
          <w:trHeight w:val="19"/>
          <w:jc w:val="center"/>
        </w:trPr>
        <w:tc>
          <w:tcPr>
            <w:tcW w:w="2552" w:type="dxa"/>
          </w:tcPr>
          <w:p w14:paraId="2AE2B3E4"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 xml:space="preserve">Carey &amp; </w:t>
            </w:r>
            <w:proofErr w:type="spellStart"/>
            <w:r w:rsidRPr="00987901">
              <w:rPr>
                <w:rFonts w:ascii="Times New Roman" w:hAnsi="Times New Roman" w:cs="Times New Roman"/>
                <w:sz w:val="16"/>
                <w:szCs w:val="16"/>
              </w:rPr>
              <w:t>Dor</w:t>
            </w:r>
            <w:proofErr w:type="spellEnd"/>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2020)</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{"citationID":"kGANrhvm","properties":{"formattedCitation":"[53]","plainCitation":"[53]","noteIndex":0},"citationItems":[{"id":498,"uris":["http://zotero.org/users/7560012/items/R89NE49N"],"itemData":{"id":498,"type":"article-journal","abstract":"BACKGROUND: In an effort to increase price transparency, the Centers for Medicare and Medicaid Services (CMS) began reporting charges for Medicare inpatients treated in </w:instrText>
            </w:r>
            <w:r>
              <w:rPr>
                <w:rFonts w:ascii="Cambria Math" w:hAnsi="Cambria Math" w:cs="Cambria Math"/>
                <w:sz w:val="16"/>
                <w:szCs w:val="16"/>
              </w:rPr>
              <w:instrText>∼</w:instrText>
            </w:r>
            <w:r>
              <w:rPr>
                <w:rFonts w:ascii="Times New Roman" w:hAnsi="Times New Roman" w:cs="Times New Roman"/>
                <w:sz w:val="16"/>
                <w:szCs w:val="16"/>
              </w:rPr>
              <w:instrText xml:space="preserve">3400 hospitals online in 2013. As of 2019, CMS began to require hospitals themselves to publicize a more comprehensive list of their underlying procedure charges.\nOBJECTIVE: The objective of this study was to assess the responses of hospitals to broad-scale public reporting of their charges for inpatient services.\nRESEARCH DESIGN: We used descriptive analysis to examine the trend in CMS charge data for high charge hospitals before and after the 2013 intervention. We also applied difference-in-differences analysis to comprehensive inpatient charge data from New York and Florida for the years 2011-2016, defining the reported high-volume diagnosis-related groups (DRGs) as the intervention group.\nRESULTS: At the national level, the CMS charge data showed relatively lower growth in high charge hospitals following the intervention. From the state data, we found that after 3 years, the growth in charges for reported DRGs in New York hospitals was 4%-9% lower than for unreported diagnosis-related groups. In Florida, it was 2%-8% lower.\nCONCLUSION: Public reports of hospital inpatient charges by DRG appear to influence subsequent charges, slowing their growth.","container-title":"Medical Care","DOI":"10.1097/MLR.0000000000001232","ISSN":"1537-1948","issue":"1","journalAbbreviation":"Med Care","language":"eng","note":"PMID: 31651745","page":"70-73","source":"PubMed","title":"Hospital Response to CMS Public Reports of Hospital Charge Information","volume":"58","author":[{"family":"Carey","given":"Kathleen"},{"family":"Dor","given":"Avi"}],"issued":{"date-parts":[["2020",1]]}}}],"schema":"https://github.com/citation-style-language/schema/raw/master/csl-citation.json"}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[53]</w:t>
            </w:r>
            <w:r w:rsidRPr="00987901">
              <w:rPr>
                <w:rFonts w:ascii="Times New Roman" w:hAnsi="Times New Roman" w:cs="Times New Roman"/>
                <w:sz w:val="16"/>
                <w:szCs w:val="16"/>
              </w:rPr>
              <w:fldChar w:fldCharType="end"/>
            </w:r>
          </w:p>
        </w:tc>
        <w:tc>
          <w:tcPr>
            <w:tcW w:w="1134" w:type="dxa"/>
            <w:noWrap/>
          </w:tcPr>
          <w:p w14:paraId="561BF43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0974B94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5DF47D5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0779FE7A"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6E244FC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0216889A"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35832BA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042F5A61"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363" w:type="dxa"/>
          </w:tcPr>
          <w:p w14:paraId="27AAED2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62" w:type="dxa"/>
          </w:tcPr>
          <w:p w14:paraId="635856D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4F0965DA"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4</w:t>
            </w:r>
          </w:p>
        </w:tc>
      </w:tr>
      <w:tr w:rsidR="006906C0" w:rsidRPr="00E55408" w14:paraId="1FF59D22" w14:textId="77777777" w:rsidTr="00D81821">
        <w:trPr>
          <w:trHeight w:val="19"/>
          <w:jc w:val="center"/>
        </w:trPr>
        <w:tc>
          <w:tcPr>
            <w:tcW w:w="2552" w:type="dxa"/>
          </w:tcPr>
          <w:p w14:paraId="181B285B"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Christensen et al.</w:t>
            </w:r>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2020)</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{"citationID":"krzTgJoB","properties":{"formattedCitation":"[54]","plainCitation":"[54]","noteIndex":0},"citationItems":[{"id":15030,"uris":["http://zotero.org/users/7560012/items/BTS6CBMJ"],"itemData":{"id":15030,"type":"article-journal","abstract":"We examine the effect of charge-price-transparency regulation (PTR)—a common policy solution intended to curb rising healthcare costs—on hospitals’ prices. We find that, although PTR does not affect payments or consumer search, it does cause hospitals to reduce charges by approximately 5%. The reputational costs of perceived overcharging appear to be one impetus for the reduction in charges, suggesting that certain stakeholders who are able to impose costs on hospitals are unaware that hospitals can decouple charges from payments. The ineffectiveness of PTR policies in reducing payments and the apparent inability of some stakeholders to realize this fact could explain why charge-transparency policies have been widely adopted with little opposition. Overall, our findings provide a cautionary note—transparency regulation focusing on an indicator that can be decoupled from the construct of interest might placate some stakeholders without actually solving the underlying problem.\n\nThis paper was accepted by Suraj Srinivasan, accounting.","container-title":"Management Science","DOI":"10.1287/mnsc.2019.3330","ISSN":"0025-1909","issue":"7","note":"publisher: INFORMS","page":"2861-2882","source":"pubsonline.informs.org (Atypon)","title":"The Only Prescription Is Transparency: The Effect of Charge-Price-Transparency Regulation on Healthcare Prices","title-short":"The Only Prescription Is Transparency","volume":"66","author":[{"family":"Christensen","given":"Hans B."},{"family":"Floyd","given":"Eric"},{"family":"Maffett","given":"Mark"}],"issued":{"date-parts":[["2020",7,1]]}}}],"schema":"https://github.com/citation-style-language/schema/raw/master/csl-citation.json"}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[54]</w:t>
            </w:r>
            <w:r w:rsidRPr="00987901">
              <w:rPr>
                <w:rFonts w:ascii="Times New Roman" w:hAnsi="Times New Roman" w:cs="Times New Roman"/>
                <w:sz w:val="16"/>
                <w:szCs w:val="16"/>
              </w:rPr>
              <w:fldChar w:fldCharType="end"/>
            </w:r>
          </w:p>
        </w:tc>
        <w:tc>
          <w:tcPr>
            <w:tcW w:w="1134" w:type="dxa"/>
            <w:noWrap/>
          </w:tcPr>
          <w:p w14:paraId="64E7DB63"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2DD844E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5CD70C0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40F573C3"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2366C60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38C89BC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030C8D2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138F56E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7D049D13"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350AE09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709" w:type="dxa"/>
            <w:noWrap/>
          </w:tcPr>
          <w:p w14:paraId="7D577A23"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8</w:t>
            </w:r>
          </w:p>
        </w:tc>
      </w:tr>
      <w:tr w:rsidR="006906C0" w:rsidRPr="00E55408" w14:paraId="5B68E487" w14:textId="77777777" w:rsidTr="00D81821">
        <w:trPr>
          <w:trHeight w:val="19"/>
          <w:jc w:val="center"/>
        </w:trPr>
        <w:tc>
          <w:tcPr>
            <w:tcW w:w="2552" w:type="dxa"/>
          </w:tcPr>
          <w:p w14:paraId="2C99E41D" w14:textId="77777777" w:rsidR="006906C0" w:rsidRPr="00987901" w:rsidRDefault="006906C0" w:rsidP="00D81821">
            <w:pPr>
              <w:spacing w:after="40"/>
              <w:jc w:val="center"/>
              <w:rPr>
                <w:rFonts w:ascii="Times New Roman" w:hAnsi="Times New Roman" w:cs="Times New Roman"/>
                <w:sz w:val="16"/>
                <w:szCs w:val="16"/>
              </w:rPr>
            </w:pPr>
            <w:proofErr w:type="spellStart"/>
            <w:r w:rsidRPr="00987901">
              <w:rPr>
                <w:rFonts w:ascii="Times New Roman" w:hAnsi="Times New Roman" w:cs="Times New Roman"/>
                <w:sz w:val="16"/>
                <w:szCs w:val="16"/>
              </w:rPr>
              <w:t>Dor</w:t>
            </w:r>
            <w:proofErr w:type="spellEnd"/>
            <w:r w:rsidRPr="00987901">
              <w:rPr>
                <w:rFonts w:ascii="Times New Roman" w:hAnsi="Times New Roman" w:cs="Times New Roman"/>
                <w:sz w:val="16"/>
                <w:szCs w:val="16"/>
              </w:rPr>
              <w:t xml:space="preserve"> et al.</w:t>
            </w:r>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2015)</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{"citationID":"2nuZacE3","properties":{"formattedCitation":"[55]","plainCitation":"[55]","noteIndex":0},"citationItems":[{"id":504,"uris":["http://zotero.org/users/7560012/items/SP2BYYF6"],"itemData":{"id":504,"type":"article-journal","abstract":"Previous research has found that Hospital Compare, Medicare’s public reporting initiative, has had little impact on patient outcomes. However, little is known about the initiative’s impact on hospital prices, which may be significant because private insurers are generally well positioned to respond to quality information when negotiating prices with hospitals. We estimated difference-in-differences models of the effects of Hospital Compare quality reporting on transaction prices for two major cardiac procedures, coronary artery bypass graft (CABG) and percutaneous coronary intervention (PCI). States that had mandated their own public reporting systems before the implementation of Hospital Compare formed the control group. We found that prices for these procedures continued to increase overall after the initiation of Hospital Compare quality scores, but the rate of increase was significantly lower in states with no quality reporting metrics of their own before Hospital Compare, when compared to the control states (annual rates of increase of 4.4 percent versus 8.7 percent for PCI, and 3.9 percent versus 10.6 percent for CABG, adjusted for overall inflation). This finding implies that Hospital Compare provided leverage to purchasers in moderating price increases, while adding competitive pressures on hospitals. Providing accurate quality information on both hospitals and health plans could benefit consumers.","container-title":"Health Affairs","DOI":"10.1377/hlthaff.2014.0263","ISSN":"0278-2715","issue":"1","page":"71-77","source":"healthaffairs.org (Atypon)","title":"Medicare’s Hospital Compare Quality Reports Appear To Have Slowed Price Increases For Two Major Procedures","volume":"34","author":[{"family":"Dor","given":"Avi"},{"family":"Encinosa","given":"William E."},{"family":"Carey","given":"Kathleen"}],"issued":{"date-parts":[["2015",1,1]]}}}],"schema":"https://github.com/citation-style-language/schema/raw/master/csl-citation.json"}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[55]</w:t>
            </w:r>
            <w:r w:rsidRPr="00987901">
              <w:rPr>
                <w:rFonts w:ascii="Times New Roman" w:hAnsi="Times New Roman" w:cs="Times New Roman"/>
                <w:sz w:val="16"/>
                <w:szCs w:val="16"/>
              </w:rPr>
              <w:fldChar w:fldCharType="end"/>
            </w:r>
          </w:p>
        </w:tc>
        <w:tc>
          <w:tcPr>
            <w:tcW w:w="1134" w:type="dxa"/>
            <w:noWrap/>
          </w:tcPr>
          <w:p w14:paraId="26D1004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3B058D0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5EFFED1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1B37FB0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4DA6FE2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1A72307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29B9DB1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5A179C82"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56DC112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538BBF0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332CDEB7"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8</w:t>
            </w:r>
          </w:p>
        </w:tc>
      </w:tr>
      <w:tr w:rsidR="006906C0" w:rsidRPr="00E55408" w14:paraId="6AEFDD49" w14:textId="77777777" w:rsidTr="00D81821">
        <w:trPr>
          <w:trHeight w:val="19"/>
          <w:jc w:val="center"/>
        </w:trPr>
        <w:tc>
          <w:tcPr>
            <w:tcW w:w="2552" w:type="dxa"/>
          </w:tcPr>
          <w:p w14:paraId="6213E4E9"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 xml:space="preserve">Huang &amp; </w:t>
            </w:r>
            <w:proofErr w:type="spellStart"/>
            <w:r w:rsidRPr="00987901">
              <w:rPr>
                <w:rFonts w:ascii="Times New Roman" w:hAnsi="Times New Roman" w:cs="Times New Roman"/>
                <w:sz w:val="16"/>
                <w:szCs w:val="16"/>
              </w:rPr>
              <w:t>Hirth</w:t>
            </w:r>
            <w:proofErr w:type="spellEnd"/>
            <w:r w:rsidRPr="00987901">
              <w:rPr>
                <w:rFonts w:ascii="Times New Roman" w:hAnsi="Times New Roman" w:cs="Times New Roman"/>
                <w:sz w:val="16"/>
                <w:szCs w:val="16"/>
                <w:lang w:val="en-US"/>
              </w:rPr>
              <w:t xml:space="preserve"> (</w:t>
            </w:r>
            <w:r w:rsidRPr="00987901">
              <w:rPr>
                <w:rFonts w:ascii="Times New Roman" w:hAnsi="Times New Roman" w:cs="Times New Roman"/>
                <w:sz w:val="16"/>
                <w:szCs w:val="16"/>
              </w:rPr>
              <w:t>2016)</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{"citationID":"v7sDjgvm","properties":{"formattedCitation":"[56]","plainCitation":"[56]","noteIndex":0},"citationItems":[{"id":486,"uris":["http://zotero.org/users/7560012/items/TA29RGDW"],"itemData":{"id":486,"type":"article-journal","abstract":"We use the rollout of the five-star rating of nursing homes to study how private-pay prices respond to quality rating. We find that star rating increases the price differential between top- and bottom-ranked facilities. On average, prices of top-ranked facilities increased by 4.8 to 6.0 percent more than the prices of bottom-ranked facilities. We find stronger price effects in markets that are less concentrated where consumers may have more choices of alternative nursing homes. Our results suggest that with simplified design and when markets are less concentrated, consumers are more responsive to quality reporting.","container-title":"Journal of Health Economics","DOI":"10.1016/j.jhealeco.2016.08.007","ISSN":"0167-6296","journalAbbreviation":"Journal of Health Economics","language":"en","page":"59-70","source":"ScienceDirect","title":"Quality rating and private-prices: Evidence from the nursing home industry","title-short":"Quality rating and private-prices","volume":"50","author":[{"family":"Huang","given":"Sean Shenghsiu"},{"family":"Hirth","given":"Richard A."}],"issued":{"date-parts":[["2016",12,1]]}}}],"schema":"https://github.com/citation-style-language/schema/raw/master/csl-citation.json"}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[56]</w:t>
            </w:r>
            <w:r w:rsidRPr="00987901">
              <w:rPr>
                <w:rFonts w:ascii="Times New Roman" w:hAnsi="Times New Roman" w:cs="Times New Roman"/>
                <w:sz w:val="16"/>
                <w:szCs w:val="16"/>
              </w:rPr>
              <w:fldChar w:fldCharType="end"/>
            </w:r>
          </w:p>
        </w:tc>
        <w:tc>
          <w:tcPr>
            <w:tcW w:w="1134" w:type="dxa"/>
            <w:noWrap/>
          </w:tcPr>
          <w:p w14:paraId="30419EA1"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606F541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29FABD45"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133BC6A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7740AC3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071A9E22" w14:textId="4868D5D5"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2331390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3265574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74D1E5D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336AE835"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275B0C34"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6</w:t>
            </w:r>
          </w:p>
        </w:tc>
      </w:tr>
      <w:tr w:rsidR="006906C0" w:rsidRPr="00E55408" w14:paraId="05FE27E8" w14:textId="77777777" w:rsidTr="00D81821">
        <w:trPr>
          <w:trHeight w:val="19"/>
          <w:jc w:val="center"/>
        </w:trPr>
        <w:tc>
          <w:tcPr>
            <w:tcW w:w="2552" w:type="dxa"/>
          </w:tcPr>
          <w:p w14:paraId="0F0934C8"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 xml:space="preserve">Liu et al. </w:t>
            </w:r>
            <w:r w:rsidRPr="00987901">
              <w:rPr>
                <w:rFonts w:ascii="Times New Roman" w:hAnsi="Times New Roman" w:cs="Times New Roman"/>
                <w:sz w:val="16"/>
                <w:szCs w:val="16"/>
                <w:lang w:val="en-US"/>
              </w:rPr>
              <w:t>(</w:t>
            </w:r>
            <w:r w:rsidRPr="00987901">
              <w:rPr>
                <w:rFonts w:ascii="Times New Roman" w:hAnsi="Times New Roman" w:cs="Times New Roman"/>
                <w:sz w:val="16"/>
                <w:szCs w:val="16"/>
              </w:rPr>
              <w:t>2016)</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{"citationID":"7nTI3Amn","properties":{"formattedCitation":"[57]","plainCitation":"[57]","noteIndex":0},"citationItems":[{"id":2554,"uris":["http://zotero.org/users/7560012/items/92NACLKK"],"itemData":{"id":2554,"type":"article-journal","abstract":"The inappropriate use and overuse of antibiotics and injections are serious threats to global population, and the public reporting of health care performance (PRHCP) has been an important instrument for improving the quality of care. However, existing evidence shows a mixed effect of PRHCP. This study is to explore the potential effectiveness of PRHCP that contributes to the convincing evidence of health policy and reform.This study was undertaken in Qian Jiang City, applying a matched-pair cluster-randomized trial. Twenty primary care institutions were treated as clusters and were matched into 10 pairs. Clusters in each pair were randomly assigned into a control or an intervention group. Physicians' prescribing information was publicly reported to patients and physicians monthly in the intervention group from October 2013. A total of 748,632 outpatient prescriptions were included for difference-in-difference (DID) regression model and subgroups (SGs) analysis.Overall, PRHCP intervention led to a slight reduction in the use of combined antibiotics (odds ratio [OR] = 0.870, P&lt;0.001) and slowed the average expenditure increase of patients (coefficient = -0.051, P&lt;0.001). SG analysis showed the effect of PRHCP varied among patients with different characteristics. PRHCP decreased the probability of prescriptions requiring antibiotics, combined antibiotics, and injections of patients aged 18 to 64 years old (OR&lt;1), and all results were statistically significant. By contrast, the results of elderly and minor patients with health insurance showed that PRHCP increased their probability of prescriptions requiring antibiotics and injections. PRHCP slowed the increase of average expenditure of most SGs.PRHCP intervention can influence the prescribing pattern of physicians. Patient factors such as age and health insurance influence the effect of PRHCP intervention, which imply that PRHCP should be designed for different patients. Patient education, aiming at radically changing attitudes toward antibiotics and injections, should be taken to promote the effectiveness of public reporting in China.","container-title":"Medicine","DOI":"10.1097/MD.0000000000003965","ISSN":"0025-7974","issue":"26","journalAbbreviation":"Medicine (Baltimore)","language":"English","note":"publisher-place: Philadelphia\npublisher: Lippincott Williams &amp; Wilkins\nWOS:000380369300021","page":"e3965","source":"Web of Science Nextgen","title":"Does public reporting influence antibiotic and injection prescribing to all patients? A cluster-randomized matched-pair trial in china","title-short":"Does public reporting influence antibiotic and injection prescribing to all patients?","volume":"95","author":[{"family":"Liu","given":"Chenxi"},{"family":"Zhang","given":"Xinping"},{"family":"Wang","given":"Xuan"},{"family":"Zhang","given":"Xiaopeng"},{"family":"Wan","given":"Jie"},{"family":"Zhong","given":"Fangying"}],"issued":{"date-parts":[["2016",6]]}}}],"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[57]</w:t>
            </w:r>
            <w:r w:rsidRPr="00987901">
              <w:rPr>
                <w:rFonts w:ascii="Times New Roman" w:hAnsi="Times New Roman" w:cs="Times New Roman"/>
                <w:sz w:val="16"/>
                <w:szCs w:val="16"/>
              </w:rPr>
              <w:fldChar w:fldCharType="end"/>
            </w:r>
          </w:p>
        </w:tc>
        <w:tc>
          <w:tcPr>
            <w:tcW w:w="1134" w:type="dxa"/>
            <w:noWrap/>
          </w:tcPr>
          <w:p w14:paraId="6F3A887D" w14:textId="696F50D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r w:rsidR="004A2D3B">
              <w:rPr>
                <w:rFonts w:ascii="Times" w:hAnsi="Times" w:cs="Times New Roman"/>
                <w:sz w:val="16"/>
                <w:szCs w:val="16"/>
              </w:rPr>
              <w:t>b</w:t>
            </w:r>
          </w:p>
        </w:tc>
        <w:tc>
          <w:tcPr>
            <w:tcW w:w="1276" w:type="dxa"/>
          </w:tcPr>
          <w:p w14:paraId="33930737" w14:textId="78E03A25"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2A88A0B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568AA795"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204BD8D2"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18C9B40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0D0C2BD1"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26F9980A"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363" w:type="dxa"/>
          </w:tcPr>
          <w:p w14:paraId="504A8A6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62" w:type="dxa"/>
          </w:tcPr>
          <w:p w14:paraId="56AD6CC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709" w:type="dxa"/>
            <w:noWrap/>
          </w:tcPr>
          <w:p w14:paraId="56333828"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5</w:t>
            </w:r>
          </w:p>
        </w:tc>
      </w:tr>
      <w:tr w:rsidR="006906C0" w:rsidRPr="00E55408" w14:paraId="296B23F1" w14:textId="77777777" w:rsidTr="00D81821">
        <w:trPr>
          <w:trHeight w:val="19"/>
          <w:jc w:val="center"/>
        </w:trPr>
        <w:tc>
          <w:tcPr>
            <w:tcW w:w="2552" w:type="dxa"/>
          </w:tcPr>
          <w:p w14:paraId="024DACCD" w14:textId="77777777" w:rsidR="006906C0" w:rsidRPr="00987901" w:rsidRDefault="006906C0" w:rsidP="00D81821">
            <w:pPr>
              <w:spacing w:after="40"/>
              <w:jc w:val="center"/>
              <w:rPr>
                <w:rFonts w:ascii="Times New Roman" w:hAnsi="Times New Roman" w:cs="Times New Roman"/>
                <w:sz w:val="16"/>
                <w:szCs w:val="16"/>
              </w:rPr>
            </w:pPr>
            <w:proofErr w:type="spellStart"/>
            <w:r w:rsidRPr="00987901">
              <w:rPr>
                <w:rFonts w:ascii="Times New Roman" w:hAnsi="Times New Roman" w:cs="Times New Roman"/>
                <w:sz w:val="16"/>
                <w:szCs w:val="16"/>
              </w:rPr>
              <w:t>Dor</w:t>
            </w:r>
            <w:proofErr w:type="spellEnd"/>
            <w:r w:rsidRPr="00987901">
              <w:rPr>
                <w:rFonts w:ascii="Times New Roman" w:hAnsi="Times New Roman" w:cs="Times New Roman"/>
                <w:sz w:val="16"/>
                <w:szCs w:val="16"/>
              </w:rPr>
              <w:t xml:space="preserve"> et al. </w:t>
            </w:r>
            <w:r w:rsidRPr="00987901">
              <w:rPr>
                <w:rFonts w:ascii="Times New Roman" w:hAnsi="Times New Roman" w:cs="Times New Roman"/>
                <w:sz w:val="16"/>
                <w:szCs w:val="16"/>
                <w:lang w:val="en-US"/>
              </w:rPr>
              <w:t>(</w:t>
            </w:r>
            <w:r w:rsidRPr="00987901">
              <w:rPr>
                <w:rFonts w:ascii="Times New Roman" w:hAnsi="Times New Roman" w:cs="Times New Roman"/>
                <w:sz w:val="16"/>
                <w:szCs w:val="16"/>
              </w:rPr>
              <w:t>2020)</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{"citationID":"pAU2ZASh","properties":{"formattedCitation":"[58]","plainCitation":"[58]","noteIndex":0},"citationItems":[{"id":505,"uris":["http://zotero.org/users/7560012/items/HMBVVIZM"],"itemData":{"id":505,"type":"article-journal","abstract":"A policy concern is that the initiation of Hospital Compare (HC) reporting in Medicare provided leverage to insurers in price negotiations for lowering private sector prices without regard to hospital performance. Using the sequential Nash bargaining framework we provide economic intuition to the contrary: while average hospital prices decline under quality disclosures, hospitals with above-average quality are able to exert a stronger bargaining position, consequently capturing prices above the market rate. To explore this issue empirically we estimate variants of difference-in-difference models, examining the effects of the three main scores (heart attack, heart failure, and combined mortalities) on transaction prices of related hospital procedures. States which had similar mandated reporting systems in place before the initiation of HC form the control group. Analyzing claims data of privately insured patients, we find that HC exerted downward pressure on prices. However, hospitals rated “above-average” captured higher prices, thereby offsetting the overall policy effect fully or partially. Leads and lags analysis lends further support for our difference-in-difference approach. We find that highly ranked hospitals received a quality premium of 8–14%, comparable to price effects found in other health care markets. We conclude that HC was effective at constraining prices without penalizing high performers.","container-title":"Journal of Economics &amp; Management Strategy","DOI":"https://doi.org/10.1111/jems.12381","ISSN":"1530-9134","issue":"3","language":"en","license":"© 2020 Wiley Periodicals LLC","note":"_eprint: https://onlinelibrary.wiley.com/doi/pdf/10.1111/jems.12381","page":"492-515","source":"Wiley Online Library","title":"Hospital performance standards and medical pricing: The impact of information disclosure in cardiac care","title-short":"Hospital performance standards and medical pricing","volume":"29","author":[{"family":"Dor","given":"Avi"},{"family":"Encinosa","given":"William"},{"family":"Carey","given":"Kathleen"}],"issued":{"date-parts":[["2020"]]}}}],"schema":"https://github.com/citation-style-language/schema/raw/master/csl-citation.json"}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[58]</w:t>
            </w:r>
            <w:r w:rsidRPr="00987901">
              <w:rPr>
                <w:rFonts w:ascii="Times New Roman" w:hAnsi="Times New Roman" w:cs="Times New Roman"/>
                <w:sz w:val="16"/>
                <w:szCs w:val="16"/>
              </w:rPr>
              <w:fldChar w:fldCharType="end"/>
            </w:r>
          </w:p>
        </w:tc>
        <w:tc>
          <w:tcPr>
            <w:tcW w:w="1134" w:type="dxa"/>
            <w:noWrap/>
          </w:tcPr>
          <w:p w14:paraId="78EAECD1"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678BFE8B"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00B10B91"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231570D3"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08961C82"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01D05BA5" w14:textId="4D23A19D"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31586B72"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281ED3D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41B1A2A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56B9C40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2FA35E73"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8</w:t>
            </w:r>
          </w:p>
        </w:tc>
      </w:tr>
      <w:tr w:rsidR="006906C0" w:rsidRPr="00E55408" w14:paraId="5928616C" w14:textId="77777777" w:rsidTr="00D81821">
        <w:trPr>
          <w:trHeight w:val="19"/>
          <w:jc w:val="center"/>
        </w:trPr>
        <w:tc>
          <w:tcPr>
            <w:tcW w:w="2552" w:type="dxa"/>
          </w:tcPr>
          <w:p w14:paraId="0E4E96F1"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rPr>
              <w:t xml:space="preserve">McCarthy &amp; Darden </w:t>
            </w:r>
            <w:r w:rsidRPr="00987901">
              <w:rPr>
                <w:rFonts w:ascii="Times New Roman" w:hAnsi="Times New Roman" w:cs="Times New Roman"/>
                <w:sz w:val="16"/>
                <w:szCs w:val="16"/>
                <w:lang w:val="en-US"/>
              </w:rPr>
              <w:t>(</w:t>
            </w:r>
            <w:r w:rsidRPr="00987901">
              <w:rPr>
                <w:rFonts w:ascii="Times New Roman" w:hAnsi="Times New Roman" w:cs="Times New Roman"/>
                <w:sz w:val="16"/>
                <w:szCs w:val="16"/>
              </w:rPr>
              <w:t>2017)</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{"citationID":"urqk7nxr","properties":{"formattedCitation":"[59]","plainCitation":"[59]","noteIndex":0},"citationItems":[{"id":1709,"uris":["http://zotero.org/users/7560012/items/P7X3NPLZ"],"itemData":{"id":1709,"type":"article-journal","abstract":"Since 2009, the Centers for Medicare and Medicaid Services (CMS) has distributed quality star ratings for Medicare Advantage (MA) contracts to better inform Medicare-eligible individuals of MA plan quality. This paper examines the extent to which the quality star rating scheme affected insurer behavior in the MA market. We identify the causal effect of 2009 star ratings on 2010 MA premiums using a regression discontinuity design that exploits plausibly random variation around threshold values underlying the star rating calculations. We find that contracts with higher star ratings in 2009 significantly increased their average 2010 monthly premiums relative to contracts just below the respective threshold values, with increases of more than $26 per month among 3.5- and 4-star contracts. We present additional evidence that the estimated premium increases in 2010 are not purely the result of demand shifts in the prior year. Furthermore, the 2009 star ratings have a significant effect on plan mix, where 3-star contracts disproportionately dropped their $0 premium plans while 2.5-, 3.5-, and 4-star contracts disproportionately expanded plans into new markets, particularly plans with positive monthly premiums. Broadly, our analysis reveals a relatively large supply-side response to published quality ratings, suggesting some level of caution as policy makers extend quality rating systems into new health-care markets.","container-title":"American Journal of Health Economics","DOI":"10.1162/AJHE_a_00070","ISSN":"2332-3493","issue":"2","note":"publisher: The University of Chicago Press","page":"140-164","source":"journals.uchicago.edu (Atypon)","title":"Supply-Side Responses to Public Quality Ratings: Evidence from Medicare Advantage","title-short":"Supply-Side Responses to Public Quality Ratings","volume":"3","author":[{"family":"McCarthy","given":"Ian M."},{"family":"Darden","given":"Michael"}],"issued":{"date-parts":[["2017",5,1]]}}}],"schema":"https://github.com/citation-style-language/schema/raw/master/csl-citation.json"}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[59]</w:t>
            </w:r>
            <w:r w:rsidRPr="00987901">
              <w:rPr>
                <w:rFonts w:ascii="Times New Roman" w:hAnsi="Times New Roman" w:cs="Times New Roman"/>
                <w:sz w:val="16"/>
                <w:szCs w:val="16"/>
              </w:rPr>
              <w:fldChar w:fldCharType="end"/>
            </w:r>
          </w:p>
        </w:tc>
        <w:tc>
          <w:tcPr>
            <w:tcW w:w="1134" w:type="dxa"/>
            <w:noWrap/>
          </w:tcPr>
          <w:p w14:paraId="78014C7A"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64DFD59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7A12B41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3A9397D8"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4B350A04"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4CCE1F68" w14:textId="6AFBEDC2"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1A97BE76"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4A727B0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24E58971"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14D670B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709" w:type="dxa"/>
            <w:noWrap/>
          </w:tcPr>
          <w:p w14:paraId="01B007D0"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9</w:t>
            </w:r>
          </w:p>
        </w:tc>
      </w:tr>
      <w:tr w:rsidR="006906C0" w:rsidRPr="00E55408" w14:paraId="04E244B2" w14:textId="77777777" w:rsidTr="00D81821">
        <w:trPr>
          <w:trHeight w:val="19"/>
          <w:jc w:val="center"/>
        </w:trPr>
        <w:tc>
          <w:tcPr>
            <w:tcW w:w="2552" w:type="dxa"/>
          </w:tcPr>
          <w:p w14:paraId="7D2E422D" w14:textId="77777777" w:rsidR="006906C0" w:rsidRPr="00987901" w:rsidRDefault="006906C0" w:rsidP="00D81821">
            <w:pPr>
              <w:spacing w:after="40"/>
              <w:jc w:val="center"/>
              <w:rPr>
                <w:rFonts w:ascii="Times New Roman" w:hAnsi="Times New Roman" w:cs="Times New Roman"/>
                <w:sz w:val="16"/>
                <w:szCs w:val="16"/>
              </w:rPr>
            </w:pPr>
            <w:r w:rsidRPr="00987901">
              <w:rPr>
                <w:rFonts w:ascii="Times New Roman" w:hAnsi="Times New Roman" w:cs="Times New Roman"/>
                <w:sz w:val="16"/>
                <w:szCs w:val="16"/>
                <w:lang w:val="en-US"/>
              </w:rPr>
              <w:t>McCarthy (2018)</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lang w:val="en-US"/>
              </w:rPr>
              <w:instrText xml:space="preserve"> ADDIN ZOTERO_ITEM CSL_CITATION {"citationID":"1zU4qvWD","properties":{"formattedCitation":"[60]","plainCitation":"[60]","noteIndex":0},"citationItems":[{"id":1725,"uris":["http://zotero.org/users/7560012/items/NKTCX7PQ"],"itemData":{"id":1725,"type":"article-journal","abstract":"Mandatory quality disclosure often includes a period over which the quality of new entrants is unreported. This provides the opportunity for forward-looking firms to adjust product characteristics in advance of disclosure. Using comprehensive data on Medicare Advantage (MA) from 2007 to 2015, I exploit the design of the MA Star Rating program to examine the presence of forward-looking behavior among insurers. I find that high-quality insurers reduce prices leading up to quality disclosure, while low-quality insurers increase prices in advance of quality disclosure. These dynamics are consistent with firms anticipating a future change in consumer inertia and updating current-period prices accordingly.","container-title":"Journal of Health Economics","DOI":"10.1016/j.jhealeco.2018.06.007","ISSN":"0167-6296","journalAbbreviation":"Journal of Health Economics","language":"en","page":"13-26","source":"ScienceDirect","title":"Quality disclosure and the timing of insurers’ adjustments: Evidence from medicare advantage","title-short":"Quality disclosure and the timing of insurers’ adjustments","volume":"61","author":[{"family":"McCarthy","given":"Ian M."}],"issued":{"date-parts":[["2018",9,1]]}}}],"schema":"https://github.com/citation-style-language/schema/raw/master/csl-citation.json"}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[60]</w:t>
            </w:r>
            <w:r w:rsidRPr="00987901">
              <w:rPr>
                <w:rFonts w:ascii="Times New Roman" w:hAnsi="Times New Roman" w:cs="Times New Roman"/>
                <w:sz w:val="16"/>
                <w:szCs w:val="16"/>
              </w:rPr>
              <w:fldChar w:fldCharType="end"/>
            </w:r>
          </w:p>
        </w:tc>
        <w:tc>
          <w:tcPr>
            <w:tcW w:w="1134" w:type="dxa"/>
            <w:noWrap/>
          </w:tcPr>
          <w:p w14:paraId="72ADB64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0D378EDA"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277003CF"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0F4EE20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604231D5"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134" w:type="dxa"/>
          </w:tcPr>
          <w:p w14:paraId="667EABEB" w14:textId="5DDD10A1"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416" w:type="dxa"/>
          </w:tcPr>
          <w:p w14:paraId="249633A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31489357"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363" w:type="dxa"/>
          </w:tcPr>
          <w:p w14:paraId="48494C3E"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62" w:type="dxa"/>
          </w:tcPr>
          <w:p w14:paraId="3EFEC5F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709" w:type="dxa"/>
            <w:noWrap/>
          </w:tcPr>
          <w:p w14:paraId="4EFE17C2"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9</w:t>
            </w:r>
          </w:p>
        </w:tc>
      </w:tr>
      <w:tr w:rsidR="006906C0" w:rsidRPr="00E55408" w14:paraId="08CD839D" w14:textId="77777777" w:rsidTr="00D81821">
        <w:trPr>
          <w:trHeight w:val="19"/>
          <w:jc w:val="center"/>
        </w:trPr>
        <w:tc>
          <w:tcPr>
            <w:tcW w:w="2552" w:type="dxa"/>
          </w:tcPr>
          <w:p w14:paraId="7772249F" w14:textId="77777777" w:rsidR="006906C0" w:rsidRPr="00987901" w:rsidRDefault="006906C0" w:rsidP="00D81821">
            <w:pPr>
              <w:spacing w:after="40"/>
              <w:jc w:val="center"/>
              <w:rPr>
                <w:rFonts w:ascii="Times New Roman" w:hAnsi="Times New Roman" w:cs="Times New Roman"/>
                <w:sz w:val="16"/>
                <w:szCs w:val="16"/>
              </w:rPr>
            </w:pPr>
            <w:proofErr w:type="spellStart"/>
            <w:r w:rsidRPr="00987901">
              <w:rPr>
                <w:rFonts w:ascii="Times New Roman" w:hAnsi="Times New Roman" w:cs="Times New Roman"/>
                <w:sz w:val="16"/>
                <w:szCs w:val="16"/>
                <w:lang w:val="en-US"/>
              </w:rPr>
              <w:t>Polsky</w:t>
            </w:r>
            <w:proofErr w:type="spellEnd"/>
            <w:r w:rsidRPr="00987901">
              <w:rPr>
                <w:rFonts w:ascii="Times New Roman" w:hAnsi="Times New Roman" w:cs="Times New Roman"/>
                <w:sz w:val="16"/>
                <w:szCs w:val="16"/>
                <w:lang w:val="en-US"/>
              </w:rPr>
              <w:t xml:space="preserve"> &amp; Wu (2021)</w:t>
            </w:r>
            <w:r>
              <w:rPr>
                <w:rFonts w:ascii="Times New Roman" w:hAnsi="Times New Roman" w:cs="Times New Roman"/>
                <w:sz w:val="16"/>
                <w:szCs w:val="16"/>
                <w:lang w:val="en-US"/>
              </w:rPr>
              <w:t xml:space="preserve"> </w:t>
            </w:r>
            <w:r w:rsidRPr="00987901">
              <w:rPr>
                <w:rFonts w:ascii="Times New Roman" w:hAnsi="Times New Roman" w:cs="Times New Roman"/>
                <w:sz w:val="16"/>
                <w:szCs w:val="16"/>
              </w:rPr>
              <w:fldChar w:fldCharType="begin"/>
            </w:r>
            <w:r>
              <w:rPr>
                <w:rFonts w:ascii="Times New Roman" w:hAnsi="Times New Roman" w:cs="Times New Roman"/>
                <w:sz w:val="16"/>
                <w:szCs w:val="16"/>
                <w:lang w:val="en-US"/>
              </w:rPr>
              <w:instrText xml:space="preserve"> ADDIN ZOTERO_ITEM CSL_CITATION {"citationID":"6x16f7T7","properties":{"formattedCitation":"[61]","plainCitation":"[61]","noteIndex":0},"citationItems":[{"id":1776,"uris":["http://zotero.org/users/7560012/items/FP3MLJ2Z"],"itemData":{"id":1776,"type":"article-journal","abstract":"Objective\nTo examine how plan premiums are associated with physician network breadth, hospital network breadth, and hospital network quality on the Affordable Care Act's Health Insurance Marketplaces in all 50 states and the DC in 2016.\n\nData Sources\nData on plan premiums and characteristics came from 2016 Robert Wood Johnson Foundation Health Insurance Exchange (HIX) Compare. Provider network information was obtained from Vericred. Hospital characteristics were obtained from CMS Hospital Compare and the American Hospital Association (AHA) survey.\n\nStudy Design\nWe analyzed how plan premiums were associated with variations in physician network breadth, hospital network breadth, and hospital network quality using ordinary least square regressions with state-rating area fixed effects and carrier fixed effects.\n\nPrincipal Findings\nPlan premiums were positively associated with physician network breadth and hospital network breadth. We find the following statistically significant results: a one standard deviation increase in physician network breadth was linked to a premium increase of 2.8 percent or $101 per year; a one standard deviation increase in hospital network breadth was linked to a premium increase of 2.4 percent or $86 per year. There was no significant association between premiums and hospital network quality, as measured by hospital star ratings and the inclusion of teaching hospitals or the top-20 hospitals nationwide.\n\nConclusions\nPhysician network breadth and hospital network breadth contributed positively to plan premiums. The roles of the two types of provider network breadth are quantitatively similar. Premiums appear to be insensitive to hospital network quality.","container-title":"Health Services Research","DOI":"10.1111/1475-6773.13447","ISSN":"0017-9124, 1475-6773","issue":"1","journalAbbreviation":"Health Serv Res","language":"en","page":"16-24","source":"DOI.org (Crossref)","title":"Provider networks and health plan premium variation","volume":"56","author":[{"family":"Polsky","given":"Daniel"},{"family":"Wu","given":"Bingxiao"}],"issued":{"date-parts":[["2021",2]]}}}],"schema":"https://github.com/citation-style-language/schema/raw/master/csl-citation.json"} </w:instrText>
            </w:r>
            <w:r w:rsidRPr="00987901">
              <w:rPr>
                <w:rFonts w:ascii="Times New Roman" w:hAnsi="Times New Roman" w:cs="Times New Roman"/>
                <w:sz w:val="16"/>
                <w:szCs w:val="16"/>
              </w:rPr>
              <w:fldChar w:fldCharType="separate"/>
            </w:r>
            <w:r>
              <w:rPr>
                <w:rFonts w:ascii="Times New Roman" w:hAnsi="Times New Roman" w:cs="Times New Roman"/>
                <w:sz w:val="16"/>
                <w:szCs w:val="16"/>
                <w:lang w:val="en-US"/>
              </w:rPr>
              <w:t>[61]</w:t>
            </w:r>
            <w:r w:rsidRPr="00987901">
              <w:rPr>
                <w:rFonts w:ascii="Times New Roman" w:hAnsi="Times New Roman" w:cs="Times New Roman"/>
                <w:sz w:val="16"/>
                <w:szCs w:val="16"/>
              </w:rPr>
              <w:fldChar w:fldCharType="end"/>
            </w:r>
          </w:p>
        </w:tc>
        <w:tc>
          <w:tcPr>
            <w:tcW w:w="1134" w:type="dxa"/>
            <w:noWrap/>
          </w:tcPr>
          <w:p w14:paraId="70F3DE4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276" w:type="dxa"/>
          </w:tcPr>
          <w:p w14:paraId="56A3F13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92" w:type="dxa"/>
          </w:tcPr>
          <w:p w14:paraId="6A6A6CBA"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0FDA04E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992" w:type="dxa"/>
          </w:tcPr>
          <w:p w14:paraId="39FB940C"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134" w:type="dxa"/>
          </w:tcPr>
          <w:p w14:paraId="036B60B0" w14:textId="04D3D293"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r w:rsidR="004A2D3B">
              <w:rPr>
                <w:rFonts w:ascii="Times" w:hAnsi="Times" w:cs="Times New Roman"/>
                <w:sz w:val="16"/>
                <w:szCs w:val="16"/>
              </w:rPr>
              <w:t>c</w:t>
            </w:r>
          </w:p>
        </w:tc>
        <w:tc>
          <w:tcPr>
            <w:tcW w:w="1416" w:type="dxa"/>
          </w:tcPr>
          <w:p w14:paraId="4968E8A0"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1</w:t>
            </w:r>
          </w:p>
        </w:tc>
        <w:tc>
          <w:tcPr>
            <w:tcW w:w="1042" w:type="dxa"/>
          </w:tcPr>
          <w:p w14:paraId="58B10DCD"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1363" w:type="dxa"/>
          </w:tcPr>
          <w:p w14:paraId="1B6B5CD9"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962" w:type="dxa"/>
          </w:tcPr>
          <w:p w14:paraId="00D5AF7A" w14:textId="77777777" w:rsidR="006906C0" w:rsidRPr="00E55408" w:rsidRDefault="006906C0" w:rsidP="00D81821">
            <w:pPr>
              <w:spacing w:after="40"/>
              <w:jc w:val="center"/>
              <w:rPr>
                <w:rFonts w:ascii="Times" w:hAnsi="Times" w:cs="Times New Roman"/>
                <w:sz w:val="16"/>
                <w:szCs w:val="16"/>
              </w:rPr>
            </w:pPr>
            <w:r>
              <w:rPr>
                <w:rFonts w:ascii="Times" w:hAnsi="Times" w:cs="Times New Roman"/>
                <w:sz w:val="16"/>
                <w:szCs w:val="16"/>
              </w:rPr>
              <w:t>0</w:t>
            </w:r>
          </w:p>
        </w:tc>
        <w:tc>
          <w:tcPr>
            <w:tcW w:w="709" w:type="dxa"/>
            <w:noWrap/>
          </w:tcPr>
          <w:p w14:paraId="20B9891B" w14:textId="77777777" w:rsidR="006906C0" w:rsidRPr="00056A00" w:rsidRDefault="006906C0" w:rsidP="00D81821">
            <w:pPr>
              <w:spacing w:after="40"/>
              <w:jc w:val="center"/>
              <w:rPr>
                <w:rFonts w:ascii="Times" w:hAnsi="Times" w:cs="Times New Roman"/>
                <w:sz w:val="16"/>
                <w:szCs w:val="16"/>
              </w:rPr>
            </w:pPr>
            <w:r>
              <w:rPr>
                <w:rFonts w:ascii="Times" w:hAnsi="Times" w:cs="Times New Roman"/>
                <w:sz w:val="16"/>
                <w:szCs w:val="16"/>
              </w:rPr>
              <w:t>3</w:t>
            </w:r>
          </w:p>
        </w:tc>
      </w:tr>
    </w:tbl>
    <w:p w14:paraId="391DD653" w14:textId="77777777" w:rsidR="004A2D3B" w:rsidRDefault="004A2D3B" w:rsidP="004A2D3B">
      <w:pPr>
        <w:rPr>
          <w:rFonts w:ascii="Times New Roman" w:hAnsi="Times New Roman" w:cs="Times New Roman"/>
        </w:rPr>
      </w:pPr>
      <w:r>
        <w:rPr>
          <w:rFonts w:ascii="Times New Roman" w:hAnsi="Times New Roman" w:cs="Times New Roman"/>
        </w:rPr>
        <w:t>a. The participants were not randomly exposed to the hospital price transparency program.</w:t>
      </w:r>
    </w:p>
    <w:p w14:paraId="53D67834" w14:textId="7540D3DD" w:rsidR="004A2D3B" w:rsidRDefault="004A2D3B" w:rsidP="006906C0">
      <w:pPr>
        <w:rPr>
          <w:rFonts w:ascii="Times New Roman" w:hAnsi="Times New Roman" w:cs="Times New Roman"/>
        </w:rPr>
      </w:pPr>
      <w:r>
        <w:rPr>
          <w:rFonts w:ascii="Times New Roman" w:hAnsi="Times New Roman" w:cs="Times New Roman"/>
        </w:rPr>
        <w:t xml:space="preserve">b. The quality transparency intervention was not randomly assigned to the primary care </w:t>
      </w:r>
      <w:r>
        <w:rPr>
          <w:rFonts w:ascii="Times New Roman" w:hAnsi="Times New Roman" w:cs="Times New Roman" w:hint="eastAsia"/>
        </w:rPr>
        <w:t>institutes</w:t>
      </w:r>
      <w:r>
        <w:rPr>
          <w:rFonts w:ascii="Times New Roman" w:hAnsi="Times New Roman" w:cs="Times New Roman"/>
        </w:rPr>
        <w:t>.</w:t>
      </w:r>
    </w:p>
    <w:p w14:paraId="1A189CA0" w14:textId="785CCAF1" w:rsidR="006906C0" w:rsidRPr="00F1736F" w:rsidRDefault="004A2D3B" w:rsidP="006906C0">
      <w:pPr>
        <w:rPr>
          <w:rFonts w:ascii="Times New Roman" w:hAnsi="Times New Roman" w:cs="Times New Roman"/>
        </w:rPr>
      </w:pPr>
      <w:r>
        <w:rPr>
          <w:rFonts w:ascii="Times New Roman" w:hAnsi="Times New Roman" w:cs="Times New Roman"/>
        </w:rPr>
        <w:t>c</w:t>
      </w:r>
      <w:r w:rsidR="006906C0">
        <w:rPr>
          <w:rFonts w:ascii="Times New Roman" w:hAnsi="Times New Roman" w:cs="Times New Roman"/>
        </w:rPr>
        <w:t>.</w:t>
      </w:r>
      <w:r w:rsidR="006906C0" w:rsidRPr="00F1736F">
        <w:rPr>
          <w:rFonts w:ascii="Times New Roman" w:hAnsi="Times New Roman" w:cs="Times New Roman"/>
        </w:rPr>
        <w:t xml:space="preserve"> </w:t>
      </w:r>
      <w:r>
        <w:rPr>
          <w:rFonts w:ascii="Times New Roman" w:hAnsi="Times New Roman" w:cs="Times New Roman"/>
        </w:rPr>
        <w:t xml:space="preserve">The </w:t>
      </w:r>
      <w:r w:rsidRPr="00F1736F">
        <w:rPr>
          <w:rFonts w:ascii="Times New Roman" w:hAnsi="Times New Roman" w:cs="Times New Roman"/>
        </w:rPr>
        <w:t>quality factors</w:t>
      </w:r>
      <w:r>
        <w:rPr>
          <w:rFonts w:ascii="Times New Roman" w:hAnsi="Times New Roman" w:cs="Times New Roman"/>
        </w:rPr>
        <w:t xml:space="preserve"> were s</w:t>
      </w:r>
      <w:r w:rsidRPr="00F1736F">
        <w:rPr>
          <w:rFonts w:ascii="Times New Roman" w:hAnsi="Times New Roman" w:cs="Times New Roman"/>
        </w:rPr>
        <w:t>elf-constructed</w:t>
      </w:r>
      <w:r>
        <w:rPr>
          <w:rFonts w:ascii="Times New Roman" w:hAnsi="Times New Roman" w:cs="Times New Roman"/>
        </w:rPr>
        <w:t xml:space="preserve"> by researchers</w:t>
      </w:r>
      <w:r w:rsidR="006906C0">
        <w:rPr>
          <w:rFonts w:ascii="Times New Roman" w:hAnsi="Times New Roman" w:cs="Times New Roman"/>
        </w:rPr>
        <w:t>.</w:t>
      </w:r>
    </w:p>
    <w:p w14:paraId="3D3D7806" w14:textId="77777777" w:rsidR="007133C8" w:rsidRDefault="007133C8"/>
    <w:sectPr w:rsidR="007133C8" w:rsidSect="006906C0">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n jinyang">
    <w15:presenceInfo w15:providerId="Windows Live" w15:userId="e3b87d81f0b590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6C0"/>
    <w:rsid w:val="004A2D3B"/>
    <w:rsid w:val="006906C0"/>
    <w:rsid w:val="007133C8"/>
    <w:rsid w:val="007E131B"/>
    <w:rsid w:val="007F010D"/>
    <w:rsid w:val="008576EE"/>
    <w:rsid w:val="009D38DB"/>
    <w:rsid w:val="00A27DCB"/>
    <w:rsid w:val="00A87857"/>
    <w:rsid w:val="00C3626F"/>
    <w:rsid w:val="00EE1ABD"/>
    <w:rsid w:val="00F51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E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6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906C0"/>
    <w:pPr>
      <w:spacing w:after="200"/>
    </w:pPr>
    <w:rPr>
      <w:rFonts w:eastAsiaTheme="minorHAnsi"/>
      <w:i/>
      <w:iCs/>
      <w:color w:val="44546A" w:themeColor="text2"/>
      <w:sz w:val="18"/>
      <w:szCs w:val="18"/>
      <w:lang w:val="en-GB" w:eastAsia="en-US"/>
    </w:rPr>
  </w:style>
  <w:style w:type="table" w:styleId="TableGrid">
    <w:name w:val="Table Grid"/>
    <w:basedOn w:val="TableNormal"/>
    <w:uiPriority w:val="39"/>
    <w:rsid w:val="006906C0"/>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010D"/>
  </w:style>
  <w:style w:type="paragraph" w:styleId="BalloonText">
    <w:name w:val="Balloon Text"/>
    <w:basedOn w:val="Normal"/>
    <w:link w:val="BalloonTextChar"/>
    <w:uiPriority w:val="99"/>
    <w:semiHidden/>
    <w:unhideWhenUsed/>
    <w:rsid w:val="00A87857"/>
    <w:rPr>
      <w:rFonts w:ascii="Tahoma" w:hAnsi="Tahoma" w:cs="Tahoma"/>
      <w:sz w:val="16"/>
      <w:szCs w:val="16"/>
    </w:rPr>
  </w:style>
  <w:style w:type="character" w:customStyle="1" w:styleId="BalloonTextChar">
    <w:name w:val="Balloon Text Char"/>
    <w:basedOn w:val="DefaultParagraphFont"/>
    <w:link w:val="BalloonText"/>
    <w:uiPriority w:val="99"/>
    <w:semiHidden/>
    <w:rsid w:val="00A878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6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906C0"/>
    <w:pPr>
      <w:spacing w:after="200"/>
    </w:pPr>
    <w:rPr>
      <w:rFonts w:eastAsiaTheme="minorHAnsi"/>
      <w:i/>
      <w:iCs/>
      <w:color w:val="44546A" w:themeColor="text2"/>
      <w:sz w:val="18"/>
      <w:szCs w:val="18"/>
      <w:lang w:val="en-GB" w:eastAsia="en-US"/>
    </w:rPr>
  </w:style>
  <w:style w:type="table" w:styleId="TableGrid">
    <w:name w:val="Table Grid"/>
    <w:basedOn w:val="TableNormal"/>
    <w:uiPriority w:val="39"/>
    <w:rsid w:val="006906C0"/>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010D"/>
  </w:style>
  <w:style w:type="paragraph" w:styleId="BalloonText">
    <w:name w:val="Balloon Text"/>
    <w:basedOn w:val="Normal"/>
    <w:link w:val="BalloonTextChar"/>
    <w:uiPriority w:val="99"/>
    <w:semiHidden/>
    <w:unhideWhenUsed/>
    <w:rsid w:val="00A87857"/>
    <w:rPr>
      <w:rFonts w:ascii="Tahoma" w:hAnsi="Tahoma" w:cs="Tahoma"/>
      <w:sz w:val="16"/>
      <w:szCs w:val="16"/>
    </w:rPr>
  </w:style>
  <w:style w:type="character" w:customStyle="1" w:styleId="BalloonTextChar">
    <w:name w:val="Balloon Text Char"/>
    <w:basedOn w:val="DefaultParagraphFont"/>
    <w:link w:val="BalloonText"/>
    <w:uiPriority w:val="99"/>
    <w:semiHidden/>
    <w:rsid w:val="00A878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6352</Words>
  <Characters>36207</Characters>
  <Application>Microsoft Office Word</Application>
  <DocSecurity>0</DocSecurity>
  <Lines>301</Lines>
  <Paragraphs>84</Paragraphs>
  <ScaleCrop>false</ScaleCrop>
  <Company/>
  <LinksUpToDate>false</LinksUpToDate>
  <CharactersWithSpaces>42475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dc:creator>
  <cp:keywords/>
  <dc:description/>
  <cp:lastModifiedBy>Abigail Padayhag</cp:lastModifiedBy>
  <cp:revision>4</cp:revision>
  <dcterms:created xsi:type="dcterms:W3CDTF">2022-11-18T22:34:00Z</dcterms:created>
  <dcterms:modified xsi:type="dcterms:W3CDTF">2022-12-02T15:45:00Z</dcterms:modified>
</cp:coreProperties>
</file>