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C58AC">
      <w:pPr>
        <w:jc w:val="center"/>
        <w:outlineLvl w:val="0"/>
        <w:rPr>
          <w:rFonts w:hint="eastAsia" w:cs="Times New Roman"/>
          <w:b/>
          <w:bCs/>
          <w:sz w:val="22"/>
        </w:rPr>
      </w:pPr>
      <w:bookmarkStart w:id="0" w:name="_Toc7332"/>
      <w:bookmarkStart w:id="1" w:name="_Toc3754"/>
      <w:r>
        <w:rPr>
          <w:rFonts w:hint="eastAsia" w:cs="Times New Roman"/>
          <w:b/>
          <w:bCs/>
          <w:sz w:val="22"/>
        </w:rPr>
        <w:t>Additional File</w:t>
      </w:r>
      <w:bookmarkEnd w:id="0"/>
      <w:bookmarkEnd w:id="1"/>
      <w:bookmarkStart w:id="39" w:name="_GoBack"/>
      <w:bookmarkEnd w:id="39"/>
    </w:p>
    <w:sdt>
      <w:sdtPr>
        <w:rPr>
          <w:rFonts w:ascii="宋体" w:hAnsi="宋体" w:eastAsia="宋体" w:cstheme="minorBidi"/>
          <w:kern w:val="2"/>
          <w:sz w:val="21"/>
          <w:szCs w:val="22"/>
          <w:lang w:val="en-US" w:eastAsia="zh-CN" w:bidi="ar-SA"/>
        </w:rPr>
        <w:id w:val="147476466"/>
        <w15:color w:val="DBDBDB"/>
        <w:docPartObj>
          <w:docPartGallery w:val="Table of Contents"/>
          <w:docPartUnique/>
        </w:docPartObj>
      </w:sdtPr>
      <w:sdtEndPr>
        <w:rPr>
          <w:rFonts w:ascii="宋体" w:hAnsi="宋体" w:eastAsia="宋体" w:cstheme="minorBidi"/>
          <w:kern w:val="2"/>
          <w:sz w:val="21"/>
          <w:szCs w:val="22"/>
          <w:lang w:val="en-US" w:eastAsia="zh-CN" w:bidi="ar-SA"/>
        </w:rPr>
      </w:sdtEndPr>
      <w:sdtContent>
        <w:p w14:paraId="535FD3C9">
          <w:pPr>
            <w:spacing w:before="0" w:beforeLines="0" w:after="0" w:afterLines="0" w:line="240" w:lineRule="auto"/>
            <w:ind w:left="0" w:leftChars="0" w:right="0" w:rightChars="0" w:firstLine="0" w:firstLineChars="0"/>
            <w:jc w:val="center"/>
          </w:pPr>
        </w:p>
        <w:p w14:paraId="776D9313">
          <w:pPr>
            <w:pStyle w:val="12"/>
            <w:tabs>
              <w:tab w:val="right" w:leader="dot" w:pos="8306"/>
            </w:tabs>
          </w:pPr>
          <w:r>
            <w:fldChar w:fldCharType="begin"/>
          </w:r>
          <w:r>
            <w:instrText xml:space="preserve">TOC \o "1-3" \h \u </w:instrText>
          </w:r>
          <w:r>
            <w:fldChar w:fldCharType="separate"/>
          </w:r>
          <w:r>
            <w:fldChar w:fldCharType="begin"/>
          </w:r>
          <w:r>
            <w:instrText xml:space="preserve"> HYPERLINK \l _Toc12187 </w:instrText>
          </w:r>
          <w:r>
            <w:fldChar w:fldCharType="separate"/>
          </w:r>
          <w:r>
            <w:rPr>
              <w:rFonts w:eastAsia="宋体"/>
            </w:rPr>
            <w:t>Part 1</w:t>
          </w:r>
          <w:r>
            <w:t>. Search terms for meta-analysis</w:t>
          </w:r>
          <w:r>
            <w:rPr>
              <w:rFonts w:eastAsia="宋体"/>
            </w:rPr>
            <w:t xml:space="preserve"> (</w:t>
          </w:r>
          <w:r>
            <w:rPr>
              <w:szCs w:val="20"/>
            </w:rPr>
            <w:t>PubMed, EMBASE</w:t>
          </w:r>
          <w:r>
            <w:rPr>
              <w:rFonts w:eastAsia="宋体"/>
            </w:rPr>
            <w:t>)</w:t>
          </w:r>
          <w:r>
            <w:tab/>
          </w:r>
          <w:r>
            <w:fldChar w:fldCharType="begin"/>
          </w:r>
          <w:r>
            <w:instrText xml:space="preserve"> PAGEREF _Toc12187 \h </w:instrText>
          </w:r>
          <w:r>
            <w:fldChar w:fldCharType="separate"/>
          </w:r>
          <w:r>
            <w:t>2</w:t>
          </w:r>
          <w:r>
            <w:fldChar w:fldCharType="end"/>
          </w:r>
          <w:r>
            <w:fldChar w:fldCharType="end"/>
          </w:r>
        </w:p>
        <w:p w14:paraId="3F61C51C">
          <w:pPr>
            <w:pStyle w:val="12"/>
            <w:tabs>
              <w:tab w:val="right" w:leader="dot" w:pos="8306"/>
            </w:tabs>
          </w:pPr>
          <w:r>
            <w:fldChar w:fldCharType="begin"/>
          </w:r>
          <w:r>
            <w:instrText xml:space="preserve"> HYPERLINK \l _Toc15161 </w:instrText>
          </w:r>
          <w:r>
            <w:fldChar w:fldCharType="separate"/>
          </w:r>
          <w:r>
            <w:t>Table S1 Values, Distributions, and Sources of Parameters in Cost-Effectiveness Analysis</w:t>
          </w:r>
          <w:r>
            <w:tab/>
          </w:r>
          <w:r>
            <w:fldChar w:fldCharType="begin"/>
          </w:r>
          <w:r>
            <w:instrText xml:space="preserve"> PAGEREF _Toc15161 \h </w:instrText>
          </w:r>
          <w:r>
            <w:fldChar w:fldCharType="separate"/>
          </w:r>
          <w:r>
            <w:t>3</w:t>
          </w:r>
          <w:r>
            <w:fldChar w:fldCharType="end"/>
          </w:r>
          <w:r>
            <w:fldChar w:fldCharType="end"/>
          </w:r>
        </w:p>
        <w:p w14:paraId="0CFA9319">
          <w:pPr>
            <w:pStyle w:val="12"/>
            <w:tabs>
              <w:tab w:val="right" w:leader="dot" w:pos="8306"/>
            </w:tabs>
          </w:pPr>
          <w:r>
            <w:fldChar w:fldCharType="begin"/>
          </w:r>
          <w:r>
            <w:instrText xml:space="preserve"> HYPERLINK \l _Toc32766 </w:instrText>
          </w:r>
          <w:r>
            <w:fldChar w:fldCharType="separate"/>
          </w:r>
          <w:r>
            <w:rPr>
              <w:rFonts w:hint="eastAsia"/>
            </w:rPr>
            <w:t>Figure S1 Study flow chart</w:t>
          </w:r>
          <w:r>
            <w:tab/>
          </w:r>
          <w:r>
            <w:fldChar w:fldCharType="begin"/>
          </w:r>
          <w:r>
            <w:instrText xml:space="preserve"> PAGEREF _Toc32766 \h </w:instrText>
          </w:r>
          <w:r>
            <w:fldChar w:fldCharType="separate"/>
          </w:r>
          <w:r>
            <w:t>7</w:t>
          </w:r>
          <w:r>
            <w:fldChar w:fldCharType="end"/>
          </w:r>
          <w:r>
            <w:fldChar w:fldCharType="end"/>
          </w:r>
        </w:p>
        <w:p w14:paraId="7D76DCA2">
          <w:pPr>
            <w:pStyle w:val="12"/>
            <w:tabs>
              <w:tab w:val="right" w:leader="dot" w:pos="8306"/>
            </w:tabs>
          </w:pPr>
          <w:r>
            <w:fldChar w:fldCharType="begin"/>
          </w:r>
          <w:r>
            <w:instrText xml:space="preserve"> HYPERLINK \l _Toc8704 </w:instrText>
          </w:r>
          <w:r>
            <w:fldChar w:fldCharType="separate"/>
          </w:r>
          <w:r>
            <w:t>Part 2 Results for Risk of Bias</w:t>
          </w:r>
          <w:r>
            <w:tab/>
          </w:r>
          <w:r>
            <w:fldChar w:fldCharType="begin"/>
          </w:r>
          <w:r>
            <w:instrText xml:space="preserve"> PAGEREF _Toc8704 \h </w:instrText>
          </w:r>
          <w:r>
            <w:fldChar w:fldCharType="separate"/>
          </w:r>
          <w:r>
            <w:t>8</w:t>
          </w:r>
          <w:r>
            <w:fldChar w:fldCharType="end"/>
          </w:r>
          <w:r>
            <w:fldChar w:fldCharType="end"/>
          </w:r>
        </w:p>
        <w:p w14:paraId="7D45766F">
          <w:pPr>
            <w:pStyle w:val="12"/>
            <w:tabs>
              <w:tab w:val="right" w:leader="dot" w:pos="8306"/>
            </w:tabs>
          </w:pPr>
          <w:r>
            <w:fldChar w:fldCharType="begin"/>
          </w:r>
          <w:r>
            <w:instrText xml:space="preserve"> HYPERLINK \l _Toc13691 </w:instrText>
          </w:r>
          <w:r>
            <w:fldChar w:fldCharType="separate"/>
          </w:r>
          <w:r>
            <w:t>Part 3 Results for Publication Bias</w:t>
          </w:r>
          <w:r>
            <w:tab/>
          </w:r>
          <w:r>
            <w:fldChar w:fldCharType="begin"/>
          </w:r>
          <w:r>
            <w:instrText xml:space="preserve"> PAGEREF _Toc13691 \h </w:instrText>
          </w:r>
          <w:r>
            <w:fldChar w:fldCharType="separate"/>
          </w:r>
          <w:r>
            <w:t>9</w:t>
          </w:r>
          <w:r>
            <w:fldChar w:fldCharType="end"/>
          </w:r>
          <w:r>
            <w:fldChar w:fldCharType="end"/>
          </w:r>
        </w:p>
        <w:p w14:paraId="1BC60CF6">
          <w:pPr>
            <w:pStyle w:val="12"/>
            <w:tabs>
              <w:tab w:val="right" w:leader="dot" w:pos="8306"/>
            </w:tabs>
          </w:pPr>
          <w:r>
            <w:fldChar w:fldCharType="begin"/>
          </w:r>
          <w:r>
            <w:instrText xml:space="preserve"> HYPERLINK \l _Toc28472 </w:instrText>
          </w:r>
          <w:r>
            <w:fldChar w:fldCharType="separate"/>
          </w:r>
          <w:r>
            <w:t>Table S2  League Table for Network Meta-analysis of Safety</w:t>
          </w:r>
          <w:r>
            <w:tab/>
          </w:r>
          <w:r>
            <w:fldChar w:fldCharType="begin"/>
          </w:r>
          <w:r>
            <w:instrText xml:space="preserve"> PAGEREF _Toc28472 \h </w:instrText>
          </w:r>
          <w:r>
            <w:fldChar w:fldCharType="separate"/>
          </w:r>
          <w:r>
            <w:t>10</w:t>
          </w:r>
          <w:r>
            <w:fldChar w:fldCharType="end"/>
          </w:r>
          <w:r>
            <w:fldChar w:fldCharType="end"/>
          </w:r>
        </w:p>
        <w:p w14:paraId="31102EB0">
          <w:pPr>
            <w:pStyle w:val="12"/>
            <w:tabs>
              <w:tab w:val="right" w:leader="dot" w:pos="8306"/>
            </w:tabs>
          </w:pPr>
          <w:r>
            <w:fldChar w:fldCharType="begin"/>
          </w:r>
          <w:r>
            <w:instrText xml:space="preserve"> HYPERLINK \l _Toc870 </w:instrText>
          </w:r>
          <w:r>
            <w:fldChar w:fldCharType="separate"/>
          </w:r>
          <w:r>
            <w:t>Table S3 Summary of Fit Effects for Fractional Polynomial Models in the NMA</w:t>
          </w:r>
          <w:r>
            <w:tab/>
          </w:r>
          <w:r>
            <w:fldChar w:fldCharType="begin"/>
          </w:r>
          <w:r>
            <w:instrText xml:space="preserve"> PAGEREF _Toc870 \h </w:instrText>
          </w:r>
          <w:r>
            <w:fldChar w:fldCharType="separate"/>
          </w:r>
          <w:r>
            <w:t>11</w:t>
          </w:r>
          <w:r>
            <w:fldChar w:fldCharType="end"/>
          </w:r>
          <w:r>
            <w:fldChar w:fldCharType="end"/>
          </w:r>
        </w:p>
        <w:p w14:paraId="7E2ED666">
          <w:pPr>
            <w:pStyle w:val="12"/>
            <w:tabs>
              <w:tab w:val="right" w:leader="dot" w:pos="8306"/>
            </w:tabs>
          </w:pPr>
          <w:r>
            <w:fldChar w:fldCharType="begin"/>
          </w:r>
          <w:r>
            <w:instrText xml:space="preserve"> HYPERLINK \l _Toc26848 </w:instrText>
          </w:r>
          <w:r>
            <w:fldChar w:fldCharType="separate"/>
          </w:r>
          <w:r>
            <w:t>Table S4 Fit Effects of Various Parametric Models for the Reference Regimen</w:t>
          </w:r>
          <w:r>
            <w:tab/>
          </w:r>
          <w:r>
            <w:fldChar w:fldCharType="begin"/>
          </w:r>
          <w:r>
            <w:instrText xml:space="preserve"> PAGEREF _Toc26848 \h </w:instrText>
          </w:r>
          <w:r>
            <w:fldChar w:fldCharType="separate"/>
          </w:r>
          <w:r>
            <w:t>12</w:t>
          </w:r>
          <w:r>
            <w:fldChar w:fldCharType="end"/>
          </w:r>
          <w:r>
            <w:fldChar w:fldCharType="end"/>
          </w:r>
        </w:p>
        <w:p w14:paraId="0CA9364E">
          <w:pPr>
            <w:pStyle w:val="12"/>
            <w:tabs>
              <w:tab w:val="right" w:leader="dot" w:pos="8306"/>
            </w:tabs>
          </w:pPr>
          <w:r>
            <w:fldChar w:fldCharType="begin"/>
          </w:r>
          <w:r>
            <w:instrText xml:space="preserve"> HYPERLINK \l _Toc24531 </w:instrText>
          </w:r>
          <w:r>
            <w:fldChar w:fldCharType="separate"/>
          </w:r>
          <w:r>
            <w:t>Table S</w:t>
          </w:r>
          <w:r>
            <w:rPr>
              <w:rFonts w:hint="eastAsia" w:eastAsia="宋体"/>
              <w:lang w:val="en-US" w:eastAsia="zh-CN"/>
            </w:rPr>
            <w:t>5</w:t>
          </w:r>
          <w:r>
            <w:t xml:space="preserve"> </w:t>
          </w:r>
          <w:r>
            <w:rPr>
              <w:rFonts w:hint="eastAsia" w:eastAsia="宋体"/>
              <w:lang w:val="en-US" w:eastAsia="zh-CN"/>
            </w:rPr>
            <w:t>Subgroup Analysis Results for OS and PFS</w:t>
          </w:r>
          <w:r>
            <w:tab/>
          </w:r>
          <w:r>
            <w:fldChar w:fldCharType="begin"/>
          </w:r>
          <w:r>
            <w:instrText xml:space="preserve"> PAGEREF _Toc24531 \h </w:instrText>
          </w:r>
          <w:r>
            <w:fldChar w:fldCharType="separate"/>
          </w:r>
          <w:r>
            <w:t>13</w:t>
          </w:r>
          <w:r>
            <w:fldChar w:fldCharType="end"/>
          </w:r>
          <w:r>
            <w:fldChar w:fldCharType="end"/>
          </w:r>
        </w:p>
        <w:p w14:paraId="09A97200">
          <w:r>
            <w:fldChar w:fldCharType="end"/>
          </w:r>
        </w:p>
      </w:sdtContent>
    </w:sdt>
    <w:p w14:paraId="0CA115B5">
      <w:pPr>
        <w:jc w:val="center"/>
        <w:outlineLvl w:val="0"/>
        <w:rPr>
          <w:rFonts w:cs="Times New Roman"/>
          <w:b/>
          <w:bCs/>
          <w:sz w:val="22"/>
        </w:rPr>
      </w:pPr>
      <w:r>
        <w:rPr>
          <w:rFonts w:hint="eastAsia" w:cs="Times New Roman"/>
          <w:b/>
          <w:bCs/>
          <w:sz w:val="22"/>
        </w:rPr>
        <w:br w:type="page"/>
      </w:r>
    </w:p>
    <w:p w14:paraId="060F9057">
      <w:pPr>
        <w:pStyle w:val="2"/>
        <w:rPr>
          <w:rFonts w:hint="default" w:eastAsia="宋体"/>
        </w:rPr>
      </w:pPr>
      <w:bookmarkStart w:id="2" w:name="_Toc12187"/>
      <w:r>
        <w:rPr>
          <w:rFonts w:eastAsia="宋体"/>
        </w:rPr>
        <w:t>Part 1</w:t>
      </w:r>
      <w:r>
        <w:t>. Search terms for meta-analysis</w:t>
      </w:r>
      <w:r>
        <w:rPr>
          <w:rFonts w:eastAsia="宋体"/>
        </w:rPr>
        <w:t xml:space="preserve"> (</w:t>
      </w:r>
      <w:r>
        <w:rPr>
          <w:szCs w:val="20"/>
        </w:rPr>
        <w:t>PubMed, EMBASE</w:t>
      </w:r>
      <w:r>
        <w:rPr>
          <w:rFonts w:eastAsia="宋体"/>
        </w:rPr>
        <w:t>)</w:t>
      </w:r>
      <w:bookmarkEnd w:id="2"/>
    </w:p>
    <w:p w14:paraId="49ABB4B1">
      <w:pPr>
        <w:numPr>
          <w:ilvl w:val="0"/>
          <w:numId w:val="1"/>
        </w:numPr>
      </w:pPr>
      <w:r>
        <w:rPr>
          <w:rFonts w:hint="eastAsia"/>
        </w:rPr>
        <w:t>("colorectal cancer"[Title])AND ("Refractory"[Title/Abstract] OR "Advanced"[Title/Abstract]) AND "English"[Language] AND ("compare"[Title/Abstract] OR "comparison"[Title/Abstract] OR "comparative"[Title/Abstract] OR "comparing"[Title/Abstract] OR "versus"[Title/Abstract] OR "vs"[Title/Abstract]) AND ("randomized controlled trial"[Publication Type] OR "controlled clinical trial"[Publication Type] OR "Randomized"[Title/Abstract] OR "randomised"[Title/Abstract] OR "randomly"[Title/Abstract] OR "clinical"[Title/Abstract] OR "Trial"[Title/Abstract] OR "phase"[Title/Abstract])</w:t>
      </w:r>
    </w:p>
    <w:p w14:paraId="15C03B26">
      <w:r>
        <w:rPr>
          <w:rFonts w:hint="eastAsia"/>
        </w:rPr>
        <w:t>2.</w:t>
      </w:r>
      <w:r>
        <w:rPr>
          <w:rFonts w:hint="eastAsia" w:eastAsia="宋体"/>
        </w:rPr>
        <w:t xml:space="preserve"> </w:t>
      </w:r>
      <w:r>
        <w:rPr>
          <w:rFonts w:hint="eastAsia"/>
        </w:rPr>
        <w:t>("randomized controlled trial"[Publication Type] OR "controlled clinical trial"[Publication Type] OR "Randomized"[Title/Abstract] OR "randomised"[Title/Abstract] OR "randomly"[Title/Abstract] OR "Trial"[Title/Abstract] OR "phase"[Title/Abstract])) OR (("colorectal Carcinoma"[Title] OR "colorectal adenocarcinoma"[Title]) AND ("Refractory"[Title/Abstract] OR "Advanced"[Title/Abstract]) AND "English"[Language] AND ("randomized controlled trial"[Publication Type] OR "controlled clinical trial"[Publication Type] OR "Randomized"[Title/Abstract] OR "randomised"[Title/Abstract] OR "randomly"[Title/Abstract] OR "Trial"[Title/Abstract] OR "phase"[Title/Abstract]))</w:t>
      </w:r>
    </w:p>
    <w:p w14:paraId="5D3DB5ED">
      <w:r>
        <w:br w:type="page"/>
      </w:r>
    </w:p>
    <w:p w14:paraId="07A4B236">
      <w:pPr>
        <w:pStyle w:val="2"/>
        <w:rPr>
          <w:rFonts w:hint="default"/>
        </w:rPr>
      </w:pPr>
      <w:bookmarkStart w:id="3" w:name="_Toc15161"/>
      <w:r>
        <w:t>Table S1 Values, Distributions, and Sources of Parameters in Cost-Effectiveness Analysis</w:t>
      </w:r>
      <w:bookmarkEnd w:id="3"/>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6"/>
        <w:gridCol w:w="757"/>
        <w:gridCol w:w="757"/>
        <w:gridCol w:w="757"/>
        <w:gridCol w:w="914"/>
        <w:gridCol w:w="881"/>
      </w:tblGrid>
      <w:tr w14:paraId="070A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F3E65A2">
            <w:pPr>
              <w:pStyle w:val="24"/>
              <w:rPr>
                <w:sz w:val="16"/>
                <w:szCs w:val="16"/>
              </w:rPr>
            </w:pPr>
            <w:r>
              <w:rPr>
                <w:rFonts w:hint="eastAsia"/>
                <w:sz w:val="16"/>
                <w:szCs w:val="16"/>
              </w:rPr>
              <w:t>Parameters</w:t>
            </w:r>
          </w:p>
        </w:tc>
        <w:tc>
          <w:tcPr>
            <w:tcW w:w="506" w:type="pct"/>
            <w:shd w:val="clear" w:color="auto" w:fill="auto"/>
            <w:noWrap/>
            <w:vAlign w:val="center"/>
          </w:tcPr>
          <w:p w14:paraId="1C142E3F">
            <w:pPr>
              <w:pStyle w:val="24"/>
              <w:rPr>
                <w:sz w:val="16"/>
                <w:szCs w:val="16"/>
              </w:rPr>
            </w:pPr>
            <w:r>
              <w:rPr>
                <w:rFonts w:hint="eastAsia"/>
                <w:sz w:val="16"/>
                <w:szCs w:val="16"/>
              </w:rPr>
              <w:t>Mean</w:t>
            </w:r>
          </w:p>
        </w:tc>
        <w:tc>
          <w:tcPr>
            <w:tcW w:w="506" w:type="pct"/>
            <w:shd w:val="clear" w:color="auto" w:fill="auto"/>
            <w:noWrap/>
            <w:vAlign w:val="center"/>
          </w:tcPr>
          <w:p w14:paraId="3E6F6F84">
            <w:pPr>
              <w:pStyle w:val="24"/>
              <w:rPr>
                <w:sz w:val="16"/>
                <w:szCs w:val="16"/>
              </w:rPr>
            </w:pPr>
            <w:r>
              <w:rPr>
                <w:rFonts w:hint="eastAsia"/>
                <w:sz w:val="16"/>
                <w:szCs w:val="16"/>
              </w:rPr>
              <w:t>Upper</w:t>
            </w:r>
          </w:p>
        </w:tc>
        <w:tc>
          <w:tcPr>
            <w:tcW w:w="509" w:type="pct"/>
            <w:shd w:val="clear" w:color="auto" w:fill="auto"/>
            <w:noWrap/>
            <w:vAlign w:val="center"/>
          </w:tcPr>
          <w:p w14:paraId="24731D38">
            <w:pPr>
              <w:pStyle w:val="24"/>
              <w:rPr>
                <w:sz w:val="16"/>
                <w:szCs w:val="16"/>
              </w:rPr>
            </w:pPr>
            <w:r>
              <w:rPr>
                <w:rFonts w:hint="eastAsia"/>
                <w:sz w:val="16"/>
                <w:szCs w:val="16"/>
              </w:rPr>
              <w:t>Lower</w:t>
            </w:r>
          </w:p>
        </w:tc>
        <w:tc>
          <w:tcPr>
            <w:tcW w:w="512" w:type="pct"/>
            <w:shd w:val="clear" w:color="auto" w:fill="auto"/>
            <w:noWrap/>
            <w:vAlign w:val="center"/>
          </w:tcPr>
          <w:p w14:paraId="6B9C3B0F">
            <w:pPr>
              <w:pStyle w:val="24"/>
              <w:rPr>
                <w:sz w:val="16"/>
                <w:szCs w:val="16"/>
              </w:rPr>
            </w:pPr>
            <w:r>
              <w:rPr>
                <w:rFonts w:hint="eastAsia"/>
                <w:sz w:val="16"/>
                <w:szCs w:val="16"/>
              </w:rPr>
              <w:t>Distribution</w:t>
            </w:r>
          </w:p>
        </w:tc>
        <w:tc>
          <w:tcPr>
            <w:tcW w:w="494" w:type="pct"/>
            <w:shd w:val="clear" w:color="auto" w:fill="auto"/>
            <w:noWrap/>
            <w:vAlign w:val="center"/>
          </w:tcPr>
          <w:p w14:paraId="46371CFB">
            <w:pPr>
              <w:pStyle w:val="24"/>
              <w:rPr>
                <w:sz w:val="16"/>
                <w:szCs w:val="16"/>
              </w:rPr>
            </w:pPr>
            <w:r>
              <w:rPr>
                <w:rFonts w:hint="eastAsia"/>
                <w:sz w:val="16"/>
                <w:szCs w:val="16"/>
              </w:rPr>
              <w:t>Source</w:t>
            </w:r>
          </w:p>
        </w:tc>
      </w:tr>
      <w:tr w14:paraId="1D988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9A73AED">
            <w:pPr>
              <w:pStyle w:val="24"/>
              <w:rPr>
                <w:sz w:val="16"/>
                <w:szCs w:val="16"/>
              </w:rPr>
            </w:pPr>
            <w:r>
              <w:rPr>
                <w:rFonts w:hint="eastAsia"/>
                <w:sz w:val="16"/>
                <w:szCs w:val="16"/>
              </w:rPr>
              <w:t>Cost Parameters</w:t>
            </w:r>
          </w:p>
        </w:tc>
        <w:tc>
          <w:tcPr>
            <w:tcW w:w="506" w:type="pct"/>
            <w:shd w:val="clear" w:color="auto" w:fill="auto"/>
            <w:noWrap/>
            <w:vAlign w:val="center"/>
          </w:tcPr>
          <w:p w14:paraId="119AB6C8">
            <w:pPr>
              <w:pStyle w:val="24"/>
              <w:rPr>
                <w:sz w:val="16"/>
                <w:szCs w:val="16"/>
              </w:rPr>
            </w:pPr>
            <w:r>
              <w:rPr>
                <w:rFonts w:hint="eastAsia"/>
                <w:sz w:val="16"/>
                <w:szCs w:val="16"/>
              </w:rPr>
              <w:t>　</w:t>
            </w:r>
          </w:p>
        </w:tc>
        <w:tc>
          <w:tcPr>
            <w:tcW w:w="506" w:type="pct"/>
            <w:shd w:val="clear" w:color="auto" w:fill="auto"/>
            <w:noWrap/>
            <w:vAlign w:val="center"/>
          </w:tcPr>
          <w:p w14:paraId="40C2A600">
            <w:pPr>
              <w:pStyle w:val="24"/>
              <w:rPr>
                <w:sz w:val="16"/>
                <w:szCs w:val="16"/>
              </w:rPr>
            </w:pPr>
            <w:r>
              <w:rPr>
                <w:rFonts w:hint="eastAsia"/>
                <w:sz w:val="16"/>
                <w:szCs w:val="16"/>
              </w:rPr>
              <w:t>　</w:t>
            </w:r>
          </w:p>
        </w:tc>
        <w:tc>
          <w:tcPr>
            <w:tcW w:w="509" w:type="pct"/>
            <w:shd w:val="clear" w:color="auto" w:fill="auto"/>
            <w:noWrap/>
            <w:vAlign w:val="center"/>
          </w:tcPr>
          <w:p w14:paraId="016FA168">
            <w:pPr>
              <w:pStyle w:val="24"/>
              <w:rPr>
                <w:sz w:val="16"/>
                <w:szCs w:val="16"/>
              </w:rPr>
            </w:pPr>
            <w:r>
              <w:rPr>
                <w:rFonts w:hint="eastAsia"/>
                <w:sz w:val="16"/>
                <w:szCs w:val="16"/>
              </w:rPr>
              <w:t>　</w:t>
            </w:r>
          </w:p>
        </w:tc>
        <w:tc>
          <w:tcPr>
            <w:tcW w:w="512" w:type="pct"/>
            <w:shd w:val="clear" w:color="auto" w:fill="auto"/>
            <w:noWrap/>
            <w:vAlign w:val="center"/>
          </w:tcPr>
          <w:p w14:paraId="37A8FEBC">
            <w:pPr>
              <w:pStyle w:val="24"/>
              <w:rPr>
                <w:sz w:val="16"/>
                <w:szCs w:val="16"/>
              </w:rPr>
            </w:pPr>
            <w:r>
              <w:rPr>
                <w:rFonts w:hint="eastAsia"/>
                <w:sz w:val="16"/>
                <w:szCs w:val="16"/>
              </w:rPr>
              <w:t>　</w:t>
            </w:r>
          </w:p>
        </w:tc>
        <w:tc>
          <w:tcPr>
            <w:tcW w:w="494" w:type="pct"/>
            <w:shd w:val="clear" w:color="auto" w:fill="auto"/>
            <w:noWrap/>
            <w:vAlign w:val="center"/>
          </w:tcPr>
          <w:p w14:paraId="3C91B20E">
            <w:pPr>
              <w:pStyle w:val="24"/>
              <w:rPr>
                <w:sz w:val="16"/>
                <w:szCs w:val="16"/>
              </w:rPr>
            </w:pPr>
            <w:r>
              <w:rPr>
                <w:rFonts w:hint="eastAsia"/>
                <w:sz w:val="16"/>
                <w:szCs w:val="16"/>
              </w:rPr>
              <w:t>　</w:t>
            </w:r>
          </w:p>
        </w:tc>
      </w:tr>
      <w:tr w14:paraId="3D542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DB3B379">
            <w:pPr>
              <w:pStyle w:val="24"/>
              <w:rPr>
                <w:sz w:val="16"/>
                <w:szCs w:val="16"/>
              </w:rPr>
            </w:pPr>
            <w:r>
              <w:rPr>
                <w:rFonts w:hint="eastAsia"/>
                <w:sz w:val="16"/>
                <w:szCs w:val="16"/>
              </w:rPr>
              <w:t>Price of Bevacizumab (25MG/ML INJ,4ML), $</w:t>
            </w:r>
          </w:p>
        </w:tc>
        <w:tc>
          <w:tcPr>
            <w:tcW w:w="506" w:type="pct"/>
            <w:shd w:val="clear" w:color="auto" w:fill="auto"/>
            <w:noWrap/>
            <w:vAlign w:val="center"/>
          </w:tcPr>
          <w:p w14:paraId="39B7606F">
            <w:pPr>
              <w:pStyle w:val="24"/>
              <w:rPr>
                <w:sz w:val="16"/>
                <w:szCs w:val="16"/>
              </w:rPr>
            </w:pPr>
            <w:r>
              <w:rPr>
                <w:rFonts w:hint="eastAsia"/>
                <w:sz w:val="16"/>
                <w:szCs w:val="16"/>
              </w:rPr>
              <w:t>541.66</w:t>
            </w:r>
          </w:p>
        </w:tc>
        <w:tc>
          <w:tcPr>
            <w:tcW w:w="506" w:type="pct"/>
            <w:shd w:val="clear" w:color="auto" w:fill="auto"/>
            <w:noWrap/>
            <w:vAlign w:val="center"/>
          </w:tcPr>
          <w:p w14:paraId="27739DFA">
            <w:pPr>
              <w:pStyle w:val="24"/>
              <w:rPr>
                <w:sz w:val="16"/>
                <w:szCs w:val="16"/>
              </w:rPr>
            </w:pPr>
            <w:r>
              <w:rPr>
                <w:rFonts w:hint="eastAsia"/>
                <w:sz w:val="16"/>
                <w:szCs w:val="16"/>
              </w:rPr>
              <w:t>232.41</w:t>
            </w:r>
          </w:p>
        </w:tc>
        <w:tc>
          <w:tcPr>
            <w:tcW w:w="509" w:type="pct"/>
            <w:shd w:val="clear" w:color="auto" w:fill="auto"/>
            <w:noWrap/>
            <w:vAlign w:val="center"/>
          </w:tcPr>
          <w:p w14:paraId="6F46F4CB">
            <w:pPr>
              <w:pStyle w:val="24"/>
              <w:rPr>
                <w:sz w:val="16"/>
                <w:szCs w:val="16"/>
              </w:rPr>
            </w:pPr>
            <w:r>
              <w:rPr>
                <w:rFonts w:hint="eastAsia"/>
                <w:sz w:val="16"/>
                <w:szCs w:val="16"/>
              </w:rPr>
              <w:t>784.92</w:t>
            </w:r>
          </w:p>
        </w:tc>
        <w:tc>
          <w:tcPr>
            <w:tcW w:w="512" w:type="pct"/>
            <w:shd w:val="clear" w:color="auto" w:fill="auto"/>
            <w:noWrap/>
            <w:vAlign w:val="center"/>
          </w:tcPr>
          <w:p w14:paraId="2855FB9A">
            <w:pPr>
              <w:pStyle w:val="24"/>
              <w:rPr>
                <w:sz w:val="16"/>
                <w:szCs w:val="16"/>
              </w:rPr>
            </w:pPr>
            <w:r>
              <w:rPr>
                <w:rFonts w:hint="eastAsia"/>
                <w:sz w:val="16"/>
                <w:szCs w:val="16"/>
              </w:rPr>
              <w:t>Gamma</w:t>
            </w:r>
          </w:p>
        </w:tc>
        <w:tc>
          <w:tcPr>
            <w:tcW w:w="494" w:type="pct"/>
            <w:shd w:val="clear" w:color="auto" w:fill="auto"/>
            <w:noWrap/>
            <w:vAlign w:val="center"/>
          </w:tcPr>
          <w:p w14:paraId="21CCAC73">
            <w:pPr>
              <w:pStyle w:val="24"/>
              <w:rPr>
                <w:sz w:val="16"/>
                <w:szCs w:val="16"/>
              </w:rPr>
            </w:pPr>
            <w:r>
              <w:rPr>
                <w:sz w:val="16"/>
                <w:szCs w:val="16"/>
              </w:rPr>
              <w:fldChar w:fldCharType="begin"/>
            </w:r>
            <w:r>
              <w:rPr>
                <w:sz w:val="16"/>
                <w:szCs w:val="16"/>
              </w:rPr>
              <w:instrText xml:space="preserve"> ADDIN NE.Ref.{3194EF49-648F-4184-9E88-4B3B1A6990E6}</w:instrText>
            </w:r>
            <w:r>
              <w:rPr>
                <w:sz w:val="16"/>
                <w:szCs w:val="16"/>
              </w:rPr>
              <w:fldChar w:fldCharType="separate"/>
            </w:r>
            <w:r>
              <w:rPr>
                <w:rFonts w:eastAsia="宋体" w:cs="Times New Roman"/>
                <w:color w:val="080000"/>
                <w:kern w:val="0"/>
                <w:sz w:val="16"/>
                <w:szCs w:val="16"/>
              </w:rPr>
              <w:t>[1]</w:t>
            </w:r>
            <w:r>
              <w:rPr>
                <w:sz w:val="16"/>
                <w:szCs w:val="16"/>
              </w:rPr>
              <w:fldChar w:fldCharType="end"/>
            </w:r>
            <w:r>
              <w:rPr>
                <w:rFonts w:hint="eastAsia"/>
                <w:sz w:val="16"/>
                <w:szCs w:val="16"/>
              </w:rPr>
              <w:t>　</w:t>
            </w:r>
          </w:p>
        </w:tc>
      </w:tr>
      <w:tr w14:paraId="0115E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9EADC18">
            <w:pPr>
              <w:pStyle w:val="24"/>
              <w:rPr>
                <w:sz w:val="16"/>
                <w:szCs w:val="16"/>
              </w:rPr>
            </w:pPr>
            <w:r>
              <w:rPr>
                <w:rFonts w:hint="eastAsia"/>
                <w:sz w:val="16"/>
                <w:szCs w:val="16"/>
              </w:rPr>
              <w:t>Price of Regorafenib, $</w:t>
            </w:r>
          </w:p>
        </w:tc>
        <w:tc>
          <w:tcPr>
            <w:tcW w:w="506" w:type="pct"/>
            <w:shd w:val="clear" w:color="auto" w:fill="auto"/>
            <w:noWrap/>
            <w:vAlign w:val="center"/>
          </w:tcPr>
          <w:p w14:paraId="47878123">
            <w:pPr>
              <w:pStyle w:val="24"/>
              <w:rPr>
                <w:sz w:val="16"/>
                <w:szCs w:val="16"/>
              </w:rPr>
            </w:pPr>
            <w:r>
              <w:rPr>
                <w:rFonts w:hint="eastAsia"/>
                <w:sz w:val="16"/>
                <w:szCs w:val="16"/>
              </w:rPr>
              <w:t>19311.88</w:t>
            </w:r>
          </w:p>
        </w:tc>
        <w:tc>
          <w:tcPr>
            <w:tcW w:w="506" w:type="pct"/>
            <w:shd w:val="clear" w:color="auto" w:fill="auto"/>
            <w:noWrap/>
            <w:vAlign w:val="center"/>
          </w:tcPr>
          <w:p w14:paraId="521EDEE2">
            <w:pPr>
              <w:pStyle w:val="24"/>
              <w:rPr>
                <w:sz w:val="16"/>
                <w:szCs w:val="16"/>
              </w:rPr>
            </w:pPr>
            <w:r>
              <w:rPr>
                <w:rFonts w:hint="eastAsia"/>
                <w:sz w:val="16"/>
                <w:szCs w:val="16"/>
              </w:rPr>
              <w:t>15449.50</w:t>
            </w:r>
          </w:p>
        </w:tc>
        <w:tc>
          <w:tcPr>
            <w:tcW w:w="509" w:type="pct"/>
            <w:shd w:val="clear" w:color="auto" w:fill="auto"/>
            <w:noWrap/>
            <w:vAlign w:val="center"/>
          </w:tcPr>
          <w:p w14:paraId="6C170C04">
            <w:pPr>
              <w:pStyle w:val="24"/>
              <w:rPr>
                <w:sz w:val="16"/>
                <w:szCs w:val="16"/>
              </w:rPr>
            </w:pPr>
            <w:r>
              <w:rPr>
                <w:rFonts w:hint="eastAsia"/>
                <w:sz w:val="16"/>
                <w:szCs w:val="16"/>
              </w:rPr>
              <w:t>23174.26</w:t>
            </w:r>
          </w:p>
        </w:tc>
        <w:tc>
          <w:tcPr>
            <w:tcW w:w="512" w:type="pct"/>
            <w:shd w:val="clear" w:color="auto" w:fill="auto"/>
            <w:noWrap/>
            <w:vAlign w:val="center"/>
          </w:tcPr>
          <w:p w14:paraId="24AEB21D">
            <w:pPr>
              <w:pStyle w:val="24"/>
              <w:rPr>
                <w:sz w:val="16"/>
                <w:szCs w:val="16"/>
              </w:rPr>
            </w:pPr>
            <w:r>
              <w:rPr>
                <w:rFonts w:hint="eastAsia"/>
                <w:sz w:val="16"/>
                <w:szCs w:val="16"/>
              </w:rPr>
              <w:t>Gamma</w:t>
            </w:r>
          </w:p>
        </w:tc>
        <w:tc>
          <w:tcPr>
            <w:tcW w:w="494" w:type="pct"/>
            <w:shd w:val="clear" w:color="auto" w:fill="auto"/>
            <w:noWrap/>
            <w:vAlign w:val="center"/>
          </w:tcPr>
          <w:p w14:paraId="052AAE11">
            <w:pPr>
              <w:pStyle w:val="24"/>
              <w:rPr>
                <w:sz w:val="16"/>
                <w:szCs w:val="16"/>
              </w:rPr>
            </w:pPr>
            <w:r>
              <w:rPr>
                <w:rFonts w:hint="eastAsia"/>
                <w:sz w:val="16"/>
                <w:szCs w:val="16"/>
              </w:rPr>
              <w:t>　</w:t>
            </w:r>
            <w:r>
              <w:rPr>
                <w:sz w:val="16"/>
                <w:szCs w:val="16"/>
              </w:rPr>
              <w:fldChar w:fldCharType="begin"/>
            </w:r>
            <w:r>
              <w:rPr>
                <w:sz w:val="16"/>
                <w:szCs w:val="16"/>
              </w:rPr>
              <w:instrText xml:space="preserve"> ADDIN NE.Ref.{5C50F931-A370-4E0D-9746-BBEA289DC247}</w:instrText>
            </w:r>
            <w:r>
              <w:rPr>
                <w:sz w:val="16"/>
                <w:szCs w:val="16"/>
              </w:rPr>
              <w:fldChar w:fldCharType="separate"/>
            </w:r>
            <w:r>
              <w:rPr>
                <w:rFonts w:eastAsia="宋体" w:cs="Times New Roman"/>
                <w:color w:val="080000"/>
                <w:kern w:val="0"/>
                <w:sz w:val="16"/>
                <w:szCs w:val="16"/>
              </w:rPr>
              <w:t>[1]</w:t>
            </w:r>
            <w:r>
              <w:rPr>
                <w:sz w:val="16"/>
                <w:szCs w:val="16"/>
              </w:rPr>
              <w:fldChar w:fldCharType="end"/>
            </w:r>
          </w:p>
        </w:tc>
      </w:tr>
      <w:tr w14:paraId="59006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E8BFAFD">
            <w:pPr>
              <w:pStyle w:val="24"/>
              <w:rPr>
                <w:sz w:val="16"/>
                <w:szCs w:val="16"/>
              </w:rPr>
            </w:pPr>
            <w:r>
              <w:rPr>
                <w:rFonts w:hint="eastAsia"/>
                <w:sz w:val="16"/>
                <w:szCs w:val="16"/>
              </w:rPr>
              <w:t>Price of Fruquintinib, $</w:t>
            </w:r>
          </w:p>
        </w:tc>
        <w:tc>
          <w:tcPr>
            <w:tcW w:w="506" w:type="pct"/>
            <w:shd w:val="clear" w:color="auto" w:fill="auto"/>
            <w:noWrap/>
            <w:vAlign w:val="center"/>
          </w:tcPr>
          <w:p w14:paraId="5D1695D5">
            <w:pPr>
              <w:pStyle w:val="24"/>
              <w:rPr>
                <w:sz w:val="16"/>
                <w:szCs w:val="16"/>
              </w:rPr>
            </w:pPr>
            <w:r>
              <w:rPr>
                <w:rFonts w:hint="eastAsia"/>
                <w:sz w:val="16"/>
                <w:szCs w:val="16"/>
              </w:rPr>
              <w:t>25200.00</w:t>
            </w:r>
          </w:p>
        </w:tc>
        <w:tc>
          <w:tcPr>
            <w:tcW w:w="506" w:type="pct"/>
            <w:shd w:val="clear" w:color="auto" w:fill="auto"/>
            <w:noWrap/>
            <w:vAlign w:val="center"/>
          </w:tcPr>
          <w:p w14:paraId="4CA39BA2">
            <w:pPr>
              <w:pStyle w:val="24"/>
              <w:rPr>
                <w:sz w:val="16"/>
                <w:szCs w:val="16"/>
              </w:rPr>
            </w:pPr>
            <w:r>
              <w:rPr>
                <w:rFonts w:hint="eastAsia"/>
                <w:sz w:val="16"/>
                <w:szCs w:val="16"/>
              </w:rPr>
              <w:t>20160.00</w:t>
            </w:r>
          </w:p>
        </w:tc>
        <w:tc>
          <w:tcPr>
            <w:tcW w:w="509" w:type="pct"/>
            <w:shd w:val="clear" w:color="auto" w:fill="auto"/>
            <w:noWrap/>
            <w:vAlign w:val="center"/>
          </w:tcPr>
          <w:p w14:paraId="23FBBEF8">
            <w:pPr>
              <w:pStyle w:val="24"/>
              <w:rPr>
                <w:sz w:val="16"/>
                <w:szCs w:val="16"/>
              </w:rPr>
            </w:pPr>
            <w:r>
              <w:rPr>
                <w:rFonts w:hint="eastAsia"/>
                <w:sz w:val="16"/>
                <w:szCs w:val="16"/>
              </w:rPr>
              <w:t>30240.00</w:t>
            </w:r>
          </w:p>
        </w:tc>
        <w:tc>
          <w:tcPr>
            <w:tcW w:w="512" w:type="pct"/>
            <w:shd w:val="clear" w:color="auto" w:fill="auto"/>
            <w:noWrap/>
            <w:vAlign w:val="center"/>
          </w:tcPr>
          <w:p w14:paraId="58664E06">
            <w:pPr>
              <w:pStyle w:val="24"/>
              <w:rPr>
                <w:sz w:val="16"/>
                <w:szCs w:val="16"/>
              </w:rPr>
            </w:pPr>
            <w:r>
              <w:rPr>
                <w:rFonts w:hint="eastAsia"/>
                <w:sz w:val="16"/>
                <w:szCs w:val="16"/>
              </w:rPr>
              <w:t>Gamma</w:t>
            </w:r>
          </w:p>
        </w:tc>
        <w:tc>
          <w:tcPr>
            <w:tcW w:w="494" w:type="pct"/>
            <w:shd w:val="clear" w:color="auto" w:fill="auto"/>
            <w:noWrap/>
            <w:vAlign w:val="center"/>
          </w:tcPr>
          <w:p w14:paraId="01235460">
            <w:pPr>
              <w:pStyle w:val="24"/>
              <w:rPr>
                <w:sz w:val="16"/>
                <w:szCs w:val="16"/>
              </w:rPr>
            </w:pPr>
            <w:r>
              <w:rPr>
                <w:sz w:val="16"/>
                <w:szCs w:val="16"/>
              </w:rPr>
              <w:fldChar w:fldCharType="begin"/>
            </w:r>
            <w:r>
              <w:rPr>
                <w:sz w:val="16"/>
                <w:szCs w:val="16"/>
              </w:rPr>
              <w:instrText xml:space="preserve"> ADDIN NE.Ref.{A3F7109B-BA92-484E-AB2D-188734C0579B}</w:instrText>
            </w:r>
            <w:r>
              <w:rPr>
                <w:sz w:val="16"/>
                <w:szCs w:val="16"/>
              </w:rPr>
              <w:fldChar w:fldCharType="separate"/>
            </w:r>
            <w:r>
              <w:rPr>
                <w:rFonts w:eastAsia="宋体" w:cs="Times New Roman"/>
                <w:color w:val="080000"/>
                <w:kern w:val="0"/>
                <w:sz w:val="16"/>
                <w:szCs w:val="16"/>
              </w:rPr>
              <w:t>[1]</w:t>
            </w:r>
            <w:r>
              <w:rPr>
                <w:sz w:val="16"/>
                <w:szCs w:val="16"/>
              </w:rPr>
              <w:fldChar w:fldCharType="end"/>
            </w:r>
            <w:r>
              <w:rPr>
                <w:rFonts w:hint="eastAsia"/>
                <w:sz w:val="16"/>
                <w:szCs w:val="16"/>
              </w:rPr>
              <w:t>　</w:t>
            </w:r>
          </w:p>
        </w:tc>
      </w:tr>
      <w:tr w14:paraId="2820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5B4B95B">
            <w:pPr>
              <w:pStyle w:val="24"/>
              <w:rPr>
                <w:sz w:val="16"/>
                <w:szCs w:val="16"/>
              </w:rPr>
            </w:pPr>
            <w:r>
              <w:rPr>
                <w:rFonts w:hint="eastAsia"/>
                <w:sz w:val="16"/>
                <w:szCs w:val="16"/>
              </w:rPr>
              <w:t>Price of TAS-102 (TRI20/TIP8.19), $</w:t>
            </w:r>
          </w:p>
        </w:tc>
        <w:tc>
          <w:tcPr>
            <w:tcW w:w="506" w:type="pct"/>
            <w:shd w:val="clear" w:color="auto" w:fill="auto"/>
            <w:noWrap/>
            <w:vAlign w:val="center"/>
          </w:tcPr>
          <w:p w14:paraId="708A2207">
            <w:pPr>
              <w:pStyle w:val="24"/>
              <w:rPr>
                <w:sz w:val="16"/>
                <w:szCs w:val="16"/>
              </w:rPr>
            </w:pPr>
            <w:r>
              <w:rPr>
                <w:rFonts w:hint="eastAsia"/>
                <w:sz w:val="16"/>
                <w:szCs w:val="16"/>
              </w:rPr>
              <w:t>3654.69</w:t>
            </w:r>
          </w:p>
        </w:tc>
        <w:tc>
          <w:tcPr>
            <w:tcW w:w="506" w:type="pct"/>
            <w:shd w:val="clear" w:color="auto" w:fill="auto"/>
            <w:noWrap/>
            <w:vAlign w:val="center"/>
          </w:tcPr>
          <w:p w14:paraId="0359C9E1">
            <w:pPr>
              <w:pStyle w:val="24"/>
              <w:rPr>
                <w:sz w:val="16"/>
                <w:szCs w:val="16"/>
              </w:rPr>
            </w:pPr>
            <w:r>
              <w:rPr>
                <w:rFonts w:hint="eastAsia"/>
                <w:sz w:val="16"/>
                <w:szCs w:val="16"/>
              </w:rPr>
              <w:t>2923.75</w:t>
            </w:r>
          </w:p>
        </w:tc>
        <w:tc>
          <w:tcPr>
            <w:tcW w:w="509" w:type="pct"/>
            <w:shd w:val="clear" w:color="auto" w:fill="auto"/>
            <w:noWrap/>
            <w:vAlign w:val="center"/>
          </w:tcPr>
          <w:p w14:paraId="748F5D69">
            <w:pPr>
              <w:pStyle w:val="24"/>
              <w:rPr>
                <w:sz w:val="16"/>
                <w:szCs w:val="16"/>
              </w:rPr>
            </w:pPr>
            <w:r>
              <w:rPr>
                <w:rFonts w:hint="eastAsia"/>
                <w:sz w:val="16"/>
                <w:szCs w:val="16"/>
              </w:rPr>
              <w:t>4385.63</w:t>
            </w:r>
          </w:p>
        </w:tc>
        <w:tc>
          <w:tcPr>
            <w:tcW w:w="512" w:type="pct"/>
            <w:shd w:val="clear" w:color="auto" w:fill="auto"/>
            <w:noWrap/>
            <w:vAlign w:val="center"/>
          </w:tcPr>
          <w:p w14:paraId="5241DA53">
            <w:pPr>
              <w:pStyle w:val="24"/>
              <w:rPr>
                <w:sz w:val="16"/>
                <w:szCs w:val="16"/>
              </w:rPr>
            </w:pPr>
            <w:r>
              <w:rPr>
                <w:rFonts w:hint="eastAsia"/>
                <w:sz w:val="16"/>
                <w:szCs w:val="16"/>
              </w:rPr>
              <w:t>Gamma</w:t>
            </w:r>
          </w:p>
        </w:tc>
        <w:tc>
          <w:tcPr>
            <w:tcW w:w="494" w:type="pct"/>
            <w:shd w:val="clear" w:color="auto" w:fill="auto"/>
            <w:noWrap/>
            <w:vAlign w:val="center"/>
          </w:tcPr>
          <w:p w14:paraId="3E840C4F">
            <w:pPr>
              <w:pStyle w:val="24"/>
              <w:rPr>
                <w:sz w:val="16"/>
                <w:szCs w:val="16"/>
              </w:rPr>
            </w:pPr>
            <w:r>
              <w:rPr>
                <w:sz w:val="16"/>
                <w:szCs w:val="16"/>
              </w:rPr>
              <w:fldChar w:fldCharType="begin"/>
            </w:r>
            <w:r>
              <w:rPr>
                <w:sz w:val="16"/>
                <w:szCs w:val="16"/>
              </w:rPr>
              <w:instrText xml:space="preserve"> ADDIN NE.Ref.{582F4D5F-40F6-4692-B601-CF7211A126EB}</w:instrText>
            </w:r>
            <w:r>
              <w:rPr>
                <w:sz w:val="16"/>
                <w:szCs w:val="16"/>
              </w:rPr>
              <w:fldChar w:fldCharType="separate"/>
            </w:r>
            <w:r>
              <w:rPr>
                <w:rFonts w:eastAsia="宋体" w:cs="Times New Roman"/>
                <w:color w:val="080000"/>
                <w:kern w:val="0"/>
                <w:sz w:val="16"/>
                <w:szCs w:val="16"/>
              </w:rPr>
              <w:t>[1]</w:t>
            </w:r>
            <w:r>
              <w:rPr>
                <w:sz w:val="16"/>
                <w:szCs w:val="16"/>
              </w:rPr>
              <w:fldChar w:fldCharType="end"/>
            </w:r>
            <w:r>
              <w:rPr>
                <w:rFonts w:hint="eastAsia"/>
                <w:sz w:val="16"/>
                <w:szCs w:val="16"/>
              </w:rPr>
              <w:t>　</w:t>
            </w:r>
          </w:p>
        </w:tc>
      </w:tr>
      <w:tr w14:paraId="4B9AB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41BC0F8">
            <w:pPr>
              <w:pStyle w:val="24"/>
              <w:rPr>
                <w:sz w:val="16"/>
                <w:szCs w:val="16"/>
              </w:rPr>
            </w:pPr>
            <w:r>
              <w:rPr>
                <w:rFonts w:hint="eastAsia"/>
                <w:sz w:val="16"/>
                <w:szCs w:val="16"/>
              </w:rPr>
              <w:t>Price of TAS-102 (TR15/TIP6.14), $</w:t>
            </w:r>
          </w:p>
        </w:tc>
        <w:tc>
          <w:tcPr>
            <w:tcW w:w="506" w:type="pct"/>
            <w:shd w:val="clear" w:color="auto" w:fill="auto"/>
            <w:noWrap/>
            <w:vAlign w:val="center"/>
          </w:tcPr>
          <w:p w14:paraId="10E6466E">
            <w:pPr>
              <w:pStyle w:val="24"/>
              <w:rPr>
                <w:sz w:val="16"/>
                <w:szCs w:val="16"/>
              </w:rPr>
            </w:pPr>
            <w:r>
              <w:rPr>
                <w:rFonts w:hint="eastAsia"/>
                <w:sz w:val="16"/>
                <w:szCs w:val="16"/>
              </w:rPr>
              <w:t>2723.81</w:t>
            </w:r>
          </w:p>
        </w:tc>
        <w:tc>
          <w:tcPr>
            <w:tcW w:w="506" w:type="pct"/>
            <w:shd w:val="clear" w:color="auto" w:fill="auto"/>
            <w:noWrap/>
            <w:vAlign w:val="center"/>
          </w:tcPr>
          <w:p w14:paraId="125D810E">
            <w:pPr>
              <w:pStyle w:val="24"/>
              <w:rPr>
                <w:sz w:val="16"/>
                <w:szCs w:val="16"/>
              </w:rPr>
            </w:pPr>
            <w:r>
              <w:rPr>
                <w:rFonts w:hint="eastAsia"/>
                <w:sz w:val="16"/>
                <w:szCs w:val="16"/>
              </w:rPr>
              <w:t>2179.05</w:t>
            </w:r>
          </w:p>
        </w:tc>
        <w:tc>
          <w:tcPr>
            <w:tcW w:w="509" w:type="pct"/>
            <w:shd w:val="clear" w:color="auto" w:fill="auto"/>
            <w:noWrap/>
            <w:vAlign w:val="center"/>
          </w:tcPr>
          <w:p w14:paraId="0BB07051">
            <w:pPr>
              <w:pStyle w:val="24"/>
              <w:rPr>
                <w:sz w:val="16"/>
                <w:szCs w:val="16"/>
              </w:rPr>
            </w:pPr>
            <w:r>
              <w:rPr>
                <w:rFonts w:hint="eastAsia"/>
                <w:sz w:val="16"/>
                <w:szCs w:val="16"/>
              </w:rPr>
              <w:t>3268.57</w:t>
            </w:r>
          </w:p>
        </w:tc>
        <w:tc>
          <w:tcPr>
            <w:tcW w:w="512" w:type="pct"/>
            <w:shd w:val="clear" w:color="auto" w:fill="auto"/>
            <w:noWrap/>
            <w:vAlign w:val="center"/>
          </w:tcPr>
          <w:p w14:paraId="657D6C3B">
            <w:pPr>
              <w:pStyle w:val="24"/>
              <w:rPr>
                <w:sz w:val="16"/>
                <w:szCs w:val="16"/>
              </w:rPr>
            </w:pPr>
            <w:r>
              <w:rPr>
                <w:rFonts w:hint="eastAsia"/>
                <w:sz w:val="16"/>
                <w:szCs w:val="16"/>
              </w:rPr>
              <w:t>Gamma</w:t>
            </w:r>
          </w:p>
        </w:tc>
        <w:tc>
          <w:tcPr>
            <w:tcW w:w="494" w:type="pct"/>
            <w:shd w:val="clear" w:color="auto" w:fill="auto"/>
            <w:noWrap/>
            <w:vAlign w:val="center"/>
          </w:tcPr>
          <w:p w14:paraId="1688CB55">
            <w:pPr>
              <w:pStyle w:val="24"/>
              <w:rPr>
                <w:sz w:val="16"/>
                <w:szCs w:val="16"/>
              </w:rPr>
            </w:pPr>
            <w:r>
              <w:rPr>
                <w:sz w:val="16"/>
                <w:szCs w:val="16"/>
              </w:rPr>
              <w:fldChar w:fldCharType="begin"/>
            </w:r>
            <w:r>
              <w:rPr>
                <w:sz w:val="16"/>
                <w:szCs w:val="16"/>
              </w:rPr>
              <w:instrText xml:space="preserve"> ADDIN NE.Ref.{7BD2311C-1A5E-4448-B7CF-5F5FEAEC8624}</w:instrText>
            </w:r>
            <w:r>
              <w:rPr>
                <w:sz w:val="16"/>
                <w:szCs w:val="16"/>
              </w:rPr>
              <w:fldChar w:fldCharType="separate"/>
            </w:r>
            <w:r>
              <w:rPr>
                <w:rFonts w:eastAsia="宋体" w:cs="Times New Roman"/>
                <w:color w:val="080000"/>
                <w:kern w:val="0"/>
                <w:sz w:val="16"/>
                <w:szCs w:val="16"/>
              </w:rPr>
              <w:t>[1]</w:t>
            </w:r>
            <w:r>
              <w:rPr>
                <w:sz w:val="16"/>
                <w:szCs w:val="16"/>
              </w:rPr>
              <w:fldChar w:fldCharType="end"/>
            </w:r>
            <w:r>
              <w:rPr>
                <w:rFonts w:hint="eastAsia"/>
                <w:sz w:val="16"/>
                <w:szCs w:val="16"/>
              </w:rPr>
              <w:t>　</w:t>
            </w:r>
          </w:p>
        </w:tc>
      </w:tr>
      <w:tr w14:paraId="55A2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5163CC8">
            <w:pPr>
              <w:pStyle w:val="24"/>
              <w:rPr>
                <w:sz w:val="16"/>
                <w:szCs w:val="16"/>
              </w:rPr>
            </w:pPr>
            <w:r>
              <w:rPr>
                <w:rFonts w:hint="eastAsia"/>
                <w:sz w:val="16"/>
                <w:szCs w:val="16"/>
              </w:rPr>
              <w:t>Follow-up costs (CBC w/auto differential WBC), $</w:t>
            </w:r>
          </w:p>
        </w:tc>
        <w:tc>
          <w:tcPr>
            <w:tcW w:w="506" w:type="pct"/>
            <w:shd w:val="clear" w:color="auto" w:fill="auto"/>
            <w:noWrap/>
            <w:vAlign w:val="center"/>
          </w:tcPr>
          <w:p w14:paraId="50E416C7">
            <w:pPr>
              <w:pStyle w:val="24"/>
              <w:rPr>
                <w:sz w:val="16"/>
                <w:szCs w:val="16"/>
              </w:rPr>
            </w:pPr>
            <w:r>
              <w:rPr>
                <w:rFonts w:hint="eastAsia"/>
                <w:sz w:val="16"/>
                <w:szCs w:val="16"/>
              </w:rPr>
              <w:t>7.17</w:t>
            </w:r>
          </w:p>
        </w:tc>
        <w:tc>
          <w:tcPr>
            <w:tcW w:w="506" w:type="pct"/>
            <w:shd w:val="clear" w:color="auto" w:fill="auto"/>
            <w:noWrap/>
            <w:vAlign w:val="center"/>
          </w:tcPr>
          <w:p w14:paraId="6C664BCE">
            <w:pPr>
              <w:pStyle w:val="24"/>
              <w:rPr>
                <w:sz w:val="16"/>
                <w:szCs w:val="16"/>
              </w:rPr>
            </w:pPr>
            <w:r>
              <w:rPr>
                <w:rFonts w:hint="eastAsia"/>
                <w:sz w:val="16"/>
                <w:szCs w:val="16"/>
              </w:rPr>
              <w:t>5.74</w:t>
            </w:r>
          </w:p>
        </w:tc>
        <w:tc>
          <w:tcPr>
            <w:tcW w:w="509" w:type="pct"/>
            <w:shd w:val="clear" w:color="auto" w:fill="auto"/>
            <w:noWrap/>
            <w:vAlign w:val="center"/>
          </w:tcPr>
          <w:p w14:paraId="413B5C35">
            <w:pPr>
              <w:pStyle w:val="24"/>
              <w:rPr>
                <w:sz w:val="16"/>
                <w:szCs w:val="16"/>
              </w:rPr>
            </w:pPr>
            <w:r>
              <w:rPr>
                <w:rFonts w:hint="eastAsia"/>
                <w:sz w:val="16"/>
                <w:szCs w:val="16"/>
              </w:rPr>
              <w:t>8.60</w:t>
            </w:r>
          </w:p>
        </w:tc>
        <w:tc>
          <w:tcPr>
            <w:tcW w:w="512" w:type="pct"/>
            <w:shd w:val="clear" w:color="auto" w:fill="auto"/>
            <w:noWrap/>
            <w:vAlign w:val="center"/>
          </w:tcPr>
          <w:p w14:paraId="61E96E26">
            <w:pPr>
              <w:pStyle w:val="24"/>
              <w:rPr>
                <w:sz w:val="16"/>
                <w:szCs w:val="16"/>
              </w:rPr>
            </w:pPr>
            <w:r>
              <w:rPr>
                <w:rFonts w:hint="eastAsia"/>
                <w:sz w:val="16"/>
                <w:szCs w:val="16"/>
              </w:rPr>
              <w:t>Gamma</w:t>
            </w:r>
          </w:p>
        </w:tc>
        <w:tc>
          <w:tcPr>
            <w:tcW w:w="494" w:type="pct"/>
            <w:shd w:val="clear" w:color="auto" w:fill="auto"/>
            <w:noWrap/>
            <w:vAlign w:val="center"/>
          </w:tcPr>
          <w:p w14:paraId="7B16300F">
            <w:pPr>
              <w:pStyle w:val="24"/>
              <w:rPr>
                <w:sz w:val="16"/>
                <w:szCs w:val="16"/>
              </w:rPr>
            </w:pPr>
            <w:r>
              <w:rPr>
                <w:sz w:val="16"/>
                <w:szCs w:val="16"/>
              </w:rPr>
              <w:fldChar w:fldCharType="begin"/>
            </w:r>
            <w:r>
              <w:rPr>
                <w:sz w:val="16"/>
                <w:szCs w:val="16"/>
              </w:rPr>
              <w:instrText xml:space="preserve"> ADDIN NE.Ref.{B58B0D7F-4565-421A-A390-17D6475A8EE8}</w:instrText>
            </w:r>
            <w:r>
              <w:rPr>
                <w:sz w:val="16"/>
                <w:szCs w:val="16"/>
              </w:rPr>
              <w:fldChar w:fldCharType="separate"/>
            </w:r>
            <w:r>
              <w:rPr>
                <w:rFonts w:eastAsia="宋体" w:cs="Times New Roman"/>
                <w:color w:val="080000"/>
                <w:kern w:val="0"/>
                <w:sz w:val="16"/>
                <w:szCs w:val="16"/>
              </w:rPr>
              <w:t>[2]</w:t>
            </w:r>
            <w:r>
              <w:rPr>
                <w:sz w:val="16"/>
                <w:szCs w:val="16"/>
              </w:rPr>
              <w:fldChar w:fldCharType="end"/>
            </w:r>
            <w:r>
              <w:rPr>
                <w:rFonts w:hint="eastAsia"/>
                <w:sz w:val="16"/>
                <w:szCs w:val="16"/>
              </w:rPr>
              <w:t>　</w:t>
            </w:r>
          </w:p>
        </w:tc>
      </w:tr>
      <w:tr w14:paraId="4C2F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01A846D">
            <w:pPr>
              <w:pStyle w:val="24"/>
              <w:rPr>
                <w:sz w:val="16"/>
                <w:szCs w:val="16"/>
              </w:rPr>
            </w:pPr>
            <w:r>
              <w:rPr>
                <w:rFonts w:hint="eastAsia"/>
                <w:sz w:val="16"/>
                <w:szCs w:val="16"/>
              </w:rPr>
              <w:t>Follow-up costs (metabolic panel), $</w:t>
            </w:r>
          </w:p>
        </w:tc>
        <w:tc>
          <w:tcPr>
            <w:tcW w:w="506" w:type="pct"/>
            <w:shd w:val="clear" w:color="auto" w:fill="auto"/>
            <w:noWrap/>
            <w:vAlign w:val="center"/>
          </w:tcPr>
          <w:p w14:paraId="0CD13807">
            <w:pPr>
              <w:pStyle w:val="24"/>
              <w:rPr>
                <w:sz w:val="16"/>
                <w:szCs w:val="16"/>
              </w:rPr>
            </w:pPr>
            <w:r>
              <w:rPr>
                <w:rFonts w:hint="eastAsia"/>
                <w:sz w:val="16"/>
                <w:szCs w:val="16"/>
              </w:rPr>
              <w:t>13.15</w:t>
            </w:r>
          </w:p>
        </w:tc>
        <w:tc>
          <w:tcPr>
            <w:tcW w:w="506" w:type="pct"/>
            <w:shd w:val="clear" w:color="auto" w:fill="auto"/>
            <w:noWrap/>
            <w:vAlign w:val="center"/>
          </w:tcPr>
          <w:p w14:paraId="57EF98B7">
            <w:pPr>
              <w:pStyle w:val="24"/>
              <w:rPr>
                <w:sz w:val="16"/>
                <w:szCs w:val="16"/>
              </w:rPr>
            </w:pPr>
            <w:r>
              <w:rPr>
                <w:rFonts w:hint="eastAsia"/>
                <w:sz w:val="16"/>
                <w:szCs w:val="16"/>
              </w:rPr>
              <w:t>10.52</w:t>
            </w:r>
          </w:p>
        </w:tc>
        <w:tc>
          <w:tcPr>
            <w:tcW w:w="509" w:type="pct"/>
            <w:shd w:val="clear" w:color="auto" w:fill="auto"/>
            <w:noWrap/>
            <w:vAlign w:val="center"/>
          </w:tcPr>
          <w:p w14:paraId="36A17A88">
            <w:pPr>
              <w:pStyle w:val="24"/>
              <w:rPr>
                <w:sz w:val="16"/>
                <w:szCs w:val="16"/>
              </w:rPr>
            </w:pPr>
            <w:r>
              <w:rPr>
                <w:rFonts w:hint="eastAsia"/>
                <w:sz w:val="16"/>
                <w:szCs w:val="16"/>
              </w:rPr>
              <w:t>15.78</w:t>
            </w:r>
          </w:p>
        </w:tc>
        <w:tc>
          <w:tcPr>
            <w:tcW w:w="512" w:type="pct"/>
            <w:shd w:val="clear" w:color="auto" w:fill="auto"/>
            <w:noWrap/>
            <w:vAlign w:val="center"/>
          </w:tcPr>
          <w:p w14:paraId="45416CEC">
            <w:pPr>
              <w:pStyle w:val="24"/>
              <w:rPr>
                <w:sz w:val="16"/>
                <w:szCs w:val="16"/>
              </w:rPr>
            </w:pPr>
            <w:r>
              <w:rPr>
                <w:rFonts w:hint="eastAsia"/>
                <w:sz w:val="16"/>
                <w:szCs w:val="16"/>
              </w:rPr>
              <w:t>Gamma</w:t>
            </w:r>
          </w:p>
        </w:tc>
        <w:tc>
          <w:tcPr>
            <w:tcW w:w="494" w:type="pct"/>
            <w:shd w:val="clear" w:color="auto" w:fill="auto"/>
            <w:noWrap/>
            <w:vAlign w:val="center"/>
          </w:tcPr>
          <w:p w14:paraId="3EF55B1B">
            <w:pPr>
              <w:pStyle w:val="24"/>
              <w:rPr>
                <w:sz w:val="16"/>
                <w:szCs w:val="16"/>
              </w:rPr>
            </w:pPr>
            <w:r>
              <w:rPr>
                <w:sz w:val="16"/>
                <w:szCs w:val="16"/>
              </w:rPr>
              <w:fldChar w:fldCharType="begin"/>
            </w:r>
            <w:r>
              <w:rPr>
                <w:sz w:val="16"/>
                <w:szCs w:val="16"/>
              </w:rPr>
              <w:instrText xml:space="preserve"> ADDIN NE.Ref.{EADD5B57-B8E7-4201-9E47-8E8DE77D208D}</w:instrText>
            </w:r>
            <w:r>
              <w:rPr>
                <w:sz w:val="16"/>
                <w:szCs w:val="16"/>
              </w:rPr>
              <w:fldChar w:fldCharType="separate"/>
            </w:r>
            <w:r>
              <w:rPr>
                <w:rFonts w:eastAsia="宋体" w:cs="Times New Roman"/>
                <w:color w:val="080000"/>
                <w:kern w:val="0"/>
                <w:sz w:val="16"/>
                <w:szCs w:val="16"/>
              </w:rPr>
              <w:t>[2]</w:t>
            </w:r>
            <w:r>
              <w:rPr>
                <w:sz w:val="16"/>
                <w:szCs w:val="16"/>
              </w:rPr>
              <w:fldChar w:fldCharType="end"/>
            </w:r>
            <w:r>
              <w:rPr>
                <w:rFonts w:hint="eastAsia"/>
                <w:sz w:val="16"/>
                <w:szCs w:val="16"/>
              </w:rPr>
              <w:t>　</w:t>
            </w:r>
          </w:p>
        </w:tc>
      </w:tr>
      <w:tr w14:paraId="3D08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C302A98">
            <w:pPr>
              <w:pStyle w:val="24"/>
              <w:rPr>
                <w:sz w:val="16"/>
                <w:szCs w:val="16"/>
              </w:rPr>
            </w:pPr>
            <w:r>
              <w:rPr>
                <w:rFonts w:hint="eastAsia"/>
                <w:sz w:val="16"/>
                <w:szCs w:val="16"/>
              </w:rPr>
              <w:t>Follow-up costs (cyclely number of MD visits)</w:t>
            </w:r>
          </w:p>
        </w:tc>
        <w:tc>
          <w:tcPr>
            <w:tcW w:w="506" w:type="pct"/>
            <w:shd w:val="clear" w:color="auto" w:fill="auto"/>
            <w:noWrap/>
            <w:vAlign w:val="center"/>
          </w:tcPr>
          <w:p w14:paraId="0DFD6F2B">
            <w:pPr>
              <w:pStyle w:val="24"/>
              <w:rPr>
                <w:sz w:val="16"/>
                <w:szCs w:val="16"/>
              </w:rPr>
            </w:pPr>
            <w:r>
              <w:rPr>
                <w:rFonts w:hint="eastAsia"/>
                <w:sz w:val="16"/>
                <w:szCs w:val="16"/>
              </w:rPr>
              <w:t>2.00</w:t>
            </w:r>
          </w:p>
        </w:tc>
        <w:tc>
          <w:tcPr>
            <w:tcW w:w="506" w:type="pct"/>
            <w:shd w:val="clear" w:color="auto" w:fill="auto"/>
            <w:noWrap/>
            <w:vAlign w:val="center"/>
          </w:tcPr>
          <w:p w14:paraId="70B28A5C">
            <w:pPr>
              <w:pStyle w:val="24"/>
              <w:rPr>
                <w:sz w:val="16"/>
                <w:szCs w:val="16"/>
              </w:rPr>
            </w:pPr>
            <w:r>
              <w:rPr>
                <w:rFonts w:hint="eastAsia"/>
                <w:sz w:val="16"/>
                <w:szCs w:val="16"/>
              </w:rPr>
              <w:t>2.00</w:t>
            </w:r>
          </w:p>
        </w:tc>
        <w:tc>
          <w:tcPr>
            <w:tcW w:w="509" w:type="pct"/>
            <w:shd w:val="clear" w:color="auto" w:fill="auto"/>
            <w:noWrap/>
            <w:vAlign w:val="center"/>
          </w:tcPr>
          <w:p w14:paraId="05D84BD9">
            <w:pPr>
              <w:pStyle w:val="24"/>
              <w:rPr>
                <w:sz w:val="16"/>
                <w:szCs w:val="16"/>
              </w:rPr>
            </w:pPr>
            <w:r>
              <w:rPr>
                <w:rFonts w:hint="eastAsia"/>
                <w:sz w:val="16"/>
                <w:szCs w:val="16"/>
              </w:rPr>
              <w:t>2.00</w:t>
            </w:r>
          </w:p>
        </w:tc>
        <w:tc>
          <w:tcPr>
            <w:tcW w:w="512" w:type="pct"/>
            <w:shd w:val="clear" w:color="auto" w:fill="auto"/>
            <w:noWrap/>
            <w:vAlign w:val="center"/>
          </w:tcPr>
          <w:p w14:paraId="1AEA584A">
            <w:pPr>
              <w:pStyle w:val="24"/>
              <w:rPr>
                <w:sz w:val="16"/>
                <w:szCs w:val="16"/>
              </w:rPr>
            </w:pPr>
            <w:r>
              <w:rPr>
                <w:rFonts w:hint="eastAsia"/>
                <w:sz w:val="16"/>
                <w:szCs w:val="16"/>
              </w:rPr>
              <w:t>Gamma</w:t>
            </w:r>
          </w:p>
        </w:tc>
        <w:tc>
          <w:tcPr>
            <w:tcW w:w="494" w:type="pct"/>
            <w:shd w:val="clear" w:color="auto" w:fill="auto"/>
            <w:noWrap/>
            <w:vAlign w:val="center"/>
          </w:tcPr>
          <w:p w14:paraId="2A9E7BFC">
            <w:pPr>
              <w:pStyle w:val="24"/>
              <w:rPr>
                <w:sz w:val="16"/>
                <w:szCs w:val="16"/>
              </w:rPr>
            </w:pPr>
            <w:r>
              <w:rPr>
                <w:rFonts w:hint="eastAsia"/>
                <w:sz w:val="16"/>
                <w:szCs w:val="16"/>
              </w:rPr>
              <w:t>　</w:t>
            </w:r>
            <w:r>
              <w:rPr>
                <w:sz w:val="16"/>
                <w:szCs w:val="16"/>
              </w:rPr>
              <w:fldChar w:fldCharType="begin"/>
            </w:r>
            <w:r>
              <w:rPr>
                <w:sz w:val="16"/>
                <w:szCs w:val="16"/>
              </w:rPr>
              <w:instrText xml:space="preserve"> ADDIN NE.Ref.{930DA86C-E9F6-4150-B307-55825BA52F38}</w:instrText>
            </w:r>
            <w:r>
              <w:rPr>
                <w:sz w:val="16"/>
                <w:szCs w:val="16"/>
              </w:rPr>
              <w:fldChar w:fldCharType="separate"/>
            </w:r>
            <w:r>
              <w:rPr>
                <w:rFonts w:eastAsia="宋体" w:cs="Times New Roman"/>
                <w:color w:val="080000"/>
                <w:kern w:val="0"/>
                <w:sz w:val="16"/>
                <w:szCs w:val="16"/>
              </w:rPr>
              <w:t>[3]</w:t>
            </w:r>
            <w:r>
              <w:rPr>
                <w:sz w:val="16"/>
                <w:szCs w:val="16"/>
              </w:rPr>
              <w:fldChar w:fldCharType="end"/>
            </w:r>
          </w:p>
        </w:tc>
      </w:tr>
      <w:tr w14:paraId="1909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EED5C95">
            <w:pPr>
              <w:pStyle w:val="24"/>
              <w:rPr>
                <w:sz w:val="16"/>
                <w:szCs w:val="16"/>
              </w:rPr>
            </w:pPr>
            <w:r>
              <w:rPr>
                <w:rFonts w:hint="eastAsia"/>
                <w:sz w:val="16"/>
                <w:szCs w:val="16"/>
              </w:rPr>
              <w:t>Follow-up costs_cyclely cost of MD visits</w:t>
            </w:r>
          </w:p>
        </w:tc>
        <w:tc>
          <w:tcPr>
            <w:tcW w:w="506" w:type="pct"/>
            <w:shd w:val="clear" w:color="auto" w:fill="auto"/>
            <w:noWrap/>
            <w:vAlign w:val="center"/>
          </w:tcPr>
          <w:p w14:paraId="34D9E728">
            <w:pPr>
              <w:pStyle w:val="24"/>
              <w:rPr>
                <w:sz w:val="16"/>
                <w:szCs w:val="16"/>
              </w:rPr>
            </w:pPr>
            <w:r>
              <w:rPr>
                <w:rFonts w:hint="eastAsia"/>
                <w:sz w:val="16"/>
                <w:szCs w:val="16"/>
              </w:rPr>
              <w:t>353.88</w:t>
            </w:r>
          </w:p>
        </w:tc>
        <w:tc>
          <w:tcPr>
            <w:tcW w:w="506" w:type="pct"/>
            <w:shd w:val="clear" w:color="auto" w:fill="auto"/>
            <w:noWrap/>
            <w:vAlign w:val="center"/>
          </w:tcPr>
          <w:p w14:paraId="0B01B56B">
            <w:pPr>
              <w:pStyle w:val="24"/>
              <w:rPr>
                <w:sz w:val="16"/>
                <w:szCs w:val="16"/>
              </w:rPr>
            </w:pPr>
            <w:r>
              <w:rPr>
                <w:rFonts w:hint="eastAsia"/>
                <w:sz w:val="16"/>
                <w:szCs w:val="16"/>
              </w:rPr>
              <w:t>283.10</w:t>
            </w:r>
          </w:p>
        </w:tc>
        <w:tc>
          <w:tcPr>
            <w:tcW w:w="509" w:type="pct"/>
            <w:shd w:val="clear" w:color="auto" w:fill="auto"/>
            <w:noWrap/>
            <w:vAlign w:val="center"/>
          </w:tcPr>
          <w:p w14:paraId="7E560ABF">
            <w:pPr>
              <w:pStyle w:val="24"/>
              <w:rPr>
                <w:sz w:val="16"/>
                <w:szCs w:val="16"/>
              </w:rPr>
            </w:pPr>
            <w:r>
              <w:rPr>
                <w:rFonts w:hint="eastAsia"/>
                <w:sz w:val="16"/>
                <w:szCs w:val="16"/>
              </w:rPr>
              <w:t>424.66</w:t>
            </w:r>
          </w:p>
        </w:tc>
        <w:tc>
          <w:tcPr>
            <w:tcW w:w="512" w:type="pct"/>
            <w:shd w:val="clear" w:color="auto" w:fill="auto"/>
            <w:noWrap/>
            <w:vAlign w:val="center"/>
          </w:tcPr>
          <w:p w14:paraId="7A61C9C7">
            <w:pPr>
              <w:pStyle w:val="24"/>
              <w:rPr>
                <w:sz w:val="16"/>
                <w:szCs w:val="16"/>
              </w:rPr>
            </w:pPr>
            <w:r>
              <w:rPr>
                <w:rFonts w:hint="eastAsia"/>
                <w:sz w:val="16"/>
                <w:szCs w:val="16"/>
              </w:rPr>
              <w:t>Gamma</w:t>
            </w:r>
          </w:p>
        </w:tc>
        <w:tc>
          <w:tcPr>
            <w:tcW w:w="494" w:type="pct"/>
            <w:shd w:val="clear" w:color="auto" w:fill="auto"/>
            <w:noWrap/>
            <w:vAlign w:val="center"/>
          </w:tcPr>
          <w:p w14:paraId="2FCB5265">
            <w:pPr>
              <w:pStyle w:val="24"/>
              <w:rPr>
                <w:sz w:val="16"/>
                <w:szCs w:val="16"/>
              </w:rPr>
            </w:pPr>
            <w:r>
              <w:rPr>
                <w:sz w:val="16"/>
                <w:szCs w:val="16"/>
              </w:rPr>
              <w:fldChar w:fldCharType="begin"/>
            </w:r>
            <w:r>
              <w:rPr>
                <w:sz w:val="16"/>
                <w:szCs w:val="16"/>
              </w:rPr>
              <w:instrText xml:space="preserve"> ADDIN NE.Ref.{3A12B0F6-E4F2-4D14-BB14-6F5C551F2ED0}</w:instrText>
            </w:r>
            <w:r>
              <w:rPr>
                <w:sz w:val="16"/>
                <w:szCs w:val="16"/>
              </w:rPr>
              <w:fldChar w:fldCharType="separate"/>
            </w:r>
            <w:r>
              <w:rPr>
                <w:rFonts w:eastAsia="宋体" w:cs="Times New Roman"/>
                <w:color w:val="080000"/>
                <w:kern w:val="0"/>
                <w:sz w:val="16"/>
                <w:szCs w:val="16"/>
              </w:rPr>
              <w:t>[3]</w:t>
            </w:r>
            <w:r>
              <w:rPr>
                <w:sz w:val="16"/>
                <w:szCs w:val="16"/>
              </w:rPr>
              <w:fldChar w:fldCharType="end"/>
            </w:r>
            <w:r>
              <w:rPr>
                <w:rFonts w:hint="eastAsia"/>
                <w:sz w:val="16"/>
                <w:szCs w:val="16"/>
              </w:rPr>
              <w:t>　</w:t>
            </w:r>
          </w:p>
        </w:tc>
      </w:tr>
      <w:tr w14:paraId="06CD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4B44DFF">
            <w:pPr>
              <w:pStyle w:val="24"/>
              <w:rPr>
                <w:sz w:val="16"/>
                <w:szCs w:val="16"/>
              </w:rPr>
            </w:pPr>
            <w:r>
              <w:rPr>
                <w:rFonts w:hint="eastAsia"/>
                <w:sz w:val="16"/>
                <w:szCs w:val="16"/>
              </w:rPr>
              <w:t>Follow-up costs (CT Scan), $</w:t>
            </w:r>
          </w:p>
        </w:tc>
        <w:tc>
          <w:tcPr>
            <w:tcW w:w="506" w:type="pct"/>
            <w:shd w:val="clear" w:color="auto" w:fill="auto"/>
            <w:noWrap/>
            <w:vAlign w:val="center"/>
          </w:tcPr>
          <w:p w14:paraId="2AC98A0D">
            <w:pPr>
              <w:pStyle w:val="24"/>
              <w:rPr>
                <w:sz w:val="16"/>
                <w:szCs w:val="16"/>
              </w:rPr>
            </w:pPr>
            <w:r>
              <w:rPr>
                <w:rFonts w:hint="eastAsia"/>
                <w:sz w:val="16"/>
                <w:szCs w:val="16"/>
              </w:rPr>
              <w:t>112.60</w:t>
            </w:r>
          </w:p>
        </w:tc>
        <w:tc>
          <w:tcPr>
            <w:tcW w:w="506" w:type="pct"/>
            <w:shd w:val="clear" w:color="auto" w:fill="auto"/>
            <w:noWrap/>
            <w:vAlign w:val="center"/>
          </w:tcPr>
          <w:p w14:paraId="6FCFD7E7">
            <w:pPr>
              <w:pStyle w:val="24"/>
              <w:rPr>
                <w:sz w:val="16"/>
                <w:szCs w:val="16"/>
              </w:rPr>
            </w:pPr>
            <w:r>
              <w:rPr>
                <w:rFonts w:hint="eastAsia"/>
                <w:sz w:val="16"/>
                <w:szCs w:val="16"/>
              </w:rPr>
              <w:t>104.14</w:t>
            </w:r>
          </w:p>
        </w:tc>
        <w:tc>
          <w:tcPr>
            <w:tcW w:w="509" w:type="pct"/>
            <w:shd w:val="clear" w:color="auto" w:fill="auto"/>
            <w:noWrap/>
            <w:vAlign w:val="center"/>
          </w:tcPr>
          <w:p w14:paraId="750AB05B">
            <w:pPr>
              <w:pStyle w:val="24"/>
              <w:rPr>
                <w:sz w:val="16"/>
                <w:szCs w:val="16"/>
              </w:rPr>
            </w:pPr>
            <w:r>
              <w:rPr>
                <w:rFonts w:hint="eastAsia"/>
                <w:sz w:val="16"/>
                <w:szCs w:val="16"/>
              </w:rPr>
              <w:t>157.93</w:t>
            </w:r>
          </w:p>
        </w:tc>
        <w:tc>
          <w:tcPr>
            <w:tcW w:w="512" w:type="pct"/>
            <w:shd w:val="clear" w:color="auto" w:fill="auto"/>
            <w:noWrap/>
            <w:vAlign w:val="center"/>
          </w:tcPr>
          <w:p w14:paraId="2F336C6A">
            <w:pPr>
              <w:pStyle w:val="24"/>
              <w:rPr>
                <w:sz w:val="16"/>
                <w:szCs w:val="16"/>
              </w:rPr>
            </w:pPr>
            <w:r>
              <w:rPr>
                <w:rFonts w:hint="eastAsia"/>
                <w:sz w:val="16"/>
                <w:szCs w:val="16"/>
              </w:rPr>
              <w:t>Gamma</w:t>
            </w:r>
          </w:p>
        </w:tc>
        <w:tc>
          <w:tcPr>
            <w:tcW w:w="494" w:type="pct"/>
            <w:shd w:val="clear" w:color="auto" w:fill="auto"/>
            <w:noWrap/>
            <w:vAlign w:val="center"/>
          </w:tcPr>
          <w:p w14:paraId="7CBF3139">
            <w:pPr>
              <w:pStyle w:val="24"/>
              <w:rPr>
                <w:sz w:val="16"/>
                <w:szCs w:val="16"/>
              </w:rPr>
            </w:pPr>
            <w:r>
              <w:rPr>
                <w:sz w:val="16"/>
                <w:szCs w:val="16"/>
              </w:rPr>
              <w:fldChar w:fldCharType="begin"/>
            </w:r>
            <w:r>
              <w:rPr>
                <w:sz w:val="16"/>
                <w:szCs w:val="16"/>
              </w:rPr>
              <w:instrText xml:space="preserve"> ADDIN NE.Ref.{139183DB-71EC-4F89-A33B-6A2F3EE9A200}</w:instrText>
            </w:r>
            <w:r>
              <w:rPr>
                <w:sz w:val="16"/>
                <w:szCs w:val="16"/>
              </w:rPr>
              <w:fldChar w:fldCharType="separate"/>
            </w:r>
            <w:r>
              <w:rPr>
                <w:rFonts w:eastAsia="宋体" w:cs="Times New Roman"/>
                <w:color w:val="080000"/>
                <w:kern w:val="0"/>
                <w:sz w:val="16"/>
                <w:szCs w:val="16"/>
              </w:rPr>
              <w:t>[2]</w:t>
            </w:r>
            <w:r>
              <w:rPr>
                <w:sz w:val="16"/>
                <w:szCs w:val="16"/>
              </w:rPr>
              <w:fldChar w:fldCharType="end"/>
            </w:r>
            <w:r>
              <w:rPr>
                <w:rFonts w:hint="eastAsia"/>
                <w:sz w:val="16"/>
                <w:szCs w:val="16"/>
              </w:rPr>
              <w:t>　</w:t>
            </w:r>
          </w:p>
        </w:tc>
      </w:tr>
      <w:tr w14:paraId="539F7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806D764">
            <w:pPr>
              <w:pStyle w:val="24"/>
              <w:rPr>
                <w:sz w:val="16"/>
                <w:szCs w:val="16"/>
              </w:rPr>
            </w:pPr>
            <w:r>
              <w:rPr>
                <w:rFonts w:hint="eastAsia"/>
                <w:sz w:val="16"/>
                <w:szCs w:val="16"/>
              </w:rPr>
              <w:t>Follow-up costs (cyclely CT Scan Times)</w:t>
            </w:r>
          </w:p>
        </w:tc>
        <w:tc>
          <w:tcPr>
            <w:tcW w:w="506" w:type="pct"/>
            <w:shd w:val="clear" w:color="auto" w:fill="auto"/>
            <w:noWrap/>
            <w:vAlign w:val="center"/>
          </w:tcPr>
          <w:p w14:paraId="7160F5F2">
            <w:pPr>
              <w:pStyle w:val="24"/>
              <w:rPr>
                <w:sz w:val="16"/>
                <w:szCs w:val="16"/>
              </w:rPr>
            </w:pPr>
            <w:r>
              <w:rPr>
                <w:rFonts w:hint="eastAsia"/>
                <w:sz w:val="16"/>
                <w:szCs w:val="16"/>
              </w:rPr>
              <w:t>0.33</w:t>
            </w:r>
          </w:p>
        </w:tc>
        <w:tc>
          <w:tcPr>
            <w:tcW w:w="506" w:type="pct"/>
            <w:shd w:val="clear" w:color="auto" w:fill="auto"/>
            <w:noWrap/>
            <w:vAlign w:val="center"/>
          </w:tcPr>
          <w:p w14:paraId="30E12D5A">
            <w:pPr>
              <w:pStyle w:val="24"/>
              <w:rPr>
                <w:sz w:val="16"/>
                <w:szCs w:val="16"/>
              </w:rPr>
            </w:pPr>
            <w:r>
              <w:rPr>
                <w:rFonts w:hint="eastAsia"/>
                <w:sz w:val="16"/>
                <w:szCs w:val="16"/>
              </w:rPr>
              <w:t>0.33</w:t>
            </w:r>
          </w:p>
        </w:tc>
        <w:tc>
          <w:tcPr>
            <w:tcW w:w="509" w:type="pct"/>
            <w:shd w:val="clear" w:color="auto" w:fill="auto"/>
            <w:noWrap/>
            <w:vAlign w:val="center"/>
          </w:tcPr>
          <w:p w14:paraId="082182C0">
            <w:pPr>
              <w:pStyle w:val="24"/>
              <w:rPr>
                <w:sz w:val="16"/>
                <w:szCs w:val="16"/>
              </w:rPr>
            </w:pPr>
            <w:r>
              <w:rPr>
                <w:rFonts w:hint="eastAsia"/>
                <w:sz w:val="16"/>
                <w:szCs w:val="16"/>
              </w:rPr>
              <w:t>0.33</w:t>
            </w:r>
          </w:p>
        </w:tc>
        <w:tc>
          <w:tcPr>
            <w:tcW w:w="512" w:type="pct"/>
            <w:shd w:val="clear" w:color="auto" w:fill="auto"/>
            <w:noWrap/>
            <w:vAlign w:val="center"/>
          </w:tcPr>
          <w:p w14:paraId="5AA7D634">
            <w:pPr>
              <w:pStyle w:val="24"/>
              <w:rPr>
                <w:sz w:val="16"/>
                <w:szCs w:val="16"/>
              </w:rPr>
            </w:pPr>
            <w:r>
              <w:rPr>
                <w:rFonts w:hint="eastAsia"/>
                <w:sz w:val="16"/>
                <w:szCs w:val="16"/>
              </w:rPr>
              <w:t>Gamma</w:t>
            </w:r>
          </w:p>
        </w:tc>
        <w:tc>
          <w:tcPr>
            <w:tcW w:w="494" w:type="pct"/>
            <w:shd w:val="clear" w:color="auto" w:fill="auto"/>
            <w:noWrap/>
            <w:vAlign w:val="center"/>
          </w:tcPr>
          <w:p w14:paraId="48B150F9">
            <w:pPr>
              <w:pStyle w:val="24"/>
              <w:rPr>
                <w:sz w:val="16"/>
                <w:szCs w:val="16"/>
              </w:rPr>
            </w:pPr>
            <w:r>
              <w:rPr>
                <w:rFonts w:hint="eastAsia"/>
                <w:sz w:val="16"/>
                <w:szCs w:val="16"/>
              </w:rPr>
              <w:t>　</w:t>
            </w:r>
            <w:r>
              <w:rPr>
                <w:sz w:val="16"/>
                <w:szCs w:val="16"/>
              </w:rPr>
              <w:fldChar w:fldCharType="begin"/>
            </w:r>
            <w:r>
              <w:rPr>
                <w:sz w:val="16"/>
                <w:szCs w:val="16"/>
              </w:rPr>
              <w:instrText xml:space="preserve"> ADDIN NE.Ref.{989A9EB7-80E5-402E-8C52-C67BDD0593EF}</w:instrText>
            </w:r>
            <w:r>
              <w:rPr>
                <w:sz w:val="16"/>
                <w:szCs w:val="16"/>
              </w:rPr>
              <w:fldChar w:fldCharType="separate"/>
            </w:r>
            <w:r>
              <w:rPr>
                <w:rFonts w:eastAsia="宋体" w:cs="Times New Roman"/>
                <w:color w:val="080000"/>
                <w:kern w:val="0"/>
                <w:sz w:val="16"/>
                <w:szCs w:val="16"/>
              </w:rPr>
              <w:t>[4]</w:t>
            </w:r>
            <w:r>
              <w:rPr>
                <w:sz w:val="16"/>
                <w:szCs w:val="16"/>
              </w:rPr>
              <w:fldChar w:fldCharType="end"/>
            </w:r>
          </w:p>
        </w:tc>
      </w:tr>
      <w:tr w14:paraId="25961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6354F02">
            <w:pPr>
              <w:pStyle w:val="24"/>
              <w:rPr>
                <w:sz w:val="16"/>
                <w:szCs w:val="16"/>
              </w:rPr>
            </w:pPr>
            <w:r>
              <w:rPr>
                <w:rFonts w:hint="eastAsia"/>
                <w:sz w:val="16"/>
                <w:szCs w:val="16"/>
              </w:rPr>
              <w:t>BSC (7 days), $</w:t>
            </w:r>
          </w:p>
        </w:tc>
        <w:tc>
          <w:tcPr>
            <w:tcW w:w="506" w:type="pct"/>
            <w:shd w:val="clear" w:color="auto" w:fill="auto"/>
            <w:noWrap/>
            <w:vAlign w:val="center"/>
          </w:tcPr>
          <w:p w14:paraId="4E144BCF">
            <w:pPr>
              <w:pStyle w:val="24"/>
              <w:rPr>
                <w:sz w:val="16"/>
                <w:szCs w:val="16"/>
              </w:rPr>
            </w:pPr>
            <w:r>
              <w:rPr>
                <w:rFonts w:hint="eastAsia"/>
                <w:sz w:val="16"/>
                <w:szCs w:val="16"/>
              </w:rPr>
              <w:t>114.30</w:t>
            </w:r>
          </w:p>
        </w:tc>
        <w:tc>
          <w:tcPr>
            <w:tcW w:w="506" w:type="pct"/>
            <w:shd w:val="clear" w:color="auto" w:fill="auto"/>
            <w:noWrap/>
            <w:vAlign w:val="center"/>
          </w:tcPr>
          <w:p w14:paraId="2B021F04">
            <w:pPr>
              <w:pStyle w:val="24"/>
              <w:rPr>
                <w:sz w:val="16"/>
                <w:szCs w:val="16"/>
              </w:rPr>
            </w:pPr>
            <w:r>
              <w:rPr>
                <w:rFonts w:hint="eastAsia"/>
                <w:sz w:val="16"/>
                <w:szCs w:val="16"/>
              </w:rPr>
              <w:t>91.44</w:t>
            </w:r>
          </w:p>
        </w:tc>
        <w:tc>
          <w:tcPr>
            <w:tcW w:w="509" w:type="pct"/>
            <w:shd w:val="clear" w:color="auto" w:fill="auto"/>
            <w:noWrap/>
            <w:vAlign w:val="center"/>
          </w:tcPr>
          <w:p w14:paraId="088B3481">
            <w:pPr>
              <w:pStyle w:val="24"/>
              <w:rPr>
                <w:sz w:val="16"/>
                <w:szCs w:val="16"/>
              </w:rPr>
            </w:pPr>
            <w:r>
              <w:rPr>
                <w:rFonts w:hint="eastAsia"/>
                <w:sz w:val="16"/>
                <w:szCs w:val="16"/>
              </w:rPr>
              <w:t>137.16</w:t>
            </w:r>
          </w:p>
        </w:tc>
        <w:tc>
          <w:tcPr>
            <w:tcW w:w="512" w:type="pct"/>
            <w:shd w:val="clear" w:color="auto" w:fill="auto"/>
            <w:noWrap/>
            <w:vAlign w:val="center"/>
          </w:tcPr>
          <w:p w14:paraId="36DC051B">
            <w:pPr>
              <w:pStyle w:val="24"/>
              <w:rPr>
                <w:sz w:val="16"/>
                <w:szCs w:val="16"/>
              </w:rPr>
            </w:pPr>
            <w:r>
              <w:rPr>
                <w:rFonts w:hint="eastAsia"/>
                <w:sz w:val="16"/>
                <w:szCs w:val="16"/>
              </w:rPr>
              <w:t>Gamma</w:t>
            </w:r>
          </w:p>
        </w:tc>
        <w:tc>
          <w:tcPr>
            <w:tcW w:w="494" w:type="pct"/>
            <w:shd w:val="clear" w:color="auto" w:fill="auto"/>
            <w:noWrap/>
            <w:vAlign w:val="center"/>
          </w:tcPr>
          <w:p w14:paraId="5756D5E6">
            <w:pPr>
              <w:pStyle w:val="24"/>
              <w:rPr>
                <w:sz w:val="16"/>
                <w:szCs w:val="16"/>
              </w:rPr>
            </w:pPr>
            <w:r>
              <w:rPr>
                <w:sz w:val="16"/>
                <w:szCs w:val="16"/>
              </w:rPr>
              <w:fldChar w:fldCharType="begin"/>
            </w:r>
            <w:r>
              <w:rPr>
                <w:sz w:val="16"/>
                <w:szCs w:val="16"/>
              </w:rPr>
              <w:instrText xml:space="preserve"> ADDIN NE.Ref.{FC58F587-BAC4-4B07-9523-1EC814AA12F8}</w:instrText>
            </w:r>
            <w:r>
              <w:rPr>
                <w:sz w:val="16"/>
                <w:szCs w:val="16"/>
              </w:rPr>
              <w:fldChar w:fldCharType="separate"/>
            </w:r>
            <w:r>
              <w:rPr>
                <w:rFonts w:eastAsia="宋体" w:cs="Times New Roman"/>
                <w:color w:val="080000"/>
                <w:kern w:val="0"/>
                <w:sz w:val="16"/>
                <w:szCs w:val="16"/>
              </w:rPr>
              <w:t>[5]</w:t>
            </w:r>
            <w:r>
              <w:rPr>
                <w:sz w:val="16"/>
                <w:szCs w:val="16"/>
              </w:rPr>
              <w:fldChar w:fldCharType="end"/>
            </w:r>
            <w:r>
              <w:rPr>
                <w:rFonts w:hint="eastAsia"/>
                <w:sz w:val="16"/>
                <w:szCs w:val="16"/>
              </w:rPr>
              <w:t>　</w:t>
            </w:r>
          </w:p>
        </w:tc>
      </w:tr>
      <w:tr w14:paraId="206F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76819FD">
            <w:pPr>
              <w:pStyle w:val="24"/>
              <w:rPr>
                <w:sz w:val="16"/>
                <w:szCs w:val="16"/>
              </w:rPr>
            </w:pPr>
            <w:r>
              <w:rPr>
                <w:rFonts w:hint="eastAsia"/>
                <w:sz w:val="16"/>
                <w:szCs w:val="16"/>
              </w:rPr>
              <w:t>BSC (7 days), $ (Scenario Analysis)</w:t>
            </w:r>
          </w:p>
        </w:tc>
        <w:tc>
          <w:tcPr>
            <w:tcW w:w="506" w:type="pct"/>
            <w:shd w:val="clear" w:color="auto" w:fill="auto"/>
            <w:noWrap/>
            <w:vAlign w:val="center"/>
          </w:tcPr>
          <w:p w14:paraId="0680DED0">
            <w:pPr>
              <w:pStyle w:val="24"/>
              <w:rPr>
                <w:sz w:val="16"/>
                <w:szCs w:val="16"/>
              </w:rPr>
            </w:pPr>
            <w:r>
              <w:rPr>
                <w:rFonts w:hint="eastAsia"/>
                <w:sz w:val="16"/>
                <w:szCs w:val="16"/>
              </w:rPr>
              <w:t>0.00</w:t>
            </w:r>
          </w:p>
        </w:tc>
        <w:tc>
          <w:tcPr>
            <w:tcW w:w="506" w:type="pct"/>
            <w:shd w:val="clear" w:color="auto" w:fill="auto"/>
            <w:noWrap/>
            <w:vAlign w:val="center"/>
          </w:tcPr>
          <w:p w14:paraId="08AAF079">
            <w:pPr>
              <w:pStyle w:val="24"/>
              <w:rPr>
                <w:sz w:val="16"/>
                <w:szCs w:val="16"/>
              </w:rPr>
            </w:pPr>
            <w:r>
              <w:rPr>
                <w:rFonts w:hint="eastAsia"/>
                <w:sz w:val="16"/>
                <w:szCs w:val="16"/>
              </w:rPr>
              <w:t>0.00</w:t>
            </w:r>
          </w:p>
        </w:tc>
        <w:tc>
          <w:tcPr>
            <w:tcW w:w="509" w:type="pct"/>
            <w:shd w:val="clear" w:color="auto" w:fill="auto"/>
            <w:noWrap/>
            <w:vAlign w:val="center"/>
          </w:tcPr>
          <w:p w14:paraId="01964164">
            <w:pPr>
              <w:pStyle w:val="24"/>
              <w:rPr>
                <w:sz w:val="16"/>
                <w:szCs w:val="16"/>
              </w:rPr>
            </w:pPr>
            <w:r>
              <w:rPr>
                <w:rFonts w:hint="eastAsia"/>
                <w:sz w:val="16"/>
                <w:szCs w:val="16"/>
              </w:rPr>
              <w:t>0.00</w:t>
            </w:r>
          </w:p>
        </w:tc>
        <w:tc>
          <w:tcPr>
            <w:tcW w:w="512" w:type="pct"/>
            <w:shd w:val="clear" w:color="auto" w:fill="auto"/>
            <w:noWrap/>
            <w:vAlign w:val="center"/>
          </w:tcPr>
          <w:p w14:paraId="59C9ABE2">
            <w:pPr>
              <w:pStyle w:val="24"/>
              <w:rPr>
                <w:sz w:val="16"/>
                <w:szCs w:val="16"/>
              </w:rPr>
            </w:pPr>
            <w:r>
              <w:rPr>
                <w:rFonts w:hint="eastAsia"/>
                <w:sz w:val="16"/>
                <w:szCs w:val="16"/>
              </w:rPr>
              <w:t>Gamma</w:t>
            </w:r>
          </w:p>
        </w:tc>
        <w:tc>
          <w:tcPr>
            <w:tcW w:w="494" w:type="pct"/>
            <w:shd w:val="clear" w:color="auto" w:fill="auto"/>
            <w:noWrap/>
            <w:vAlign w:val="center"/>
          </w:tcPr>
          <w:p w14:paraId="1997E6F1">
            <w:pPr>
              <w:pStyle w:val="24"/>
              <w:rPr>
                <w:sz w:val="16"/>
                <w:szCs w:val="16"/>
              </w:rPr>
            </w:pPr>
            <w:r>
              <w:rPr>
                <w:sz w:val="16"/>
                <w:szCs w:val="16"/>
              </w:rPr>
              <w:fldChar w:fldCharType="begin"/>
            </w:r>
            <w:r>
              <w:rPr>
                <w:sz w:val="16"/>
                <w:szCs w:val="16"/>
              </w:rPr>
              <w:instrText xml:space="preserve"> ADDIN NE.Ref.{052419D9-42C7-44A7-BD95-9A75E4D0066C}</w:instrText>
            </w:r>
            <w:r>
              <w:rPr>
                <w:sz w:val="16"/>
                <w:szCs w:val="16"/>
              </w:rPr>
              <w:fldChar w:fldCharType="separate"/>
            </w:r>
            <w:r>
              <w:rPr>
                <w:rFonts w:eastAsia="宋体" w:cs="Times New Roman"/>
                <w:color w:val="080000"/>
                <w:kern w:val="0"/>
                <w:sz w:val="16"/>
                <w:szCs w:val="16"/>
              </w:rPr>
              <w:t>[4]</w:t>
            </w:r>
            <w:r>
              <w:rPr>
                <w:sz w:val="16"/>
                <w:szCs w:val="16"/>
              </w:rPr>
              <w:fldChar w:fldCharType="end"/>
            </w:r>
            <w:r>
              <w:rPr>
                <w:rFonts w:hint="eastAsia"/>
                <w:sz w:val="16"/>
                <w:szCs w:val="16"/>
              </w:rPr>
              <w:t>　</w:t>
            </w:r>
          </w:p>
        </w:tc>
      </w:tr>
      <w:tr w14:paraId="121FC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9347A5C">
            <w:pPr>
              <w:pStyle w:val="24"/>
              <w:rPr>
                <w:sz w:val="16"/>
                <w:szCs w:val="16"/>
              </w:rPr>
            </w:pPr>
            <w:r>
              <w:rPr>
                <w:rFonts w:hint="eastAsia"/>
                <w:sz w:val="16"/>
                <w:szCs w:val="16"/>
              </w:rPr>
              <w:t xml:space="preserve">subsequent </w:t>
            </w:r>
            <w:r>
              <w:rPr>
                <w:rFonts w:hint="eastAsia" w:eastAsia="宋体"/>
                <w:sz w:val="16"/>
                <w:szCs w:val="16"/>
                <w:lang w:val="en-US" w:eastAsia="zh-CN"/>
              </w:rPr>
              <w:t xml:space="preserve">active </w:t>
            </w:r>
            <w:r>
              <w:rPr>
                <w:rFonts w:hint="eastAsia"/>
                <w:sz w:val="16"/>
                <w:szCs w:val="16"/>
              </w:rPr>
              <w:t>treatment cost, $</w:t>
            </w:r>
          </w:p>
        </w:tc>
        <w:tc>
          <w:tcPr>
            <w:tcW w:w="506" w:type="pct"/>
            <w:shd w:val="clear" w:color="auto" w:fill="auto"/>
            <w:noWrap/>
            <w:vAlign w:val="center"/>
          </w:tcPr>
          <w:p w14:paraId="717945AA">
            <w:pPr>
              <w:pStyle w:val="24"/>
              <w:rPr>
                <w:sz w:val="16"/>
                <w:szCs w:val="16"/>
              </w:rPr>
            </w:pPr>
            <w:r>
              <w:rPr>
                <w:rFonts w:hint="eastAsia"/>
                <w:sz w:val="16"/>
                <w:szCs w:val="16"/>
              </w:rPr>
              <w:t>16786.89</w:t>
            </w:r>
          </w:p>
        </w:tc>
        <w:tc>
          <w:tcPr>
            <w:tcW w:w="506" w:type="pct"/>
            <w:shd w:val="clear" w:color="auto" w:fill="auto"/>
            <w:noWrap/>
            <w:vAlign w:val="center"/>
          </w:tcPr>
          <w:p w14:paraId="1C9E4DDE">
            <w:pPr>
              <w:pStyle w:val="24"/>
              <w:rPr>
                <w:sz w:val="16"/>
                <w:szCs w:val="16"/>
              </w:rPr>
            </w:pPr>
            <w:r>
              <w:rPr>
                <w:rFonts w:hint="eastAsia"/>
                <w:sz w:val="16"/>
                <w:szCs w:val="16"/>
              </w:rPr>
              <w:t>6559.17</w:t>
            </w:r>
          </w:p>
        </w:tc>
        <w:tc>
          <w:tcPr>
            <w:tcW w:w="509" w:type="pct"/>
            <w:shd w:val="clear" w:color="auto" w:fill="auto"/>
            <w:noWrap/>
            <w:vAlign w:val="center"/>
          </w:tcPr>
          <w:p w14:paraId="3058BCF1">
            <w:pPr>
              <w:pStyle w:val="24"/>
              <w:rPr>
                <w:sz w:val="16"/>
                <w:szCs w:val="16"/>
              </w:rPr>
            </w:pPr>
            <w:r>
              <w:rPr>
                <w:rFonts w:hint="eastAsia"/>
                <w:sz w:val="16"/>
                <w:szCs w:val="16"/>
              </w:rPr>
              <w:t>29712.50</w:t>
            </w:r>
          </w:p>
        </w:tc>
        <w:tc>
          <w:tcPr>
            <w:tcW w:w="512" w:type="pct"/>
            <w:shd w:val="clear" w:color="auto" w:fill="auto"/>
            <w:noWrap/>
            <w:vAlign w:val="center"/>
          </w:tcPr>
          <w:p w14:paraId="441AAB74">
            <w:pPr>
              <w:pStyle w:val="24"/>
              <w:rPr>
                <w:sz w:val="16"/>
                <w:szCs w:val="16"/>
              </w:rPr>
            </w:pPr>
            <w:r>
              <w:rPr>
                <w:rFonts w:hint="eastAsia"/>
                <w:sz w:val="16"/>
                <w:szCs w:val="16"/>
              </w:rPr>
              <w:t>Gamma</w:t>
            </w:r>
          </w:p>
        </w:tc>
        <w:tc>
          <w:tcPr>
            <w:tcW w:w="494" w:type="pct"/>
            <w:shd w:val="clear" w:color="auto" w:fill="auto"/>
            <w:noWrap/>
            <w:vAlign w:val="center"/>
          </w:tcPr>
          <w:p w14:paraId="193CDF2F">
            <w:pPr>
              <w:pStyle w:val="24"/>
              <w:rPr>
                <w:sz w:val="16"/>
                <w:szCs w:val="16"/>
              </w:rPr>
            </w:pPr>
            <w:r>
              <w:rPr>
                <w:sz w:val="16"/>
                <w:szCs w:val="16"/>
              </w:rPr>
              <w:fldChar w:fldCharType="begin"/>
            </w:r>
            <w:r>
              <w:rPr>
                <w:sz w:val="16"/>
                <w:szCs w:val="16"/>
              </w:rPr>
              <w:instrText xml:space="preserve"> ADDIN NE.Ref.{2C4E91A9-8A5A-4F88-93CA-73037157AD61}</w:instrText>
            </w:r>
            <w:r>
              <w:rPr>
                <w:sz w:val="16"/>
                <w:szCs w:val="16"/>
              </w:rPr>
              <w:fldChar w:fldCharType="separate"/>
            </w:r>
            <w:r>
              <w:rPr>
                <w:rFonts w:eastAsia="宋体" w:cs="Times New Roman"/>
                <w:color w:val="080000"/>
                <w:kern w:val="0"/>
                <w:sz w:val="16"/>
                <w:szCs w:val="16"/>
              </w:rPr>
              <w:t>[6]</w:t>
            </w:r>
            <w:r>
              <w:rPr>
                <w:sz w:val="16"/>
                <w:szCs w:val="16"/>
              </w:rPr>
              <w:fldChar w:fldCharType="end"/>
            </w:r>
            <w:r>
              <w:rPr>
                <w:rFonts w:hint="eastAsia"/>
                <w:sz w:val="16"/>
                <w:szCs w:val="16"/>
              </w:rPr>
              <w:t>　</w:t>
            </w:r>
          </w:p>
        </w:tc>
      </w:tr>
      <w:tr w14:paraId="5711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7A2CEB0">
            <w:pPr>
              <w:pStyle w:val="24"/>
              <w:rPr>
                <w:sz w:val="16"/>
                <w:szCs w:val="16"/>
              </w:rPr>
            </w:pPr>
            <w:r>
              <w:rPr>
                <w:rFonts w:hint="eastAsia"/>
                <w:sz w:val="16"/>
                <w:szCs w:val="16"/>
              </w:rPr>
              <w:t>End-of-life cost, $</w:t>
            </w:r>
          </w:p>
        </w:tc>
        <w:tc>
          <w:tcPr>
            <w:tcW w:w="506" w:type="pct"/>
            <w:shd w:val="clear" w:color="auto" w:fill="auto"/>
            <w:noWrap/>
            <w:vAlign w:val="center"/>
          </w:tcPr>
          <w:p w14:paraId="3C7C4313">
            <w:pPr>
              <w:pStyle w:val="24"/>
              <w:rPr>
                <w:sz w:val="16"/>
                <w:szCs w:val="16"/>
              </w:rPr>
            </w:pPr>
            <w:r>
              <w:rPr>
                <w:rFonts w:hint="eastAsia"/>
                <w:sz w:val="16"/>
                <w:szCs w:val="16"/>
              </w:rPr>
              <w:t>36684.23</w:t>
            </w:r>
          </w:p>
        </w:tc>
        <w:tc>
          <w:tcPr>
            <w:tcW w:w="506" w:type="pct"/>
            <w:shd w:val="clear" w:color="auto" w:fill="auto"/>
            <w:noWrap/>
            <w:vAlign w:val="center"/>
          </w:tcPr>
          <w:p w14:paraId="4F024F26">
            <w:pPr>
              <w:pStyle w:val="24"/>
              <w:rPr>
                <w:sz w:val="16"/>
                <w:szCs w:val="16"/>
              </w:rPr>
            </w:pPr>
            <w:r>
              <w:rPr>
                <w:rFonts w:hint="eastAsia"/>
                <w:sz w:val="16"/>
                <w:szCs w:val="16"/>
              </w:rPr>
              <w:t>29347.38</w:t>
            </w:r>
          </w:p>
        </w:tc>
        <w:tc>
          <w:tcPr>
            <w:tcW w:w="509" w:type="pct"/>
            <w:shd w:val="clear" w:color="auto" w:fill="auto"/>
            <w:noWrap/>
            <w:vAlign w:val="center"/>
          </w:tcPr>
          <w:p w14:paraId="23CE7950">
            <w:pPr>
              <w:pStyle w:val="24"/>
              <w:rPr>
                <w:sz w:val="16"/>
                <w:szCs w:val="16"/>
              </w:rPr>
            </w:pPr>
            <w:r>
              <w:rPr>
                <w:rFonts w:hint="eastAsia"/>
                <w:sz w:val="16"/>
                <w:szCs w:val="16"/>
              </w:rPr>
              <w:t>44021.08</w:t>
            </w:r>
          </w:p>
        </w:tc>
        <w:tc>
          <w:tcPr>
            <w:tcW w:w="512" w:type="pct"/>
            <w:shd w:val="clear" w:color="auto" w:fill="auto"/>
            <w:noWrap/>
            <w:vAlign w:val="center"/>
          </w:tcPr>
          <w:p w14:paraId="4D8D4761">
            <w:pPr>
              <w:pStyle w:val="24"/>
              <w:rPr>
                <w:sz w:val="16"/>
                <w:szCs w:val="16"/>
              </w:rPr>
            </w:pPr>
            <w:r>
              <w:rPr>
                <w:rFonts w:hint="eastAsia"/>
                <w:sz w:val="16"/>
                <w:szCs w:val="16"/>
              </w:rPr>
              <w:t>Gamma</w:t>
            </w:r>
          </w:p>
        </w:tc>
        <w:tc>
          <w:tcPr>
            <w:tcW w:w="494" w:type="pct"/>
            <w:shd w:val="clear" w:color="auto" w:fill="auto"/>
            <w:noWrap/>
            <w:vAlign w:val="center"/>
          </w:tcPr>
          <w:p w14:paraId="3F0306D6">
            <w:pPr>
              <w:pStyle w:val="24"/>
              <w:rPr>
                <w:sz w:val="16"/>
                <w:szCs w:val="16"/>
              </w:rPr>
            </w:pPr>
            <w:r>
              <w:rPr>
                <w:sz w:val="16"/>
                <w:szCs w:val="16"/>
              </w:rPr>
              <w:fldChar w:fldCharType="begin"/>
            </w:r>
            <w:r>
              <w:rPr>
                <w:sz w:val="16"/>
                <w:szCs w:val="16"/>
              </w:rPr>
              <w:instrText xml:space="preserve"> ADDIN NE.Ref.{99FE959E-4CE9-420C-9428-FFA9F4212A05}</w:instrText>
            </w:r>
            <w:r>
              <w:rPr>
                <w:sz w:val="16"/>
                <w:szCs w:val="16"/>
              </w:rPr>
              <w:fldChar w:fldCharType="separate"/>
            </w:r>
            <w:r>
              <w:rPr>
                <w:rFonts w:eastAsia="宋体" w:cs="Times New Roman"/>
                <w:color w:val="080000"/>
                <w:kern w:val="0"/>
                <w:sz w:val="16"/>
                <w:szCs w:val="16"/>
              </w:rPr>
              <w:t>[7]</w:t>
            </w:r>
            <w:r>
              <w:rPr>
                <w:sz w:val="16"/>
                <w:szCs w:val="16"/>
              </w:rPr>
              <w:fldChar w:fldCharType="end"/>
            </w:r>
            <w:r>
              <w:rPr>
                <w:rFonts w:hint="eastAsia"/>
                <w:sz w:val="16"/>
                <w:szCs w:val="16"/>
              </w:rPr>
              <w:t>　</w:t>
            </w:r>
          </w:p>
        </w:tc>
      </w:tr>
      <w:tr w14:paraId="7BA82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A80EB5C">
            <w:pPr>
              <w:pStyle w:val="24"/>
              <w:rPr>
                <w:sz w:val="16"/>
                <w:szCs w:val="16"/>
              </w:rPr>
            </w:pPr>
            <w:r>
              <w:rPr>
                <w:rFonts w:hint="eastAsia"/>
                <w:sz w:val="16"/>
                <w:szCs w:val="16"/>
              </w:rPr>
              <w:t>Treatment cost for Abdominal paint, $</w:t>
            </w:r>
          </w:p>
        </w:tc>
        <w:tc>
          <w:tcPr>
            <w:tcW w:w="506" w:type="pct"/>
            <w:shd w:val="clear" w:color="auto" w:fill="auto"/>
            <w:noWrap/>
            <w:vAlign w:val="center"/>
          </w:tcPr>
          <w:p w14:paraId="09929911">
            <w:pPr>
              <w:pStyle w:val="24"/>
              <w:rPr>
                <w:sz w:val="16"/>
                <w:szCs w:val="16"/>
              </w:rPr>
            </w:pPr>
            <w:r>
              <w:rPr>
                <w:rFonts w:hint="eastAsia"/>
                <w:sz w:val="16"/>
                <w:szCs w:val="16"/>
              </w:rPr>
              <w:t>13055.40</w:t>
            </w:r>
          </w:p>
        </w:tc>
        <w:tc>
          <w:tcPr>
            <w:tcW w:w="506" w:type="pct"/>
            <w:shd w:val="clear" w:color="auto" w:fill="auto"/>
            <w:noWrap/>
            <w:vAlign w:val="center"/>
          </w:tcPr>
          <w:p w14:paraId="324782B2">
            <w:pPr>
              <w:pStyle w:val="24"/>
              <w:rPr>
                <w:sz w:val="16"/>
                <w:szCs w:val="16"/>
              </w:rPr>
            </w:pPr>
            <w:r>
              <w:rPr>
                <w:rFonts w:hint="eastAsia"/>
                <w:sz w:val="16"/>
                <w:szCs w:val="16"/>
              </w:rPr>
              <w:t>10444.32</w:t>
            </w:r>
          </w:p>
        </w:tc>
        <w:tc>
          <w:tcPr>
            <w:tcW w:w="509" w:type="pct"/>
            <w:shd w:val="clear" w:color="auto" w:fill="auto"/>
            <w:noWrap/>
            <w:vAlign w:val="center"/>
          </w:tcPr>
          <w:p w14:paraId="7FED8DF0">
            <w:pPr>
              <w:pStyle w:val="24"/>
              <w:rPr>
                <w:sz w:val="16"/>
                <w:szCs w:val="16"/>
              </w:rPr>
            </w:pPr>
            <w:r>
              <w:rPr>
                <w:rFonts w:hint="eastAsia"/>
                <w:sz w:val="16"/>
                <w:szCs w:val="16"/>
              </w:rPr>
              <w:t>15666.48</w:t>
            </w:r>
          </w:p>
        </w:tc>
        <w:tc>
          <w:tcPr>
            <w:tcW w:w="512" w:type="pct"/>
            <w:shd w:val="clear" w:color="auto" w:fill="auto"/>
            <w:noWrap/>
            <w:vAlign w:val="center"/>
          </w:tcPr>
          <w:p w14:paraId="7F2CB8A8">
            <w:pPr>
              <w:pStyle w:val="24"/>
              <w:rPr>
                <w:sz w:val="16"/>
                <w:szCs w:val="16"/>
              </w:rPr>
            </w:pPr>
            <w:r>
              <w:rPr>
                <w:rFonts w:hint="eastAsia"/>
                <w:sz w:val="16"/>
                <w:szCs w:val="16"/>
              </w:rPr>
              <w:t>Gamma</w:t>
            </w:r>
          </w:p>
        </w:tc>
        <w:tc>
          <w:tcPr>
            <w:tcW w:w="494" w:type="pct"/>
            <w:shd w:val="clear" w:color="auto" w:fill="auto"/>
            <w:noWrap/>
            <w:vAlign w:val="center"/>
          </w:tcPr>
          <w:p w14:paraId="6A76C867">
            <w:pPr>
              <w:pStyle w:val="24"/>
              <w:rPr>
                <w:sz w:val="16"/>
                <w:szCs w:val="16"/>
              </w:rPr>
            </w:pPr>
            <w:r>
              <w:rPr>
                <w:sz w:val="16"/>
                <w:szCs w:val="16"/>
              </w:rPr>
              <w:fldChar w:fldCharType="begin"/>
            </w:r>
            <w:r>
              <w:rPr>
                <w:sz w:val="16"/>
                <w:szCs w:val="16"/>
              </w:rPr>
              <w:instrText xml:space="preserve"> ADDIN NE.Ref.{95A1F71E-3A7E-4A44-9129-18BA7C62CA69}</w:instrText>
            </w:r>
            <w:r>
              <w:rPr>
                <w:sz w:val="16"/>
                <w:szCs w:val="16"/>
              </w:rPr>
              <w:fldChar w:fldCharType="separate"/>
            </w:r>
            <w:r>
              <w:rPr>
                <w:rFonts w:eastAsia="宋体" w:cs="Times New Roman"/>
                <w:color w:val="080000"/>
                <w:kern w:val="0"/>
                <w:sz w:val="16"/>
                <w:szCs w:val="16"/>
              </w:rPr>
              <w:t>[8]</w:t>
            </w:r>
            <w:r>
              <w:rPr>
                <w:sz w:val="16"/>
                <w:szCs w:val="16"/>
              </w:rPr>
              <w:fldChar w:fldCharType="end"/>
            </w:r>
            <w:r>
              <w:rPr>
                <w:rFonts w:hint="eastAsia"/>
                <w:sz w:val="16"/>
                <w:szCs w:val="16"/>
              </w:rPr>
              <w:t>　</w:t>
            </w:r>
          </w:p>
        </w:tc>
      </w:tr>
      <w:tr w14:paraId="73BC9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3375103">
            <w:pPr>
              <w:pStyle w:val="24"/>
              <w:rPr>
                <w:sz w:val="16"/>
                <w:szCs w:val="16"/>
              </w:rPr>
            </w:pPr>
            <w:r>
              <w:rPr>
                <w:rFonts w:hint="eastAsia"/>
                <w:sz w:val="16"/>
                <w:szCs w:val="16"/>
              </w:rPr>
              <w:t>Treatment cost for Alanine aminotransferase concentration increasedt, $</w:t>
            </w:r>
          </w:p>
        </w:tc>
        <w:tc>
          <w:tcPr>
            <w:tcW w:w="506" w:type="pct"/>
            <w:shd w:val="clear" w:color="auto" w:fill="auto"/>
            <w:noWrap/>
            <w:vAlign w:val="center"/>
          </w:tcPr>
          <w:p w14:paraId="329230D0">
            <w:pPr>
              <w:pStyle w:val="24"/>
              <w:rPr>
                <w:sz w:val="16"/>
                <w:szCs w:val="16"/>
              </w:rPr>
            </w:pPr>
            <w:r>
              <w:rPr>
                <w:rFonts w:hint="eastAsia"/>
                <w:sz w:val="16"/>
                <w:szCs w:val="16"/>
              </w:rPr>
              <w:t>144.66</w:t>
            </w:r>
          </w:p>
        </w:tc>
        <w:tc>
          <w:tcPr>
            <w:tcW w:w="506" w:type="pct"/>
            <w:shd w:val="clear" w:color="auto" w:fill="auto"/>
            <w:noWrap/>
            <w:vAlign w:val="center"/>
          </w:tcPr>
          <w:p w14:paraId="0A06D1AD">
            <w:pPr>
              <w:pStyle w:val="24"/>
              <w:rPr>
                <w:sz w:val="16"/>
                <w:szCs w:val="16"/>
              </w:rPr>
            </w:pPr>
            <w:r>
              <w:rPr>
                <w:rFonts w:hint="eastAsia"/>
                <w:sz w:val="16"/>
                <w:szCs w:val="16"/>
              </w:rPr>
              <w:t>115.73</w:t>
            </w:r>
          </w:p>
        </w:tc>
        <w:tc>
          <w:tcPr>
            <w:tcW w:w="509" w:type="pct"/>
            <w:shd w:val="clear" w:color="auto" w:fill="auto"/>
            <w:noWrap/>
            <w:vAlign w:val="center"/>
          </w:tcPr>
          <w:p w14:paraId="59428853">
            <w:pPr>
              <w:pStyle w:val="24"/>
              <w:rPr>
                <w:sz w:val="16"/>
                <w:szCs w:val="16"/>
              </w:rPr>
            </w:pPr>
            <w:r>
              <w:rPr>
                <w:rFonts w:hint="eastAsia"/>
                <w:sz w:val="16"/>
                <w:szCs w:val="16"/>
              </w:rPr>
              <w:t>173.59</w:t>
            </w:r>
          </w:p>
        </w:tc>
        <w:tc>
          <w:tcPr>
            <w:tcW w:w="512" w:type="pct"/>
            <w:shd w:val="clear" w:color="auto" w:fill="auto"/>
            <w:noWrap/>
            <w:vAlign w:val="center"/>
          </w:tcPr>
          <w:p w14:paraId="10F98BE3">
            <w:pPr>
              <w:pStyle w:val="24"/>
              <w:rPr>
                <w:sz w:val="16"/>
                <w:szCs w:val="16"/>
              </w:rPr>
            </w:pPr>
            <w:r>
              <w:rPr>
                <w:rFonts w:hint="eastAsia"/>
                <w:sz w:val="16"/>
                <w:szCs w:val="16"/>
              </w:rPr>
              <w:t>Gamma</w:t>
            </w:r>
          </w:p>
        </w:tc>
        <w:tc>
          <w:tcPr>
            <w:tcW w:w="494" w:type="pct"/>
            <w:shd w:val="clear" w:color="auto" w:fill="auto"/>
            <w:noWrap/>
            <w:vAlign w:val="center"/>
          </w:tcPr>
          <w:p w14:paraId="77D40AC6">
            <w:pPr>
              <w:pStyle w:val="24"/>
              <w:rPr>
                <w:sz w:val="16"/>
                <w:szCs w:val="16"/>
              </w:rPr>
            </w:pPr>
            <w:r>
              <w:rPr>
                <w:sz w:val="16"/>
                <w:szCs w:val="16"/>
              </w:rPr>
              <w:fldChar w:fldCharType="begin"/>
            </w:r>
            <w:r>
              <w:rPr>
                <w:sz w:val="16"/>
                <w:szCs w:val="16"/>
              </w:rPr>
              <w:instrText xml:space="preserve"> ADDIN NE.Ref.{DB6D6DDA-9776-4234-9FA5-0D71D1E11550}</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6BF8E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5A4F1EB">
            <w:pPr>
              <w:pStyle w:val="24"/>
              <w:rPr>
                <w:sz w:val="16"/>
                <w:szCs w:val="16"/>
              </w:rPr>
            </w:pPr>
            <w:r>
              <w:rPr>
                <w:rFonts w:hint="eastAsia"/>
                <w:sz w:val="16"/>
                <w:szCs w:val="16"/>
              </w:rPr>
              <w:t>Treatment cost for Anemiat, $</w:t>
            </w:r>
          </w:p>
        </w:tc>
        <w:tc>
          <w:tcPr>
            <w:tcW w:w="506" w:type="pct"/>
            <w:shd w:val="clear" w:color="auto" w:fill="auto"/>
            <w:noWrap/>
            <w:vAlign w:val="center"/>
          </w:tcPr>
          <w:p w14:paraId="44432866">
            <w:pPr>
              <w:pStyle w:val="24"/>
              <w:rPr>
                <w:sz w:val="16"/>
                <w:szCs w:val="16"/>
              </w:rPr>
            </w:pPr>
            <w:r>
              <w:rPr>
                <w:rFonts w:hint="eastAsia"/>
                <w:sz w:val="16"/>
                <w:szCs w:val="16"/>
              </w:rPr>
              <w:t>9700.69</w:t>
            </w:r>
          </w:p>
        </w:tc>
        <w:tc>
          <w:tcPr>
            <w:tcW w:w="506" w:type="pct"/>
            <w:shd w:val="clear" w:color="auto" w:fill="auto"/>
            <w:noWrap/>
            <w:vAlign w:val="center"/>
          </w:tcPr>
          <w:p w14:paraId="525890B2">
            <w:pPr>
              <w:pStyle w:val="24"/>
              <w:rPr>
                <w:sz w:val="16"/>
                <w:szCs w:val="16"/>
              </w:rPr>
            </w:pPr>
            <w:r>
              <w:rPr>
                <w:rFonts w:hint="eastAsia"/>
                <w:sz w:val="16"/>
                <w:szCs w:val="16"/>
              </w:rPr>
              <w:t>7760.55</w:t>
            </w:r>
          </w:p>
        </w:tc>
        <w:tc>
          <w:tcPr>
            <w:tcW w:w="509" w:type="pct"/>
            <w:shd w:val="clear" w:color="auto" w:fill="auto"/>
            <w:noWrap/>
            <w:vAlign w:val="center"/>
          </w:tcPr>
          <w:p w14:paraId="385E8342">
            <w:pPr>
              <w:pStyle w:val="24"/>
              <w:rPr>
                <w:sz w:val="16"/>
                <w:szCs w:val="16"/>
              </w:rPr>
            </w:pPr>
            <w:r>
              <w:rPr>
                <w:rFonts w:hint="eastAsia"/>
                <w:sz w:val="16"/>
                <w:szCs w:val="16"/>
              </w:rPr>
              <w:t>11640.83</w:t>
            </w:r>
          </w:p>
        </w:tc>
        <w:tc>
          <w:tcPr>
            <w:tcW w:w="512" w:type="pct"/>
            <w:shd w:val="clear" w:color="auto" w:fill="auto"/>
            <w:noWrap/>
            <w:vAlign w:val="center"/>
          </w:tcPr>
          <w:p w14:paraId="079A0BE8">
            <w:pPr>
              <w:pStyle w:val="24"/>
              <w:rPr>
                <w:sz w:val="16"/>
                <w:szCs w:val="16"/>
              </w:rPr>
            </w:pPr>
            <w:r>
              <w:rPr>
                <w:rFonts w:hint="eastAsia"/>
                <w:sz w:val="16"/>
                <w:szCs w:val="16"/>
              </w:rPr>
              <w:t>Gamma</w:t>
            </w:r>
          </w:p>
        </w:tc>
        <w:tc>
          <w:tcPr>
            <w:tcW w:w="494" w:type="pct"/>
            <w:shd w:val="clear" w:color="auto" w:fill="auto"/>
            <w:noWrap/>
            <w:vAlign w:val="center"/>
          </w:tcPr>
          <w:p w14:paraId="3BD2ADDF">
            <w:pPr>
              <w:pStyle w:val="24"/>
              <w:rPr>
                <w:sz w:val="16"/>
                <w:szCs w:val="16"/>
              </w:rPr>
            </w:pPr>
            <w:r>
              <w:rPr>
                <w:sz w:val="16"/>
                <w:szCs w:val="16"/>
              </w:rPr>
              <w:fldChar w:fldCharType="begin"/>
            </w:r>
            <w:r>
              <w:rPr>
                <w:sz w:val="16"/>
                <w:szCs w:val="16"/>
              </w:rPr>
              <w:instrText xml:space="preserve"> ADDIN NE.Ref.{860D80D3-91EE-4786-925A-4FFB7DDFCC85}</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35F24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1E87E67">
            <w:pPr>
              <w:pStyle w:val="24"/>
              <w:rPr>
                <w:sz w:val="16"/>
                <w:szCs w:val="16"/>
              </w:rPr>
            </w:pPr>
            <w:r>
              <w:rPr>
                <w:rFonts w:hint="eastAsia"/>
                <w:sz w:val="16"/>
                <w:szCs w:val="16"/>
              </w:rPr>
              <w:t>Treatment cost for Anorexiat, $</w:t>
            </w:r>
          </w:p>
        </w:tc>
        <w:tc>
          <w:tcPr>
            <w:tcW w:w="506" w:type="pct"/>
            <w:shd w:val="clear" w:color="auto" w:fill="auto"/>
            <w:noWrap/>
            <w:vAlign w:val="center"/>
          </w:tcPr>
          <w:p w14:paraId="7F55B023">
            <w:pPr>
              <w:pStyle w:val="24"/>
              <w:rPr>
                <w:sz w:val="16"/>
                <w:szCs w:val="16"/>
              </w:rPr>
            </w:pPr>
            <w:r>
              <w:rPr>
                <w:rFonts w:hint="eastAsia"/>
                <w:sz w:val="16"/>
                <w:szCs w:val="16"/>
              </w:rPr>
              <w:t>12505.44</w:t>
            </w:r>
          </w:p>
        </w:tc>
        <w:tc>
          <w:tcPr>
            <w:tcW w:w="506" w:type="pct"/>
            <w:shd w:val="clear" w:color="auto" w:fill="auto"/>
            <w:noWrap/>
            <w:vAlign w:val="center"/>
          </w:tcPr>
          <w:p w14:paraId="62F7EBE1">
            <w:pPr>
              <w:pStyle w:val="24"/>
              <w:rPr>
                <w:sz w:val="16"/>
                <w:szCs w:val="16"/>
              </w:rPr>
            </w:pPr>
            <w:r>
              <w:rPr>
                <w:rFonts w:hint="eastAsia"/>
                <w:sz w:val="16"/>
                <w:szCs w:val="16"/>
              </w:rPr>
              <w:t>10004.35</w:t>
            </w:r>
          </w:p>
        </w:tc>
        <w:tc>
          <w:tcPr>
            <w:tcW w:w="509" w:type="pct"/>
            <w:shd w:val="clear" w:color="auto" w:fill="auto"/>
            <w:noWrap/>
            <w:vAlign w:val="center"/>
          </w:tcPr>
          <w:p w14:paraId="007F221B">
            <w:pPr>
              <w:pStyle w:val="24"/>
              <w:rPr>
                <w:sz w:val="16"/>
                <w:szCs w:val="16"/>
              </w:rPr>
            </w:pPr>
            <w:r>
              <w:rPr>
                <w:rFonts w:hint="eastAsia"/>
                <w:sz w:val="16"/>
                <w:szCs w:val="16"/>
              </w:rPr>
              <w:t>15006.53</w:t>
            </w:r>
          </w:p>
        </w:tc>
        <w:tc>
          <w:tcPr>
            <w:tcW w:w="512" w:type="pct"/>
            <w:shd w:val="clear" w:color="auto" w:fill="auto"/>
            <w:noWrap/>
            <w:vAlign w:val="center"/>
          </w:tcPr>
          <w:p w14:paraId="0EF0E101">
            <w:pPr>
              <w:pStyle w:val="24"/>
              <w:rPr>
                <w:sz w:val="16"/>
                <w:szCs w:val="16"/>
              </w:rPr>
            </w:pPr>
            <w:r>
              <w:rPr>
                <w:rFonts w:hint="eastAsia"/>
                <w:sz w:val="16"/>
                <w:szCs w:val="16"/>
              </w:rPr>
              <w:t>Gamma</w:t>
            </w:r>
          </w:p>
        </w:tc>
        <w:tc>
          <w:tcPr>
            <w:tcW w:w="494" w:type="pct"/>
            <w:shd w:val="clear" w:color="auto" w:fill="auto"/>
            <w:noWrap/>
            <w:vAlign w:val="center"/>
          </w:tcPr>
          <w:p w14:paraId="70212B20">
            <w:pPr>
              <w:pStyle w:val="24"/>
              <w:rPr>
                <w:sz w:val="16"/>
                <w:szCs w:val="16"/>
              </w:rPr>
            </w:pPr>
            <w:r>
              <w:rPr>
                <w:sz w:val="16"/>
                <w:szCs w:val="16"/>
              </w:rPr>
              <w:fldChar w:fldCharType="begin"/>
            </w:r>
            <w:r>
              <w:rPr>
                <w:sz w:val="16"/>
                <w:szCs w:val="16"/>
              </w:rPr>
              <w:instrText xml:space="preserve"> ADDIN NE.Ref.{5474D441-CEC9-4BE6-9CC6-240CDB0BE865}</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0B8A7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8C85B04">
            <w:pPr>
              <w:pStyle w:val="24"/>
              <w:rPr>
                <w:sz w:val="16"/>
                <w:szCs w:val="16"/>
              </w:rPr>
            </w:pPr>
            <w:r>
              <w:rPr>
                <w:rFonts w:hint="eastAsia"/>
                <w:sz w:val="16"/>
                <w:szCs w:val="16"/>
              </w:rPr>
              <w:t>Treatment cost for Aspartate aminotransferase increasedt, $</w:t>
            </w:r>
          </w:p>
        </w:tc>
        <w:tc>
          <w:tcPr>
            <w:tcW w:w="506" w:type="pct"/>
            <w:shd w:val="clear" w:color="auto" w:fill="auto"/>
            <w:noWrap/>
            <w:vAlign w:val="center"/>
          </w:tcPr>
          <w:p w14:paraId="6058FBCD">
            <w:pPr>
              <w:pStyle w:val="24"/>
              <w:rPr>
                <w:sz w:val="16"/>
                <w:szCs w:val="16"/>
              </w:rPr>
            </w:pPr>
            <w:r>
              <w:rPr>
                <w:rFonts w:hint="eastAsia"/>
                <w:sz w:val="16"/>
                <w:szCs w:val="16"/>
              </w:rPr>
              <w:t>144.66</w:t>
            </w:r>
          </w:p>
        </w:tc>
        <w:tc>
          <w:tcPr>
            <w:tcW w:w="506" w:type="pct"/>
            <w:shd w:val="clear" w:color="auto" w:fill="auto"/>
            <w:noWrap/>
            <w:vAlign w:val="center"/>
          </w:tcPr>
          <w:p w14:paraId="5AEAB08F">
            <w:pPr>
              <w:pStyle w:val="24"/>
              <w:rPr>
                <w:sz w:val="16"/>
                <w:szCs w:val="16"/>
              </w:rPr>
            </w:pPr>
            <w:r>
              <w:rPr>
                <w:rFonts w:hint="eastAsia"/>
                <w:sz w:val="16"/>
                <w:szCs w:val="16"/>
              </w:rPr>
              <w:t>115.73</w:t>
            </w:r>
          </w:p>
        </w:tc>
        <w:tc>
          <w:tcPr>
            <w:tcW w:w="509" w:type="pct"/>
            <w:shd w:val="clear" w:color="auto" w:fill="auto"/>
            <w:noWrap/>
            <w:vAlign w:val="center"/>
          </w:tcPr>
          <w:p w14:paraId="1072FF1B">
            <w:pPr>
              <w:pStyle w:val="24"/>
              <w:rPr>
                <w:sz w:val="16"/>
                <w:szCs w:val="16"/>
              </w:rPr>
            </w:pPr>
            <w:r>
              <w:rPr>
                <w:rFonts w:hint="eastAsia"/>
                <w:sz w:val="16"/>
                <w:szCs w:val="16"/>
              </w:rPr>
              <w:t>173.59</w:t>
            </w:r>
          </w:p>
        </w:tc>
        <w:tc>
          <w:tcPr>
            <w:tcW w:w="512" w:type="pct"/>
            <w:shd w:val="clear" w:color="auto" w:fill="auto"/>
            <w:noWrap/>
            <w:vAlign w:val="center"/>
          </w:tcPr>
          <w:p w14:paraId="51F82AF1">
            <w:pPr>
              <w:pStyle w:val="24"/>
              <w:rPr>
                <w:sz w:val="16"/>
                <w:szCs w:val="16"/>
              </w:rPr>
            </w:pPr>
            <w:r>
              <w:rPr>
                <w:rFonts w:hint="eastAsia"/>
                <w:sz w:val="16"/>
                <w:szCs w:val="16"/>
              </w:rPr>
              <w:t>Gamma</w:t>
            </w:r>
          </w:p>
        </w:tc>
        <w:tc>
          <w:tcPr>
            <w:tcW w:w="494" w:type="pct"/>
            <w:shd w:val="clear" w:color="auto" w:fill="auto"/>
            <w:noWrap/>
            <w:vAlign w:val="center"/>
          </w:tcPr>
          <w:p w14:paraId="518D2AC6">
            <w:pPr>
              <w:pStyle w:val="24"/>
              <w:rPr>
                <w:sz w:val="16"/>
                <w:szCs w:val="16"/>
              </w:rPr>
            </w:pPr>
            <w:r>
              <w:rPr>
                <w:sz w:val="16"/>
                <w:szCs w:val="16"/>
              </w:rPr>
              <w:fldChar w:fldCharType="begin"/>
            </w:r>
            <w:r>
              <w:rPr>
                <w:sz w:val="16"/>
                <w:szCs w:val="16"/>
              </w:rPr>
              <w:instrText xml:space="preserve"> ADDIN NE.Ref.{E388CE22-31F7-4738-95BB-FEBFF058CDF7}</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368FF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2D5E860">
            <w:pPr>
              <w:pStyle w:val="24"/>
              <w:rPr>
                <w:sz w:val="16"/>
                <w:szCs w:val="16"/>
              </w:rPr>
            </w:pPr>
            <w:r>
              <w:rPr>
                <w:rFonts w:hint="eastAsia"/>
                <w:sz w:val="16"/>
                <w:szCs w:val="16"/>
              </w:rPr>
              <w:t>Treatment cost for Astheniat, $</w:t>
            </w:r>
          </w:p>
        </w:tc>
        <w:tc>
          <w:tcPr>
            <w:tcW w:w="506" w:type="pct"/>
            <w:shd w:val="clear" w:color="auto" w:fill="auto"/>
            <w:noWrap/>
            <w:vAlign w:val="center"/>
          </w:tcPr>
          <w:p w14:paraId="002FD5B7">
            <w:pPr>
              <w:pStyle w:val="24"/>
              <w:rPr>
                <w:sz w:val="16"/>
                <w:szCs w:val="16"/>
              </w:rPr>
            </w:pPr>
            <w:r>
              <w:rPr>
                <w:rFonts w:hint="eastAsia"/>
                <w:sz w:val="16"/>
                <w:szCs w:val="16"/>
              </w:rPr>
              <w:t>9376.69</w:t>
            </w:r>
          </w:p>
        </w:tc>
        <w:tc>
          <w:tcPr>
            <w:tcW w:w="506" w:type="pct"/>
            <w:shd w:val="clear" w:color="auto" w:fill="auto"/>
            <w:noWrap/>
            <w:vAlign w:val="center"/>
          </w:tcPr>
          <w:p w14:paraId="5DF2C697">
            <w:pPr>
              <w:pStyle w:val="24"/>
              <w:rPr>
                <w:sz w:val="16"/>
                <w:szCs w:val="16"/>
              </w:rPr>
            </w:pPr>
            <w:r>
              <w:rPr>
                <w:rFonts w:hint="eastAsia"/>
                <w:sz w:val="16"/>
                <w:szCs w:val="16"/>
              </w:rPr>
              <w:t>7501.35</w:t>
            </w:r>
          </w:p>
        </w:tc>
        <w:tc>
          <w:tcPr>
            <w:tcW w:w="509" w:type="pct"/>
            <w:shd w:val="clear" w:color="auto" w:fill="auto"/>
            <w:noWrap/>
            <w:vAlign w:val="center"/>
          </w:tcPr>
          <w:p w14:paraId="75195CA0">
            <w:pPr>
              <w:pStyle w:val="24"/>
              <w:rPr>
                <w:sz w:val="16"/>
                <w:szCs w:val="16"/>
              </w:rPr>
            </w:pPr>
            <w:r>
              <w:rPr>
                <w:rFonts w:hint="eastAsia"/>
                <w:sz w:val="16"/>
                <w:szCs w:val="16"/>
              </w:rPr>
              <w:t>11252.03</w:t>
            </w:r>
          </w:p>
        </w:tc>
        <w:tc>
          <w:tcPr>
            <w:tcW w:w="512" w:type="pct"/>
            <w:shd w:val="clear" w:color="auto" w:fill="auto"/>
            <w:noWrap/>
            <w:vAlign w:val="center"/>
          </w:tcPr>
          <w:p w14:paraId="2BF85534">
            <w:pPr>
              <w:pStyle w:val="24"/>
              <w:rPr>
                <w:sz w:val="16"/>
                <w:szCs w:val="16"/>
              </w:rPr>
            </w:pPr>
            <w:r>
              <w:rPr>
                <w:rFonts w:hint="eastAsia"/>
                <w:sz w:val="16"/>
                <w:szCs w:val="16"/>
              </w:rPr>
              <w:t>Gamma</w:t>
            </w:r>
          </w:p>
        </w:tc>
        <w:tc>
          <w:tcPr>
            <w:tcW w:w="494" w:type="pct"/>
            <w:shd w:val="clear" w:color="auto" w:fill="auto"/>
            <w:noWrap/>
            <w:vAlign w:val="center"/>
          </w:tcPr>
          <w:p w14:paraId="08AA7C7D">
            <w:pPr>
              <w:pStyle w:val="24"/>
              <w:rPr>
                <w:sz w:val="16"/>
                <w:szCs w:val="16"/>
              </w:rPr>
            </w:pPr>
            <w:r>
              <w:rPr>
                <w:sz w:val="16"/>
                <w:szCs w:val="16"/>
              </w:rPr>
              <w:fldChar w:fldCharType="begin"/>
            </w:r>
            <w:r>
              <w:rPr>
                <w:sz w:val="16"/>
                <w:szCs w:val="16"/>
              </w:rPr>
              <w:instrText xml:space="preserve"> ADDIN NE.Ref.{90135512-39AF-46A3-BAB7-317FBE83403A}</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69BD1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FD6D212">
            <w:pPr>
              <w:pStyle w:val="24"/>
              <w:rPr>
                <w:sz w:val="16"/>
                <w:szCs w:val="16"/>
              </w:rPr>
            </w:pPr>
            <w:r>
              <w:rPr>
                <w:rFonts w:hint="eastAsia"/>
                <w:sz w:val="16"/>
                <w:szCs w:val="16"/>
              </w:rPr>
              <w:t>Treatment cost for Blood bilirubin increased/Increase in total bilirubint, $</w:t>
            </w:r>
          </w:p>
        </w:tc>
        <w:tc>
          <w:tcPr>
            <w:tcW w:w="506" w:type="pct"/>
            <w:shd w:val="clear" w:color="auto" w:fill="auto"/>
            <w:noWrap/>
            <w:vAlign w:val="center"/>
          </w:tcPr>
          <w:p w14:paraId="48BB97AC">
            <w:pPr>
              <w:pStyle w:val="24"/>
              <w:rPr>
                <w:sz w:val="16"/>
                <w:szCs w:val="16"/>
              </w:rPr>
            </w:pPr>
            <w:r>
              <w:rPr>
                <w:rFonts w:hint="eastAsia"/>
                <w:sz w:val="16"/>
                <w:szCs w:val="16"/>
              </w:rPr>
              <w:t>6674.75</w:t>
            </w:r>
          </w:p>
        </w:tc>
        <w:tc>
          <w:tcPr>
            <w:tcW w:w="506" w:type="pct"/>
            <w:shd w:val="clear" w:color="auto" w:fill="auto"/>
            <w:noWrap/>
            <w:vAlign w:val="center"/>
          </w:tcPr>
          <w:p w14:paraId="33DFC286">
            <w:pPr>
              <w:pStyle w:val="24"/>
              <w:rPr>
                <w:sz w:val="16"/>
                <w:szCs w:val="16"/>
              </w:rPr>
            </w:pPr>
            <w:r>
              <w:rPr>
                <w:rFonts w:hint="eastAsia"/>
                <w:sz w:val="16"/>
                <w:szCs w:val="16"/>
              </w:rPr>
              <w:t>5339.80</w:t>
            </w:r>
          </w:p>
        </w:tc>
        <w:tc>
          <w:tcPr>
            <w:tcW w:w="509" w:type="pct"/>
            <w:shd w:val="clear" w:color="auto" w:fill="auto"/>
            <w:noWrap/>
            <w:vAlign w:val="center"/>
          </w:tcPr>
          <w:p w14:paraId="3411CE5C">
            <w:pPr>
              <w:pStyle w:val="24"/>
              <w:rPr>
                <w:sz w:val="16"/>
                <w:szCs w:val="16"/>
              </w:rPr>
            </w:pPr>
            <w:r>
              <w:rPr>
                <w:rFonts w:hint="eastAsia"/>
                <w:sz w:val="16"/>
                <w:szCs w:val="16"/>
              </w:rPr>
              <w:t>8009.70</w:t>
            </w:r>
          </w:p>
        </w:tc>
        <w:tc>
          <w:tcPr>
            <w:tcW w:w="512" w:type="pct"/>
            <w:shd w:val="clear" w:color="auto" w:fill="auto"/>
            <w:noWrap/>
            <w:vAlign w:val="center"/>
          </w:tcPr>
          <w:p w14:paraId="4079AA40">
            <w:pPr>
              <w:pStyle w:val="24"/>
              <w:rPr>
                <w:sz w:val="16"/>
                <w:szCs w:val="16"/>
              </w:rPr>
            </w:pPr>
            <w:r>
              <w:rPr>
                <w:rFonts w:hint="eastAsia"/>
                <w:sz w:val="16"/>
                <w:szCs w:val="16"/>
              </w:rPr>
              <w:t>Gamma</w:t>
            </w:r>
          </w:p>
        </w:tc>
        <w:tc>
          <w:tcPr>
            <w:tcW w:w="494" w:type="pct"/>
            <w:shd w:val="clear" w:color="auto" w:fill="auto"/>
            <w:noWrap/>
            <w:vAlign w:val="center"/>
          </w:tcPr>
          <w:p w14:paraId="50928A1B">
            <w:pPr>
              <w:pStyle w:val="24"/>
              <w:rPr>
                <w:sz w:val="16"/>
                <w:szCs w:val="16"/>
              </w:rPr>
            </w:pPr>
            <w:r>
              <w:rPr>
                <w:sz w:val="16"/>
                <w:szCs w:val="16"/>
              </w:rPr>
              <w:fldChar w:fldCharType="begin"/>
            </w:r>
            <w:r>
              <w:rPr>
                <w:sz w:val="16"/>
                <w:szCs w:val="16"/>
              </w:rPr>
              <w:instrText xml:space="preserve"> ADDIN NE.Ref.{8D335C03-FAA5-4C79-B5D5-5AB70F2D5CFF}</w:instrText>
            </w:r>
            <w:r>
              <w:rPr>
                <w:sz w:val="16"/>
                <w:szCs w:val="16"/>
              </w:rPr>
              <w:fldChar w:fldCharType="separate"/>
            </w:r>
            <w:r>
              <w:rPr>
                <w:rFonts w:eastAsia="宋体" w:cs="Times New Roman"/>
                <w:color w:val="080000"/>
                <w:kern w:val="0"/>
                <w:sz w:val="16"/>
                <w:szCs w:val="16"/>
              </w:rPr>
              <w:t>[10, 11]</w:t>
            </w:r>
            <w:r>
              <w:rPr>
                <w:sz w:val="16"/>
                <w:szCs w:val="16"/>
              </w:rPr>
              <w:fldChar w:fldCharType="end"/>
            </w:r>
            <w:r>
              <w:rPr>
                <w:rFonts w:hint="eastAsia"/>
                <w:sz w:val="16"/>
                <w:szCs w:val="16"/>
              </w:rPr>
              <w:t>　</w:t>
            </w:r>
          </w:p>
        </w:tc>
      </w:tr>
      <w:tr w14:paraId="2F9C6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A4D8734">
            <w:pPr>
              <w:pStyle w:val="24"/>
              <w:rPr>
                <w:sz w:val="16"/>
                <w:szCs w:val="16"/>
              </w:rPr>
            </w:pPr>
            <w:r>
              <w:rPr>
                <w:rFonts w:hint="eastAsia"/>
                <w:sz w:val="16"/>
                <w:szCs w:val="16"/>
              </w:rPr>
              <w:t>Treatment cost for Colonic obstructiont, $</w:t>
            </w:r>
          </w:p>
        </w:tc>
        <w:tc>
          <w:tcPr>
            <w:tcW w:w="506" w:type="pct"/>
            <w:shd w:val="clear" w:color="auto" w:fill="auto"/>
            <w:noWrap/>
            <w:vAlign w:val="center"/>
          </w:tcPr>
          <w:p w14:paraId="323765D8">
            <w:pPr>
              <w:pStyle w:val="24"/>
              <w:rPr>
                <w:sz w:val="16"/>
                <w:szCs w:val="16"/>
              </w:rPr>
            </w:pPr>
            <w:r>
              <w:rPr>
                <w:rFonts w:hint="eastAsia"/>
                <w:sz w:val="16"/>
                <w:szCs w:val="16"/>
              </w:rPr>
              <w:t>15255.21</w:t>
            </w:r>
          </w:p>
        </w:tc>
        <w:tc>
          <w:tcPr>
            <w:tcW w:w="506" w:type="pct"/>
            <w:shd w:val="clear" w:color="auto" w:fill="auto"/>
            <w:noWrap/>
            <w:vAlign w:val="center"/>
          </w:tcPr>
          <w:p w14:paraId="51818CFD">
            <w:pPr>
              <w:pStyle w:val="24"/>
              <w:rPr>
                <w:sz w:val="16"/>
                <w:szCs w:val="16"/>
              </w:rPr>
            </w:pPr>
            <w:r>
              <w:rPr>
                <w:rFonts w:hint="eastAsia"/>
                <w:sz w:val="16"/>
                <w:szCs w:val="16"/>
              </w:rPr>
              <w:t>12204.17</w:t>
            </w:r>
          </w:p>
        </w:tc>
        <w:tc>
          <w:tcPr>
            <w:tcW w:w="509" w:type="pct"/>
            <w:shd w:val="clear" w:color="auto" w:fill="auto"/>
            <w:noWrap/>
            <w:vAlign w:val="center"/>
          </w:tcPr>
          <w:p w14:paraId="0F69FB2C">
            <w:pPr>
              <w:pStyle w:val="24"/>
              <w:rPr>
                <w:sz w:val="16"/>
                <w:szCs w:val="16"/>
              </w:rPr>
            </w:pPr>
            <w:r>
              <w:rPr>
                <w:rFonts w:hint="eastAsia"/>
                <w:sz w:val="16"/>
                <w:szCs w:val="16"/>
              </w:rPr>
              <w:t>18306.25</w:t>
            </w:r>
          </w:p>
        </w:tc>
        <w:tc>
          <w:tcPr>
            <w:tcW w:w="512" w:type="pct"/>
            <w:shd w:val="clear" w:color="auto" w:fill="auto"/>
            <w:noWrap/>
            <w:vAlign w:val="center"/>
          </w:tcPr>
          <w:p w14:paraId="5379A46D">
            <w:pPr>
              <w:pStyle w:val="24"/>
              <w:rPr>
                <w:sz w:val="16"/>
                <w:szCs w:val="16"/>
              </w:rPr>
            </w:pPr>
            <w:r>
              <w:rPr>
                <w:rFonts w:hint="eastAsia"/>
                <w:sz w:val="16"/>
                <w:szCs w:val="16"/>
              </w:rPr>
              <w:t>Gamma</w:t>
            </w:r>
          </w:p>
        </w:tc>
        <w:tc>
          <w:tcPr>
            <w:tcW w:w="494" w:type="pct"/>
            <w:shd w:val="clear" w:color="auto" w:fill="auto"/>
            <w:noWrap/>
            <w:vAlign w:val="center"/>
          </w:tcPr>
          <w:p w14:paraId="38424B2D">
            <w:pPr>
              <w:pStyle w:val="24"/>
              <w:rPr>
                <w:sz w:val="16"/>
                <w:szCs w:val="16"/>
              </w:rPr>
            </w:pPr>
            <w:r>
              <w:rPr>
                <w:sz w:val="16"/>
                <w:szCs w:val="16"/>
              </w:rPr>
              <w:fldChar w:fldCharType="begin"/>
            </w:r>
            <w:r>
              <w:rPr>
                <w:sz w:val="16"/>
                <w:szCs w:val="16"/>
              </w:rPr>
              <w:instrText xml:space="preserve"> ADDIN NE.Ref.{57F867A7-DE45-410E-A5BB-83F8253FBED6}</w:instrText>
            </w:r>
            <w:r>
              <w:rPr>
                <w:sz w:val="16"/>
                <w:szCs w:val="16"/>
              </w:rPr>
              <w:fldChar w:fldCharType="separate"/>
            </w:r>
            <w:r>
              <w:rPr>
                <w:rFonts w:eastAsia="宋体" w:cs="Times New Roman"/>
                <w:color w:val="080000"/>
                <w:kern w:val="0"/>
                <w:sz w:val="16"/>
                <w:szCs w:val="16"/>
              </w:rPr>
              <w:t>[8]</w:t>
            </w:r>
            <w:r>
              <w:rPr>
                <w:sz w:val="16"/>
                <w:szCs w:val="16"/>
              </w:rPr>
              <w:fldChar w:fldCharType="end"/>
            </w:r>
            <w:r>
              <w:rPr>
                <w:rFonts w:hint="eastAsia"/>
                <w:sz w:val="16"/>
                <w:szCs w:val="16"/>
              </w:rPr>
              <w:t>　</w:t>
            </w:r>
          </w:p>
        </w:tc>
      </w:tr>
      <w:tr w14:paraId="4A06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22A4504">
            <w:pPr>
              <w:pStyle w:val="24"/>
              <w:rPr>
                <w:sz w:val="16"/>
                <w:szCs w:val="16"/>
              </w:rPr>
            </w:pPr>
            <w:r>
              <w:rPr>
                <w:rFonts w:hint="eastAsia"/>
                <w:sz w:val="16"/>
                <w:szCs w:val="16"/>
              </w:rPr>
              <w:t>Treatment cost for Decreased appetitet, $</w:t>
            </w:r>
          </w:p>
        </w:tc>
        <w:tc>
          <w:tcPr>
            <w:tcW w:w="506" w:type="pct"/>
            <w:shd w:val="clear" w:color="auto" w:fill="auto"/>
            <w:noWrap/>
            <w:vAlign w:val="center"/>
          </w:tcPr>
          <w:p w14:paraId="12DFA2AD">
            <w:pPr>
              <w:pStyle w:val="24"/>
              <w:rPr>
                <w:sz w:val="16"/>
                <w:szCs w:val="16"/>
              </w:rPr>
            </w:pPr>
            <w:r>
              <w:rPr>
                <w:rFonts w:hint="eastAsia"/>
                <w:sz w:val="16"/>
                <w:szCs w:val="16"/>
              </w:rPr>
              <w:t>12505.44</w:t>
            </w:r>
          </w:p>
        </w:tc>
        <w:tc>
          <w:tcPr>
            <w:tcW w:w="506" w:type="pct"/>
            <w:shd w:val="clear" w:color="auto" w:fill="auto"/>
            <w:noWrap/>
            <w:vAlign w:val="center"/>
          </w:tcPr>
          <w:p w14:paraId="5DCE57A7">
            <w:pPr>
              <w:pStyle w:val="24"/>
              <w:rPr>
                <w:sz w:val="16"/>
                <w:szCs w:val="16"/>
              </w:rPr>
            </w:pPr>
            <w:r>
              <w:rPr>
                <w:rFonts w:hint="eastAsia"/>
                <w:sz w:val="16"/>
                <w:szCs w:val="16"/>
              </w:rPr>
              <w:t>10004.35</w:t>
            </w:r>
          </w:p>
        </w:tc>
        <w:tc>
          <w:tcPr>
            <w:tcW w:w="509" w:type="pct"/>
            <w:shd w:val="clear" w:color="auto" w:fill="auto"/>
            <w:noWrap/>
            <w:vAlign w:val="center"/>
          </w:tcPr>
          <w:p w14:paraId="604348B2">
            <w:pPr>
              <w:pStyle w:val="24"/>
              <w:rPr>
                <w:sz w:val="16"/>
                <w:szCs w:val="16"/>
              </w:rPr>
            </w:pPr>
            <w:r>
              <w:rPr>
                <w:rFonts w:hint="eastAsia"/>
                <w:sz w:val="16"/>
                <w:szCs w:val="16"/>
              </w:rPr>
              <w:t>15006.53</w:t>
            </w:r>
          </w:p>
        </w:tc>
        <w:tc>
          <w:tcPr>
            <w:tcW w:w="512" w:type="pct"/>
            <w:shd w:val="clear" w:color="auto" w:fill="auto"/>
            <w:noWrap/>
            <w:vAlign w:val="center"/>
          </w:tcPr>
          <w:p w14:paraId="427DD5F9">
            <w:pPr>
              <w:pStyle w:val="24"/>
              <w:rPr>
                <w:sz w:val="16"/>
                <w:szCs w:val="16"/>
              </w:rPr>
            </w:pPr>
            <w:r>
              <w:rPr>
                <w:rFonts w:hint="eastAsia"/>
                <w:sz w:val="16"/>
                <w:szCs w:val="16"/>
              </w:rPr>
              <w:t>Gamma</w:t>
            </w:r>
          </w:p>
        </w:tc>
        <w:tc>
          <w:tcPr>
            <w:tcW w:w="494" w:type="pct"/>
            <w:shd w:val="clear" w:color="auto" w:fill="auto"/>
            <w:noWrap/>
            <w:vAlign w:val="center"/>
          </w:tcPr>
          <w:p w14:paraId="75CDC068">
            <w:pPr>
              <w:pStyle w:val="24"/>
              <w:rPr>
                <w:sz w:val="16"/>
                <w:szCs w:val="16"/>
              </w:rPr>
            </w:pPr>
            <w:r>
              <w:rPr>
                <w:sz w:val="16"/>
                <w:szCs w:val="16"/>
              </w:rPr>
              <w:fldChar w:fldCharType="begin"/>
            </w:r>
            <w:r>
              <w:rPr>
                <w:sz w:val="16"/>
                <w:szCs w:val="16"/>
              </w:rPr>
              <w:instrText xml:space="preserve"> ADDIN NE.Ref.{98837728-3600-4A21-8219-0E887CA242B1}</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6D675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C28E01E">
            <w:pPr>
              <w:pStyle w:val="24"/>
              <w:rPr>
                <w:sz w:val="16"/>
                <w:szCs w:val="16"/>
              </w:rPr>
            </w:pPr>
            <w:r>
              <w:rPr>
                <w:rFonts w:hint="eastAsia"/>
                <w:sz w:val="16"/>
                <w:szCs w:val="16"/>
              </w:rPr>
              <w:t>Treatment cost for Dehydrationt, $</w:t>
            </w:r>
          </w:p>
        </w:tc>
        <w:tc>
          <w:tcPr>
            <w:tcW w:w="506" w:type="pct"/>
            <w:shd w:val="clear" w:color="auto" w:fill="auto"/>
            <w:noWrap/>
            <w:vAlign w:val="center"/>
          </w:tcPr>
          <w:p w14:paraId="5BAFEB80">
            <w:pPr>
              <w:pStyle w:val="24"/>
              <w:rPr>
                <w:sz w:val="16"/>
                <w:szCs w:val="16"/>
              </w:rPr>
            </w:pPr>
            <w:r>
              <w:rPr>
                <w:rFonts w:hint="eastAsia"/>
                <w:sz w:val="16"/>
                <w:szCs w:val="16"/>
              </w:rPr>
              <w:t>7873.89</w:t>
            </w:r>
          </w:p>
        </w:tc>
        <w:tc>
          <w:tcPr>
            <w:tcW w:w="506" w:type="pct"/>
            <w:shd w:val="clear" w:color="auto" w:fill="auto"/>
            <w:noWrap/>
            <w:vAlign w:val="center"/>
          </w:tcPr>
          <w:p w14:paraId="3F593403">
            <w:pPr>
              <w:pStyle w:val="24"/>
              <w:rPr>
                <w:sz w:val="16"/>
                <w:szCs w:val="16"/>
              </w:rPr>
            </w:pPr>
            <w:r>
              <w:rPr>
                <w:rFonts w:hint="eastAsia"/>
                <w:sz w:val="16"/>
                <w:szCs w:val="16"/>
              </w:rPr>
              <w:t>6299.11</w:t>
            </w:r>
          </w:p>
        </w:tc>
        <w:tc>
          <w:tcPr>
            <w:tcW w:w="509" w:type="pct"/>
            <w:shd w:val="clear" w:color="auto" w:fill="auto"/>
            <w:noWrap/>
            <w:vAlign w:val="center"/>
          </w:tcPr>
          <w:p w14:paraId="49DA1360">
            <w:pPr>
              <w:pStyle w:val="24"/>
              <w:rPr>
                <w:sz w:val="16"/>
                <w:szCs w:val="16"/>
              </w:rPr>
            </w:pPr>
            <w:r>
              <w:rPr>
                <w:rFonts w:hint="eastAsia"/>
                <w:sz w:val="16"/>
                <w:szCs w:val="16"/>
              </w:rPr>
              <w:t>9448.67</w:t>
            </w:r>
          </w:p>
        </w:tc>
        <w:tc>
          <w:tcPr>
            <w:tcW w:w="512" w:type="pct"/>
            <w:shd w:val="clear" w:color="auto" w:fill="auto"/>
            <w:noWrap/>
            <w:vAlign w:val="center"/>
          </w:tcPr>
          <w:p w14:paraId="477A7F4F">
            <w:pPr>
              <w:pStyle w:val="24"/>
              <w:rPr>
                <w:sz w:val="16"/>
                <w:szCs w:val="16"/>
              </w:rPr>
            </w:pPr>
            <w:r>
              <w:rPr>
                <w:rFonts w:hint="eastAsia"/>
                <w:sz w:val="16"/>
                <w:szCs w:val="16"/>
              </w:rPr>
              <w:t>Gamma</w:t>
            </w:r>
          </w:p>
        </w:tc>
        <w:tc>
          <w:tcPr>
            <w:tcW w:w="494" w:type="pct"/>
            <w:shd w:val="clear" w:color="auto" w:fill="auto"/>
            <w:noWrap/>
            <w:vAlign w:val="center"/>
          </w:tcPr>
          <w:p w14:paraId="57A88E76">
            <w:pPr>
              <w:pStyle w:val="24"/>
              <w:rPr>
                <w:sz w:val="16"/>
                <w:szCs w:val="16"/>
              </w:rPr>
            </w:pPr>
            <w:r>
              <w:rPr>
                <w:sz w:val="16"/>
                <w:szCs w:val="16"/>
              </w:rPr>
              <w:fldChar w:fldCharType="begin"/>
            </w:r>
            <w:r>
              <w:rPr>
                <w:sz w:val="16"/>
                <w:szCs w:val="16"/>
              </w:rPr>
              <w:instrText xml:space="preserve"> ADDIN NE.Ref.{BE0E56F3-66A6-4CF2-9C10-5FE98E3F27C6}</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64E2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70A6EA4">
            <w:pPr>
              <w:pStyle w:val="24"/>
              <w:rPr>
                <w:sz w:val="16"/>
                <w:szCs w:val="16"/>
              </w:rPr>
            </w:pPr>
            <w:r>
              <w:rPr>
                <w:rFonts w:hint="eastAsia"/>
                <w:sz w:val="16"/>
                <w:szCs w:val="16"/>
              </w:rPr>
              <w:t>Treatment cost for Diarrhoeat, $</w:t>
            </w:r>
          </w:p>
        </w:tc>
        <w:tc>
          <w:tcPr>
            <w:tcW w:w="506" w:type="pct"/>
            <w:shd w:val="clear" w:color="auto" w:fill="auto"/>
            <w:noWrap/>
            <w:vAlign w:val="center"/>
          </w:tcPr>
          <w:p w14:paraId="06C853A8">
            <w:pPr>
              <w:pStyle w:val="24"/>
              <w:rPr>
                <w:sz w:val="16"/>
                <w:szCs w:val="16"/>
              </w:rPr>
            </w:pPr>
            <w:r>
              <w:rPr>
                <w:rFonts w:hint="eastAsia"/>
                <w:sz w:val="16"/>
                <w:szCs w:val="16"/>
              </w:rPr>
              <w:t>13055.40</w:t>
            </w:r>
          </w:p>
        </w:tc>
        <w:tc>
          <w:tcPr>
            <w:tcW w:w="506" w:type="pct"/>
            <w:shd w:val="clear" w:color="auto" w:fill="auto"/>
            <w:noWrap/>
            <w:vAlign w:val="center"/>
          </w:tcPr>
          <w:p w14:paraId="3A480B60">
            <w:pPr>
              <w:pStyle w:val="24"/>
              <w:rPr>
                <w:sz w:val="16"/>
                <w:szCs w:val="16"/>
              </w:rPr>
            </w:pPr>
            <w:r>
              <w:rPr>
                <w:rFonts w:hint="eastAsia"/>
                <w:sz w:val="16"/>
                <w:szCs w:val="16"/>
              </w:rPr>
              <w:t>10444.32</w:t>
            </w:r>
          </w:p>
        </w:tc>
        <w:tc>
          <w:tcPr>
            <w:tcW w:w="509" w:type="pct"/>
            <w:shd w:val="clear" w:color="auto" w:fill="auto"/>
            <w:noWrap/>
            <w:vAlign w:val="center"/>
          </w:tcPr>
          <w:p w14:paraId="323BAD9A">
            <w:pPr>
              <w:pStyle w:val="24"/>
              <w:rPr>
                <w:sz w:val="16"/>
                <w:szCs w:val="16"/>
              </w:rPr>
            </w:pPr>
            <w:r>
              <w:rPr>
                <w:rFonts w:hint="eastAsia"/>
                <w:sz w:val="16"/>
                <w:szCs w:val="16"/>
              </w:rPr>
              <w:t>15666.48</w:t>
            </w:r>
          </w:p>
        </w:tc>
        <w:tc>
          <w:tcPr>
            <w:tcW w:w="512" w:type="pct"/>
            <w:shd w:val="clear" w:color="auto" w:fill="auto"/>
            <w:noWrap/>
            <w:vAlign w:val="center"/>
          </w:tcPr>
          <w:p w14:paraId="55B43816">
            <w:pPr>
              <w:pStyle w:val="24"/>
              <w:rPr>
                <w:sz w:val="16"/>
                <w:szCs w:val="16"/>
              </w:rPr>
            </w:pPr>
            <w:r>
              <w:rPr>
                <w:rFonts w:hint="eastAsia"/>
                <w:sz w:val="16"/>
                <w:szCs w:val="16"/>
              </w:rPr>
              <w:t>Gamma</w:t>
            </w:r>
          </w:p>
        </w:tc>
        <w:tc>
          <w:tcPr>
            <w:tcW w:w="494" w:type="pct"/>
            <w:shd w:val="clear" w:color="auto" w:fill="auto"/>
            <w:noWrap/>
            <w:vAlign w:val="center"/>
          </w:tcPr>
          <w:p w14:paraId="15136C68">
            <w:pPr>
              <w:pStyle w:val="24"/>
              <w:rPr>
                <w:sz w:val="16"/>
                <w:szCs w:val="16"/>
              </w:rPr>
            </w:pPr>
            <w:r>
              <w:rPr>
                <w:sz w:val="16"/>
                <w:szCs w:val="16"/>
              </w:rPr>
              <w:fldChar w:fldCharType="begin"/>
            </w:r>
            <w:r>
              <w:rPr>
                <w:sz w:val="16"/>
                <w:szCs w:val="16"/>
              </w:rPr>
              <w:instrText xml:space="preserve"> ADDIN NE.Ref.{E59A23B6-C52E-4F69-88A3-E7BE760A53ED}</w:instrText>
            </w:r>
            <w:r>
              <w:rPr>
                <w:sz w:val="16"/>
                <w:szCs w:val="16"/>
              </w:rPr>
              <w:fldChar w:fldCharType="separate"/>
            </w:r>
            <w:r>
              <w:rPr>
                <w:rFonts w:eastAsia="宋体" w:cs="Times New Roman"/>
                <w:color w:val="080000"/>
                <w:kern w:val="0"/>
                <w:sz w:val="16"/>
                <w:szCs w:val="16"/>
              </w:rPr>
              <w:t>[8]</w:t>
            </w:r>
            <w:r>
              <w:rPr>
                <w:sz w:val="16"/>
                <w:szCs w:val="16"/>
              </w:rPr>
              <w:fldChar w:fldCharType="end"/>
            </w:r>
            <w:r>
              <w:rPr>
                <w:rFonts w:hint="eastAsia"/>
                <w:sz w:val="16"/>
                <w:szCs w:val="16"/>
              </w:rPr>
              <w:t>　</w:t>
            </w:r>
          </w:p>
        </w:tc>
      </w:tr>
      <w:tr w14:paraId="429A5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64112F8">
            <w:pPr>
              <w:pStyle w:val="24"/>
              <w:rPr>
                <w:sz w:val="16"/>
                <w:szCs w:val="16"/>
              </w:rPr>
            </w:pPr>
            <w:r>
              <w:rPr>
                <w:rFonts w:hint="eastAsia"/>
                <w:sz w:val="16"/>
                <w:szCs w:val="16"/>
              </w:rPr>
              <w:t>Treatment cost for Dyspnoeat, $</w:t>
            </w:r>
          </w:p>
        </w:tc>
        <w:tc>
          <w:tcPr>
            <w:tcW w:w="506" w:type="pct"/>
            <w:shd w:val="clear" w:color="auto" w:fill="auto"/>
            <w:noWrap/>
            <w:vAlign w:val="center"/>
          </w:tcPr>
          <w:p w14:paraId="5447B42C">
            <w:pPr>
              <w:pStyle w:val="24"/>
              <w:rPr>
                <w:sz w:val="16"/>
                <w:szCs w:val="16"/>
              </w:rPr>
            </w:pPr>
            <w:r>
              <w:rPr>
                <w:rFonts w:hint="eastAsia"/>
                <w:sz w:val="16"/>
                <w:szCs w:val="16"/>
              </w:rPr>
              <w:t>4301.59</w:t>
            </w:r>
          </w:p>
        </w:tc>
        <w:tc>
          <w:tcPr>
            <w:tcW w:w="506" w:type="pct"/>
            <w:shd w:val="clear" w:color="auto" w:fill="auto"/>
            <w:noWrap/>
            <w:vAlign w:val="center"/>
          </w:tcPr>
          <w:p w14:paraId="3DA178B0">
            <w:pPr>
              <w:pStyle w:val="24"/>
              <w:rPr>
                <w:sz w:val="16"/>
                <w:szCs w:val="16"/>
              </w:rPr>
            </w:pPr>
            <w:r>
              <w:rPr>
                <w:rFonts w:hint="eastAsia"/>
                <w:sz w:val="16"/>
                <w:szCs w:val="16"/>
              </w:rPr>
              <w:t>3441.27</w:t>
            </w:r>
          </w:p>
        </w:tc>
        <w:tc>
          <w:tcPr>
            <w:tcW w:w="509" w:type="pct"/>
            <w:shd w:val="clear" w:color="auto" w:fill="auto"/>
            <w:noWrap/>
            <w:vAlign w:val="center"/>
          </w:tcPr>
          <w:p w14:paraId="5549421D">
            <w:pPr>
              <w:pStyle w:val="24"/>
              <w:rPr>
                <w:sz w:val="16"/>
                <w:szCs w:val="16"/>
              </w:rPr>
            </w:pPr>
            <w:r>
              <w:rPr>
                <w:rFonts w:hint="eastAsia"/>
                <w:sz w:val="16"/>
                <w:szCs w:val="16"/>
              </w:rPr>
              <w:t>5161.91</w:t>
            </w:r>
          </w:p>
        </w:tc>
        <w:tc>
          <w:tcPr>
            <w:tcW w:w="512" w:type="pct"/>
            <w:shd w:val="clear" w:color="auto" w:fill="auto"/>
            <w:noWrap/>
            <w:vAlign w:val="center"/>
          </w:tcPr>
          <w:p w14:paraId="298EF94B">
            <w:pPr>
              <w:pStyle w:val="24"/>
              <w:rPr>
                <w:sz w:val="16"/>
                <w:szCs w:val="16"/>
              </w:rPr>
            </w:pPr>
            <w:r>
              <w:rPr>
                <w:rFonts w:hint="eastAsia"/>
                <w:sz w:val="16"/>
                <w:szCs w:val="16"/>
              </w:rPr>
              <w:t>Gamma</w:t>
            </w:r>
          </w:p>
        </w:tc>
        <w:tc>
          <w:tcPr>
            <w:tcW w:w="494" w:type="pct"/>
            <w:shd w:val="clear" w:color="auto" w:fill="auto"/>
            <w:noWrap/>
            <w:vAlign w:val="center"/>
          </w:tcPr>
          <w:p w14:paraId="2C2CBB02">
            <w:pPr>
              <w:pStyle w:val="24"/>
              <w:rPr>
                <w:sz w:val="16"/>
                <w:szCs w:val="16"/>
              </w:rPr>
            </w:pPr>
            <w:r>
              <w:rPr>
                <w:sz w:val="16"/>
                <w:szCs w:val="16"/>
              </w:rPr>
              <w:fldChar w:fldCharType="begin"/>
            </w:r>
            <w:r>
              <w:rPr>
                <w:sz w:val="16"/>
                <w:szCs w:val="16"/>
              </w:rPr>
              <w:instrText xml:space="preserve"> ADDIN NE.Ref.{09C13B43-040E-4C8B-9D8B-024834FF148A}</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6658B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8249AC7">
            <w:pPr>
              <w:pStyle w:val="24"/>
              <w:rPr>
                <w:sz w:val="16"/>
                <w:szCs w:val="16"/>
              </w:rPr>
            </w:pPr>
            <w:r>
              <w:rPr>
                <w:rFonts w:hint="eastAsia"/>
                <w:sz w:val="16"/>
                <w:szCs w:val="16"/>
              </w:rPr>
              <w:t>Treatment cost for Fatiguet, $</w:t>
            </w:r>
          </w:p>
        </w:tc>
        <w:tc>
          <w:tcPr>
            <w:tcW w:w="506" w:type="pct"/>
            <w:shd w:val="clear" w:color="auto" w:fill="auto"/>
            <w:noWrap/>
            <w:vAlign w:val="center"/>
          </w:tcPr>
          <w:p w14:paraId="31211455">
            <w:pPr>
              <w:pStyle w:val="24"/>
              <w:rPr>
                <w:sz w:val="16"/>
                <w:szCs w:val="16"/>
              </w:rPr>
            </w:pPr>
            <w:r>
              <w:rPr>
                <w:rFonts w:hint="eastAsia"/>
                <w:sz w:val="16"/>
                <w:szCs w:val="16"/>
              </w:rPr>
              <w:t>14601.24</w:t>
            </w:r>
          </w:p>
        </w:tc>
        <w:tc>
          <w:tcPr>
            <w:tcW w:w="506" w:type="pct"/>
            <w:shd w:val="clear" w:color="auto" w:fill="auto"/>
            <w:noWrap/>
            <w:vAlign w:val="center"/>
          </w:tcPr>
          <w:p w14:paraId="026D8A4A">
            <w:pPr>
              <w:pStyle w:val="24"/>
              <w:rPr>
                <w:sz w:val="16"/>
                <w:szCs w:val="16"/>
              </w:rPr>
            </w:pPr>
            <w:r>
              <w:rPr>
                <w:rFonts w:hint="eastAsia"/>
                <w:sz w:val="16"/>
                <w:szCs w:val="16"/>
              </w:rPr>
              <w:t>11680.99</w:t>
            </w:r>
          </w:p>
        </w:tc>
        <w:tc>
          <w:tcPr>
            <w:tcW w:w="509" w:type="pct"/>
            <w:shd w:val="clear" w:color="auto" w:fill="auto"/>
            <w:noWrap/>
            <w:vAlign w:val="center"/>
          </w:tcPr>
          <w:p w14:paraId="4E06996E">
            <w:pPr>
              <w:pStyle w:val="24"/>
              <w:rPr>
                <w:sz w:val="16"/>
                <w:szCs w:val="16"/>
              </w:rPr>
            </w:pPr>
            <w:r>
              <w:rPr>
                <w:rFonts w:hint="eastAsia"/>
                <w:sz w:val="16"/>
                <w:szCs w:val="16"/>
              </w:rPr>
              <w:t>17521.49</w:t>
            </w:r>
          </w:p>
        </w:tc>
        <w:tc>
          <w:tcPr>
            <w:tcW w:w="512" w:type="pct"/>
            <w:shd w:val="clear" w:color="auto" w:fill="auto"/>
            <w:noWrap/>
            <w:vAlign w:val="center"/>
          </w:tcPr>
          <w:p w14:paraId="6D6ACFE1">
            <w:pPr>
              <w:pStyle w:val="24"/>
              <w:rPr>
                <w:sz w:val="16"/>
                <w:szCs w:val="16"/>
              </w:rPr>
            </w:pPr>
            <w:r>
              <w:rPr>
                <w:rFonts w:hint="eastAsia"/>
                <w:sz w:val="16"/>
                <w:szCs w:val="16"/>
              </w:rPr>
              <w:t>Gamma</w:t>
            </w:r>
          </w:p>
        </w:tc>
        <w:tc>
          <w:tcPr>
            <w:tcW w:w="494" w:type="pct"/>
            <w:shd w:val="clear" w:color="auto" w:fill="auto"/>
            <w:noWrap/>
            <w:vAlign w:val="center"/>
          </w:tcPr>
          <w:p w14:paraId="23E9C6D0">
            <w:pPr>
              <w:pStyle w:val="24"/>
              <w:rPr>
                <w:sz w:val="16"/>
                <w:szCs w:val="16"/>
              </w:rPr>
            </w:pPr>
            <w:r>
              <w:rPr>
                <w:sz w:val="16"/>
                <w:szCs w:val="16"/>
              </w:rPr>
              <w:fldChar w:fldCharType="begin"/>
            </w:r>
            <w:r>
              <w:rPr>
                <w:sz w:val="16"/>
                <w:szCs w:val="16"/>
              </w:rPr>
              <w:instrText xml:space="preserve"> ADDIN NE.Ref.{5EBAC5D9-47BA-4A61-889D-C3F5B2B876DC}</w:instrText>
            </w:r>
            <w:r>
              <w:rPr>
                <w:sz w:val="16"/>
                <w:szCs w:val="16"/>
              </w:rPr>
              <w:fldChar w:fldCharType="separate"/>
            </w:r>
            <w:r>
              <w:rPr>
                <w:rFonts w:eastAsia="宋体" w:cs="Times New Roman"/>
                <w:color w:val="080000"/>
                <w:kern w:val="0"/>
                <w:sz w:val="16"/>
                <w:szCs w:val="16"/>
              </w:rPr>
              <w:t>[8]</w:t>
            </w:r>
            <w:r>
              <w:rPr>
                <w:sz w:val="16"/>
                <w:szCs w:val="16"/>
              </w:rPr>
              <w:fldChar w:fldCharType="end"/>
            </w:r>
            <w:r>
              <w:rPr>
                <w:rFonts w:hint="eastAsia"/>
                <w:sz w:val="16"/>
                <w:szCs w:val="16"/>
              </w:rPr>
              <w:t>　</w:t>
            </w:r>
          </w:p>
        </w:tc>
      </w:tr>
      <w:tr w14:paraId="5D70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E288AD6">
            <w:pPr>
              <w:pStyle w:val="24"/>
              <w:rPr>
                <w:sz w:val="16"/>
                <w:szCs w:val="16"/>
              </w:rPr>
            </w:pPr>
            <w:r>
              <w:rPr>
                <w:rFonts w:hint="eastAsia"/>
                <w:sz w:val="16"/>
                <w:szCs w:val="16"/>
              </w:rPr>
              <w:t>Treatment cost for Febrile neutropeniat, $</w:t>
            </w:r>
          </w:p>
        </w:tc>
        <w:tc>
          <w:tcPr>
            <w:tcW w:w="506" w:type="pct"/>
            <w:shd w:val="clear" w:color="auto" w:fill="auto"/>
            <w:noWrap/>
            <w:vAlign w:val="center"/>
          </w:tcPr>
          <w:p w14:paraId="143FDB24">
            <w:pPr>
              <w:pStyle w:val="24"/>
              <w:rPr>
                <w:sz w:val="16"/>
                <w:szCs w:val="16"/>
              </w:rPr>
            </w:pPr>
            <w:r>
              <w:rPr>
                <w:rFonts w:hint="eastAsia"/>
                <w:sz w:val="16"/>
                <w:szCs w:val="16"/>
              </w:rPr>
              <w:t>17524.36</w:t>
            </w:r>
          </w:p>
        </w:tc>
        <w:tc>
          <w:tcPr>
            <w:tcW w:w="506" w:type="pct"/>
            <w:shd w:val="clear" w:color="auto" w:fill="auto"/>
            <w:noWrap/>
            <w:vAlign w:val="center"/>
          </w:tcPr>
          <w:p w14:paraId="13C46CFD">
            <w:pPr>
              <w:pStyle w:val="24"/>
              <w:rPr>
                <w:sz w:val="16"/>
                <w:szCs w:val="16"/>
              </w:rPr>
            </w:pPr>
            <w:r>
              <w:rPr>
                <w:rFonts w:hint="eastAsia"/>
                <w:sz w:val="16"/>
                <w:szCs w:val="16"/>
              </w:rPr>
              <w:t>14019.49</w:t>
            </w:r>
          </w:p>
        </w:tc>
        <w:tc>
          <w:tcPr>
            <w:tcW w:w="509" w:type="pct"/>
            <w:shd w:val="clear" w:color="auto" w:fill="auto"/>
            <w:noWrap/>
            <w:vAlign w:val="center"/>
          </w:tcPr>
          <w:p w14:paraId="27A8CBAC">
            <w:pPr>
              <w:pStyle w:val="24"/>
              <w:rPr>
                <w:sz w:val="16"/>
                <w:szCs w:val="16"/>
              </w:rPr>
            </w:pPr>
            <w:r>
              <w:rPr>
                <w:rFonts w:hint="eastAsia"/>
                <w:sz w:val="16"/>
                <w:szCs w:val="16"/>
              </w:rPr>
              <w:t>21029.23</w:t>
            </w:r>
          </w:p>
        </w:tc>
        <w:tc>
          <w:tcPr>
            <w:tcW w:w="512" w:type="pct"/>
            <w:shd w:val="clear" w:color="auto" w:fill="auto"/>
            <w:noWrap/>
            <w:vAlign w:val="center"/>
          </w:tcPr>
          <w:p w14:paraId="7992A509">
            <w:pPr>
              <w:pStyle w:val="24"/>
              <w:rPr>
                <w:sz w:val="16"/>
                <w:szCs w:val="16"/>
              </w:rPr>
            </w:pPr>
            <w:r>
              <w:rPr>
                <w:rFonts w:hint="eastAsia"/>
                <w:sz w:val="16"/>
                <w:szCs w:val="16"/>
              </w:rPr>
              <w:t>Gamma</w:t>
            </w:r>
          </w:p>
        </w:tc>
        <w:tc>
          <w:tcPr>
            <w:tcW w:w="494" w:type="pct"/>
            <w:shd w:val="clear" w:color="auto" w:fill="auto"/>
            <w:noWrap/>
            <w:vAlign w:val="center"/>
          </w:tcPr>
          <w:p w14:paraId="3516EACF">
            <w:pPr>
              <w:pStyle w:val="24"/>
              <w:rPr>
                <w:sz w:val="16"/>
                <w:szCs w:val="16"/>
              </w:rPr>
            </w:pPr>
            <w:r>
              <w:rPr>
                <w:sz w:val="16"/>
                <w:szCs w:val="16"/>
              </w:rPr>
              <w:fldChar w:fldCharType="begin"/>
            </w:r>
            <w:r>
              <w:rPr>
                <w:sz w:val="16"/>
                <w:szCs w:val="16"/>
              </w:rPr>
              <w:instrText xml:space="preserve"> ADDIN NE.Ref.{674878BD-C340-4C7D-8F15-A51B706FEF81}</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0EA3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1959A06">
            <w:pPr>
              <w:pStyle w:val="24"/>
              <w:rPr>
                <w:sz w:val="16"/>
                <w:szCs w:val="16"/>
              </w:rPr>
            </w:pPr>
            <w:r>
              <w:rPr>
                <w:rFonts w:hint="eastAsia"/>
                <w:sz w:val="16"/>
                <w:szCs w:val="16"/>
              </w:rPr>
              <w:t>Treatment cost for Hand-foot skin reactiont, $</w:t>
            </w:r>
          </w:p>
        </w:tc>
        <w:tc>
          <w:tcPr>
            <w:tcW w:w="506" w:type="pct"/>
            <w:shd w:val="clear" w:color="auto" w:fill="auto"/>
            <w:noWrap/>
            <w:vAlign w:val="center"/>
          </w:tcPr>
          <w:p w14:paraId="0B76FC77">
            <w:pPr>
              <w:pStyle w:val="24"/>
              <w:rPr>
                <w:sz w:val="16"/>
                <w:szCs w:val="16"/>
              </w:rPr>
            </w:pPr>
            <w:r>
              <w:rPr>
                <w:rFonts w:hint="eastAsia"/>
                <w:sz w:val="16"/>
                <w:szCs w:val="16"/>
              </w:rPr>
              <w:t>16665.95</w:t>
            </w:r>
          </w:p>
        </w:tc>
        <w:tc>
          <w:tcPr>
            <w:tcW w:w="506" w:type="pct"/>
            <w:shd w:val="clear" w:color="auto" w:fill="auto"/>
            <w:noWrap/>
            <w:vAlign w:val="center"/>
          </w:tcPr>
          <w:p w14:paraId="2EE84D6D">
            <w:pPr>
              <w:pStyle w:val="24"/>
              <w:rPr>
                <w:sz w:val="16"/>
                <w:szCs w:val="16"/>
              </w:rPr>
            </w:pPr>
            <w:r>
              <w:rPr>
                <w:rFonts w:hint="eastAsia"/>
                <w:sz w:val="16"/>
                <w:szCs w:val="16"/>
              </w:rPr>
              <w:t>13332.76</w:t>
            </w:r>
          </w:p>
        </w:tc>
        <w:tc>
          <w:tcPr>
            <w:tcW w:w="509" w:type="pct"/>
            <w:shd w:val="clear" w:color="auto" w:fill="auto"/>
            <w:noWrap/>
            <w:vAlign w:val="center"/>
          </w:tcPr>
          <w:p w14:paraId="6D51731C">
            <w:pPr>
              <w:pStyle w:val="24"/>
              <w:rPr>
                <w:sz w:val="16"/>
                <w:szCs w:val="16"/>
              </w:rPr>
            </w:pPr>
            <w:r>
              <w:rPr>
                <w:rFonts w:hint="eastAsia"/>
                <w:sz w:val="16"/>
                <w:szCs w:val="16"/>
              </w:rPr>
              <w:t>19999.14</w:t>
            </w:r>
          </w:p>
        </w:tc>
        <w:tc>
          <w:tcPr>
            <w:tcW w:w="512" w:type="pct"/>
            <w:shd w:val="clear" w:color="auto" w:fill="auto"/>
            <w:noWrap/>
            <w:vAlign w:val="center"/>
          </w:tcPr>
          <w:p w14:paraId="2D6B80DC">
            <w:pPr>
              <w:pStyle w:val="24"/>
              <w:rPr>
                <w:sz w:val="16"/>
                <w:szCs w:val="16"/>
              </w:rPr>
            </w:pPr>
            <w:r>
              <w:rPr>
                <w:rFonts w:hint="eastAsia"/>
                <w:sz w:val="16"/>
                <w:szCs w:val="16"/>
              </w:rPr>
              <w:t>Gamma</w:t>
            </w:r>
          </w:p>
        </w:tc>
        <w:tc>
          <w:tcPr>
            <w:tcW w:w="494" w:type="pct"/>
            <w:shd w:val="clear" w:color="auto" w:fill="auto"/>
            <w:noWrap/>
            <w:vAlign w:val="center"/>
          </w:tcPr>
          <w:p w14:paraId="371F7FB1">
            <w:pPr>
              <w:pStyle w:val="24"/>
              <w:rPr>
                <w:sz w:val="16"/>
                <w:szCs w:val="16"/>
              </w:rPr>
            </w:pPr>
            <w:r>
              <w:rPr>
                <w:sz w:val="16"/>
                <w:szCs w:val="16"/>
              </w:rPr>
              <w:fldChar w:fldCharType="begin"/>
            </w:r>
            <w:r>
              <w:rPr>
                <w:sz w:val="16"/>
                <w:szCs w:val="16"/>
              </w:rPr>
              <w:instrText xml:space="preserve"> ADDIN NE.Ref.{D15CB9FC-34E7-4A0B-859A-A4E9CB876A17}</w:instrText>
            </w:r>
            <w:r>
              <w:rPr>
                <w:sz w:val="16"/>
                <w:szCs w:val="16"/>
              </w:rPr>
              <w:fldChar w:fldCharType="separate"/>
            </w:r>
            <w:r>
              <w:rPr>
                <w:rFonts w:eastAsia="宋体" w:cs="Times New Roman"/>
                <w:color w:val="080000"/>
                <w:kern w:val="0"/>
                <w:sz w:val="16"/>
                <w:szCs w:val="16"/>
              </w:rPr>
              <w:t>[8]</w:t>
            </w:r>
            <w:r>
              <w:rPr>
                <w:sz w:val="16"/>
                <w:szCs w:val="16"/>
              </w:rPr>
              <w:fldChar w:fldCharType="end"/>
            </w:r>
            <w:r>
              <w:rPr>
                <w:rFonts w:hint="eastAsia"/>
                <w:sz w:val="16"/>
                <w:szCs w:val="16"/>
              </w:rPr>
              <w:t>　</w:t>
            </w:r>
          </w:p>
        </w:tc>
      </w:tr>
      <w:tr w14:paraId="703E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33D521D">
            <w:pPr>
              <w:pStyle w:val="24"/>
              <w:rPr>
                <w:sz w:val="16"/>
                <w:szCs w:val="16"/>
              </w:rPr>
            </w:pPr>
            <w:r>
              <w:rPr>
                <w:rFonts w:hint="eastAsia"/>
                <w:sz w:val="16"/>
                <w:szCs w:val="16"/>
              </w:rPr>
              <w:t>Treatment cost for Hyperbilirubinaemiat, $</w:t>
            </w:r>
          </w:p>
        </w:tc>
        <w:tc>
          <w:tcPr>
            <w:tcW w:w="506" w:type="pct"/>
            <w:shd w:val="clear" w:color="auto" w:fill="auto"/>
            <w:noWrap/>
            <w:vAlign w:val="center"/>
          </w:tcPr>
          <w:p w14:paraId="2C420DBE">
            <w:pPr>
              <w:pStyle w:val="24"/>
              <w:rPr>
                <w:sz w:val="16"/>
                <w:szCs w:val="16"/>
              </w:rPr>
            </w:pPr>
            <w:r>
              <w:rPr>
                <w:rFonts w:hint="eastAsia"/>
                <w:sz w:val="16"/>
                <w:szCs w:val="16"/>
              </w:rPr>
              <w:t>22054.29</w:t>
            </w:r>
          </w:p>
        </w:tc>
        <w:tc>
          <w:tcPr>
            <w:tcW w:w="506" w:type="pct"/>
            <w:shd w:val="clear" w:color="auto" w:fill="auto"/>
            <w:noWrap/>
            <w:vAlign w:val="center"/>
          </w:tcPr>
          <w:p w14:paraId="0BAF8336">
            <w:pPr>
              <w:pStyle w:val="24"/>
              <w:rPr>
                <w:sz w:val="16"/>
                <w:szCs w:val="16"/>
              </w:rPr>
            </w:pPr>
            <w:r>
              <w:rPr>
                <w:rFonts w:hint="eastAsia"/>
                <w:sz w:val="16"/>
                <w:szCs w:val="16"/>
              </w:rPr>
              <w:t>17643.43</w:t>
            </w:r>
          </w:p>
        </w:tc>
        <w:tc>
          <w:tcPr>
            <w:tcW w:w="509" w:type="pct"/>
            <w:shd w:val="clear" w:color="auto" w:fill="auto"/>
            <w:noWrap/>
            <w:vAlign w:val="center"/>
          </w:tcPr>
          <w:p w14:paraId="03B05ED4">
            <w:pPr>
              <w:pStyle w:val="24"/>
              <w:rPr>
                <w:sz w:val="16"/>
                <w:szCs w:val="16"/>
              </w:rPr>
            </w:pPr>
            <w:r>
              <w:rPr>
                <w:rFonts w:hint="eastAsia"/>
                <w:sz w:val="16"/>
                <w:szCs w:val="16"/>
              </w:rPr>
              <w:t>26465.15</w:t>
            </w:r>
          </w:p>
        </w:tc>
        <w:tc>
          <w:tcPr>
            <w:tcW w:w="512" w:type="pct"/>
            <w:shd w:val="clear" w:color="auto" w:fill="auto"/>
            <w:noWrap/>
            <w:vAlign w:val="center"/>
          </w:tcPr>
          <w:p w14:paraId="081CC16A">
            <w:pPr>
              <w:pStyle w:val="24"/>
              <w:rPr>
                <w:sz w:val="16"/>
                <w:szCs w:val="16"/>
              </w:rPr>
            </w:pPr>
            <w:r>
              <w:rPr>
                <w:rFonts w:hint="eastAsia"/>
                <w:sz w:val="16"/>
                <w:szCs w:val="16"/>
              </w:rPr>
              <w:t>Gamma</w:t>
            </w:r>
          </w:p>
        </w:tc>
        <w:tc>
          <w:tcPr>
            <w:tcW w:w="494" w:type="pct"/>
            <w:shd w:val="clear" w:color="auto" w:fill="auto"/>
            <w:noWrap/>
            <w:vAlign w:val="center"/>
          </w:tcPr>
          <w:p w14:paraId="0F7D55F1">
            <w:pPr>
              <w:pStyle w:val="24"/>
              <w:rPr>
                <w:sz w:val="16"/>
                <w:szCs w:val="16"/>
              </w:rPr>
            </w:pPr>
            <w:r>
              <w:rPr>
                <w:sz w:val="16"/>
                <w:szCs w:val="16"/>
              </w:rPr>
              <w:fldChar w:fldCharType="begin"/>
            </w:r>
            <w:r>
              <w:rPr>
                <w:sz w:val="16"/>
                <w:szCs w:val="16"/>
              </w:rPr>
              <w:instrText xml:space="preserve"> ADDIN NE.Ref.{ECBAD1CE-F436-46BD-A6E4-55EAB4691A12}</w:instrText>
            </w:r>
            <w:r>
              <w:rPr>
                <w:sz w:val="16"/>
                <w:szCs w:val="16"/>
              </w:rPr>
              <w:fldChar w:fldCharType="separate"/>
            </w:r>
            <w:r>
              <w:rPr>
                <w:rFonts w:eastAsia="宋体" w:cs="Times New Roman"/>
                <w:color w:val="080000"/>
                <w:kern w:val="0"/>
                <w:sz w:val="16"/>
                <w:szCs w:val="16"/>
              </w:rPr>
              <w:t>[8, 12]</w:t>
            </w:r>
            <w:r>
              <w:rPr>
                <w:sz w:val="16"/>
                <w:szCs w:val="16"/>
              </w:rPr>
              <w:fldChar w:fldCharType="end"/>
            </w:r>
            <w:r>
              <w:rPr>
                <w:rFonts w:hint="eastAsia"/>
                <w:sz w:val="16"/>
                <w:szCs w:val="16"/>
              </w:rPr>
              <w:t>　</w:t>
            </w:r>
          </w:p>
        </w:tc>
      </w:tr>
      <w:tr w14:paraId="13FB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8F05E80">
            <w:pPr>
              <w:pStyle w:val="24"/>
              <w:rPr>
                <w:sz w:val="16"/>
                <w:szCs w:val="16"/>
              </w:rPr>
            </w:pPr>
            <w:r>
              <w:rPr>
                <w:rFonts w:hint="eastAsia"/>
                <w:sz w:val="16"/>
                <w:szCs w:val="16"/>
              </w:rPr>
              <w:t>Treatment cost for Hypertensiont, $</w:t>
            </w:r>
          </w:p>
        </w:tc>
        <w:tc>
          <w:tcPr>
            <w:tcW w:w="506" w:type="pct"/>
            <w:shd w:val="clear" w:color="auto" w:fill="auto"/>
            <w:noWrap/>
            <w:vAlign w:val="center"/>
          </w:tcPr>
          <w:p w14:paraId="5A0F8606">
            <w:pPr>
              <w:pStyle w:val="24"/>
              <w:rPr>
                <w:sz w:val="16"/>
                <w:szCs w:val="16"/>
              </w:rPr>
            </w:pPr>
            <w:r>
              <w:rPr>
                <w:rFonts w:hint="eastAsia"/>
                <w:sz w:val="16"/>
                <w:szCs w:val="16"/>
              </w:rPr>
              <w:t>11419.89</w:t>
            </w:r>
          </w:p>
        </w:tc>
        <w:tc>
          <w:tcPr>
            <w:tcW w:w="506" w:type="pct"/>
            <w:shd w:val="clear" w:color="auto" w:fill="auto"/>
            <w:noWrap/>
            <w:vAlign w:val="center"/>
          </w:tcPr>
          <w:p w14:paraId="109CA4A1">
            <w:pPr>
              <w:pStyle w:val="24"/>
              <w:rPr>
                <w:sz w:val="16"/>
                <w:szCs w:val="16"/>
              </w:rPr>
            </w:pPr>
            <w:r>
              <w:rPr>
                <w:rFonts w:hint="eastAsia"/>
                <w:sz w:val="16"/>
                <w:szCs w:val="16"/>
              </w:rPr>
              <w:t>9135.91</w:t>
            </w:r>
          </w:p>
        </w:tc>
        <w:tc>
          <w:tcPr>
            <w:tcW w:w="509" w:type="pct"/>
            <w:shd w:val="clear" w:color="auto" w:fill="auto"/>
            <w:noWrap/>
            <w:vAlign w:val="center"/>
          </w:tcPr>
          <w:p w14:paraId="090DD0B3">
            <w:pPr>
              <w:pStyle w:val="24"/>
              <w:rPr>
                <w:sz w:val="16"/>
                <w:szCs w:val="16"/>
              </w:rPr>
            </w:pPr>
            <w:r>
              <w:rPr>
                <w:rFonts w:hint="eastAsia"/>
                <w:sz w:val="16"/>
                <w:szCs w:val="16"/>
              </w:rPr>
              <w:t>13703.87</w:t>
            </w:r>
          </w:p>
        </w:tc>
        <w:tc>
          <w:tcPr>
            <w:tcW w:w="512" w:type="pct"/>
            <w:shd w:val="clear" w:color="auto" w:fill="auto"/>
            <w:noWrap/>
            <w:vAlign w:val="center"/>
          </w:tcPr>
          <w:p w14:paraId="662B7271">
            <w:pPr>
              <w:pStyle w:val="24"/>
              <w:rPr>
                <w:sz w:val="16"/>
                <w:szCs w:val="16"/>
              </w:rPr>
            </w:pPr>
            <w:r>
              <w:rPr>
                <w:rFonts w:hint="eastAsia"/>
                <w:sz w:val="16"/>
                <w:szCs w:val="16"/>
              </w:rPr>
              <w:t>Gamma</w:t>
            </w:r>
          </w:p>
        </w:tc>
        <w:tc>
          <w:tcPr>
            <w:tcW w:w="494" w:type="pct"/>
            <w:shd w:val="clear" w:color="auto" w:fill="auto"/>
            <w:noWrap/>
            <w:vAlign w:val="center"/>
          </w:tcPr>
          <w:p w14:paraId="6B04E71D">
            <w:pPr>
              <w:pStyle w:val="24"/>
              <w:rPr>
                <w:sz w:val="16"/>
                <w:szCs w:val="16"/>
              </w:rPr>
            </w:pPr>
            <w:r>
              <w:rPr>
                <w:sz w:val="16"/>
                <w:szCs w:val="16"/>
              </w:rPr>
              <w:fldChar w:fldCharType="begin"/>
            </w:r>
            <w:r>
              <w:rPr>
                <w:sz w:val="16"/>
                <w:szCs w:val="16"/>
              </w:rPr>
              <w:instrText xml:space="preserve"> ADDIN NE.Ref.{1539B2DA-5DAA-4A04-909B-226D5B28DB21}</w:instrText>
            </w:r>
            <w:r>
              <w:rPr>
                <w:sz w:val="16"/>
                <w:szCs w:val="16"/>
              </w:rPr>
              <w:fldChar w:fldCharType="separate"/>
            </w:r>
            <w:r>
              <w:rPr>
                <w:rFonts w:eastAsia="宋体" w:cs="Times New Roman"/>
                <w:color w:val="080000"/>
                <w:kern w:val="0"/>
                <w:sz w:val="16"/>
                <w:szCs w:val="16"/>
              </w:rPr>
              <w:t>[8]</w:t>
            </w:r>
            <w:r>
              <w:rPr>
                <w:sz w:val="16"/>
                <w:szCs w:val="16"/>
              </w:rPr>
              <w:fldChar w:fldCharType="end"/>
            </w:r>
            <w:r>
              <w:rPr>
                <w:rFonts w:hint="eastAsia"/>
                <w:sz w:val="16"/>
                <w:szCs w:val="16"/>
              </w:rPr>
              <w:t>　</w:t>
            </w:r>
          </w:p>
        </w:tc>
      </w:tr>
      <w:tr w14:paraId="14E8F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3A04222">
            <w:pPr>
              <w:pStyle w:val="24"/>
              <w:rPr>
                <w:sz w:val="16"/>
                <w:szCs w:val="16"/>
              </w:rPr>
            </w:pPr>
            <w:r>
              <w:rPr>
                <w:rFonts w:hint="eastAsia"/>
                <w:sz w:val="16"/>
                <w:szCs w:val="16"/>
              </w:rPr>
              <w:t>Treatment cost for Hyponatremiat, $</w:t>
            </w:r>
          </w:p>
        </w:tc>
        <w:tc>
          <w:tcPr>
            <w:tcW w:w="506" w:type="pct"/>
            <w:shd w:val="clear" w:color="auto" w:fill="auto"/>
            <w:noWrap/>
            <w:vAlign w:val="center"/>
          </w:tcPr>
          <w:p w14:paraId="24CC6442">
            <w:pPr>
              <w:pStyle w:val="24"/>
              <w:rPr>
                <w:sz w:val="16"/>
                <w:szCs w:val="16"/>
              </w:rPr>
            </w:pPr>
            <w:r>
              <w:rPr>
                <w:rFonts w:hint="eastAsia"/>
                <w:sz w:val="16"/>
                <w:szCs w:val="16"/>
              </w:rPr>
              <w:t>29448.77</w:t>
            </w:r>
          </w:p>
        </w:tc>
        <w:tc>
          <w:tcPr>
            <w:tcW w:w="506" w:type="pct"/>
            <w:shd w:val="clear" w:color="auto" w:fill="auto"/>
            <w:noWrap/>
            <w:vAlign w:val="center"/>
          </w:tcPr>
          <w:p w14:paraId="3E74D88D">
            <w:pPr>
              <w:pStyle w:val="24"/>
              <w:rPr>
                <w:sz w:val="16"/>
                <w:szCs w:val="16"/>
              </w:rPr>
            </w:pPr>
            <w:r>
              <w:rPr>
                <w:rFonts w:hint="eastAsia"/>
                <w:sz w:val="16"/>
                <w:szCs w:val="16"/>
              </w:rPr>
              <w:t>23559.02</w:t>
            </w:r>
          </w:p>
        </w:tc>
        <w:tc>
          <w:tcPr>
            <w:tcW w:w="509" w:type="pct"/>
            <w:shd w:val="clear" w:color="auto" w:fill="auto"/>
            <w:noWrap/>
            <w:vAlign w:val="center"/>
          </w:tcPr>
          <w:p w14:paraId="6F5DF359">
            <w:pPr>
              <w:pStyle w:val="24"/>
              <w:rPr>
                <w:sz w:val="16"/>
                <w:szCs w:val="16"/>
              </w:rPr>
            </w:pPr>
            <w:r>
              <w:rPr>
                <w:rFonts w:hint="eastAsia"/>
                <w:sz w:val="16"/>
                <w:szCs w:val="16"/>
              </w:rPr>
              <w:t>35338.52</w:t>
            </w:r>
          </w:p>
        </w:tc>
        <w:tc>
          <w:tcPr>
            <w:tcW w:w="512" w:type="pct"/>
            <w:shd w:val="clear" w:color="auto" w:fill="auto"/>
            <w:noWrap/>
            <w:vAlign w:val="center"/>
          </w:tcPr>
          <w:p w14:paraId="14B1C83F">
            <w:pPr>
              <w:pStyle w:val="24"/>
              <w:rPr>
                <w:sz w:val="16"/>
                <w:szCs w:val="16"/>
              </w:rPr>
            </w:pPr>
            <w:r>
              <w:rPr>
                <w:rFonts w:hint="eastAsia"/>
                <w:sz w:val="16"/>
                <w:szCs w:val="16"/>
              </w:rPr>
              <w:t>Gamma</w:t>
            </w:r>
          </w:p>
        </w:tc>
        <w:tc>
          <w:tcPr>
            <w:tcW w:w="494" w:type="pct"/>
            <w:shd w:val="clear" w:color="auto" w:fill="auto"/>
            <w:noWrap/>
            <w:vAlign w:val="center"/>
          </w:tcPr>
          <w:p w14:paraId="39640DDC">
            <w:pPr>
              <w:pStyle w:val="24"/>
              <w:rPr>
                <w:sz w:val="16"/>
                <w:szCs w:val="16"/>
              </w:rPr>
            </w:pPr>
            <w:r>
              <w:rPr>
                <w:sz w:val="16"/>
                <w:szCs w:val="16"/>
              </w:rPr>
              <w:fldChar w:fldCharType="begin"/>
            </w:r>
            <w:r>
              <w:rPr>
                <w:sz w:val="16"/>
                <w:szCs w:val="16"/>
              </w:rPr>
              <w:instrText xml:space="preserve"> ADDIN NE.Ref.{3CF42F3B-F56C-4270-86EB-B24D2A168540}</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3F60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E5112FF">
            <w:pPr>
              <w:pStyle w:val="24"/>
              <w:rPr>
                <w:sz w:val="16"/>
                <w:szCs w:val="16"/>
              </w:rPr>
            </w:pPr>
            <w:r>
              <w:rPr>
                <w:rFonts w:hint="eastAsia"/>
                <w:sz w:val="16"/>
                <w:szCs w:val="16"/>
              </w:rPr>
              <w:t>Treatment cost for Hypophosphataemiat, $</w:t>
            </w:r>
          </w:p>
        </w:tc>
        <w:tc>
          <w:tcPr>
            <w:tcW w:w="506" w:type="pct"/>
            <w:shd w:val="clear" w:color="auto" w:fill="auto"/>
            <w:noWrap/>
            <w:vAlign w:val="center"/>
          </w:tcPr>
          <w:p w14:paraId="50A1F752">
            <w:pPr>
              <w:pStyle w:val="24"/>
              <w:rPr>
                <w:sz w:val="16"/>
                <w:szCs w:val="16"/>
              </w:rPr>
            </w:pPr>
            <w:r>
              <w:rPr>
                <w:rFonts w:hint="eastAsia"/>
                <w:sz w:val="16"/>
                <w:szCs w:val="16"/>
              </w:rPr>
              <w:t>9162.69</w:t>
            </w:r>
          </w:p>
        </w:tc>
        <w:tc>
          <w:tcPr>
            <w:tcW w:w="506" w:type="pct"/>
            <w:shd w:val="clear" w:color="auto" w:fill="auto"/>
            <w:noWrap/>
            <w:vAlign w:val="center"/>
          </w:tcPr>
          <w:p w14:paraId="5A8ADA86">
            <w:pPr>
              <w:pStyle w:val="24"/>
              <w:rPr>
                <w:sz w:val="16"/>
                <w:szCs w:val="16"/>
              </w:rPr>
            </w:pPr>
            <w:r>
              <w:rPr>
                <w:rFonts w:hint="eastAsia"/>
                <w:sz w:val="16"/>
                <w:szCs w:val="16"/>
              </w:rPr>
              <w:t>7330.15</w:t>
            </w:r>
          </w:p>
        </w:tc>
        <w:tc>
          <w:tcPr>
            <w:tcW w:w="509" w:type="pct"/>
            <w:shd w:val="clear" w:color="auto" w:fill="auto"/>
            <w:noWrap/>
            <w:vAlign w:val="center"/>
          </w:tcPr>
          <w:p w14:paraId="7E8A635A">
            <w:pPr>
              <w:pStyle w:val="24"/>
              <w:rPr>
                <w:sz w:val="16"/>
                <w:szCs w:val="16"/>
              </w:rPr>
            </w:pPr>
            <w:r>
              <w:rPr>
                <w:rFonts w:hint="eastAsia"/>
                <w:sz w:val="16"/>
                <w:szCs w:val="16"/>
              </w:rPr>
              <w:t>10995.23</w:t>
            </w:r>
          </w:p>
        </w:tc>
        <w:tc>
          <w:tcPr>
            <w:tcW w:w="512" w:type="pct"/>
            <w:shd w:val="clear" w:color="auto" w:fill="auto"/>
            <w:noWrap/>
            <w:vAlign w:val="center"/>
          </w:tcPr>
          <w:p w14:paraId="42998F9B">
            <w:pPr>
              <w:pStyle w:val="24"/>
              <w:rPr>
                <w:sz w:val="16"/>
                <w:szCs w:val="16"/>
              </w:rPr>
            </w:pPr>
            <w:r>
              <w:rPr>
                <w:rFonts w:hint="eastAsia"/>
                <w:sz w:val="16"/>
                <w:szCs w:val="16"/>
              </w:rPr>
              <w:t>Gamma</w:t>
            </w:r>
          </w:p>
        </w:tc>
        <w:tc>
          <w:tcPr>
            <w:tcW w:w="494" w:type="pct"/>
            <w:shd w:val="clear" w:color="auto" w:fill="auto"/>
            <w:noWrap/>
            <w:vAlign w:val="center"/>
          </w:tcPr>
          <w:p w14:paraId="04F1CD7C">
            <w:pPr>
              <w:pStyle w:val="24"/>
              <w:rPr>
                <w:sz w:val="16"/>
                <w:szCs w:val="16"/>
              </w:rPr>
            </w:pPr>
            <w:r>
              <w:rPr>
                <w:sz w:val="16"/>
                <w:szCs w:val="16"/>
              </w:rPr>
              <w:fldChar w:fldCharType="begin"/>
            </w:r>
            <w:r>
              <w:rPr>
                <w:sz w:val="16"/>
                <w:szCs w:val="16"/>
              </w:rPr>
              <w:instrText xml:space="preserve"> ADDIN NE.Ref.{B985AE4B-F1D0-402C-886A-E7237C65A8AD}</w:instrText>
            </w:r>
            <w:r>
              <w:rPr>
                <w:sz w:val="16"/>
                <w:szCs w:val="16"/>
              </w:rPr>
              <w:fldChar w:fldCharType="separate"/>
            </w:r>
            <w:r>
              <w:rPr>
                <w:rFonts w:eastAsia="宋体" w:cs="Times New Roman"/>
                <w:color w:val="080000"/>
                <w:kern w:val="0"/>
                <w:sz w:val="16"/>
                <w:szCs w:val="16"/>
              </w:rPr>
              <w:t>[8, 12]</w:t>
            </w:r>
            <w:r>
              <w:rPr>
                <w:sz w:val="16"/>
                <w:szCs w:val="16"/>
              </w:rPr>
              <w:fldChar w:fldCharType="end"/>
            </w:r>
            <w:r>
              <w:rPr>
                <w:rFonts w:hint="eastAsia"/>
                <w:sz w:val="16"/>
                <w:szCs w:val="16"/>
              </w:rPr>
              <w:t>　</w:t>
            </w:r>
          </w:p>
        </w:tc>
      </w:tr>
      <w:tr w14:paraId="4488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C700057">
            <w:pPr>
              <w:pStyle w:val="24"/>
              <w:rPr>
                <w:sz w:val="16"/>
                <w:szCs w:val="16"/>
              </w:rPr>
            </w:pPr>
            <w:r>
              <w:rPr>
                <w:rFonts w:hint="eastAsia"/>
                <w:sz w:val="16"/>
                <w:szCs w:val="16"/>
              </w:rPr>
              <w:t>Treatment cost for Increase alkaline phosphatase levelt, $</w:t>
            </w:r>
          </w:p>
        </w:tc>
        <w:tc>
          <w:tcPr>
            <w:tcW w:w="506" w:type="pct"/>
            <w:shd w:val="clear" w:color="auto" w:fill="auto"/>
            <w:noWrap/>
            <w:vAlign w:val="center"/>
          </w:tcPr>
          <w:p w14:paraId="1FB51816">
            <w:pPr>
              <w:pStyle w:val="24"/>
              <w:rPr>
                <w:sz w:val="16"/>
                <w:szCs w:val="16"/>
              </w:rPr>
            </w:pPr>
            <w:r>
              <w:rPr>
                <w:rFonts w:hint="eastAsia"/>
                <w:sz w:val="16"/>
                <w:szCs w:val="16"/>
              </w:rPr>
              <w:t>8274.49</w:t>
            </w:r>
          </w:p>
        </w:tc>
        <w:tc>
          <w:tcPr>
            <w:tcW w:w="506" w:type="pct"/>
            <w:shd w:val="clear" w:color="auto" w:fill="auto"/>
            <w:noWrap/>
            <w:vAlign w:val="center"/>
          </w:tcPr>
          <w:p w14:paraId="331103A7">
            <w:pPr>
              <w:pStyle w:val="24"/>
              <w:rPr>
                <w:sz w:val="16"/>
                <w:szCs w:val="16"/>
              </w:rPr>
            </w:pPr>
            <w:r>
              <w:rPr>
                <w:rFonts w:hint="eastAsia"/>
                <w:sz w:val="16"/>
                <w:szCs w:val="16"/>
              </w:rPr>
              <w:t>6619.59</w:t>
            </w:r>
          </w:p>
        </w:tc>
        <w:tc>
          <w:tcPr>
            <w:tcW w:w="509" w:type="pct"/>
            <w:shd w:val="clear" w:color="auto" w:fill="auto"/>
            <w:noWrap/>
            <w:vAlign w:val="center"/>
          </w:tcPr>
          <w:p w14:paraId="5CF8E8C3">
            <w:pPr>
              <w:pStyle w:val="24"/>
              <w:rPr>
                <w:sz w:val="16"/>
                <w:szCs w:val="16"/>
              </w:rPr>
            </w:pPr>
            <w:r>
              <w:rPr>
                <w:rFonts w:hint="eastAsia"/>
                <w:sz w:val="16"/>
                <w:szCs w:val="16"/>
              </w:rPr>
              <w:t>9929.39</w:t>
            </w:r>
          </w:p>
        </w:tc>
        <w:tc>
          <w:tcPr>
            <w:tcW w:w="512" w:type="pct"/>
            <w:shd w:val="clear" w:color="auto" w:fill="auto"/>
            <w:noWrap/>
            <w:vAlign w:val="center"/>
          </w:tcPr>
          <w:p w14:paraId="53955285">
            <w:pPr>
              <w:pStyle w:val="24"/>
              <w:rPr>
                <w:sz w:val="16"/>
                <w:szCs w:val="16"/>
              </w:rPr>
            </w:pPr>
            <w:r>
              <w:rPr>
                <w:rFonts w:hint="eastAsia"/>
                <w:sz w:val="16"/>
                <w:szCs w:val="16"/>
              </w:rPr>
              <w:t>Gamma</w:t>
            </w:r>
          </w:p>
        </w:tc>
        <w:tc>
          <w:tcPr>
            <w:tcW w:w="494" w:type="pct"/>
            <w:shd w:val="clear" w:color="auto" w:fill="auto"/>
            <w:noWrap/>
            <w:vAlign w:val="center"/>
          </w:tcPr>
          <w:p w14:paraId="5F3A8709">
            <w:pPr>
              <w:pStyle w:val="24"/>
              <w:rPr>
                <w:sz w:val="16"/>
                <w:szCs w:val="16"/>
              </w:rPr>
            </w:pPr>
            <w:r>
              <w:rPr>
                <w:sz w:val="16"/>
                <w:szCs w:val="16"/>
              </w:rPr>
              <w:fldChar w:fldCharType="begin"/>
            </w:r>
            <w:r>
              <w:rPr>
                <w:sz w:val="16"/>
                <w:szCs w:val="16"/>
              </w:rPr>
              <w:instrText xml:space="preserve"> ADDIN NE.Ref.{0F2AF89F-1F32-4E31-BE34-B266C37F2342}</w:instrText>
            </w:r>
            <w:r>
              <w:rPr>
                <w:sz w:val="16"/>
                <w:szCs w:val="16"/>
              </w:rPr>
              <w:fldChar w:fldCharType="separate"/>
            </w:r>
            <w:r>
              <w:rPr>
                <w:rFonts w:eastAsia="宋体" w:cs="Times New Roman"/>
                <w:color w:val="080000"/>
                <w:kern w:val="0"/>
                <w:sz w:val="16"/>
                <w:szCs w:val="16"/>
              </w:rPr>
              <w:t>[8, 12]</w:t>
            </w:r>
            <w:r>
              <w:rPr>
                <w:sz w:val="16"/>
                <w:szCs w:val="16"/>
              </w:rPr>
              <w:fldChar w:fldCharType="end"/>
            </w:r>
            <w:r>
              <w:rPr>
                <w:rFonts w:hint="eastAsia"/>
                <w:sz w:val="16"/>
                <w:szCs w:val="16"/>
              </w:rPr>
              <w:t>　</w:t>
            </w:r>
          </w:p>
        </w:tc>
      </w:tr>
      <w:tr w14:paraId="1B3E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A0A2DB3">
            <w:pPr>
              <w:pStyle w:val="24"/>
              <w:rPr>
                <w:sz w:val="16"/>
                <w:szCs w:val="16"/>
              </w:rPr>
            </w:pPr>
            <w:r>
              <w:rPr>
                <w:rFonts w:hint="eastAsia"/>
                <w:sz w:val="16"/>
                <w:szCs w:val="16"/>
              </w:rPr>
              <w:t xml:space="preserve">Treatment cost for Increase in alanine aminotransferase </w:t>
            </w:r>
            <w:r>
              <w:rPr>
                <w:rFonts w:hint="eastAsia"/>
                <w:sz w:val="16"/>
                <w:szCs w:val="16"/>
              </w:rPr>
              <w:br w:type="textWrapping"/>
            </w:r>
            <w:r>
              <w:rPr>
                <w:rFonts w:hint="eastAsia"/>
                <w:sz w:val="16"/>
                <w:szCs w:val="16"/>
              </w:rPr>
              <w:t>levelt, $</w:t>
            </w:r>
          </w:p>
        </w:tc>
        <w:tc>
          <w:tcPr>
            <w:tcW w:w="506" w:type="pct"/>
            <w:shd w:val="clear" w:color="auto" w:fill="auto"/>
            <w:noWrap/>
            <w:vAlign w:val="center"/>
          </w:tcPr>
          <w:p w14:paraId="5E41E524">
            <w:pPr>
              <w:pStyle w:val="24"/>
              <w:rPr>
                <w:sz w:val="16"/>
                <w:szCs w:val="16"/>
              </w:rPr>
            </w:pPr>
            <w:r>
              <w:rPr>
                <w:rFonts w:hint="eastAsia"/>
                <w:sz w:val="16"/>
                <w:szCs w:val="16"/>
              </w:rPr>
              <w:t>144.66</w:t>
            </w:r>
          </w:p>
        </w:tc>
        <w:tc>
          <w:tcPr>
            <w:tcW w:w="506" w:type="pct"/>
            <w:shd w:val="clear" w:color="auto" w:fill="auto"/>
            <w:noWrap/>
            <w:vAlign w:val="center"/>
          </w:tcPr>
          <w:p w14:paraId="45269BFB">
            <w:pPr>
              <w:pStyle w:val="24"/>
              <w:rPr>
                <w:sz w:val="16"/>
                <w:szCs w:val="16"/>
              </w:rPr>
            </w:pPr>
            <w:r>
              <w:rPr>
                <w:rFonts w:hint="eastAsia"/>
                <w:sz w:val="16"/>
                <w:szCs w:val="16"/>
              </w:rPr>
              <w:t>115.73</w:t>
            </w:r>
          </w:p>
        </w:tc>
        <w:tc>
          <w:tcPr>
            <w:tcW w:w="509" w:type="pct"/>
            <w:shd w:val="clear" w:color="auto" w:fill="auto"/>
            <w:noWrap/>
            <w:vAlign w:val="center"/>
          </w:tcPr>
          <w:p w14:paraId="530BF2EB">
            <w:pPr>
              <w:pStyle w:val="24"/>
              <w:rPr>
                <w:sz w:val="16"/>
                <w:szCs w:val="16"/>
              </w:rPr>
            </w:pPr>
            <w:r>
              <w:rPr>
                <w:rFonts w:hint="eastAsia"/>
                <w:sz w:val="16"/>
                <w:szCs w:val="16"/>
              </w:rPr>
              <w:t>173.59</w:t>
            </w:r>
          </w:p>
        </w:tc>
        <w:tc>
          <w:tcPr>
            <w:tcW w:w="512" w:type="pct"/>
            <w:shd w:val="clear" w:color="auto" w:fill="auto"/>
            <w:noWrap/>
            <w:vAlign w:val="center"/>
          </w:tcPr>
          <w:p w14:paraId="078F4C0B">
            <w:pPr>
              <w:pStyle w:val="24"/>
              <w:rPr>
                <w:sz w:val="16"/>
                <w:szCs w:val="16"/>
              </w:rPr>
            </w:pPr>
            <w:r>
              <w:rPr>
                <w:rFonts w:hint="eastAsia"/>
                <w:sz w:val="16"/>
                <w:szCs w:val="16"/>
              </w:rPr>
              <w:t>Gamma</w:t>
            </w:r>
          </w:p>
        </w:tc>
        <w:tc>
          <w:tcPr>
            <w:tcW w:w="494" w:type="pct"/>
            <w:shd w:val="clear" w:color="auto" w:fill="auto"/>
            <w:noWrap/>
            <w:vAlign w:val="center"/>
          </w:tcPr>
          <w:p w14:paraId="693601B2">
            <w:pPr>
              <w:pStyle w:val="24"/>
              <w:rPr>
                <w:sz w:val="16"/>
                <w:szCs w:val="16"/>
              </w:rPr>
            </w:pPr>
            <w:r>
              <w:rPr>
                <w:sz w:val="16"/>
                <w:szCs w:val="16"/>
              </w:rPr>
              <w:fldChar w:fldCharType="begin"/>
            </w:r>
            <w:r>
              <w:rPr>
                <w:sz w:val="16"/>
                <w:szCs w:val="16"/>
              </w:rPr>
              <w:instrText xml:space="preserve"> ADDIN NE.Ref.{521C37C9-A299-4C2D-816A-5D92162FB05C}</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1A1F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0FE953E">
            <w:pPr>
              <w:pStyle w:val="24"/>
              <w:rPr>
                <w:sz w:val="16"/>
                <w:szCs w:val="16"/>
              </w:rPr>
            </w:pPr>
            <w:r>
              <w:rPr>
                <w:rFonts w:hint="eastAsia"/>
                <w:sz w:val="16"/>
                <w:szCs w:val="16"/>
              </w:rPr>
              <w:t xml:space="preserve">Treatment cost for Increase in aspartate aminotransferase </w:t>
            </w:r>
            <w:r>
              <w:rPr>
                <w:rFonts w:hint="eastAsia"/>
                <w:sz w:val="16"/>
                <w:szCs w:val="16"/>
              </w:rPr>
              <w:br w:type="textWrapping"/>
            </w:r>
            <w:r>
              <w:rPr>
                <w:rFonts w:hint="eastAsia"/>
                <w:sz w:val="16"/>
                <w:szCs w:val="16"/>
              </w:rPr>
              <w:t>levelt, $</w:t>
            </w:r>
          </w:p>
        </w:tc>
        <w:tc>
          <w:tcPr>
            <w:tcW w:w="506" w:type="pct"/>
            <w:shd w:val="clear" w:color="auto" w:fill="auto"/>
            <w:noWrap/>
            <w:vAlign w:val="center"/>
          </w:tcPr>
          <w:p w14:paraId="4A68B68E">
            <w:pPr>
              <w:pStyle w:val="24"/>
              <w:rPr>
                <w:sz w:val="16"/>
                <w:szCs w:val="16"/>
              </w:rPr>
            </w:pPr>
            <w:r>
              <w:rPr>
                <w:rFonts w:hint="eastAsia"/>
                <w:sz w:val="16"/>
                <w:szCs w:val="16"/>
              </w:rPr>
              <w:t>144.66</w:t>
            </w:r>
          </w:p>
        </w:tc>
        <w:tc>
          <w:tcPr>
            <w:tcW w:w="506" w:type="pct"/>
            <w:shd w:val="clear" w:color="auto" w:fill="auto"/>
            <w:noWrap/>
            <w:vAlign w:val="center"/>
          </w:tcPr>
          <w:p w14:paraId="326D3B07">
            <w:pPr>
              <w:pStyle w:val="24"/>
              <w:rPr>
                <w:sz w:val="16"/>
                <w:szCs w:val="16"/>
              </w:rPr>
            </w:pPr>
            <w:r>
              <w:rPr>
                <w:rFonts w:hint="eastAsia"/>
                <w:sz w:val="16"/>
                <w:szCs w:val="16"/>
              </w:rPr>
              <w:t>115.73</w:t>
            </w:r>
          </w:p>
        </w:tc>
        <w:tc>
          <w:tcPr>
            <w:tcW w:w="509" w:type="pct"/>
            <w:shd w:val="clear" w:color="auto" w:fill="auto"/>
            <w:noWrap/>
            <w:vAlign w:val="center"/>
          </w:tcPr>
          <w:p w14:paraId="66D0B447">
            <w:pPr>
              <w:pStyle w:val="24"/>
              <w:rPr>
                <w:sz w:val="16"/>
                <w:szCs w:val="16"/>
              </w:rPr>
            </w:pPr>
            <w:r>
              <w:rPr>
                <w:rFonts w:hint="eastAsia"/>
                <w:sz w:val="16"/>
                <w:szCs w:val="16"/>
              </w:rPr>
              <w:t>173.59</w:t>
            </w:r>
          </w:p>
        </w:tc>
        <w:tc>
          <w:tcPr>
            <w:tcW w:w="512" w:type="pct"/>
            <w:shd w:val="clear" w:color="auto" w:fill="auto"/>
            <w:noWrap/>
            <w:vAlign w:val="center"/>
          </w:tcPr>
          <w:p w14:paraId="210D5599">
            <w:pPr>
              <w:pStyle w:val="24"/>
              <w:rPr>
                <w:sz w:val="16"/>
                <w:szCs w:val="16"/>
              </w:rPr>
            </w:pPr>
            <w:r>
              <w:rPr>
                <w:rFonts w:hint="eastAsia"/>
                <w:sz w:val="16"/>
                <w:szCs w:val="16"/>
              </w:rPr>
              <w:t>Gamma</w:t>
            </w:r>
          </w:p>
        </w:tc>
        <w:tc>
          <w:tcPr>
            <w:tcW w:w="494" w:type="pct"/>
            <w:shd w:val="clear" w:color="auto" w:fill="auto"/>
            <w:noWrap/>
            <w:vAlign w:val="center"/>
          </w:tcPr>
          <w:p w14:paraId="45A16503">
            <w:pPr>
              <w:pStyle w:val="24"/>
              <w:rPr>
                <w:sz w:val="16"/>
                <w:szCs w:val="16"/>
              </w:rPr>
            </w:pPr>
            <w:r>
              <w:rPr>
                <w:sz w:val="16"/>
                <w:szCs w:val="16"/>
              </w:rPr>
              <w:fldChar w:fldCharType="begin"/>
            </w:r>
            <w:r>
              <w:rPr>
                <w:sz w:val="16"/>
                <w:szCs w:val="16"/>
              </w:rPr>
              <w:instrText xml:space="preserve"> ADDIN NE.Ref.{13187D05-39C1-41F5-9656-2875A291020E}</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2771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2A80B3D">
            <w:pPr>
              <w:pStyle w:val="24"/>
              <w:rPr>
                <w:sz w:val="16"/>
                <w:szCs w:val="16"/>
              </w:rPr>
            </w:pPr>
            <w:r>
              <w:rPr>
                <w:rFonts w:hint="eastAsia"/>
                <w:sz w:val="16"/>
                <w:szCs w:val="16"/>
              </w:rPr>
              <w:t>Treatment cost for Leucopeniat, $</w:t>
            </w:r>
          </w:p>
        </w:tc>
        <w:tc>
          <w:tcPr>
            <w:tcW w:w="506" w:type="pct"/>
            <w:shd w:val="clear" w:color="auto" w:fill="auto"/>
            <w:noWrap/>
            <w:vAlign w:val="center"/>
          </w:tcPr>
          <w:p w14:paraId="73761515">
            <w:pPr>
              <w:pStyle w:val="24"/>
              <w:rPr>
                <w:sz w:val="16"/>
                <w:szCs w:val="16"/>
              </w:rPr>
            </w:pPr>
            <w:r>
              <w:rPr>
                <w:rFonts w:hint="eastAsia"/>
                <w:sz w:val="16"/>
                <w:szCs w:val="16"/>
              </w:rPr>
              <w:t>24898.51</w:t>
            </w:r>
          </w:p>
        </w:tc>
        <w:tc>
          <w:tcPr>
            <w:tcW w:w="506" w:type="pct"/>
            <w:shd w:val="clear" w:color="auto" w:fill="auto"/>
            <w:noWrap/>
            <w:vAlign w:val="center"/>
          </w:tcPr>
          <w:p w14:paraId="08EDD50E">
            <w:pPr>
              <w:pStyle w:val="24"/>
              <w:rPr>
                <w:sz w:val="16"/>
                <w:szCs w:val="16"/>
              </w:rPr>
            </w:pPr>
            <w:r>
              <w:rPr>
                <w:rFonts w:hint="eastAsia"/>
                <w:sz w:val="16"/>
                <w:szCs w:val="16"/>
              </w:rPr>
              <w:t>19918.81</w:t>
            </w:r>
          </w:p>
        </w:tc>
        <w:tc>
          <w:tcPr>
            <w:tcW w:w="509" w:type="pct"/>
            <w:shd w:val="clear" w:color="auto" w:fill="auto"/>
            <w:noWrap/>
            <w:vAlign w:val="center"/>
          </w:tcPr>
          <w:p w14:paraId="6F870117">
            <w:pPr>
              <w:pStyle w:val="24"/>
              <w:rPr>
                <w:sz w:val="16"/>
                <w:szCs w:val="16"/>
              </w:rPr>
            </w:pPr>
            <w:r>
              <w:rPr>
                <w:rFonts w:hint="eastAsia"/>
                <w:sz w:val="16"/>
                <w:szCs w:val="16"/>
              </w:rPr>
              <w:t>29878.21</w:t>
            </w:r>
          </w:p>
        </w:tc>
        <w:tc>
          <w:tcPr>
            <w:tcW w:w="512" w:type="pct"/>
            <w:shd w:val="clear" w:color="auto" w:fill="auto"/>
            <w:noWrap/>
            <w:vAlign w:val="center"/>
          </w:tcPr>
          <w:p w14:paraId="4563BAB8">
            <w:pPr>
              <w:pStyle w:val="24"/>
              <w:rPr>
                <w:sz w:val="16"/>
                <w:szCs w:val="16"/>
              </w:rPr>
            </w:pPr>
            <w:r>
              <w:rPr>
                <w:rFonts w:hint="eastAsia"/>
                <w:sz w:val="16"/>
                <w:szCs w:val="16"/>
              </w:rPr>
              <w:t>Gamma</w:t>
            </w:r>
          </w:p>
        </w:tc>
        <w:tc>
          <w:tcPr>
            <w:tcW w:w="494" w:type="pct"/>
            <w:shd w:val="clear" w:color="auto" w:fill="auto"/>
            <w:noWrap/>
            <w:vAlign w:val="center"/>
          </w:tcPr>
          <w:p w14:paraId="512E4B34">
            <w:pPr>
              <w:pStyle w:val="24"/>
              <w:rPr>
                <w:sz w:val="16"/>
                <w:szCs w:val="16"/>
              </w:rPr>
            </w:pPr>
            <w:r>
              <w:rPr>
                <w:sz w:val="16"/>
                <w:szCs w:val="16"/>
              </w:rPr>
              <w:fldChar w:fldCharType="begin"/>
            </w:r>
            <w:r>
              <w:rPr>
                <w:sz w:val="16"/>
                <w:szCs w:val="16"/>
              </w:rPr>
              <w:instrText xml:space="preserve"> ADDIN NE.Ref.{28D7F8F5-14CF-4312-81C6-C371BF04B92D}</w:instrText>
            </w:r>
            <w:r>
              <w:rPr>
                <w:sz w:val="16"/>
                <w:szCs w:val="16"/>
              </w:rPr>
              <w:fldChar w:fldCharType="separate"/>
            </w:r>
            <w:r>
              <w:rPr>
                <w:rFonts w:eastAsia="宋体" w:cs="Times New Roman"/>
                <w:color w:val="080000"/>
                <w:kern w:val="0"/>
                <w:sz w:val="16"/>
                <w:szCs w:val="16"/>
              </w:rPr>
              <w:t>[8]</w:t>
            </w:r>
            <w:r>
              <w:rPr>
                <w:sz w:val="16"/>
                <w:szCs w:val="16"/>
              </w:rPr>
              <w:fldChar w:fldCharType="end"/>
            </w:r>
            <w:r>
              <w:rPr>
                <w:rFonts w:hint="eastAsia"/>
                <w:sz w:val="16"/>
                <w:szCs w:val="16"/>
              </w:rPr>
              <w:t>　</w:t>
            </w:r>
          </w:p>
        </w:tc>
      </w:tr>
      <w:tr w14:paraId="46C1D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5923AAF">
            <w:pPr>
              <w:pStyle w:val="24"/>
              <w:rPr>
                <w:sz w:val="16"/>
                <w:szCs w:val="16"/>
              </w:rPr>
            </w:pPr>
            <w:r>
              <w:rPr>
                <w:rFonts w:hint="eastAsia"/>
                <w:sz w:val="16"/>
                <w:szCs w:val="16"/>
              </w:rPr>
              <w:t>Treatment cost for Lipase concentration increasedt, $</w:t>
            </w:r>
          </w:p>
        </w:tc>
        <w:tc>
          <w:tcPr>
            <w:tcW w:w="506" w:type="pct"/>
            <w:shd w:val="clear" w:color="auto" w:fill="auto"/>
            <w:noWrap/>
            <w:vAlign w:val="center"/>
          </w:tcPr>
          <w:p w14:paraId="39006E41">
            <w:pPr>
              <w:pStyle w:val="24"/>
              <w:rPr>
                <w:sz w:val="16"/>
                <w:szCs w:val="16"/>
              </w:rPr>
            </w:pPr>
            <w:r>
              <w:rPr>
                <w:rFonts w:hint="eastAsia"/>
                <w:sz w:val="16"/>
                <w:szCs w:val="16"/>
              </w:rPr>
              <w:t>8607.95</w:t>
            </w:r>
          </w:p>
        </w:tc>
        <w:tc>
          <w:tcPr>
            <w:tcW w:w="506" w:type="pct"/>
            <w:shd w:val="clear" w:color="auto" w:fill="auto"/>
            <w:noWrap/>
            <w:vAlign w:val="center"/>
          </w:tcPr>
          <w:p w14:paraId="7D615427">
            <w:pPr>
              <w:pStyle w:val="24"/>
              <w:rPr>
                <w:sz w:val="16"/>
                <w:szCs w:val="16"/>
              </w:rPr>
            </w:pPr>
            <w:r>
              <w:rPr>
                <w:rFonts w:hint="eastAsia"/>
                <w:sz w:val="16"/>
                <w:szCs w:val="16"/>
              </w:rPr>
              <w:t>6886.36</w:t>
            </w:r>
          </w:p>
        </w:tc>
        <w:tc>
          <w:tcPr>
            <w:tcW w:w="509" w:type="pct"/>
            <w:shd w:val="clear" w:color="auto" w:fill="auto"/>
            <w:noWrap/>
            <w:vAlign w:val="center"/>
          </w:tcPr>
          <w:p w14:paraId="5BA10724">
            <w:pPr>
              <w:pStyle w:val="24"/>
              <w:rPr>
                <w:sz w:val="16"/>
                <w:szCs w:val="16"/>
              </w:rPr>
            </w:pPr>
            <w:r>
              <w:rPr>
                <w:rFonts w:hint="eastAsia"/>
                <w:sz w:val="16"/>
                <w:szCs w:val="16"/>
              </w:rPr>
              <w:t>10329.54</w:t>
            </w:r>
          </w:p>
        </w:tc>
        <w:tc>
          <w:tcPr>
            <w:tcW w:w="512" w:type="pct"/>
            <w:shd w:val="clear" w:color="auto" w:fill="auto"/>
            <w:noWrap/>
            <w:vAlign w:val="center"/>
          </w:tcPr>
          <w:p w14:paraId="4F3B2DA2">
            <w:pPr>
              <w:pStyle w:val="24"/>
              <w:rPr>
                <w:sz w:val="16"/>
                <w:szCs w:val="16"/>
              </w:rPr>
            </w:pPr>
            <w:r>
              <w:rPr>
                <w:rFonts w:hint="eastAsia"/>
                <w:sz w:val="16"/>
                <w:szCs w:val="16"/>
              </w:rPr>
              <w:t>Gamma</w:t>
            </w:r>
          </w:p>
        </w:tc>
        <w:tc>
          <w:tcPr>
            <w:tcW w:w="494" w:type="pct"/>
            <w:shd w:val="clear" w:color="auto" w:fill="auto"/>
            <w:noWrap/>
            <w:vAlign w:val="center"/>
          </w:tcPr>
          <w:p w14:paraId="30CD1FCA">
            <w:pPr>
              <w:pStyle w:val="24"/>
              <w:rPr>
                <w:sz w:val="16"/>
                <w:szCs w:val="16"/>
              </w:rPr>
            </w:pPr>
            <w:r>
              <w:rPr>
                <w:sz w:val="16"/>
                <w:szCs w:val="16"/>
              </w:rPr>
              <w:fldChar w:fldCharType="begin"/>
            </w:r>
            <w:r>
              <w:rPr>
                <w:sz w:val="16"/>
                <w:szCs w:val="16"/>
              </w:rPr>
              <w:instrText xml:space="preserve"> ADDIN NE.Ref.{77951F32-C323-4C8A-AB42-95D2F706B833}</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1273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584C085">
            <w:pPr>
              <w:pStyle w:val="24"/>
              <w:rPr>
                <w:sz w:val="16"/>
                <w:szCs w:val="16"/>
              </w:rPr>
            </w:pPr>
            <w:r>
              <w:rPr>
                <w:rFonts w:hint="eastAsia"/>
                <w:sz w:val="16"/>
                <w:szCs w:val="16"/>
              </w:rPr>
              <w:t>Treatment cost for Lymphocyte count decreasedt, $</w:t>
            </w:r>
          </w:p>
        </w:tc>
        <w:tc>
          <w:tcPr>
            <w:tcW w:w="506" w:type="pct"/>
            <w:shd w:val="clear" w:color="auto" w:fill="auto"/>
            <w:noWrap/>
            <w:vAlign w:val="center"/>
          </w:tcPr>
          <w:p w14:paraId="11D68D79">
            <w:pPr>
              <w:pStyle w:val="24"/>
              <w:rPr>
                <w:sz w:val="16"/>
                <w:szCs w:val="16"/>
              </w:rPr>
            </w:pPr>
            <w:r>
              <w:rPr>
                <w:rFonts w:hint="eastAsia"/>
                <w:sz w:val="16"/>
                <w:szCs w:val="16"/>
              </w:rPr>
              <w:t>9510.06</w:t>
            </w:r>
          </w:p>
        </w:tc>
        <w:tc>
          <w:tcPr>
            <w:tcW w:w="506" w:type="pct"/>
            <w:shd w:val="clear" w:color="auto" w:fill="auto"/>
            <w:noWrap/>
            <w:vAlign w:val="center"/>
          </w:tcPr>
          <w:p w14:paraId="703B25C9">
            <w:pPr>
              <w:pStyle w:val="24"/>
              <w:rPr>
                <w:sz w:val="16"/>
                <w:szCs w:val="16"/>
              </w:rPr>
            </w:pPr>
            <w:r>
              <w:rPr>
                <w:rFonts w:hint="eastAsia"/>
                <w:sz w:val="16"/>
                <w:szCs w:val="16"/>
              </w:rPr>
              <w:t>7608.05</w:t>
            </w:r>
          </w:p>
        </w:tc>
        <w:tc>
          <w:tcPr>
            <w:tcW w:w="509" w:type="pct"/>
            <w:shd w:val="clear" w:color="auto" w:fill="auto"/>
            <w:noWrap/>
            <w:vAlign w:val="center"/>
          </w:tcPr>
          <w:p w14:paraId="1332CE1A">
            <w:pPr>
              <w:pStyle w:val="24"/>
              <w:rPr>
                <w:sz w:val="16"/>
                <w:szCs w:val="16"/>
              </w:rPr>
            </w:pPr>
            <w:r>
              <w:rPr>
                <w:rFonts w:hint="eastAsia"/>
                <w:sz w:val="16"/>
                <w:szCs w:val="16"/>
              </w:rPr>
              <w:t>11412.07</w:t>
            </w:r>
          </w:p>
        </w:tc>
        <w:tc>
          <w:tcPr>
            <w:tcW w:w="512" w:type="pct"/>
            <w:shd w:val="clear" w:color="auto" w:fill="auto"/>
            <w:noWrap/>
            <w:vAlign w:val="center"/>
          </w:tcPr>
          <w:p w14:paraId="385486C2">
            <w:pPr>
              <w:pStyle w:val="24"/>
              <w:rPr>
                <w:sz w:val="16"/>
                <w:szCs w:val="16"/>
              </w:rPr>
            </w:pPr>
            <w:r>
              <w:rPr>
                <w:rFonts w:hint="eastAsia"/>
                <w:sz w:val="16"/>
                <w:szCs w:val="16"/>
              </w:rPr>
              <w:t>Gamma</w:t>
            </w:r>
          </w:p>
        </w:tc>
        <w:tc>
          <w:tcPr>
            <w:tcW w:w="494" w:type="pct"/>
            <w:shd w:val="clear" w:color="auto" w:fill="auto"/>
            <w:noWrap/>
            <w:vAlign w:val="center"/>
          </w:tcPr>
          <w:p w14:paraId="07A41BAC">
            <w:pPr>
              <w:pStyle w:val="24"/>
              <w:rPr>
                <w:sz w:val="16"/>
                <w:szCs w:val="16"/>
              </w:rPr>
            </w:pPr>
            <w:r>
              <w:rPr>
                <w:sz w:val="16"/>
                <w:szCs w:val="16"/>
              </w:rPr>
              <w:fldChar w:fldCharType="begin"/>
            </w:r>
            <w:r>
              <w:rPr>
                <w:sz w:val="16"/>
                <w:szCs w:val="16"/>
              </w:rPr>
              <w:instrText xml:space="preserve"> ADDIN NE.Ref.{F113161A-E573-419D-9DAA-A34F97CF2F2C}</w:instrText>
            </w:r>
            <w:r>
              <w:rPr>
                <w:sz w:val="16"/>
                <w:szCs w:val="16"/>
              </w:rPr>
              <w:fldChar w:fldCharType="separate"/>
            </w:r>
            <w:r>
              <w:rPr>
                <w:rFonts w:eastAsia="宋体" w:cs="Times New Roman"/>
                <w:color w:val="080000"/>
                <w:kern w:val="0"/>
                <w:sz w:val="16"/>
                <w:szCs w:val="16"/>
              </w:rPr>
              <w:t>[8, 12]</w:t>
            </w:r>
            <w:r>
              <w:rPr>
                <w:sz w:val="16"/>
                <w:szCs w:val="16"/>
              </w:rPr>
              <w:fldChar w:fldCharType="end"/>
            </w:r>
            <w:r>
              <w:rPr>
                <w:rFonts w:hint="eastAsia"/>
                <w:sz w:val="16"/>
                <w:szCs w:val="16"/>
              </w:rPr>
              <w:t>　</w:t>
            </w:r>
          </w:p>
        </w:tc>
      </w:tr>
      <w:tr w14:paraId="4FDF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D71565B">
            <w:pPr>
              <w:pStyle w:val="24"/>
              <w:rPr>
                <w:sz w:val="16"/>
                <w:szCs w:val="16"/>
              </w:rPr>
            </w:pPr>
            <w:r>
              <w:rPr>
                <w:rFonts w:hint="eastAsia"/>
                <w:sz w:val="16"/>
                <w:szCs w:val="16"/>
              </w:rPr>
              <w:t>Treatment cost for Myalgiat, $</w:t>
            </w:r>
          </w:p>
        </w:tc>
        <w:tc>
          <w:tcPr>
            <w:tcW w:w="506" w:type="pct"/>
            <w:shd w:val="clear" w:color="auto" w:fill="auto"/>
            <w:noWrap/>
            <w:vAlign w:val="center"/>
          </w:tcPr>
          <w:p w14:paraId="1489CDC9">
            <w:pPr>
              <w:pStyle w:val="24"/>
              <w:rPr>
                <w:sz w:val="16"/>
                <w:szCs w:val="16"/>
              </w:rPr>
            </w:pPr>
            <w:r>
              <w:rPr>
                <w:rFonts w:hint="eastAsia"/>
                <w:sz w:val="16"/>
                <w:szCs w:val="16"/>
              </w:rPr>
              <w:t>3003.22</w:t>
            </w:r>
          </w:p>
        </w:tc>
        <w:tc>
          <w:tcPr>
            <w:tcW w:w="506" w:type="pct"/>
            <w:shd w:val="clear" w:color="auto" w:fill="auto"/>
            <w:noWrap/>
            <w:vAlign w:val="center"/>
          </w:tcPr>
          <w:p w14:paraId="61A0057F">
            <w:pPr>
              <w:pStyle w:val="24"/>
              <w:rPr>
                <w:sz w:val="16"/>
                <w:szCs w:val="16"/>
              </w:rPr>
            </w:pPr>
            <w:r>
              <w:rPr>
                <w:rFonts w:hint="eastAsia"/>
                <w:sz w:val="16"/>
                <w:szCs w:val="16"/>
              </w:rPr>
              <w:t>2402.58</w:t>
            </w:r>
          </w:p>
        </w:tc>
        <w:tc>
          <w:tcPr>
            <w:tcW w:w="509" w:type="pct"/>
            <w:shd w:val="clear" w:color="auto" w:fill="auto"/>
            <w:noWrap/>
            <w:vAlign w:val="center"/>
          </w:tcPr>
          <w:p w14:paraId="2F9E7A7B">
            <w:pPr>
              <w:pStyle w:val="24"/>
              <w:rPr>
                <w:sz w:val="16"/>
                <w:szCs w:val="16"/>
              </w:rPr>
            </w:pPr>
            <w:r>
              <w:rPr>
                <w:rFonts w:hint="eastAsia"/>
                <w:sz w:val="16"/>
                <w:szCs w:val="16"/>
              </w:rPr>
              <w:t>3603.86</w:t>
            </w:r>
          </w:p>
        </w:tc>
        <w:tc>
          <w:tcPr>
            <w:tcW w:w="512" w:type="pct"/>
            <w:shd w:val="clear" w:color="auto" w:fill="auto"/>
            <w:noWrap/>
            <w:vAlign w:val="center"/>
          </w:tcPr>
          <w:p w14:paraId="47AACE68">
            <w:pPr>
              <w:pStyle w:val="24"/>
              <w:rPr>
                <w:sz w:val="16"/>
                <w:szCs w:val="16"/>
              </w:rPr>
            </w:pPr>
            <w:r>
              <w:rPr>
                <w:rFonts w:hint="eastAsia"/>
                <w:sz w:val="16"/>
                <w:szCs w:val="16"/>
              </w:rPr>
              <w:t>Gamma</w:t>
            </w:r>
          </w:p>
        </w:tc>
        <w:tc>
          <w:tcPr>
            <w:tcW w:w="494" w:type="pct"/>
            <w:shd w:val="clear" w:color="auto" w:fill="auto"/>
            <w:noWrap/>
            <w:vAlign w:val="center"/>
          </w:tcPr>
          <w:p w14:paraId="090F440B">
            <w:pPr>
              <w:pStyle w:val="24"/>
              <w:rPr>
                <w:sz w:val="16"/>
                <w:szCs w:val="16"/>
              </w:rPr>
            </w:pPr>
            <w:r>
              <w:rPr>
                <w:sz w:val="16"/>
                <w:szCs w:val="16"/>
              </w:rPr>
              <w:fldChar w:fldCharType="begin"/>
            </w:r>
            <w:r>
              <w:rPr>
                <w:sz w:val="16"/>
                <w:szCs w:val="16"/>
              </w:rPr>
              <w:instrText xml:space="preserve"> ADDIN NE.Ref.{01518AA7-B1DF-4D56-98FF-82A04C27048A}</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4B2B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72ABFCB">
            <w:pPr>
              <w:pStyle w:val="24"/>
              <w:rPr>
                <w:sz w:val="16"/>
                <w:szCs w:val="16"/>
              </w:rPr>
            </w:pPr>
            <w:r>
              <w:rPr>
                <w:rFonts w:hint="eastAsia"/>
                <w:sz w:val="16"/>
                <w:szCs w:val="16"/>
              </w:rPr>
              <w:t>Treatment cost for Nauseat, $</w:t>
            </w:r>
          </w:p>
        </w:tc>
        <w:tc>
          <w:tcPr>
            <w:tcW w:w="506" w:type="pct"/>
            <w:shd w:val="clear" w:color="auto" w:fill="auto"/>
            <w:noWrap/>
            <w:vAlign w:val="center"/>
          </w:tcPr>
          <w:p w14:paraId="78EC52C3">
            <w:pPr>
              <w:pStyle w:val="24"/>
              <w:rPr>
                <w:sz w:val="16"/>
                <w:szCs w:val="16"/>
              </w:rPr>
            </w:pPr>
            <w:r>
              <w:rPr>
                <w:rFonts w:hint="eastAsia"/>
                <w:sz w:val="16"/>
                <w:szCs w:val="16"/>
              </w:rPr>
              <w:t>4624.38</w:t>
            </w:r>
          </w:p>
        </w:tc>
        <w:tc>
          <w:tcPr>
            <w:tcW w:w="506" w:type="pct"/>
            <w:shd w:val="clear" w:color="auto" w:fill="auto"/>
            <w:noWrap/>
            <w:vAlign w:val="center"/>
          </w:tcPr>
          <w:p w14:paraId="7B8B884C">
            <w:pPr>
              <w:pStyle w:val="24"/>
              <w:rPr>
                <w:sz w:val="16"/>
                <w:szCs w:val="16"/>
              </w:rPr>
            </w:pPr>
            <w:r>
              <w:rPr>
                <w:rFonts w:hint="eastAsia"/>
                <w:sz w:val="16"/>
                <w:szCs w:val="16"/>
              </w:rPr>
              <w:t>3699.50</w:t>
            </w:r>
          </w:p>
        </w:tc>
        <w:tc>
          <w:tcPr>
            <w:tcW w:w="509" w:type="pct"/>
            <w:shd w:val="clear" w:color="auto" w:fill="auto"/>
            <w:noWrap/>
            <w:vAlign w:val="center"/>
          </w:tcPr>
          <w:p w14:paraId="0F96BFD6">
            <w:pPr>
              <w:pStyle w:val="24"/>
              <w:rPr>
                <w:sz w:val="16"/>
                <w:szCs w:val="16"/>
              </w:rPr>
            </w:pPr>
            <w:r>
              <w:rPr>
                <w:rFonts w:hint="eastAsia"/>
                <w:sz w:val="16"/>
                <w:szCs w:val="16"/>
              </w:rPr>
              <w:t>5549.26</w:t>
            </w:r>
          </w:p>
        </w:tc>
        <w:tc>
          <w:tcPr>
            <w:tcW w:w="512" w:type="pct"/>
            <w:shd w:val="clear" w:color="auto" w:fill="auto"/>
            <w:noWrap/>
            <w:vAlign w:val="center"/>
          </w:tcPr>
          <w:p w14:paraId="3246C6D2">
            <w:pPr>
              <w:pStyle w:val="24"/>
              <w:rPr>
                <w:sz w:val="16"/>
                <w:szCs w:val="16"/>
              </w:rPr>
            </w:pPr>
            <w:r>
              <w:rPr>
                <w:rFonts w:hint="eastAsia"/>
                <w:sz w:val="16"/>
                <w:szCs w:val="16"/>
              </w:rPr>
              <w:t>Gamma</w:t>
            </w:r>
          </w:p>
        </w:tc>
        <w:tc>
          <w:tcPr>
            <w:tcW w:w="494" w:type="pct"/>
            <w:shd w:val="clear" w:color="auto" w:fill="auto"/>
            <w:noWrap/>
            <w:vAlign w:val="center"/>
          </w:tcPr>
          <w:p w14:paraId="5958F51D">
            <w:pPr>
              <w:pStyle w:val="24"/>
              <w:rPr>
                <w:sz w:val="16"/>
                <w:szCs w:val="16"/>
              </w:rPr>
            </w:pPr>
            <w:r>
              <w:rPr>
                <w:sz w:val="16"/>
                <w:szCs w:val="16"/>
              </w:rPr>
              <w:fldChar w:fldCharType="begin"/>
            </w:r>
            <w:r>
              <w:rPr>
                <w:sz w:val="16"/>
                <w:szCs w:val="16"/>
              </w:rPr>
              <w:instrText xml:space="preserve"> ADDIN NE.Ref.{780E28DE-E031-4DFA-996A-D6E2331B23CB}</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1F7AC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3ACA753">
            <w:pPr>
              <w:pStyle w:val="24"/>
              <w:rPr>
                <w:sz w:val="16"/>
                <w:szCs w:val="16"/>
              </w:rPr>
            </w:pPr>
            <w:r>
              <w:rPr>
                <w:rFonts w:hint="eastAsia"/>
                <w:sz w:val="16"/>
                <w:szCs w:val="16"/>
              </w:rPr>
              <w:t>Treatment cost for Neutropeniat, $</w:t>
            </w:r>
          </w:p>
        </w:tc>
        <w:tc>
          <w:tcPr>
            <w:tcW w:w="506" w:type="pct"/>
            <w:shd w:val="clear" w:color="auto" w:fill="auto"/>
            <w:noWrap/>
            <w:vAlign w:val="center"/>
          </w:tcPr>
          <w:p w14:paraId="23D8E768">
            <w:pPr>
              <w:pStyle w:val="24"/>
              <w:rPr>
                <w:sz w:val="16"/>
                <w:szCs w:val="16"/>
              </w:rPr>
            </w:pPr>
            <w:r>
              <w:rPr>
                <w:rFonts w:hint="eastAsia"/>
                <w:sz w:val="16"/>
                <w:szCs w:val="16"/>
              </w:rPr>
              <w:t>2550.51</w:t>
            </w:r>
          </w:p>
        </w:tc>
        <w:tc>
          <w:tcPr>
            <w:tcW w:w="506" w:type="pct"/>
            <w:shd w:val="clear" w:color="auto" w:fill="auto"/>
            <w:noWrap/>
            <w:vAlign w:val="center"/>
          </w:tcPr>
          <w:p w14:paraId="7D244599">
            <w:pPr>
              <w:pStyle w:val="24"/>
              <w:rPr>
                <w:sz w:val="16"/>
                <w:szCs w:val="16"/>
              </w:rPr>
            </w:pPr>
            <w:r>
              <w:rPr>
                <w:rFonts w:hint="eastAsia"/>
                <w:sz w:val="16"/>
                <w:szCs w:val="16"/>
              </w:rPr>
              <w:t>2040.41</w:t>
            </w:r>
          </w:p>
        </w:tc>
        <w:tc>
          <w:tcPr>
            <w:tcW w:w="509" w:type="pct"/>
            <w:shd w:val="clear" w:color="auto" w:fill="auto"/>
            <w:noWrap/>
            <w:vAlign w:val="center"/>
          </w:tcPr>
          <w:p w14:paraId="7F9AF6B4">
            <w:pPr>
              <w:pStyle w:val="24"/>
              <w:rPr>
                <w:sz w:val="16"/>
                <w:szCs w:val="16"/>
              </w:rPr>
            </w:pPr>
            <w:r>
              <w:rPr>
                <w:rFonts w:hint="eastAsia"/>
                <w:sz w:val="16"/>
                <w:szCs w:val="16"/>
              </w:rPr>
              <w:t>3060.61</w:t>
            </w:r>
          </w:p>
        </w:tc>
        <w:tc>
          <w:tcPr>
            <w:tcW w:w="512" w:type="pct"/>
            <w:shd w:val="clear" w:color="auto" w:fill="auto"/>
            <w:noWrap/>
            <w:vAlign w:val="center"/>
          </w:tcPr>
          <w:p w14:paraId="6BEEE7AE">
            <w:pPr>
              <w:pStyle w:val="24"/>
              <w:rPr>
                <w:sz w:val="16"/>
                <w:szCs w:val="16"/>
              </w:rPr>
            </w:pPr>
            <w:r>
              <w:rPr>
                <w:rFonts w:hint="eastAsia"/>
                <w:sz w:val="16"/>
                <w:szCs w:val="16"/>
              </w:rPr>
              <w:t>Gamma</w:t>
            </w:r>
          </w:p>
        </w:tc>
        <w:tc>
          <w:tcPr>
            <w:tcW w:w="494" w:type="pct"/>
            <w:shd w:val="clear" w:color="auto" w:fill="auto"/>
            <w:noWrap/>
            <w:vAlign w:val="center"/>
          </w:tcPr>
          <w:p w14:paraId="749A17F3">
            <w:pPr>
              <w:pStyle w:val="24"/>
              <w:rPr>
                <w:sz w:val="16"/>
                <w:szCs w:val="16"/>
              </w:rPr>
            </w:pPr>
            <w:r>
              <w:rPr>
                <w:sz w:val="16"/>
                <w:szCs w:val="16"/>
              </w:rPr>
              <w:fldChar w:fldCharType="begin"/>
            </w:r>
            <w:r>
              <w:rPr>
                <w:sz w:val="16"/>
                <w:szCs w:val="16"/>
              </w:rPr>
              <w:instrText xml:space="preserve"> ADDIN NE.Ref.{5526EE5F-838A-45C5-BF65-B0DC3656F8F2}</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04821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0E87A5E">
            <w:pPr>
              <w:pStyle w:val="24"/>
              <w:rPr>
                <w:sz w:val="16"/>
                <w:szCs w:val="16"/>
              </w:rPr>
            </w:pPr>
            <w:r>
              <w:rPr>
                <w:rFonts w:hint="eastAsia"/>
                <w:sz w:val="16"/>
                <w:szCs w:val="16"/>
              </w:rPr>
              <w:t>Treatment cost for Oral mucositist, $</w:t>
            </w:r>
          </w:p>
        </w:tc>
        <w:tc>
          <w:tcPr>
            <w:tcW w:w="506" w:type="pct"/>
            <w:shd w:val="clear" w:color="auto" w:fill="auto"/>
            <w:noWrap/>
            <w:vAlign w:val="center"/>
          </w:tcPr>
          <w:p w14:paraId="7F08E91F">
            <w:pPr>
              <w:pStyle w:val="24"/>
              <w:rPr>
                <w:sz w:val="16"/>
                <w:szCs w:val="16"/>
              </w:rPr>
            </w:pPr>
            <w:r>
              <w:rPr>
                <w:rFonts w:hint="eastAsia"/>
                <w:sz w:val="16"/>
                <w:szCs w:val="16"/>
              </w:rPr>
              <w:t>21543.82</w:t>
            </w:r>
          </w:p>
        </w:tc>
        <w:tc>
          <w:tcPr>
            <w:tcW w:w="506" w:type="pct"/>
            <w:shd w:val="clear" w:color="auto" w:fill="auto"/>
            <w:noWrap/>
            <w:vAlign w:val="center"/>
          </w:tcPr>
          <w:p w14:paraId="5B45387A">
            <w:pPr>
              <w:pStyle w:val="24"/>
              <w:rPr>
                <w:sz w:val="16"/>
                <w:szCs w:val="16"/>
              </w:rPr>
            </w:pPr>
            <w:r>
              <w:rPr>
                <w:rFonts w:hint="eastAsia"/>
                <w:sz w:val="16"/>
                <w:szCs w:val="16"/>
              </w:rPr>
              <w:t>17235.06</w:t>
            </w:r>
          </w:p>
        </w:tc>
        <w:tc>
          <w:tcPr>
            <w:tcW w:w="509" w:type="pct"/>
            <w:shd w:val="clear" w:color="auto" w:fill="auto"/>
            <w:noWrap/>
            <w:vAlign w:val="center"/>
          </w:tcPr>
          <w:p w14:paraId="3F891416">
            <w:pPr>
              <w:pStyle w:val="24"/>
              <w:rPr>
                <w:sz w:val="16"/>
                <w:szCs w:val="16"/>
              </w:rPr>
            </w:pPr>
            <w:r>
              <w:rPr>
                <w:rFonts w:hint="eastAsia"/>
                <w:sz w:val="16"/>
                <w:szCs w:val="16"/>
              </w:rPr>
              <w:t>25852.58</w:t>
            </w:r>
          </w:p>
        </w:tc>
        <w:tc>
          <w:tcPr>
            <w:tcW w:w="512" w:type="pct"/>
            <w:shd w:val="clear" w:color="auto" w:fill="auto"/>
            <w:noWrap/>
            <w:vAlign w:val="center"/>
          </w:tcPr>
          <w:p w14:paraId="0C966D3F">
            <w:pPr>
              <w:pStyle w:val="24"/>
              <w:rPr>
                <w:sz w:val="16"/>
                <w:szCs w:val="16"/>
              </w:rPr>
            </w:pPr>
            <w:r>
              <w:rPr>
                <w:rFonts w:hint="eastAsia"/>
                <w:sz w:val="16"/>
                <w:szCs w:val="16"/>
              </w:rPr>
              <w:t>Gamma</w:t>
            </w:r>
          </w:p>
        </w:tc>
        <w:tc>
          <w:tcPr>
            <w:tcW w:w="494" w:type="pct"/>
            <w:shd w:val="clear" w:color="auto" w:fill="auto"/>
            <w:noWrap/>
            <w:vAlign w:val="center"/>
          </w:tcPr>
          <w:p w14:paraId="1DFC0AE5">
            <w:pPr>
              <w:pStyle w:val="24"/>
              <w:rPr>
                <w:sz w:val="16"/>
                <w:szCs w:val="16"/>
              </w:rPr>
            </w:pPr>
            <w:r>
              <w:rPr>
                <w:sz w:val="16"/>
                <w:szCs w:val="16"/>
              </w:rPr>
              <w:fldChar w:fldCharType="begin"/>
            </w:r>
            <w:r>
              <w:rPr>
                <w:sz w:val="16"/>
                <w:szCs w:val="16"/>
              </w:rPr>
              <w:instrText xml:space="preserve"> ADDIN NE.Ref.{CD76BC70-CAC0-4CBA-80E5-97BFC84B7DCB}</w:instrText>
            </w:r>
            <w:r>
              <w:rPr>
                <w:sz w:val="16"/>
                <w:szCs w:val="16"/>
              </w:rPr>
              <w:fldChar w:fldCharType="separate"/>
            </w:r>
            <w:r>
              <w:rPr>
                <w:rFonts w:eastAsia="宋体" w:cs="Times New Roman"/>
                <w:color w:val="080000"/>
                <w:kern w:val="0"/>
                <w:sz w:val="16"/>
                <w:szCs w:val="16"/>
              </w:rPr>
              <w:t>[13]</w:t>
            </w:r>
            <w:r>
              <w:rPr>
                <w:sz w:val="16"/>
                <w:szCs w:val="16"/>
              </w:rPr>
              <w:fldChar w:fldCharType="end"/>
            </w:r>
            <w:r>
              <w:rPr>
                <w:rFonts w:hint="eastAsia"/>
                <w:sz w:val="16"/>
                <w:szCs w:val="16"/>
              </w:rPr>
              <w:t>　</w:t>
            </w:r>
          </w:p>
        </w:tc>
      </w:tr>
      <w:tr w14:paraId="2327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99A7E98">
            <w:pPr>
              <w:pStyle w:val="24"/>
              <w:rPr>
                <w:sz w:val="16"/>
                <w:szCs w:val="16"/>
              </w:rPr>
            </w:pPr>
            <w:r>
              <w:rPr>
                <w:rFonts w:hint="eastAsia"/>
                <w:sz w:val="16"/>
                <w:szCs w:val="16"/>
              </w:rPr>
              <w:t>Treatment cost for Rash or desquamationt, $</w:t>
            </w:r>
          </w:p>
        </w:tc>
        <w:tc>
          <w:tcPr>
            <w:tcW w:w="506" w:type="pct"/>
            <w:shd w:val="clear" w:color="auto" w:fill="auto"/>
            <w:noWrap/>
            <w:vAlign w:val="center"/>
          </w:tcPr>
          <w:p w14:paraId="285D67FE">
            <w:pPr>
              <w:pStyle w:val="24"/>
              <w:rPr>
                <w:sz w:val="16"/>
                <w:szCs w:val="16"/>
              </w:rPr>
            </w:pPr>
            <w:r>
              <w:rPr>
                <w:rFonts w:hint="eastAsia"/>
                <w:sz w:val="16"/>
                <w:szCs w:val="16"/>
              </w:rPr>
              <w:t>185.31</w:t>
            </w:r>
          </w:p>
        </w:tc>
        <w:tc>
          <w:tcPr>
            <w:tcW w:w="506" w:type="pct"/>
            <w:shd w:val="clear" w:color="auto" w:fill="auto"/>
            <w:noWrap/>
            <w:vAlign w:val="center"/>
          </w:tcPr>
          <w:p w14:paraId="33F53DA9">
            <w:pPr>
              <w:pStyle w:val="24"/>
              <w:rPr>
                <w:sz w:val="16"/>
                <w:szCs w:val="16"/>
              </w:rPr>
            </w:pPr>
            <w:r>
              <w:rPr>
                <w:rFonts w:hint="eastAsia"/>
                <w:sz w:val="16"/>
                <w:szCs w:val="16"/>
              </w:rPr>
              <w:t>148.25</w:t>
            </w:r>
          </w:p>
        </w:tc>
        <w:tc>
          <w:tcPr>
            <w:tcW w:w="509" w:type="pct"/>
            <w:shd w:val="clear" w:color="auto" w:fill="auto"/>
            <w:noWrap/>
            <w:vAlign w:val="center"/>
          </w:tcPr>
          <w:p w14:paraId="0B12C728">
            <w:pPr>
              <w:pStyle w:val="24"/>
              <w:rPr>
                <w:sz w:val="16"/>
                <w:szCs w:val="16"/>
              </w:rPr>
            </w:pPr>
            <w:r>
              <w:rPr>
                <w:rFonts w:hint="eastAsia"/>
                <w:sz w:val="16"/>
                <w:szCs w:val="16"/>
              </w:rPr>
              <w:t>222.37</w:t>
            </w:r>
          </w:p>
        </w:tc>
        <w:tc>
          <w:tcPr>
            <w:tcW w:w="512" w:type="pct"/>
            <w:shd w:val="clear" w:color="auto" w:fill="auto"/>
            <w:noWrap/>
            <w:vAlign w:val="center"/>
          </w:tcPr>
          <w:p w14:paraId="51A05BCD">
            <w:pPr>
              <w:pStyle w:val="24"/>
              <w:rPr>
                <w:sz w:val="16"/>
                <w:szCs w:val="16"/>
              </w:rPr>
            </w:pPr>
            <w:r>
              <w:rPr>
                <w:rFonts w:hint="eastAsia"/>
                <w:sz w:val="16"/>
                <w:szCs w:val="16"/>
              </w:rPr>
              <w:t>Gamma</w:t>
            </w:r>
          </w:p>
        </w:tc>
        <w:tc>
          <w:tcPr>
            <w:tcW w:w="494" w:type="pct"/>
            <w:shd w:val="clear" w:color="auto" w:fill="auto"/>
            <w:noWrap/>
            <w:vAlign w:val="center"/>
          </w:tcPr>
          <w:p w14:paraId="798FA3AD">
            <w:pPr>
              <w:pStyle w:val="24"/>
              <w:rPr>
                <w:sz w:val="16"/>
                <w:szCs w:val="16"/>
              </w:rPr>
            </w:pPr>
            <w:r>
              <w:rPr>
                <w:sz w:val="16"/>
                <w:szCs w:val="16"/>
              </w:rPr>
              <w:fldChar w:fldCharType="begin"/>
            </w:r>
            <w:r>
              <w:rPr>
                <w:sz w:val="16"/>
                <w:szCs w:val="16"/>
              </w:rPr>
              <w:instrText xml:space="preserve"> ADDIN NE.Ref.{37DE8566-A0BE-490D-863C-008ABA2BEC4E}</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02A4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2120075">
            <w:pPr>
              <w:pStyle w:val="24"/>
              <w:rPr>
                <w:sz w:val="16"/>
                <w:szCs w:val="16"/>
              </w:rPr>
            </w:pPr>
            <w:r>
              <w:rPr>
                <w:rFonts w:hint="eastAsia"/>
                <w:sz w:val="16"/>
                <w:szCs w:val="16"/>
              </w:rPr>
              <w:t>Treatment cost for Thrombocytopeniat, $</w:t>
            </w:r>
          </w:p>
        </w:tc>
        <w:tc>
          <w:tcPr>
            <w:tcW w:w="506" w:type="pct"/>
            <w:shd w:val="clear" w:color="auto" w:fill="auto"/>
            <w:noWrap/>
            <w:vAlign w:val="center"/>
          </w:tcPr>
          <w:p w14:paraId="7E0CF92F">
            <w:pPr>
              <w:pStyle w:val="24"/>
              <w:rPr>
                <w:sz w:val="16"/>
                <w:szCs w:val="16"/>
              </w:rPr>
            </w:pPr>
            <w:r>
              <w:rPr>
                <w:rFonts w:hint="eastAsia"/>
                <w:sz w:val="16"/>
                <w:szCs w:val="16"/>
              </w:rPr>
              <w:t>18551.34</w:t>
            </w:r>
          </w:p>
        </w:tc>
        <w:tc>
          <w:tcPr>
            <w:tcW w:w="506" w:type="pct"/>
            <w:shd w:val="clear" w:color="auto" w:fill="auto"/>
            <w:noWrap/>
            <w:vAlign w:val="center"/>
          </w:tcPr>
          <w:p w14:paraId="7B28F6D6">
            <w:pPr>
              <w:pStyle w:val="24"/>
              <w:rPr>
                <w:sz w:val="16"/>
                <w:szCs w:val="16"/>
              </w:rPr>
            </w:pPr>
            <w:r>
              <w:rPr>
                <w:rFonts w:hint="eastAsia"/>
                <w:sz w:val="16"/>
                <w:szCs w:val="16"/>
              </w:rPr>
              <w:t>14841.07</w:t>
            </w:r>
          </w:p>
        </w:tc>
        <w:tc>
          <w:tcPr>
            <w:tcW w:w="509" w:type="pct"/>
            <w:shd w:val="clear" w:color="auto" w:fill="auto"/>
            <w:noWrap/>
            <w:vAlign w:val="center"/>
          </w:tcPr>
          <w:p w14:paraId="48B652AF">
            <w:pPr>
              <w:pStyle w:val="24"/>
              <w:rPr>
                <w:sz w:val="16"/>
                <w:szCs w:val="16"/>
              </w:rPr>
            </w:pPr>
            <w:r>
              <w:rPr>
                <w:rFonts w:hint="eastAsia"/>
                <w:sz w:val="16"/>
                <w:szCs w:val="16"/>
              </w:rPr>
              <w:t>22261.61</w:t>
            </w:r>
          </w:p>
        </w:tc>
        <w:tc>
          <w:tcPr>
            <w:tcW w:w="512" w:type="pct"/>
            <w:shd w:val="clear" w:color="auto" w:fill="auto"/>
            <w:noWrap/>
            <w:vAlign w:val="center"/>
          </w:tcPr>
          <w:p w14:paraId="6A3DA95C">
            <w:pPr>
              <w:pStyle w:val="24"/>
              <w:rPr>
                <w:sz w:val="16"/>
                <w:szCs w:val="16"/>
              </w:rPr>
            </w:pPr>
            <w:r>
              <w:rPr>
                <w:rFonts w:hint="eastAsia"/>
                <w:sz w:val="16"/>
                <w:szCs w:val="16"/>
              </w:rPr>
              <w:t>Gamma</w:t>
            </w:r>
          </w:p>
        </w:tc>
        <w:tc>
          <w:tcPr>
            <w:tcW w:w="494" w:type="pct"/>
            <w:shd w:val="clear" w:color="auto" w:fill="auto"/>
            <w:noWrap/>
            <w:vAlign w:val="center"/>
          </w:tcPr>
          <w:p w14:paraId="3CBC2DE6">
            <w:pPr>
              <w:pStyle w:val="24"/>
              <w:rPr>
                <w:sz w:val="16"/>
                <w:szCs w:val="16"/>
              </w:rPr>
            </w:pPr>
            <w:r>
              <w:rPr>
                <w:rFonts w:hint="eastAsia"/>
                <w:sz w:val="16"/>
                <w:szCs w:val="16"/>
              </w:rPr>
              <w:t>　</w:t>
            </w:r>
            <w:r>
              <w:rPr>
                <w:sz w:val="16"/>
                <w:szCs w:val="16"/>
              </w:rPr>
              <w:fldChar w:fldCharType="begin"/>
            </w:r>
            <w:r>
              <w:rPr>
                <w:sz w:val="16"/>
                <w:szCs w:val="16"/>
              </w:rPr>
              <w:instrText xml:space="preserve"> ADDIN NE.Ref.{5036DE48-3AC0-482A-BE1F-4FD0A3F6812D}</w:instrText>
            </w:r>
            <w:r>
              <w:rPr>
                <w:sz w:val="16"/>
                <w:szCs w:val="16"/>
              </w:rPr>
              <w:fldChar w:fldCharType="separate"/>
            </w:r>
            <w:r>
              <w:rPr>
                <w:rFonts w:eastAsia="宋体" w:cs="Times New Roman"/>
                <w:color w:val="080000"/>
                <w:kern w:val="0"/>
                <w:sz w:val="16"/>
                <w:szCs w:val="16"/>
              </w:rPr>
              <w:t>[8]</w:t>
            </w:r>
            <w:r>
              <w:rPr>
                <w:sz w:val="16"/>
                <w:szCs w:val="16"/>
              </w:rPr>
              <w:fldChar w:fldCharType="end"/>
            </w:r>
          </w:p>
        </w:tc>
      </w:tr>
      <w:tr w14:paraId="69A8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58E12B3">
            <w:pPr>
              <w:pStyle w:val="24"/>
              <w:rPr>
                <w:sz w:val="16"/>
                <w:szCs w:val="16"/>
              </w:rPr>
            </w:pPr>
            <w:r>
              <w:rPr>
                <w:rFonts w:hint="eastAsia"/>
                <w:sz w:val="16"/>
                <w:szCs w:val="16"/>
              </w:rPr>
              <w:t>Treatment cost for Vomitingt, $</w:t>
            </w:r>
          </w:p>
        </w:tc>
        <w:tc>
          <w:tcPr>
            <w:tcW w:w="506" w:type="pct"/>
            <w:shd w:val="clear" w:color="auto" w:fill="auto"/>
            <w:noWrap/>
            <w:vAlign w:val="center"/>
          </w:tcPr>
          <w:p w14:paraId="2141A53D">
            <w:pPr>
              <w:pStyle w:val="24"/>
              <w:rPr>
                <w:sz w:val="16"/>
                <w:szCs w:val="16"/>
              </w:rPr>
            </w:pPr>
            <w:r>
              <w:rPr>
                <w:rFonts w:hint="eastAsia"/>
                <w:sz w:val="16"/>
                <w:szCs w:val="16"/>
              </w:rPr>
              <w:t>4624.38</w:t>
            </w:r>
          </w:p>
        </w:tc>
        <w:tc>
          <w:tcPr>
            <w:tcW w:w="506" w:type="pct"/>
            <w:shd w:val="clear" w:color="auto" w:fill="auto"/>
            <w:noWrap/>
            <w:vAlign w:val="center"/>
          </w:tcPr>
          <w:p w14:paraId="0DCB3250">
            <w:pPr>
              <w:pStyle w:val="24"/>
              <w:rPr>
                <w:sz w:val="16"/>
                <w:szCs w:val="16"/>
              </w:rPr>
            </w:pPr>
            <w:r>
              <w:rPr>
                <w:rFonts w:hint="eastAsia"/>
                <w:sz w:val="16"/>
                <w:szCs w:val="16"/>
              </w:rPr>
              <w:t>3699.50</w:t>
            </w:r>
          </w:p>
        </w:tc>
        <w:tc>
          <w:tcPr>
            <w:tcW w:w="509" w:type="pct"/>
            <w:shd w:val="clear" w:color="auto" w:fill="auto"/>
            <w:noWrap/>
            <w:vAlign w:val="center"/>
          </w:tcPr>
          <w:p w14:paraId="1AAAFF9A">
            <w:pPr>
              <w:pStyle w:val="24"/>
              <w:rPr>
                <w:sz w:val="16"/>
                <w:szCs w:val="16"/>
              </w:rPr>
            </w:pPr>
            <w:r>
              <w:rPr>
                <w:rFonts w:hint="eastAsia"/>
                <w:sz w:val="16"/>
                <w:szCs w:val="16"/>
              </w:rPr>
              <w:t>5549.26</w:t>
            </w:r>
          </w:p>
        </w:tc>
        <w:tc>
          <w:tcPr>
            <w:tcW w:w="512" w:type="pct"/>
            <w:shd w:val="clear" w:color="auto" w:fill="auto"/>
            <w:noWrap/>
            <w:vAlign w:val="center"/>
          </w:tcPr>
          <w:p w14:paraId="20B88011">
            <w:pPr>
              <w:pStyle w:val="24"/>
              <w:rPr>
                <w:sz w:val="16"/>
                <w:szCs w:val="16"/>
              </w:rPr>
            </w:pPr>
            <w:r>
              <w:rPr>
                <w:rFonts w:hint="eastAsia"/>
                <w:sz w:val="16"/>
                <w:szCs w:val="16"/>
              </w:rPr>
              <w:t>Gamma</w:t>
            </w:r>
          </w:p>
        </w:tc>
        <w:tc>
          <w:tcPr>
            <w:tcW w:w="494" w:type="pct"/>
            <w:shd w:val="clear" w:color="auto" w:fill="auto"/>
            <w:noWrap/>
            <w:vAlign w:val="center"/>
          </w:tcPr>
          <w:p w14:paraId="7D82B823">
            <w:pPr>
              <w:pStyle w:val="24"/>
              <w:rPr>
                <w:sz w:val="16"/>
                <w:szCs w:val="16"/>
              </w:rPr>
            </w:pPr>
            <w:r>
              <w:rPr>
                <w:sz w:val="16"/>
                <w:szCs w:val="16"/>
              </w:rPr>
              <w:fldChar w:fldCharType="begin"/>
            </w:r>
            <w:r>
              <w:rPr>
                <w:sz w:val="16"/>
                <w:szCs w:val="16"/>
              </w:rPr>
              <w:instrText xml:space="preserve"> ADDIN NE.Ref.{C7DB3F0C-4832-42DD-8062-65B58E8E80E6}</w:instrText>
            </w:r>
            <w:r>
              <w:rPr>
                <w:sz w:val="16"/>
                <w:szCs w:val="16"/>
              </w:rPr>
              <w:fldChar w:fldCharType="separate"/>
            </w:r>
            <w:r>
              <w:rPr>
                <w:rFonts w:eastAsia="宋体" w:cs="Times New Roman"/>
                <w:color w:val="080000"/>
                <w:kern w:val="0"/>
                <w:sz w:val="16"/>
                <w:szCs w:val="16"/>
              </w:rPr>
              <w:t>[8, 9]</w:t>
            </w:r>
            <w:r>
              <w:rPr>
                <w:sz w:val="16"/>
                <w:szCs w:val="16"/>
              </w:rPr>
              <w:fldChar w:fldCharType="end"/>
            </w:r>
            <w:r>
              <w:rPr>
                <w:rFonts w:hint="eastAsia"/>
                <w:sz w:val="16"/>
                <w:szCs w:val="16"/>
              </w:rPr>
              <w:t>　</w:t>
            </w:r>
          </w:p>
        </w:tc>
      </w:tr>
      <w:tr w14:paraId="6C20C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627ED16">
            <w:pPr>
              <w:pStyle w:val="24"/>
              <w:rPr>
                <w:sz w:val="16"/>
                <w:szCs w:val="16"/>
              </w:rPr>
            </w:pPr>
            <w:r>
              <w:rPr>
                <w:rFonts w:hint="eastAsia"/>
                <w:sz w:val="16"/>
                <w:szCs w:val="16"/>
              </w:rPr>
              <w:t>Treatment cost for Proteinuriat, $</w:t>
            </w:r>
          </w:p>
        </w:tc>
        <w:tc>
          <w:tcPr>
            <w:tcW w:w="506" w:type="pct"/>
            <w:shd w:val="clear" w:color="auto" w:fill="auto"/>
            <w:noWrap/>
            <w:vAlign w:val="center"/>
          </w:tcPr>
          <w:p w14:paraId="6B302EC2">
            <w:pPr>
              <w:pStyle w:val="24"/>
              <w:rPr>
                <w:sz w:val="16"/>
                <w:szCs w:val="16"/>
              </w:rPr>
            </w:pPr>
            <w:r>
              <w:rPr>
                <w:rFonts w:hint="eastAsia"/>
                <w:sz w:val="16"/>
                <w:szCs w:val="16"/>
              </w:rPr>
              <w:t>5784.68</w:t>
            </w:r>
          </w:p>
        </w:tc>
        <w:tc>
          <w:tcPr>
            <w:tcW w:w="506" w:type="pct"/>
            <w:shd w:val="clear" w:color="auto" w:fill="auto"/>
            <w:noWrap/>
            <w:vAlign w:val="center"/>
          </w:tcPr>
          <w:p w14:paraId="29689587">
            <w:pPr>
              <w:pStyle w:val="24"/>
              <w:rPr>
                <w:sz w:val="16"/>
                <w:szCs w:val="16"/>
              </w:rPr>
            </w:pPr>
            <w:r>
              <w:rPr>
                <w:rFonts w:hint="eastAsia"/>
                <w:sz w:val="16"/>
                <w:szCs w:val="16"/>
              </w:rPr>
              <w:t>4627.74</w:t>
            </w:r>
          </w:p>
        </w:tc>
        <w:tc>
          <w:tcPr>
            <w:tcW w:w="509" w:type="pct"/>
            <w:shd w:val="clear" w:color="auto" w:fill="auto"/>
            <w:noWrap/>
            <w:vAlign w:val="center"/>
          </w:tcPr>
          <w:p w14:paraId="0BDEDA10">
            <w:pPr>
              <w:pStyle w:val="24"/>
              <w:rPr>
                <w:sz w:val="16"/>
                <w:szCs w:val="16"/>
              </w:rPr>
            </w:pPr>
            <w:r>
              <w:rPr>
                <w:rFonts w:hint="eastAsia"/>
                <w:sz w:val="16"/>
                <w:szCs w:val="16"/>
              </w:rPr>
              <w:t>6941.62</w:t>
            </w:r>
          </w:p>
        </w:tc>
        <w:tc>
          <w:tcPr>
            <w:tcW w:w="512" w:type="pct"/>
            <w:shd w:val="clear" w:color="auto" w:fill="auto"/>
            <w:noWrap/>
            <w:vAlign w:val="center"/>
          </w:tcPr>
          <w:p w14:paraId="14AF8E7A">
            <w:pPr>
              <w:pStyle w:val="24"/>
              <w:rPr>
                <w:sz w:val="16"/>
                <w:szCs w:val="16"/>
              </w:rPr>
            </w:pPr>
            <w:r>
              <w:rPr>
                <w:rFonts w:hint="eastAsia"/>
                <w:sz w:val="16"/>
                <w:szCs w:val="16"/>
              </w:rPr>
              <w:t>Gamma</w:t>
            </w:r>
          </w:p>
        </w:tc>
        <w:tc>
          <w:tcPr>
            <w:tcW w:w="494" w:type="pct"/>
            <w:shd w:val="clear" w:color="auto" w:fill="auto"/>
            <w:noWrap/>
            <w:vAlign w:val="center"/>
          </w:tcPr>
          <w:p w14:paraId="4DF1613C">
            <w:pPr>
              <w:pStyle w:val="24"/>
              <w:rPr>
                <w:sz w:val="16"/>
                <w:szCs w:val="16"/>
              </w:rPr>
            </w:pPr>
            <w:r>
              <w:rPr>
                <w:sz w:val="16"/>
                <w:szCs w:val="16"/>
              </w:rPr>
              <w:fldChar w:fldCharType="begin"/>
            </w:r>
            <w:r>
              <w:rPr>
                <w:sz w:val="16"/>
                <w:szCs w:val="16"/>
              </w:rPr>
              <w:instrText xml:space="preserve"> ADDIN NE.Ref.{9EAE8277-87C9-4DF9-A1C0-B982CAD007AC}</w:instrText>
            </w:r>
            <w:r>
              <w:rPr>
                <w:sz w:val="16"/>
                <w:szCs w:val="16"/>
              </w:rPr>
              <w:fldChar w:fldCharType="separate"/>
            </w:r>
            <w:r>
              <w:rPr>
                <w:rFonts w:eastAsia="宋体" w:cs="Times New Roman"/>
                <w:color w:val="080000"/>
                <w:kern w:val="0"/>
                <w:sz w:val="16"/>
                <w:szCs w:val="16"/>
              </w:rPr>
              <w:t>[8, 12]</w:t>
            </w:r>
            <w:r>
              <w:rPr>
                <w:sz w:val="16"/>
                <w:szCs w:val="16"/>
              </w:rPr>
              <w:fldChar w:fldCharType="end"/>
            </w:r>
            <w:r>
              <w:rPr>
                <w:rFonts w:hint="eastAsia"/>
                <w:sz w:val="16"/>
                <w:szCs w:val="16"/>
              </w:rPr>
              <w:t>　</w:t>
            </w:r>
          </w:p>
        </w:tc>
      </w:tr>
      <w:tr w14:paraId="4569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384E02D">
            <w:pPr>
              <w:pStyle w:val="24"/>
              <w:rPr>
                <w:sz w:val="16"/>
                <w:szCs w:val="16"/>
              </w:rPr>
            </w:pPr>
            <w:r>
              <w:rPr>
                <w:sz w:val="16"/>
                <w:szCs w:val="16"/>
              </w:rPr>
              <w:t>Subsequent active treatment for BSC</w:t>
            </w:r>
          </w:p>
        </w:tc>
        <w:tc>
          <w:tcPr>
            <w:tcW w:w="506" w:type="pct"/>
            <w:shd w:val="clear" w:color="auto" w:fill="auto"/>
            <w:noWrap/>
            <w:vAlign w:val="center"/>
          </w:tcPr>
          <w:p w14:paraId="448BFBB3">
            <w:pPr>
              <w:pStyle w:val="24"/>
              <w:rPr>
                <w:sz w:val="16"/>
                <w:szCs w:val="16"/>
              </w:rPr>
            </w:pPr>
            <w:r>
              <w:rPr>
                <w:rFonts w:hint="eastAsia"/>
                <w:sz w:val="16"/>
                <w:szCs w:val="16"/>
              </w:rPr>
              <w:t>0.39</w:t>
            </w:r>
          </w:p>
        </w:tc>
        <w:tc>
          <w:tcPr>
            <w:tcW w:w="506" w:type="pct"/>
            <w:shd w:val="clear" w:color="auto" w:fill="auto"/>
            <w:noWrap/>
            <w:vAlign w:val="center"/>
          </w:tcPr>
          <w:p w14:paraId="0902A74D">
            <w:pPr>
              <w:pStyle w:val="24"/>
              <w:rPr>
                <w:sz w:val="16"/>
                <w:szCs w:val="16"/>
              </w:rPr>
            </w:pPr>
            <w:r>
              <w:rPr>
                <w:rFonts w:hint="eastAsia"/>
                <w:sz w:val="16"/>
                <w:szCs w:val="16"/>
              </w:rPr>
              <w:t>0.382</w:t>
            </w:r>
          </w:p>
        </w:tc>
        <w:tc>
          <w:tcPr>
            <w:tcW w:w="509" w:type="pct"/>
            <w:shd w:val="clear" w:color="auto" w:fill="auto"/>
            <w:noWrap/>
            <w:vAlign w:val="center"/>
          </w:tcPr>
          <w:p w14:paraId="2FEFA69C">
            <w:pPr>
              <w:pStyle w:val="24"/>
              <w:rPr>
                <w:sz w:val="16"/>
                <w:szCs w:val="16"/>
              </w:rPr>
            </w:pPr>
            <w:r>
              <w:rPr>
                <w:rFonts w:hint="eastAsia"/>
                <w:sz w:val="16"/>
                <w:szCs w:val="16"/>
              </w:rPr>
              <w:t>0.382</w:t>
            </w:r>
          </w:p>
        </w:tc>
        <w:tc>
          <w:tcPr>
            <w:tcW w:w="512" w:type="pct"/>
            <w:shd w:val="clear" w:color="auto" w:fill="auto"/>
            <w:noWrap/>
            <w:vAlign w:val="center"/>
          </w:tcPr>
          <w:p w14:paraId="7A73648C">
            <w:pPr>
              <w:pStyle w:val="24"/>
              <w:rPr>
                <w:sz w:val="16"/>
                <w:szCs w:val="16"/>
              </w:rPr>
            </w:pPr>
            <w:r>
              <w:rPr>
                <w:rFonts w:hint="eastAsia"/>
                <w:sz w:val="16"/>
                <w:szCs w:val="16"/>
              </w:rPr>
              <w:t>Beta</w:t>
            </w:r>
          </w:p>
        </w:tc>
        <w:tc>
          <w:tcPr>
            <w:tcW w:w="494" w:type="pct"/>
            <w:shd w:val="clear" w:color="auto" w:fill="auto"/>
            <w:noWrap/>
            <w:vAlign w:val="center"/>
          </w:tcPr>
          <w:p w14:paraId="65B79712">
            <w:pPr>
              <w:pStyle w:val="24"/>
              <w:rPr>
                <w:sz w:val="16"/>
                <w:szCs w:val="16"/>
              </w:rPr>
            </w:pPr>
            <w:r>
              <w:rPr>
                <w:sz w:val="16"/>
                <w:szCs w:val="16"/>
              </w:rPr>
              <w:fldChar w:fldCharType="begin"/>
            </w:r>
            <w:r>
              <w:rPr>
                <w:sz w:val="16"/>
                <w:szCs w:val="16"/>
              </w:rPr>
              <w:instrText xml:space="preserve"> ADDIN NE.Ref.{BFA80EFA-DD20-4331-A848-6DF58BE46F00}</w:instrText>
            </w:r>
            <w:r>
              <w:rPr>
                <w:sz w:val="16"/>
                <w:szCs w:val="16"/>
              </w:rPr>
              <w:fldChar w:fldCharType="separate"/>
            </w:r>
            <w:r>
              <w:rPr>
                <w:rFonts w:eastAsia="宋体" w:cs="Times New Roman"/>
                <w:color w:val="080000"/>
                <w:kern w:val="0"/>
                <w:sz w:val="16"/>
                <w:szCs w:val="16"/>
              </w:rPr>
              <w:t>[14-18]</w:t>
            </w:r>
            <w:r>
              <w:rPr>
                <w:sz w:val="16"/>
                <w:szCs w:val="16"/>
              </w:rPr>
              <w:fldChar w:fldCharType="end"/>
            </w:r>
          </w:p>
        </w:tc>
      </w:tr>
      <w:tr w14:paraId="0736A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17B42C7">
            <w:pPr>
              <w:pStyle w:val="24"/>
              <w:rPr>
                <w:sz w:val="16"/>
                <w:szCs w:val="16"/>
              </w:rPr>
            </w:pPr>
            <w:r>
              <w:rPr>
                <w:sz w:val="16"/>
                <w:szCs w:val="16"/>
              </w:rPr>
              <w:t>subsequent treatment Fruquintinibquintinib</w:t>
            </w:r>
          </w:p>
        </w:tc>
        <w:tc>
          <w:tcPr>
            <w:tcW w:w="506" w:type="pct"/>
            <w:shd w:val="clear" w:color="auto" w:fill="auto"/>
            <w:noWrap/>
            <w:vAlign w:val="center"/>
          </w:tcPr>
          <w:p w14:paraId="24A20243">
            <w:pPr>
              <w:pStyle w:val="24"/>
              <w:rPr>
                <w:sz w:val="16"/>
                <w:szCs w:val="16"/>
              </w:rPr>
            </w:pPr>
            <w:r>
              <w:rPr>
                <w:rFonts w:hint="eastAsia"/>
                <w:sz w:val="16"/>
                <w:szCs w:val="16"/>
              </w:rPr>
              <w:t>0.34</w:t>
            </w:r>
          </w:p>
        </w:tc>
        <w:tc>
          <w:tcPr>
            <w:tcW w:w="506" w:type="pct"/>
            <w:shd w:val="clear" w:color="auto" w:fill="auto"/>
            <w:noWrap/>
            <w:vAlign w:val="center"/>
          </w:tcPr>
          <w:p w14:paraId="3BE11193">
            <w:pPr>
              <w:pStyle w:val="24"/>
              <w:rPr>
                <w:sz w:val="16"/>
                <w:szCs w:val="16"/>
              </w:rPr>
            </w:pPr>
            <w:r>
              <w:rPr>
                <w:rFonts w:hint="eastAsia"/>
                <w:sz w:val="16"/>
                <w:szCs w:val="16"/>
              </w:rPr>
              <w:t>0.162</w:t>
            </w:r>
          </w:p>
        </w:tc>
        <w:tc>
          <w:tcPr>
            <w:tcW w:w="509" w:type="pct"/>
            <w:shd w:val="clear" w:color="auto" w:fill="auto"/>
            <w:noWrap/>
            <w:vAlign w:val="center"/>
          </w:tcPr>
          <w:p w14:paraId="1125FE97">
            <w:pPr>
              <w:pStyle w:val="24"/>
              <w:rPr>
                <w:sz w:val="16"/>
                <w:szCs w:val="16"/>
              </w:rPr>
            </w:pPr>
            <w:r>
              <w:rPr>
                <w:rFonts w:hint="eastAsia"/>
                <w:sz w:val="16"/>
                <w:szCs w:val="16"/>
              </w:rPr>
              <w:t>0.162</w:t>
            </w:r>
          </w:p>
        </w:tc>
        <w:tc>
          <w:tcPr>
            <w:tcW w:w="512" w:type="pct"/>
            <w:shd w:val="clear" w:color="auto" w:fill="auto"/>
            <w:noWrap/>
            <w:vAlign w:val="center"/>
          </w:tcPr>
          <w:p w14:paraId="12EB6355">
            <w:pPr>
              <w:pStyle w:val="24"/>
              <w:rPr>
                <w:sz w:val="16"/>
                <w:szCs w:val="16"/>
              </w:rPr>
            </w:pPr>
            <w:r>
              <w:rPr>
                <w:rFonts w:hint="eastAsia"/>
                <w:sz w:val="16"/>
                <w:szCs w:val="16"/>
              </w:rPr>
              <w:t>Beta</w:t>
            </w:r>
          </w:p>
        </w:tc>
        <w:tc>
          <w:tcPr>
            <w:tcW w:w="494" w:type="pct"/>
            <w:shd w:val="clear" w:color="auto" w:fill="auto"/>
            <w:noWrap/>
            <w:vAlign w:val="center"/>
          </w:tcPr>
          <w:p w14:paraId="1C2C0A64">
            <w:pPr>
              <w:pStyle w:val="24"/>
              <w:rPr>
                <w:sz w:val="16"/>
                <w:szCs w:val="16"/>
              </w:rPr>
            </w:pPr>
            <w:r>
              <w:rPr>
                <w:sz w:val="16"/>
                <w:szCs w:val="16"/>
              </w:rPr>
              <w:fldChar w:fldCharType="begin"/>
            </w:r>
            <w:r>
              <w:rPr>
                <w:sz w:val="16"/>
                <w:szCs w:val="16"/>
              </w:rPr>
              <w:instrText xml:space="preserve"> ADDIN NE.Ref.{6B43981A-4ADA-4976-9A4B-F5997D0EB71A}</w:instrText>
            </w:r>
            <w:r>
              <w:rPr>
                <w:sz w:val="16"/>
                <w:szCs w:val="16"/>
              </w:rPr>
              <w:fldChar w:fldCharType="separate"/>
            </w:r>
            <w:r>
              <w:rPr>
                <w:rFonts w:eastAsia="宋体" w:cs="Times New Roman"/>
                <w:color w:val="080000"/>
                <w:kern w:val="0"/>
                <w:sz w:val="16"/>
                <w:szCs w:val="16"/>
              </w:rPr>
              <w:t>[14, 18]</w:t>
            </w:r>
            <w:r>
              <w:rPr>
                <w:sz w:val="16"/>
                <w:szCs w:val="16"/>
              </w:rPr>
              <w:fldChar w:fldCharType="end"/>
            </w:r>
          </w:p>
        </w:tc>
      </w:tr>
      <w:tr w14:paraId="1DF79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F5C013A">
            <w:pPr>
              <w:pStyle w:val="24"/>
              <w:rPr>
                <w:sz w:val="16"/>
                <w:szCs w:val="16"/>
              </w:rPr>
            </w:pPr>
            <w:r>
              <w:rPr>
                <w:sz w:val="16"/>
                <w:szCs w:val="16"/>
              </w:rPr>
              <w:t>subsequent treatment Regorafeniborafenib</w:t>
            </w:r>
          </w:p>
        </w:tc>
        <w:tc>
          <w:tcPr>
            <w:tcW w:w="506" w:type="pct"/>
            <w:shd w:val="clear" w:color="auto" w:fill="auto"/>
            <w:noWrap/>
            <w:vAlign w:val="center"/>
          </w:tcPr>
          <w:p w14:paraId="6FA3483A">
            <w:pPr>
              <w:pStyle w:val="24"/>
              <w:rPr>
                <w:sz w:val="16"/>
                <w:szCs w:val="16"/>
              </w:rPr>
            </w:pPr>
            <w:r>
              <w:rPr>
                <w:rFonts w:hint="eastAsia"/>
                <w:sz w:val="16"/>
                <w:szCs w:val="16"/>
              </w:rPr>
              <w:t>0.27</w:t>
            </w:r>
          </w:p>
        </w:tc>
        <w:tc>
          <w:tcPr>
            <w:tcW w:w="506" w:type="pct"/>
            <w:shd w:val="clear" w:color="auto" w:fill="auto"/>
            <w:noWrap/>
            <w:vAlign w:val="center"/>
          </w:tcPr>
          <w:p w14:paraId="1DE5EBED">
            <w:pPr>
              <w:pStyle w:val="24"/>
              <w:rPr>
                <w:sz w:val="16"/>
                <w:szCs w:val="16"/>
              </w:rPr>
            </w:pPr>
            <w:r>
              <w:rPr>
                <w:rFonts w:hint="eastAsia"/>
                <w:sz w:val="16"/>
                <w:szCs w:val="16"/>
              </w:rPr>
              <w:t>0.088</w:t>
            </w:r>
          </w:p>
        </w:tc>
        <w:tc>
          <w:tcPr>
            <w:tcW w:w="509" w:type="pct"/>
            <w:shd w:val="clear" w:color="auto" w:fill="auto"/>
            <w:noWrap/>
            <w:vAlign w:val="center"/>
          </w:tcPr>
          <w:p w14:paraId="091230DF">
            <w:pPr>
              <w:pStyle w:val="24"/>
              <w:rPr>
                <w:sz w:val="16"/>
                <w:szCs w:val="16"/>
              </w:rPr>
            </w:pPr>
            <w:r>
              <w:rPr>
                <w:rFonts w:hint="eastAsia"/>
                <w:sz w:val="16"/>
                <w:szCs w:val="16"/>
              </w:rPr>
              <w:t>0.088</w:t>
            </w:r>
          </w:p>
        </w:tc>
        <w:tc>
          <w:tcPr>
            <w:tcW w:w="512" w:type="pct"/>
            <w:shd w:val="clear" w:color="auto" w:fill="auto"/>
            <w:noWrap/>
            <w:vAlign w:val="center"/>
          </w:tcPr>
          <w:p w14:paraId="52D4D823">
            <w:pPr>
              <w:pStyle w:val="24"/>
              <w:rPr>
                <w:sz w:val="16"/>
                <w:szCs w:val="16"/>
              </w:rPr>
            </w:pPr>
            <w:r>
              <w:rPr>
                <w:rFonts w:hint="eastAsia"/>
                <w:sz w:val="16"/>
                <w:szCs w:val="16"/>
              </w:rPr>
              <w:t>Beta</w:t>
            </w:r>
          </w:p>
        </w:tc>
        <w:tc>
          <w:tcPr>
            <w:tcW w:w="494" w:type="pct"/>
            <w:shd w:val="clear" w:color="auto" w:fill="auto"/>
            <w:noWrap/>
            <w:vAlign w:val="center"/>
          </w:tcPr>
          <w:p w14:paraId="264ABE0F">
            <w:pPr>
              <w:pStyle w:val="24"/>
              <w:rPr>
                <w:sz w:val="16"/>
                <w:szCs w:val="16"/>
              </w:rPr>
            </w:pPr>
            <w:r>
              <w:rPr>
                <w:sz w:val="16"/>
                <w:szCs w:val="16"/>
              </w:rPr>
              <w:fldChar w:fldCharType="begin"/>
            </w:r>
            <w:r>
              <w:rPr>
                <w:sz w:val="16"/>
                <w:szCs w:val="16"/>
              </w:rPr>
              <w:instrText xml:space="preserve"> ADDIN NE.Ref.{4A0F41CE-D175-4169-82B6-9354152D3485}</w:instrText>
            </w:r>
            <w:r>
              <w:rPr>
                <w:sz w:val="16"/>
                <w:szCs w:val="16"/>
              </w:rPr>
              <w:fldChar w:fldCharType="separate"/>
            </w:r>
            <w:r>
              <w:rPr>
                <w:rFonts w:eastAsia="宋体" w:cs="Times New Roman"/>
                <w:color w:val="080000"/>
                <w:kern w:val="0"/>
                <w:sz w:val="16"/>
                <w:szCs w:val="16"/>
              </w:rPr>
              <w:t>[15, 16]</w:t>
            </w:r>
            <w:r>
              <w:rPr>
                <w:sz w:val="16"/>
                <w:szCs w:val="16"/>
              </w:rPr>
              <w:fldChar w:fldCharType="end"/>
            </w:r>
          </w:p>
        </w:tc>
      </w:tr>
      <w:tr w14:paraId="4D38C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3A09738">
            <w:pPr>
              <w:pStyle w:val="24"/>
              <w:rPr>
                <w:sz w:val="16"/>
                <w:szCs w:val="16"/>
              </w:rPr>
            </w:pPr>
            <w:r>
              <w:rPr>
                <w:sz w:val="16"/>
                <w:szCs w:val="16"/>
              </w:rPr>
              <w:t>subsequent treatment REDoS</w:t>
            </w:r>
          </w:p>
        </w:tc>
        <w:tc>
          <w:tcPr>
            <w:tcW w:w="506" w:type="pct"/>
            <w:shd w:val="clear" w:color="auto" w:fill="auto"/>
            <w:noWrap/>
            <w:vAlign w:val="center"/>
          </w:tcPr>
          <w:p w14:paraId="3040A8CA">
            <w:pPr>
              <w:pStyle w:val="24"/>
              <w:rPr>
                <w:sz w:val="16"/>
                <w:szCs w:val="16"/>
              </w:rPr>
            </w:pPr>
            <w:r>
              <w:rPr>
                <w:rFonts w:hint="eastAsia"/>
                <w:sz w:val="16"/>
                <w:szCs w:val="16"/>
              </w:rPr>
              <w:t>0.27</w:t>
            </w:r>
          </w:p>
        </w:tc>
        <w:tc>
          <w:tcPr>
            <w:tcW w:w="506" w:type="pct"/>
            <w:shd w:val="clear" w:color="auto" w:fill="auto"/>
            <w:noWrap/>
            <w:vAlign w:val="center"/>
          </w:tcPr>
          <w:p w14:paraId="4B09FCCF">
            <w:pPr>
              <w:pStyle w:val="24"/>
              <w:rPr>
                <w:sz w:val="16"/>
                <w:szCs w:val="16"/>
              </w:rPr>
            </w:pPr>
            <w:r>
              <w:rPr>
                <w:rFonts w:hint="eastAsia"/>
                <w:sz w:val="16"/>
                <w:szCs w:val="16"/>
              </w:rPr>
              <w:t>0.074</w:t>
            </w:r>
          </w:p>
        </w:tc>
        <w:tc>
          <w:tcPr>
            <w:tcW w:w="509" w:type="pct"/>
            <w:shd w:val="clear" w:color="auto" w:fill="auto"/>
            <w:noWrap/>
            <w:vAlign w:val="center"/>
          </w:tcPr>
          <w:p w14:paraId="5176AEE7">
            <w:pPr>
              <w:pStyle w:val="24"/>
              <w:rPr>
                <w:sz w:val="16"/>
                <w:szCs w:val="16"/>
              </w:rPr>
            </w:pPr>
            <w:r>
              <w:rPr>
                <w:rFonts w:hint="eastAsia"/>
                <w:sz w:val="16"/>
                <w:szCs w:val="16"/>
              </w:rPr>
              <w:t>0.074</w:t>
            </w:r>
          </w:p>
        </w:tc>
        <w:tc>
          <w:tcPr>
            <w:tcW w:w="512" w:type="pct"/>
            <w:shd w:val="clear" w:color="auto" w:fill="auto"/>
            <w:noWrap/>
            <w:vAlign w:val="center"/>
          </w:tcPr>
          <w:p w14:paraId="55EA024F">
            <w:pPr>
              <w:pStyle w:val="24"/>
              <w:rPr>
                <w:sz w:val="16"/>
                <w:szCs w:val="16"/>
              </w:rPr>
            </w:pPr>
            <w:r>
              <w:rPr>
                <w:rFonts w:hint="eastAsia"/>
                <w:sz w:val="16"/>
                <w:szCs w:val="16"/>
              </w:rPr>
              <w:t>Beta</w:t>
            </w:r>
          </w:p>
        </w:tc>
        <w:tc>
          <w:tcPr>
            <w:tcW w:w="494" w:type="pct"/>
            <w:shd w:val="clear" w:color="auto" w:fill="auto"/>
            <w:noWrap/>
            <w:vAlign w:val="center"/>
          </w:tcPr>
          <w:p w14:paraId="6B3725DE">
            <w:pPr>
              <w:pStyle w:val="24"/>
              <w:rPr>
                <w:sz w:val="16"/>
                <w:szCs w:val="16"/>
              </w:rPr>
            </w:pPr>
            <w:r>
              <w:rPr>
                <w:sz w:val="16"/>
                <w:szCs w:val="16"/>
              </w:rPr>
              <w:fldChar w:fldCharType="begin"/>
            </w:r>
            <w:r>
              <w:rPr>
                <w:sz w:val="16"/>
                <w:szCs w:val="16"/>
              </w:rPr>
              <w:instrText xml:space="preserve"> ADDIN NE.Ref.{11269210-AF2C-430D-838F-D7C2650B3C16}</w:instrText>
            </w:r>
            <w:r>
              <w:rPr>
                <w:sz w:val="16"/>
                <w:szCs w:val="16"/>
              </w:rPr>
              <w:fldChar w:fldCharType="separate"/>
            </w:r>
            <w:r>
              <w:rPr>
                <w:rFonts w:eastAsia="宋体" w:cs="Times New Roman"/>
                <w:color w:val="080000"/>
                <w:kern w:val="0"/>
                <w:sz w:val="16"/>
                <w:szCs w:val="16"/>
              </w:rPr>
              <w:t>[19]</w:t>
            </w:r>
            <w:r>
              <w:rPr>
                <w:sz w:val="16"/>
                <w:szCs w:val="16"/>
              </w:rPr>
              <w:fldChar w:fldCharType="end"/>
            </w:r>
          </w:p>
        </w:tc>
      </w:tr>
      <w:tr w14:paraId="6DEB3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FE8B389">
            <w:pPr>
              <w:pStyle w:val="24"/>
              <w:rPr>
                <w:sz w:val="16"/>
                <w:szCs w:val="16"/>
              </w:rPr>
            </w:pPr>
            <w:r>
              <w:rPr>
                <w:sz w:val="16"/>
                <w:szCs w:val="16"/>
              </w:rPr>
              <w:t>subsequent treatment TAS-102-102</w:t>
            </w:r>
          </w:p>
        </w:tc>
        <w:tc>
          <w:tcPr>
            <w:tcW w:w="506" w:type="pct"/>
            <w:shd w:val="clear" w:color="auto" w:fill="auto"/>
            <w:noWrap/>
            <w:vAlign w:val="center"/>
          </w:tcPr>
          <w:p w14:paraId="5521A770">
            <w:pPr>
              <w:pStyle w:val="24"/>
              <w:rPr>
                <w:sz w:val="16"/>
                <w:szCs w:val="16"/>
              </w:rPr>
            </w:pPr>
            <w:r>
              <w:rPr>
                <w:rFonts w:hint="eastAsia"/>
                <w:sz w:val="16"/>
                <w:szCs w:val="16"/>
              </w:rPr>
              <w:t>0.42</w:t>
            </w:r>
          </w:p>
        </w:tc>
        <w:tc>
          <w:tcPr>
            <w:tcW w:w="506" w:type="pct"/>
            <w:shd w:val="clear" w:color="auto" w:fill="auto"/>
            <w:noWrap/>
            <w:vAlign w:val="center"/>
          </w:tcPr>
          <w:p w14:paraId="2EA175B2">
            <w:pPr>
              <w:pStyle w:val="24"/>
              <w:rPr>
                <w:sz w:val="16"/>
                <w:szCs w:val="16"/>
              </w:rPr>
            </w:pPr>
            <w:r>
              <w:rPr>
                <w:rFonts w:hint="eastAsia"/>
                <w:sz w:val="16"/>
                <w:szCs w:val="16"/>
              </w:rPr>
              <w:t>0.044</w:t>
            </w:r>
          </w:p>
        </w:tc>
        <w:tc>
          <w:tcPr>
            <w:tcW w:w="509" w:type="pct"/>
            <w:shd w:val="clear" w:color="auto" w:fill="auto"/>
            <w:noWrap/>
            <w:vAlign w:val="center"/>
          </w:tcPr>
          <w:p w14:paraId="6754651E">
            <w:pPr>
              <w:pStyle w:val="24"/>
              <w:rPr>
                <w:sz w:val="16"/>
                <w:szCs w:val="16"/>
              </w:rPr>
            </w:pPr>
            <w:r>
              <w:rPr>
                <w:rFonts w:hint="eastAsia"/>
                <w:sz w:val="16"/>
                <w:szCs w:val="16"/>
              </w:rPr>
              <w:t>0.044</w:t>
            </w:r>
          </w:p>
        </w:tc>
        <w:tc>
          <w:tcPr>
            <w:tcW w:w="512" w:type="pct"/>
            <w:shd w:val="clear" w:color="auto" w:fill="auto"/>
            <w:noWrap/>
            <w:vAlign w:val="center"/>
          </w:tcPr>
          <w:p w14:paraId="1FEEBC29">
            <w:pPr>
              <w:pStyle w:val="24"/>
              <w:rPr>
                <w:sz w:val="16"/>
                <w:szCs w:val="16"/>
              </w:rPr>
            </w:pPr>
            <w:r>
              <w:rPr>
                <w:rFonts w:hint="eastAsia"/>
                <w:sz w:val="16"/>
                <w:szCs w:val="16"/>
              </w:rPr>
              <w:t>Beta</w:t>
            </w:r>
          </w:p>
        </w:tc>
        <w:tc>
          <w:tcPr>
            <w:tcW w:w="494" w:type="pct"/>
            <w:shd w:val="clear" w:color="auto" w:fill="auto"/>
            <w:noWrap/>
            <w:vAlign w:val="center"/>
          </w:tcPr>
          <w:p w14:paraId="12933720">
            <w:pPr>
              <w:pStyle w:val="24"/>
              <w:rPr>
                <w:sz w:val="16"/>
                <w:szCs w:val="16"/>
              </w:rPr>
            </w:pPr>
            <w:r>
              <w:rPr>
                <w:sz w:val="16"/>
                <w:szCs w:val="16"/>
              </w:rPr>
              <w:fldChar w:fldCharType="begin"/>
            </w:r>
            <w:r>
              <w:rPr>
                <w:sz w:val="16"/>
                <w:szCs w:val="16"/>
              </w:rPr>
              <w:instrText xml:space="preserve"> ADDIN NE.Ref.{1483D876-AAF9-4A47-802D-01AFCB3A7146}</w:instrText>
            </w:r>
            <w:r>
              <w:rPr>
                <w:sz w:val="16"/>
                <w:szCs w:val="16"/>
              </w:rPr>
              <w:fldChar w:fldCharType="separate"/>
            </w:r>
            <w:r>
              <w:rPr>
                <w:rFonts w:eastAsia="宋体" w:cs="Times New Roman"/>
                <w:color w:val="080000"/>
                <w:kern w:val="0"/>
                <w:sz w:val="16"/>
                <w:szCs w:val="16"/>
              </w:rPr>
              <w:t>[17]</w:t>
            </w:r>
            <w:r>
              <w:rPr>
                <w:sz w:val="16"/>
                <w:szCs w:val="16"/>
              </w:rPr>
              <w:fldChar w:fldCharType="end"/>
            </w:r>
          </w:p>
        </w:tc>
      </w:tr>
      <w:tr w14:paraId="76EF5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36D9D1D">
            <w:pPr>
              <w:pStyle w:val="24"/>
              <w:rPr>
                <w:sz w:val="16"/>
                <w:szCs w:val="16"/>
              </w:rPr>
            </w:pPr>
            <w:r>
              <w:rPr>
                <w:sz w:val="16"/>
                <w:szCs w:val="16"/>
              </w:rPr>
              <w:t>subsequent treatment TAS-102-102+BEV</w:t>
            </w:r>
          </w:p>
        </w:tc>
        <w:tc>
          <w:tcPr>
            <w:tcW w:w="506" w:type="pct"/>
            <w:shd w:val="clear" w:color="auto" w:fill="auto"/>
            <w:noWrap/>
            <w:vAlign w:val="center"/>
          </w:tcPr>
          <w:p w14:paraId="1A29C98B">
            <w:pPr>
              <w:pStyle w:val="24"/>
              <w:rPr>
                <w:sz w:val="16"/>
                <w:szCs w:val="16"/>
              </w:rPr>
            </w:pPr>
            <w:r>
              <w:rPr>
                <w:rFonts w:hint="eastAsia"/>
                <w:sz w:val="16"/>
                <w:szCs w:val="16"/>
              </w:rPr>
              <w:t>0.42</w:t>
            </w:r>
          </w:p>
        </w:tc>
        <w:tc>
          <w:tcPr>
            <w:tcW w:w="506" w:type="pct"/>
            <w:shd w:val="clear" w:color="auto" w:fill="auto"/>
            <w:noWrap/>
            <w:vAlign w:val="center"/>
          </w:tcPr>
          <w:p w14:paraId="2DF0AC20">
            <w:pPr>
              <w:pStyle w:val="24"/>
              <w:rPr>
                <w:sz w:val="16"/>
                <w:szCs w:val="16"/>
              </w:rPr>
            </w:pPr>
            <w:r>
              <w:rPr>
                <w:rFonts w:hint="eastAsia"/>
                <w:sz w:val="16"/>
                <w:szCs w:val="16"/>
              </w:rPr>
              <w:t>0.029</w:t>
            </w:r>
          </w:p>
        </w:tc>
        <w:tc>
          <w:tcPr>
            <w:tcW w:w="509" w:type="pct"/>
            <w:shd w:val="clear" w:color="auto" w:fill="auto"/>
            <w:noWrap/>
            <w:vAlign w:val="center"/>
          </w:tcPr>
          <w:p w14:paraId="4FDDB667">
            <w:pPr>
              <w:pStyle w:val="24"/>
              <w:rPr>
                <w:sz w:val="16"/>
                <w:szCs w:val="16"/>
              </w:rPr>
            </w:pPr>
            <w:r>
              <w:rPr>
                <w:rFonts w:hint="eastAsia"/>
                <w:sz w:val="16"/>
                <w:szCs w:val="16"/>
              </w:rPr>
              <w:t>0.029</w:t>
            </w:r>
          </w:p>
        </w:tc>
        <w:tc>
          <w:tcPr>
            <w:tcW w:w="512" w:type="pct"/>
            <w:shd w:val="clear" w:color="auto" w:fill="auto"/>
            <w:noWrap/>
            <w:vAlign w:val="center"/>
          </w:tcPr>
          <w:p w14:paraId="7571A7A8">
            <w:pPr>
              <w:pStyle w:val="24"/>
              <w:rPr>
                <w:sz w:val="16"/>
                <w:szCs w:val="16"/>
              </w:rPr>
            </w:pPr>
            <w:r>
              <w:rPr>
                <w:rFonts w:hint="eastAsia"/>
                <w:sz w:val="16"/>
                <w:szCs w:val="16"/>
              </w:rPr>
              <w:t>Beta</w:t>
            </w:r>
          </w:p>
        </w:tc>
        <w:tc>
          <w:tcPr>
            <w:tcW w:w="494" w:type="pct"/>
            <w:shd w:val="clear" w:color="auto" w:fill="auto"/>
            <w:noWrap/>
            <w:vAlign w:val="center"/>
          </w:tcPr>
          <w:p w14:paraId="42309D5D">
            <w:pPr>
              <w:pStyle w:val="24"/>
              <w:rPr>
                <w:sz w:val="16"/>
                <w:szCs w:val="16"/>
              </w:rPr>
            </w:pPr>
            <w:r>
              <w:rPr>
                <w:sz w:val="16"/>
                <w:szCs w:val="16"/>
              </w:rPr>
              <w:fldChar w:fldCharType="begin"/>
            </w:r>
            <w:r>
              <w:rPr>
                <w:sz w:val="16"/>
                <w:szCs w:val="16"/>
              </w:rPr>
              <w:instrText xml:space="preserve"> ADDIN NE.Ref.{7C2470D3-D8A2-4180-98E1-F0E5E99F40CC}</w:instrText>
            </w:r>
            <w:r>
              <w:rPr>
                <w:sz w:val="16"/>
                <w:szCs w:val="16"/>
              </w:rPr>
              <w:fldChar w:fldCharType="separate"/>
            </w:r>
            <w:r>
              <w:rPr>
                <w:rFonts w:eastAsia="宋体" w:cs="Times New Roman"/>
                <w:color w:val="080000"/>
                <w:kern w:val="0"/>
                <w:sz w:val="16"/>
                <w:szCs w:val="16"/>
              </w:rPr>
              <w:t>[20]</w:t>
            </w:r>
            <w:r>
              <w:rPr>
                <w:sz w:val="16"/>
                <w:szCs w:val="16"/>
              </w:rPr>
              <w:fldChar w:fldCharType="end"/>
            </w:r>
          </w:p>
        </w:tc>
      </w:tr>
      <w:tr w14:paraId="6ADF6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099005B">
            <w:pPr>
              <w:pStyle w:val="24"/>
              <w:rPr>
                <w:sz w:val="16"/>
                <w:szCs w:val="16"/>
              </w:rPr>
            </w:pPr>
            <w:r>
              <w:rPr>
                <w:rFonts w:hint="eastAsia"/>
                <w:sz w:val="16"/>
                <w:szCs w:val="16"/>
              </w:rPr>
              <w:t>Discount</w:t>
            </w:r>
          </w:p>
        </w:tc>
        <w:tc>
          <w:tcPr>
            <w:tcW w:w="506" w:type="pct"/>
            <w:shd w:val="clear" w:color="auto" w:fill="auto"/>
            <w:noWrap/>
            <w:vAlign w:val="center"/>
          </w:tcPr>
          <w:p w14:paraId="1307F6EC">
            <w:pPr>
              <w:pStyle w:val="24"/>
              <w:rPr>
                <w:sz w:val="16"/>
                <w:szCs w:val="16"/>
              </w:rPr>
            </w:pPr>
            <w:r>
              <w:rPr>
                <w:rFonts w:hint="eastAsia"/>
                <w:sz w:val="16"/>
                <w:szCs w:val="16"/>
              </w:rPr>
              <w:t>0.03</w:t>
            </w:r>
          </w:p>
        </w:tc>
        <w:tc>
          <w:tcPr>
            <w:tcW w:w="506" w:type="pct"/>
            <w:shd w:val="clear" w:color="auto" w:fill="auto"/>
            <w:noWrap/>
            <w:vAlign w:val="center"/>
          </w:tcPr>
          <w:p w14:paraId="3686D002">
            <w:pPr>
              <w:pStyle w:val="24"/>
              <w:rPr>
                <w:sz w:val="16"/>
                <w:szCs w:val="16"/>
              </w:rPr>
            </w:pPr>
            <w:r>
              <w:rPr>
                <w:rFonts w:hint="eastAsia"/>
                <w:sz w:val="16"/>
                <w:szCs w:val="16"/>
              </w:rPr>
              <w:t>0</w:t>
            </w:r>
          </w:p>
        </w:tc>
        <w:tc>
          <w:tcPr>
            <w:tcW w:w="509" w:type="pct"/>
            <w:shd w:val="clear" w:color="auto" w:fill="auto"/>
            <w:noWrap/>
            <w:vAlign w:val="center"/>
          </w:tcPr>
          <w:p w14:paraId="5E52ACDE">
            <w:pPr>
              <w:pStyle w:val="24"/>
              <w:rPr>
                <w:sz w:val="16"/>
                <w:szCs w:val="16"/>
              </w:rPr>
            </w:pPr>
            <w:r>
              <w:rPr>
                <w:rFonts w:hint="eastAsia"/>
                <w:sz w:val="16"/>
                <w:szCs w:val="16"/>
              </w:rPr>
              <w:t>0.08</w:t>
            </w:r>
          </w:p>
        </w:tc>
        <w:tc>
          <w:tcPr>
            <w:tcW w:w="512" w:type="pct"/>
            <w:shd w:val="clear" w:color="auto" w:fill="auto"/>
            <w:noWrap/>
            <w:vAlign w:val="center"/>
          </w:tcPr>
          <w:p w14:paraId="57B99ED7">
            <w:pPr>
              <w:pStyle w:val="24"/>
              <w:rPr>
                <w:sz w:val="16"/>
                <w:szCs w:val="16"/>
              </w:rPr>
            </w:pPr>
            <w:r>
              <w:rPr>
                <w:rFonts w:hint="eastAsia"/>
                <w:sz w:val="16"/>
                <w:szCs w:val="16"/>
              </w:rPr>
              <w:t>Beta</w:t>
            </w:r>
          </w:p>
        </w:tc>
        <w:tc>
          <w:tcPr>
            <w:tcW w:w="494" w:type="pct"/>
            <w:shd w:val="clear" w:color="auto" w:fill="auto"/>
            <w:noWrap/>
            <w:vAlign w:val="center"/>
          </w:tcPr>
          <w:p w14:paraId="72E13C90">
            <w:pPr>
              <w:pStyle w:val="24"/>
              <w:rPr>
                <w:sz w:val="16"/>
                <w:szCs w:val="16"/>
              </w:rPr>
            </w:pPr>
            <w:r>
              <w:rPr>
                <w:sz w:val="16"/>
                <w:szCs w:val="16"/>
              </w:rPr>
              <w:fldChar w:fldCharType="begin"/>
            </w:r>
            <w:r>
              <w:rPr>
                <w:sz w:val="16"/>
                <w:szCs w:val="16"/>
              </w:rPr>
              <w:instrText xml:space="preserve"> ADDIN NE.Ref.{C7A75B84-E337-4032-A347-624FA8BA4AEE}</w:instrText>
            </w:r>
            <w:r>
              <w:rPr>
                <w:sz w:val="16"/>
                <w:szCs w:val="16"/>
              </w:rPr>
              <w:fldChar w:fldCharType="separate"/>
            </w:r>
            <w:r>
              <w:rPr>
                <w:rFonts w:eastAsia="宋体" w:cs="Times New Roman"/>
                <w:color w:val="080000"/>
                <w:kern w:val="0"/>
                <w:sz w:val="16"/>
                <w:szCs w:val="16"/>
              </w:rPr>
              <w:t>[21]</w:t>
            </w:r>
            <w:r>
              <w:rPr>
                <w:sz w:val="16"/>
                <w:szCs w:val="16"/>
              </w:rPr>
              <w:fldChar w:fldCharType="end"/>
            </w:r>
          </w:p>
        </w:tc>
      </w:tr>
      <w:tr w14:paraId="7261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3E0CD1E">
            <w:pPr>
              <w:pStyle w:val="24"/>
              <w:rPr>
                <w:sz w:val="16"/>
                <w:szCs w:val="16"/>
              </w:rPr>
            </w:pPr>
            <w:r>
              <w:rPr>
                <w:rFonts w:hint="eastAsia"/>
                <w:sz w:val="16"/>
                <w:szCs w:val="16"/>
              </w:rPr>
              <w:t>Body Surface Area, m2</w:t>
            </w:r>
          </w:p>
        </w:tc>
        <w:tc>
          <w:tcPr>
            <w:tcW w:w="506" w:type="pct"/>
            <w:shd w:val="clear" w:color="auto" w:fill="auto"/>
            <w:noWrap/>
            <w:vAlign w:val="center"/>
          </w:tcPr>
          <w:p w14:paraId="766DFC1C">
            <w:pPr>
              <w:pStyle w:val="24"/>
              <w:rPr>
                <w:sz w:val="16"/>
                <w:szCs w:val="16"/>
              </w:rPr>
            </w:pPr>
            <w:r>
              <w:rPr>
                <w:rFonts w:hint="eastAsia"/>
                <w:sz w:val="16"/>
                <w:szCs w:val="16"/>
              </w:rPr>
              <w:t>1.78</w:t>
            </w:r>
          </w:p>
        </w:tc>
        <w:tc>
          <w:tcPr>
            <w:tcW w:w="506" w:type="pct"/>
            <w:shd w:val="clear" w:color="auto" w:fill="auto"/>
            <w:noWrap/>
            <w:vAlign w:val="center"/>
          </w:tcPr>
          <w:p w14:paraId="1A6056DE">
            <w:pPr>
              <w:pStyle w:val="24"/>
              <w:rPr>
                <w:sz w:val="16"/>
                <w:szCs w:val="16"/>
              </w:rPr>
            </w:pPr>
            <w:r>
              <w:rPr>
                <w:rFonts w:hint="eastAsia"/>
                <w:sz w:val="16"/>
                <w:szCs w:val="16"/>
              </w:rPr>
              <w:t>1.42</w:t>
            </w:r>
          </w:p>
        </w:tc>
        <w:tc>
          <w:tcPr>
            <w:tcW w:w="509" w:type="pct"/>
            <w:shd w:val="clear" w:color="auto" w:fill="auto"/>
            <w:noWrap/>
            <w:vAlign w:val="center"/>
          </w:tcPr>
          <w:p w14:paraId="10F456BD">
            <w:pPr>
              <w:pStyle w:val="24"/>
              <w:rPr>
                <w:sz w:val="16"/>
                <w:szCs w:val="16"/>
              </w:rPr>
            </w:pPr>
            <w:r>
              <w:rPr>
                <w:rFonts w:hint="eastAsia"/>
                <w:sz w:val="16"/>
                <w:szCs w:val="16"/>
              </w:rPr>
              <w:t>2.14</w:t>
            </w:r>
          </w:p>
        </w:tc>
        <w:tc>
          <w:tcPr>
            <w:tcW w:w="512" w:type="pct"/>
            <w:shd w:val="clear" w:color="auto" w:fill="auto"/>
            <w:noWrap/>
            <w:vAlign w:val="center"/>
          </w:tcPr>
          <w:p w14:paraId="32D1EF36">
            <w:pPr>
              <w:pStyle w:val="24"/>
              <w:rPr>
                <w:sz w:val="16"/>
                <w:szCs w:val="16"/>
              </w:rPr>
            </w:pPr>
            <w:r>
              <w:rPr>
                <w:rFonts w:hint="eastAsia"/>
                <w:sz w:val="16"/>
                <w:szCs w:val="16"/>
              </w:rPr>
              <w:t>Normal</w:t>
            </w:r>
          </w:p>
        </w:tc>
        <w:tc>
          <w:tcPr>
            <w:tcW w:w="494" w:type="pct"/>
            <w:shd w:val="clear" w:color="auto" w:fill="auto"/>
            <w:noWrap/>
            <w:vAlign w:val="center"/>
          </w:tcPr>
          <w:p w14:paraId="21E1A9A4">
            <w:pPr>
              <w:pStyle w:val="24"/>
              <w:rPr>
                <w:sz w:val="16"/>
                <w:szCs w:val="16"/>
              </w:rPr>
            </w:pPr>
            <w:r>
              <w:rPr>
                <w:sz w:val="16"/>
                <w:szCs w:val="16"/>
              </w:rPr>
              <w:fldChar w:fldCharType="begin"/>
            </w:r>
            <w:r>
              <w:rPr>
                <w:sz w:val="16"/>
                <w:szCs w:val="16"/>
              </w:rPr>
              <w:instrText xml:space="preserve"> ADDIN NE.Ref.{10284748-31B6-4044-8CF8-877482D373AF}</w:instrText>
            </w:r>
            <w:r>
              <w:rPr>
                <w:sz w:val="16"/>
                <w:szCs w:val="16"/>
              </w:rPr>
              <w:fldChar w:fldCharType="separate"/>
            </w:r>
            <w:r>
              <w:rPr>
                <w:rFonts w:eastAsia="宋体" w:cs="Times New Roman"/>
                <w:color w:val="080000"/>
                <w:kern w:val="0"/>
                <w:sz w:val="16"/>
                <w:szCs w:val="16"/>
              </w:rPr>
              <w:t>[3]</w:t>
            </w:r>
            <w:r>
              <w:rPr>
                <w:sz w:val="16"/>
                <w:szCs w:val="16"/>
              </w:rPr>
              <w:fldChar w:fldCharType="end"/>
            </w:r>
          </w:p>
        </w:tc>
      </w:tr>
      <w:tr w14:paraId="7A888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3A3317D">
            <w:pPr>
              <w:pStyle w:val="24"/>
              <w:rPr>
                <w:sz w:val="16"/>
                <w:szCs w:val="16"/>
              </w:rPr>
            </w:pPr>
            <w:r>
              <w:rPr>
                <w:rFonts w:hint="eastAsia"/>
                <w:sz w:val="16"/>
                <w:szCs w:val="16"/>
              </w:rPr>
              <w:t>Weight, kg</w:t>
            </w:r>
          </w:p>
        </w:tc>
        <w:tc>
          <w:tcPr>
            <w:tcW w:w="506" w:type="pct"/>
            <w:shd w:val="clear" w:color="auto" w:fill="auto"/>
            <w:noWrap/>
            <w:vAlign w:val="center"/>
          </w:tcPr>
          <w:p w14:paraId="4A0BA249">
            <w:pPr>
              <w:pStyle w:val="24"/>
              <w:rPr>
                <w:sz w:val="16"/>
                <w:szCs w:val="16"/>
              </w:rPr>
            </w:pPr>
            <w:r>
              <w:rPr>
                <w:rFonts w:hint="eastAsia"/>
                <w:sz w:val="16"/>
                <w:szCs w:val="16"/>
              </w:rPr>
              <w:t>80</w:t>
            </w:r>
          </w:p>
        </w:tc>
        <w:tc>
          <w:tcPr>
            <w:tcW w:w="506" w:type="pct"/>
            <w:shd w:val="clear" w:color="auto" w:fill="auto"/>
            <w:noWrap/>
            <w:vAlign w:val="center"/>
          </w:tcPr>
          <w:p w14:paraId="01170905">
            <w:pPr>
              <w:pStyle w:val="24"/>
              <w:rPr>
                <w:sz w:val="16"/>
                <w:szCs w:val="16"/>
              </w:rPr>
            </w:pPr>
            <w:r>
              <w:rPr>
                <w:rFonts w:hint="eastAsia"/>
                <w:sz w:val="16"/>
                <w:szCs w:val="16"/>
              </w:rPr>
              <w:t>60</w:t>
            </w:r>
          </w:p>
        </w:tc>
        <w:tc>
          <w:tcPr>
            <w:tcW w:w="509" w:type="pct"/>
            <w:shd w:val="clear" w:color="auto" w:fill="auto"/>
            <w:noWrap/>
            <w:vAlign w:val="center"/>
          </w:tcPr>
          <w:p w14:paraId="733FC2FE">
            <w:pPr>
              <w:pStyle w:val="24"/>
              <w:rPr>
                <w:sz w:val="16"/>
                <w:szCs w:val="16"/>
              </w:rPr>
            </w:pPr>
            <w:r>
              <w:rPr>
                <w:rFonts w:hint="eastAsia"/>
                <w:sz w:val="16"/>
                <w:szCs w:val="16"/>
              </w:rPr>
              <w:t>100</w:t>
            </w:r>
          </w:p>
        </w:tc>
        <w:tc>
          <w:tcPr>
            <w:tcW w:w="512" w:type="pct"/>
            <w:shd w:val="clear" w:color="auto" w:fill="auto"/>
            <w:noWrap/>
            <w:vAlign w:val="center"/>
          </w:tcPr>
          <w:p w14:paraId="268AC069">
            <w:pPr>
              <w:pStyle w:val="24"/>
              <w:rPr>
                <w:sz w:val="16"/>
                <w:szCs w:val="16"/>
              </w:rPr>
            </w:pPr>
            <w:r>
              <w:rPr>
                <w:rFonts w:hint="eastAsia"/>
                <w:sz w:val="16"/>
                <w:szCs w:val="16"/>
              </w:rPr>
              <w:t>Normal</w:t>
            </w:r>
          </w:p>
        </w:tc>
        <w:tc>
          <w:tcPr>
            <w:tcW w:w="494" w:type="pct"/>
            <w:shd w:val="clear" w:color="auto" w:fill="auto"/>
            <w:noWrap/>
            <w:vAlign w:val="center"/>
          </w:tcPr>
          <w:p w14:paraId="58A09113">
            <w:pPr>
              <w:pStyle w:val="24"/>
              <w:rPr>
                <w:sz w:val="16"/>
                <w:szCs w:val="16"/>
              </w:rPr>
            </w:pPr>
            <w:r>
              <w:rPr>
                <w:sz w:val="16"/>
                <w:szCs w:val="16"/>
              </w:rPr>
              <w:fldChar w:fldCharType="begin"/>
            </w:r>
            <w:r>
              <w:rPr>
                <w:sz w:val="16"/>
                <w:szCs w:val="16"/>
              </w:rPr>
              <w:instrText xml:space="preserve"> ADDIN NE.Ref.{39541D9A-ACEC-42B2-9F69-E53D6AA01033}</w:instrText>
            </w:r>
            <w:r>
              <w:rPr>
                <w:sz w:val="16"/>
                <w:szCs w:val="16"/>
              </w:rPr>
              <w:fldChar w:fldCharType="separate"/>
            </w:r>
            <w:r>
              <w:rPr>
                <w:rFonts w:eastAsia="宋体" w:cs="Times New Roman"/>
                <w:color w:val="080000"/>
                <w:kern w:val="0"/>
                <w:sz w:val="16"/>
                <w:szCs w:val="16"/>
              </w:rPr>
              <w:t>[3]</w:t>
            </w:r>
            <w:r>
              <w:rPr>
                <w:sz w:val="16"/>
                <w:szCs w:val="16"/>
              </w:rPr>
              <w:fldChar w:fldCharType="end"/>
            </w:r>
          </w:p>
        </w:tc>
      </w:tr>
      <w:tr w14:paraId="6EA2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583F776">
            <w:pPr>
              <w:pStyle w:val="24"/>
              <w:rPr>
                <w:sz w:val="16"/>
                <w:szCs w:val="16"/>
              </w:rPr>
            </w:pPr>
            <w:r>
              <w:rPr>
                <w:rFonts w:hint="eastAsia"/>
                <w:sz w:val="16"/>
                <w:szCs w:val="16"/>
              </w:rPr>
              <w:t>Utility Parameters</w:t>
            </w:r>
          </w:p>
        </w:tc>
        <w:tc>
          <w:tcPr>
            <w:tcW w:w="506" w:type="pct"/>
            <w:shd w:val="clear" w:color="auto" w:fill="auto"/>
            <w:noWrap/>
            <w:vAlign w:val="center"/>
          </w:tcPr>
          <w:p w14:paraId="0C4D9A30">
            <w:pPr>
              <w:pStyle w:val="24"/>
              <w:rPr>
                <w:sz w:val="16"/>
                <w:szCs w:val="16"/>
              </w:rPr>
            </w:pPr>
          </w:p>
        </w:tc>
        <w:tc>
          <w:tcPr>
            <w:tcW w:w="506" w:type="pct"/>
            <w:shd w:val="clear" w:color="auto" w:fill="auto"/>
            <w:noWrap/>
            <w:vAlign w:val="center"/>
          </w:tcPr>
          <w:p w14:paraId="29368EC4">
            <w:pPr>
              <w:pStyle w:val="24"/>
              <w:rPr>
                <w:sz w:val="16"/>
                <w:szCs w:val="16"/>
              </w:rPr>
            </w:pPr>
          </w:p>
        </w:tc>
        <w:tc>
          <w:tcPr>
            <w:tcW w:w="509" w:type="pct"/>
            <w:shd w:val="clear" w:color="auto" w:fill="auto"/>
            <w:noWrap/>
            <w:vAlign w:val="center"/>
          </w:tcPr>
          <w:p w14:paraId="680EB8BC">
            <w:pPr>
              <w:pStyle w:val="24"/>
              <w:rPr>
                <w:sz w:val="16"/>
                <w:szCs w:val="16"/>
              </w:rPr>
            </w:pPr>
          </w:p>
        </w:tc>
        <w:tc>
          <w:tcPr>
            <w:tcW w:w="512" w:type="pct"/>
            <w:shd w:val="clear" w:color="auto" w:fill="auto"/>
            <w:noWrap/>
            <w:vAlign w:val="center"/>
          </w:tcPr>
          <w:p w14:paraId="77DE2DCE">
            <w:pPr>
              <w:pStyle w:val="24"/>
              <w:rPr>
                <w:sz w:val="16"/>
                <w:szCs w:val="16"/>
              </w:rPr>
            </w:pPr>
          </w:p>
        </w:tc>
        <w:tc>
          <w:tcPr>
            <w:tcW w:w="494" w:type="pct"/>
            <w:shd w:val="clear" w:color="auto" w:fill="auto"/>
            <w:noWrap/>
            <w:vAlign w:val="center"/>
          </w:tcPr>
          <w:p w14:paraId="21BAB69E">
            <w:pPr>
              <w:pStyle w:val="24"/>
              <w:rPr>
                <w:sz w:val="16"/>
                <w:szCs w:val="16"/>
              </w:rPr>
            </w:pPr>
          </w:p>
        </w:tc>
      </w:tr>
      <w:tr w14:paraId="299A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6264B83">
            <w:pPr>
              <w:pStyle w:val="24"/>
              <w:rPr>
                <w:sz w:val="16"/>
                <w:szCs w:val="16"/>
              </w:rPr>
            </w:pPr>
            <w:r>
              <w:rPr>
                <w:rFonts w:hint="eastAsia"/>
                <w:sz w:val="16"/>
                <w:szCs w:val="16"/>
              </w:rPr>
              <w:t>Utility for PFS</w:t>
            </w:r>
          </w:p>
        </w:tc>
        <w:tc>
          <w:tcPr>
            <w:tcW w:w="506" w:type="pct"/>
            <w:shd w:val="clear" w:color="auto" w:fill="auto"/>
            <w:noWrap/>
            <w:vAlign w:val="center"/>
          </w:tcPr>
          <w:p w14:paraId="7E73E5BC">
            <w:pPr>
              <w:pStyle w:val="24"/>
              <w:rPr>
                <w:sz w:val="16"/>
                <w:szCs w:val="16"/>
              </w:rPr>
            </w:pPr>
            <w:r>
              <w:rPr>
                <w:rFonts w:hint="eastAsia"/>
                <w:sz w:val="16"/>
                <w:szCs w:val="16"/>
              </w:rPr>
              <w:t>0.72</w:t>
            </w:r>
          </w:p>
        </w:tc>
        <w:tc>
          <w:tcPr>
            <w:tcW w:w="506" w:type="pct"/>
            <w:shd w:val="clear" w:color="auto" w:fill="auto"/>
            <w:noWrap/>
            <w:vAlign w:val="center"/>
          </w:tcPr>
          <w:p w14:paraId="41A203AB">
            <w:pPr>
              <w:pStyle w:val="24"/>
              <w:rPr>
                <w:sz w:val="16"/>
                <w:szCs w:val="16"/>
              </w:rPr>
            </w:pPr>
            <w:r>
              <w:rPr>
                <w:rFonts w:hint="eastAsia"/>
                <w:sz w:val="16"/>
                <w:szCs w:val="16"/>
              </w:rPr>
              <w:t>0.71</w:t>
            </w:r>
          </w:p>
        </w:tc>
        <w:tc>
          <w:tcPr>
            <w:tcW w:w="509" w:type="pct"/>
            <w:shd w:val="clear" w:color="auto" w:fill="auto"/>
            <w:noWrap/>
            <w:vAlign w:val="center"/>
          </w:tcPr>
          <w:p w14:paraId="6CC23671">
            <w:pPr>
              <w:pStyle w:val="24"/>
              <w:rPr>
                <w:sz w:val="16"/>
                <w:szCs w:val="16"/>
              </w:rPr>
            </w:pPr>
            <w:r>
              <w:rPr>
                <w:rFonts w:hint="eastAsia"/>
                <w:sz w:val="16"/>
                <w:szCs w:val="16"/>
              </w:rPr>
              <w:t>0.73</w:t>
            </w:r>
          </w:p>
        </w:tc>
        <w:tc>
          <w:tcPr>
            <w:tcW w:w="512" w:type="pct"/>
            <w:shd w:val="clear" w:color="auto" w:fill="auto"/>
            <w:noWrap/>
            <w:vAlign w:val="center"/>
          </w:tcPr>
          <w:p w14:paraId="46C05443">
            <w:pPr>
              <w:pStyle w:val="24"/>
              <w:rPr>
                <w:sz w:val="16"/>
                <w:szCs w:val="16"/>
              </w:rPr>
            </w:pPr>
            <w:r>
              <w:rPr>
                <w:rFonts w:hint="eastAsia"/>
                <w:sz w:val="16"/>
                <w:szCs w:val="16"/>
              </w:rPr>
              <w:t>Beta</w:t>
            </w:r>
          </w:p>
        </w:tc>
        <w:tc>
          <w:tcPr>
            <w:tcW w:w="494" w:type="pct"/>
            <w:shd w:val="clear" w:color="auto" w:fill="auto"/>
            <w:noWrap/>
            <w:vAlign w:val="center"/>
          </w:tcPr>
          <w:p w14:paraId="53AEE0D5">
            <w:pPr>
              <w:pStyle w:val="24"/>
              <w:rPr>
                <w:sz w:val="16"/>
                <w:szCs w:val="16"/>
              </w:rPr>
            </w:pPr>
            <w:r>
              <w:rPr>
                <w:sz w:val="16"/>
                <w:szCs w:val="16"/>
              </w:rPr>
              <w:fldChar w:fldCharType="begin"/>
            </w:r>
            <w:r>
              <w:rPr>
                <w:sz w:val="16"/>
                <w:szCs w:val="16"/>
              </w:rPr>
              <w:instrText xml:space="preserve"> ADDIN NE.Ref.{B0F83F5C-3E70-4E4C-8E04-63AABED0B430}</w:instrText>
            </w:r>
            <w:r>
              <w:rPr>
                <w:sz w:val="16"/>
                <w:szCs w:val="16"/>
              </w:rPr>
              <w:fldChar w:fldCharType="separate"/>
            </w:r>
            <w:r>
              <w:rPr>
                <w:rFonts w:eastAsia="宋体" w:cs="Times New Roman"/>
                <w:color w:val="080000"/>
                <w:kern w:val="0"/>
                <w:sz w:val="16"/>
                <w:szCs w:val="16"/>
              </w:rPr>
              <w:t>[4]</w:t>
            </w:r>
            <w:r>
              <w:rPr>
                <w:sz w:val="16"/>
                <w:szCs w:val="16"/>
              </w:rPr>
              <w:fldChar w:fldCharType="end"/>
            </w:r>
          </w:p>
        </w:tc>
      </w:tr>
      <w:tr w14:paraId="4128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8A7F673">
            <w:pPr>
              <w:pStyle w:val="24"/>
              <w:rPr>
                <w:sz w:val="16"/>
                <w:szCs w:val="16"/>
              </w:rPr>
            </w:pPr>
            <w:r>
              <w:rPr>
                <w:rFonts w:hint="eastAsia"/>
                <w:sz w:val="16"/>
                <w:szCs w:val="16"/>
              </w:rPr>
              <w:t>Utility for PD</w:t>
            </w:r>
          </w:p>
        </w:tc>
        <w:tc>
          <w:tcPr>
            <w:tcW w:w="506" w:type="pct"/>
            <w:shd w:val="clear" w:color="auto" w:fill="auto"/>
            <w:noWrap/>
            <w:vAlign w:val="center"/>
          </w:tcPr>
          <w:p w14:paraId="0B83B4CA">
            <w:pPr>
              <w:pStyle w:val="24"/>
              <w:rPr>
                <w:sz w:val="16"/>
                <w:szCs w:val="16"/>
              </w:rPr>
            </w:pPr>
            <w:r>
              <w:rPr>
                <w:rFonts w:hint="eastAsia"/>
                <w:sz w:val="16"/>
                <w:szCs w:val="16"/>
              </w:rPr>
              <w:t>0.59</w:t>
            </w:r>
          </w:p>
        </w:tc>
        <w:tc>
          <w:tcPr>
            <w:tcW w:w="506" w:type="pct"/>
            <w:shd w:val="clear" w:color="auto" w:fill="auto"/>
            <w:noWrap/>
            <w:vAlign w:val="center"/>
          </w:tcPr>
          <w:p w14:paraId="5BAFFC37">
            <w:pPr>
              <w:pStyle w:val="24"/>
              <w:rPr>
                <w:sz w:val="16"/>
                <w:szCs w:val="16"/>
              </w:rPr>
            </w:pPr>
            <w:r>
              <w:rPr>
                <w:rFonts w:hint="eastAsia"/>
                <w:sz w:val="16"/>
                <w:szCs w:val="16"/>
              </w:rPr>
              <w:t>0.56</w:t>
            </w:r>
          </w:p>
        </w:tc>
        <w:tc>
          <w:tcPr>
            <w:tcW w:w="509" w:type="pct"/>
            <w:shd w:val="clear" w:color="auto" w:fill="auto"/>
            <w:noWrap/>
            <w:vAlign w:val="center"/>
          </w:tcPr>
          <w:p w14:paraId="320192D7">
            <w:pPr>
              <w:pStyle w:val="24"/>
              <w:rPr>
                <w:sz w:val="16"/>
                <w:szCs w:val="16"/>
              </w:rPr>
            </w:pPr>
            <w:r>
              <w:rPr>
                <w:rFonts w:hint="eastAsia"/>
                <w:sz w:val="16"/>
                <w:szCs w:val="16"/>
              </w:rPr>
              <w:t>0.62</w:t>
            </w:r>
          </w:p>
        </w:tc>
        <w:tc>
          <w:tcPr>
            <w:tcW w:w="512" w:type="pct"/>
            <w:shd w:val="clear" w:color="auto" w:fill="auto"/>
            <w:noWrap/>
            <w:vAlign w:val="center"/>
          </w:tcPr>
          <w:p w14:paraId="1E8B71F2">
            <w:pPr>
              <w:pStyle w:val="24"/>
              <w:rPr>
                <w:sz w:val="16"/>
                <w:szCs w:val="16"/>
              </w:rPr>
            </w:pPr>
            <w:r>
              <w:rPr>
                <w:rFonts w:hint="eastAsia"/>
                <w:sz w:val="16"/>
                <w:szCs w:val="16"/>
              </w:rPr>
              <w:t>Beta</w:t>
            </w:r>
          </w:p>
        </w:tc>
        <w:tc>
          <w:tcPr>
            <w:tcW w:w="494" w:type="pct"/>
            <w:shd w:val="clear" w:color="auto" w:fill="auto"/>
            <w:noWrap/>
            <w:vAlign w:val="center"/>
          </w:tcPr>
          <w:p w14:paraId="459989C1">
            <w:pPr>
              <w:pStyle w:val="24"/>
              <w:rPr>
                <w:sz w:val="16"/>
                <w:szCs w:val="16"/>
              </w:rPr>
            </w:pPr>
            <w:r>
              <w:rPr>
                <w:sz w:val="16"/>
                <w:szCs w:val="16"/>
              </w:rPr>
              <w:fldChar w:fldCharType="begin"/>
            </w:r>
            <w:r>
              <w:rPr>
                <w:sz w:val="16"/>
                <w:szCs w:val="16"/>
              </w:rPr>
              <w:instrText xml:space="preserve"> ADDIN NE.Ref.{3CDACA20-C78B-43D1-9241-8D87D05D56A8}</w:instrText>
            </w:r>
            <w:r>
              <w:rPr>
                <w:sz w:val="16"/>
                <w:szCs w:val="16"/>
              </w:rPr>
              <w:fldChar w:fldCharType="separate"/>
            </w:r>
            <w:r>
              <w:rPr>
                <w:rFonts w:eastAsia="宋体" w:cs="Times New Roman"/>
                <w:color w:val="080000"/>
                <w:kern w:val="0"/>
                <w:sz w:val="16"/>
                <w:szCs w:val="16"/>
              </w:rPr>
              <w:t>[4]</w:t>
            </w:r>
            <w:r>
              <w:rPr>
                <w:sz w:val="16"/>
                <w:szCs w:val="16"/>
              </w:rPr>
              <w:fldChar w:fldCharType="end"/>
            </w:r>
            <w:r>
              <w:rPr>
                <w:sz w:val="16"/>
                <w:szCs w:val="16"/>
              </w:rPr>
              <w:t xml:space="preserve"> </w:t>
            </w:r>
          </w:p>
        </w:tc>
      </w:tr>
      <w:tr w14:paraId="37D3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16CF402">
            <w:pPr>
              <w:pStyle w:val="24"/>
              <w:rPr>
                <w:sz w:val="16"/>
                <w:szCs w:val="16"/>
              </w:rPr>
            </w:pPr>
            <w:r>
              <w:rPr>
                <w:rFonts w:hint="eastAsia"/>
                <w:sz w:val="16"/>
                <w:szCs w:val="16"/>
              </w:rPr>
              <w:t>Utility for PFS (BSC, Scenario Analysis)</w:t>
            </w:r>
          </w:p>
        </w:tc>
        <w:tc>
          <w:tcPr>
            <w:tcW w:w="506" w:type="pct"/>
            <w:shd w:val="clear" w:color="auto" w:fill="auto"/>
            <w:noWrap/>
            <w:vAlign w:val="center"/>
          </w:tcPr>
          <w:p w14:paraId="43AF2C77">
            <w:pPr>
              <w:pStyle w:val="24"/>
              <w:rPr>
                <w:sz w:val="16"/>
                <w:szCs w:val="16"/>
              </w:rPr>
            </w:pPr>
            <w:r>
              <w:rPr>
                <w:rFonts w:hint="eastAsia"/>
                <w:sz w:val="16"/>
                <w:szCs w:val="16"/>
              </w:rPr>
              <w:t>0.75</w:t>
            </w:r>
          </w:p>
        </w:tc>
        <w:tc>
          <w:tcPr>
            <w:tcW w:w="506" w:type="pct"/>
            <w:shd w:val="clear" w:color="auto" w:fill="auto"/>
            <w:noWrap/>
            <w:vAlign w:val="center"/>
          </w:tcPr>
          <w:p w14:paraId="0F2CB455">
            <w:pPr>
              <w:pStyle w:val="24"/>
              <w:rPr>
                <w:sz w:val="16"/>
                <w:szCs w:val="16"/>
              </w:rPr>
            </w:pPr>
            <w:r>
              <w:rPr>
                <w:rFonts w:hint="eastAsia"/>
                <w:sz w:val="16"/>
                <w:szCs w:val="16"/>
              </w:rPr>
              <w:t>0.68</w:t>
            </w:r>
          </w:p>
        </w:tc>
        <w:tc>
          <w:tcPr>
            <w:tcW w:w="509" w:type="pct"/>
            <w:shd w:val="clear" w:color="auto" w:fill="auto"/>
            <w:noWrap/>
            <w:vAlign w:val="center"/>
          </w:tcPr>
          <w:p w14:paraId="3AAD5849">
            <w:pPr>
              <w:pStyle w:val="24"/>
              <w:rPr>
                <w:sz w:val="16"/>
                <w:szCs w:val="16"/>
              </w:rPr>
            </w:pPr>
            <w:r>
              <w:rPr>
                <w:rFonts w:hint="eastAsia"/>
                <w:sz w:val="16"/>
                <w:szCs w:val="16"/>
              </w:rPr>
              <w:t>0.83</w:t>
            </w:r>
          </w:p>
        </w:tc>
        <w:tc>
          <w:tcPr>
            <w:tcW w:w="512" w:type="pct"/>
            <w:shd w:val="clear" w:color="auto" w:fill="auto"/>
            <w:noWrap/>
            <w:vAlign w:val="center"/>
          </w:tcPr>
          <w:p w14:paraId="5A452A4B">
            <w:pPr>
              <w:pStyle w:val="24"/>
              <w:rPr>
                <w:sz w:val="16"/>
                <w:szCs w:val="16"/>
              </w:rPr>
            </w:pPr>
            <w:r>
              <w:rPr>
                <w:rFonts w:hint="eastAsia"/>
                <w:sz w:val="16"/>
                <w:szCs w:val="16"/>
              </w:rPr>
              <w:t>Beta</w:t>
            </w:r>
          </w:p>
        </w:tc>
        <w:tc>
          <w:tcPr>
            <w:tcW w:w="494" w:type="pct"/>
            <w:shd w:val="clear" w:color="auto" w:fill="auto"/>
            <w:noWrap/>
            <w:vAlign w:val="center"/>
          </w:tcPr>
          <w:p w14:paraId="6EF447B1">
            <w:pPr>
              <w:pStyle w:val="24"/>
              <w:rPr>
                <w:sz w:val="16"/>
                <w:szCs w:val="16"/>
              </w:rPr>
            </w:pPr>
            <w:r>
              <w:rPr>
                <w:sz w:val="16"/>
                <w:szCs w:val="16"/>
              </w:rPr>
              <w:fldChar w:fldCharType="begin"/>
            </w:r>
            <w:r>
              <w:rPr>
                <w:sz w:val="16"/>
                <w:szCs w:val="16"/>
              </w:rPr>
              <w:instrText xml:space="preserve"> ADDIN NE.Ref.{E8218796-A25F-49CB-91C5-DD70651DBA02}</w:instrText>
            </w:r>
            <w:r>
              <w:rPr>
                <w:sz w:val="16"/>
                <w:szCs w:val="16"/>
              </w:rPr>
              <w:fldChar w:fldCharType="separate"/>
            </w:r>
            <w:r>
              <w:rPr>
                <w:rFonts w:eastAsia="宋体" w:cs="Times New Roman"/>
                <w:color w:val="080000"/>
                <w:kern w:val="0"/>
                <w:sz w:val="16"/>
                <w:szCs w:val="16"/>
              </w:rPr>
              <w:t>[4]</w:t>
            </w:r>
            <w:r>
              <w:rPr>
                <w:sz w:val="16"/>
                <w:szCs w:val="16"/>
              </w:rPr>
              <w:fldChar w:fldCharType="end"/>
            </w:r>
          </w:p>
        </w:tc>
      </w:tr>
      <w:tr w14:paraId="0D09D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44A20B8">
            <w:pPr>
              <w:pStyle w:val="24"/>
              <w:rPr>
                <w:sz w:val="16"/>
                <w:szCs w:val="16"/>
              </w:rPr>
            </w:pPr>
            <w:r>
              <w:rPr>
                <w:rFonts w:hint="eastAsia"/>
                <w:sz w:val="16"/>
                <w:szCs w:val="16"/>
              </w:rPr>
              <w:t>Utility for PFS (Active Treatment, Scenario Analysis)</w:t>
            </w:r>
          </w:p>
        </w:tc>
        <w:tc>
          <w:tcPr>
            <w:tcW w:w="506" w:type="pct"/>
            <w:shd w:val="clear" w:color="auto" w:fill="auto"/>
            <w:noWrap/>
            <w:vAlign w:val="center"/>
          </w:tcPr>
          <w:p w14:paraId="345DBDBE">
            <w:pPr>
              <w:pStyle w:val="24"/>
              <w:rPr>
                <w:sz w:val="16"/>
                <w:szCs w:val="16"/>
              </w:rPr>
            </w:pPr>
            <w:r>
              <w:rPr>
                <w:rFonts w:hint="eastAsia"/>
                <w:sz w:val="16"/>
                <w:szCs w:val="16"/>
              </w:rPr>
              <w:t>0.78</w:t>
            </w:r>
          </w:p>
        </w:tc>
        <w:tc>
          <w:tcPr>
            <w:tcW w:w="506" w:type="pct"/>
            <w:shd w:val="clear" w:color="auto" w:fill="auto"/>
            <w:noWrap/>
            <w:vAlign w:val="center"/>
          </w:tcPr>
          <w:p w14:paraId="115B409F">
            <w:pPr>
              <w:pStyle w:val="24"/>
              <w:rPr>
                <w:sz w:val="16"/>
                <w:szCs w:val="16"/>
              </w:rPr>
            </w:pPr>
            <w:r>
              <w:rPr>
                <w:rFonts w:hint="eastAsia"/>
                <w:sz w:val="16"/>
                <w:szCs w:val="16"/>
              </w:rPr>
              <w:t>0.70</w:t>
            </w:r>
          </w:p>
        </w:tc>
        <w:tc>
          <w:tcPr>
            <w:tcW w:w="509" w:type="pct"/>
            <w:shd w:val="clear" w:color="auto" w:fill="auto"/>
            <w:noWrap/>
            <w:vAlign w:val="center"/>
          </w:tcPr>
          <w:p w14:paraId="02958BAA">
            <w:pPr>
              <w:pStyle w:val="24"/>
              <w:rPr>
                <w:sz w:val="16"/>
                <w:szCs w:val="16"/>
              </w:rPr>
            </w:pPr>
            <w:r>
              <w:rPr>
                <w:rFonts w:hint="eastAsia"/>
                <w:sz w:val="16"/>
                <w:szCs w:val="16"/>
              </w:rPr>
              <w:t>0.86</w:t>
            </w:r>
          </w:p>
        </w:tc>
        <w:tc>
          <w:tcPr>
            <w:tcW w:w="512" w:type="pct"/>
            <w:shd w:val="clear" w:color="auto" w:fill="auto"/>
            <w:noWrap/>
            <w:vAlign w:val="center"/>
          </w:tcPr>
          <w:p w14:paraId="6AACB035">
            <w:pPr>
              <w:pStyle w:val="24"/>
              <w:rPr>
                <w:sz w:val="16"/>
                <w:szCs w:val="16"/>
              </w:rPr>
            </w:pPr>
            <w:r>
              <w:rPr>
                <w:rFonts w:hint="eastAsia"/>
                <w:sz w:val="16"/>
                <w:szCs w:val="16"/>
              </w:rPr>
              <w:t>Beta</w:t>
            </w:r>
          </w:p>
        </w:tc>
        <w:tc>
          <w:tcPr>
            <w:tcW w:w="494" w:type="pct"/>
            <w:shd w:val="clear" w:color="auto" w:fill="auto"/>
            <w:noWrap/>
            <w:vAlign w:val="center"/>
          </w:tcPr>
          <w:p w14:paraId="54163610">
            <w:pPr>
              <w:pStyle w:val="24"/>
              <w:rPr>
                <w:sz w:val="16"/>
                <w:szCs w:val="16"/>
              </w:rPr>
            </w:pPr>
            <w:r>
              <w:rPr>
                <w:sz w:val="16"/>
                <w:szCs w:val="16"/>
              </w:rPr>
              <w:fldChar w:fldCharType="begin"/>
            </w:r>
            <w:r>
              <w:rPr>
                <w:sz w:val="16"/>
                <w:szCs w:val="16"/>
              </w:rPr>
              <w:instrText xml:space="preserve"> ADDIN NE.Ref.{6C7847B1-0B2C-4A62-864C-C405E8203FCC}</w:instrText>
            </w:r>
            <w:r>
              <w:rPr>
                <w:sz w:val="16"/>
                <w:szCs w:val="16"/>
              </w:rPr>
              <w:fldChar w:fldCharType="separate"/>
            </w:r>
            <w:r>
              <w:rPr>
                <w:rFonts w:eastAsia="宋体" w:cs="Times New Roman"/>
                <w:color w:val="080000"/>
                <w:kern w:val="0"/>
                <w:sz w:val="16"/>
                <w:szCs w:val="16"/>
              </w:rPr>
              <w:t>[4]</w:t>
            </w:r>
            <w:r>
              <w:rPr>
                <w:sz w:val="16"/>
                <w:szCs w:val="16"/>
              </w:rPr>
              <w:fldChar w:fldCharType="end"/>
            </w:r>
          </w:p>
        </w:tc>
      </w:tr>
      <w:tr w14:paraId="1B326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D06BE3C">
            <w:pPr>
              <w:pStyle w:val="24"/>
              <w:rPr>
                <w:sz w:val="16"/>
                <w:szCs w:val="16"/>
              </w:rPr>
            </w:pPr>
            <w:r>
              <w:rPr>
                <w:rFonts w:hint="eastAsia"/>
                <w:sz w:val="16"/>
                <w:szCs w:val="16"/>
              </w:rPr>
              <w:t>Utility for PD (Scenario Analysis)</w:t>
            </w:r>
          </w:p>
        </w:tc>
        <w:tc>
          <w:tcPr>
            <w:tcW w:w="506" w:type="pct"/>
            <w:shd w:val="clear" w:color="auto" w:fill="auto"/>
            <w:noWrap/>
            <w:vAlign w:val="center"/>
          </w:tcPr>
          <w:p w14:paraId="7F7C9877">
            <w:pPr>
              <w:pStyle w:val="24"/>
              <w:rPr>
                <w:sz w:val="16"/>
                <w:szCs w:val="16"/>
              </w:rPr>
            </w:pPr>
            <w:r>
              <w:rPr>
                <w:rFonts w:hint="eastAsia"/>
                <w:sz w:val="16"/>
                <w:szCs w:val="16"/>
              </w:rPr>
              <w:t>0.69</w:t>
            </w:r>
          </w:p>
        </w:tc>
        <w:tc>
          <w:tcPr>
            <w:tcW w:w="506" w:type="pct"/>
            <w:shd w:val="clear" w:color="auto" w:fill="auto"/>
            <w:noWrap/>
            <w:vAlign w:val="center"/>
          </w:tcPr>
          <w:p w14:paraId="5A0682C3">
            <w:pPr>
              <w:pStyle w:val="24"/>
              <w:rPr>
                <w:sz w:val="16"/>
                <w:szCs w:val="16"/>
              </w:rPr>
            </w:pPr>
            <w:r>
              <w:rPr>
                <w:rFonts w:hint="eastAsia"/>
                <w:sz w:val="16"/>
                <w:szCs w:val="16"/>
              </w:rPr>
              <w:t>0.62</w:t>
            </w:r>
          </w:p>
        </w:tc>
        <w:tc>
          <w:tcPr>
            <w:tcW w:w="509" w:type="pct"/>
            <w:shd w:val="clear" w:color="auto" w:fill="auto"/>
            <w:noWrap/>
            <w:vAlign w:val="center"/>
          </w:tcPr>
          <w:p w14:paraId="487DB30F">
            <w:pPr>
              <w:pStyle w:val="24"/>
              <w:rPr>
                <w:sz w:val="16"/>
                <w:szCs w:val="16"/>
              </w:rPr>
            </w:pPr>
            <w:r>
              <w:rPr>
                <w:rFonts w:hint="eastAsia"/>
                <w:sz w:val="16"/>
                <w:szCs w:val="16"/>
              </w:rPr>
              <w:t>0.76</w:t>
            </w:r>
          </w:p>
        </w:tc>
        <w:tc>
          <w:tcPr>
            <w:tcW w:w="512" w:type="pct"/>
            <w:shd w:val="clear" w:color="auto" w:fill="auto"/>
            <w:noWrap/>
            <w:vAlign w:val="center"/>
          </w:tcPr>
          <w:p w14:paraId="2D6F2495">
            <w:pPr>
              <w:pStyle w:val="24"/>
              <w:rPr>
                <w:sz w:val="16"/>
                <w:szCs w:val="16"/>
              </w:rPr>
            </w:pPr>
            <w:r>
              <w:rPr>
                <w:rFonts w:hint="eastAsia"/>
                <w:sz w:val="16"/>
                <w:szCs w:val="16"/>
              </w:rPr>
              <w:t>Beta</w:t>
            </w:r>
          </w:p>
        </w:tc>
        <w:tc>
          <w:tcPr>
            <w:tcW w:w="494" w:type="pct"/>
            <w:shd w:val="clear" w:color="auto" w:fill="auto"/>
            <w:noWrap/>
            <w:vAlign w:val="center"/>
          </w:tcPr>
          <w:p w14:paraId="6117BE35">
            <w:pPr>
              <w:pStyle w:val="24"/>
              <w:rPr>
                <w:sz w:val="16"/>
                <w:szCs w:val="16"/>
              </w:rPr>
            </w:pPr>
            <w:r>
              <w:rPr>
                <w:sz w:val="16"/>
                <w:szCs w:val="16"/>
              </w:rPr>
              <w:fldChar w:fldCharType="begin"/>
            </w:r>
            <w:r>
              <w:rPr>
                <w:sz w:val="16"/>
                <w:szCs w:val="16"/>
              </w:rPr>
              <w:instrText xml:space="preserve"> ADDIN NE.Ref.{1044FC17-7F38-4256-A981-919E625477DD}</w:instrText>
            </w:r>
            <w:r>
              <w:rPr>
                <w:sz w:val="16"/>
                <w:szCs w:val="16"/>
              </w:rPr>
              <w:fldChar w:fldCharType="separate"/>
            </w:r>
            <w:r>
              <w:rPr>
                <w:rFonts w:eastAsia="宋体" w:cs="Times New Roman"/>
                <w:color w:val="080000"/>
                <w:kern w:val="0"/>
                <w:sz w:val="16"/>
                <w:szCs w:val="16"/>
              </w:rPr>
              <w:t>[4]</w:t>
            </w:r>
            <w:r>
              <w:rPr>
                <w:sz w:val="16"/>
                <w:szCs w:val="16"/>
              </w:rPr>
              <w:fldChar w:fldCharType="end"/>
            </w:r>
          </w:p>
        </w:tc>
      </w:tr>
      <w:tr w14:paraId="24386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1138F84">
            <w:pPr>
              <w:pStyle w:val="24"/>
              <w:rPr>
                <w:sz w:val="16"/>
                <w:szCs w:val="16"/>
              </w:rPr>
            </w:pPr>
            <w:r>
              <w:rPr>
                <w:rFonts w:hint="eastAsia"/>
                <w:sz w:val="16"/>
                <w:szCs w:val="16"/>
              </w:rPr>
              <w:t>Disutility for Abdominal pain</w:t>
            </w:r>
          </w:p>
        </w:tc>
        <w:tc>
          <w:tcPr>
            <w:tcW w:w="506" w:type="pct"/>
            <w:shd w:val="clear" w:color="auto" w:fill="auto"/>
            <w:noWrap/>
            <w:vAlign w:val="center"/>
          </w:tcPr>
          <w:p w14:paraId="6A331B96">
            <w:pPr>
              <w:pStyle w:val="24"/>
              <w:rPr>
                <w:sz w:val="16"/>
                <w:szCs w:val="16"/>
              </w:rPr>
            </w:pPr>
            <w:r>
              <w:rPr>
                <w:rFonts w:hint="eastAsia"/>
                <w:sz w:val="16"/>
                <w:szCs w:val="16"/>
              </w:rPr>
              <w:t>0.103</w:t>
            </w:r>
          </w:p>
        </w:tc>
        <w:tc>
          <w:tcPr>
            <w:tcW w:w="506" w:type="pct"/>
            <w:shd w:val="clear" w:color="auto" w:fill="auto"/>
            <w:noWrap/>
            <w:vAlign w:val="center"/>
          </w:tcPr>
          <w:p w14:paraId="5D235303">
            <w:pPr>
              <w:pStyle w:val="24"/>
              <w:rPr>
                <w:sz w:val="16"/>
                <w:szCs w:val="16"/>
              </w:rPr>
            </w:pPr>
            <w:r>
              <w:rPr>
                <w:rFonts w:hint="eastAsia"/>
                <w:sz w:val="16"/>
                <w:szCs w:val="16"/>
              </w:rPr>
              <w:t>0.08</w:t>
            </w:r>
          </w:p>
        </w:tc>
        <w:tc>
          <w:tcPr>
            <w:tcW w:w="509" w:type="pct"/>
            <w:shd w:val="clear" w:color="auto" w:fill="auto"/>
            <w:noWrap/>
            <w:vAlign w:val="center"/>
          </w:tcPr>
          <w:p w14:paraId="381C7C99">
            <w:pPr>
              <w:pStyle w:val="24"/>
              <w:rPr>
                <w:sz w:val="16"/>
                <w:szCs w:val="16"/>
              </w:rPr>
            </w:pPr>
            <w:r>
              <w:rPr>
                <w:rFonts w:hint="eastAsia"/>
                <w:sz w:val="16"/>
                <w:szCs w:val="16"/>
              </w:rPr>
              <w:t>0.12</w:t>
            </w:r>
          </w:p>
        </w:tc>
        <w:tc>
          <w:tcPr>
            <w:tcW w:w="512" w:type="pct"/>
            <w:shd w:val="clear" w:color="auto" w:fill="auto"/>
            <w:noWrap/>
            <w:vAlign w:val="center"/>
          </w:tcPr>
          <w:p w14:paraId="4B5F391E">
            <w:pPr>
              <w:pStyle w:val="24"/>
              <w:rPr>
                <w:sz w:val="16"/>
                <w:szCs w:val="16"/>
              </w:rPr>
            </w:pPr>
            <w:r>
              <w:rPr>
                <w:rFonts w:hint="eastAsia"/>
                <w:sz w:val="16"/>
                <w:szCs w:val="16"/>
              </w:rPr>
              <w:t>Beta</w:t>
            </w:r>
          </w:p>
        </w:tc>
        <w:tc>
          <w:tcPr>
            <w:tcW w:w="494" w:type="pct"/>
            <w:shd w:val="clear" w:color="auto" w:fill="auto"/>
            <w:noWrap/>
            <w:vAlign w:val="center"/>
          </w:tcPr>
          <w:p w14:paraId="018EA7CB">
            <w:pPr>
              <w:pStyle w:val="24"/>
              <w:rPr>
                <w:sz w:val="16"/>
                <w:szCs w:val="16"/>
              </w:rPr>
            </w:pPr>
            <w:r>
              <w:rPr>
                <w:sz w:val="16"/>
                <w:szCs w:val="16"/>
              </w:rPr>
              <w:fldChar w:fldCharType="begin"/>
            </w:r>
            <w:r>
              <w:rPr>
                <w:sz w:val="16"/>
                <w:szCs w:val="16"/>
              </w:rPr>
              <w:instrText xml:space="preserve"> ADDIN NE.Ref.{DC228AC9-DFFE-4A56-A40D-BB0B8D1496DA}</w:instrText>
            </w:r>
            <w:r>
              <w:rPr>
                <w:sz w:val="16"/>
                <w:szCs w:val="16"/>
              </w:rPr>
              <w:fldChar w:fldCharType="separate"/>
            </w:r>
            <w:r>
              <w:rPr>
                <w:rFonts w:eastAsia="宋体" w:cs="Times New Roman"/>
                <w:color w:val="080000"/>
                <w:kern w:val="0"/>
                <w:sz w:val="16"/>
                <w:szCs w:val="16"/>
              </w:rPr>
              <w:t>[4, 22]</w:t>
            </w:r>
            <w:r>
              <w:rPr>
                <w:sz w:val="16"/>
                <w:szCs w:val="16"/>
              </w:rPr>
              <w:fldChar w:fldCharType="end"/>
            </w:r>
          </w:p>
        </w:tc>
      </w:tr>
      <w:tr w14:paraId="3DE43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A62EE99">
            <w:pPr>
              <w:pStyle w:val="24"/>
              <w:rPr>
                <w:sz w:val="16"/>
                <w:szCs w:val="16"/>
              </w:rPr>
            </w:pPr>
            <w:r>
              <w:rPr>
                <w:rFonts w:hint="eastAsia"/>
                <w:sz w:val="16"/>
                <w:szCs w:val="16"/>
              </w:rPr>
              <w:t>Disutility for Alanine aminotransferase concentration increased</w:t>
            </w:r>
          </w:p>
        </w:tc>
        <w:tc>
          <w:tcPr>
            <w:tcW w:w="506" w:type="pct"/>
            <w:shd w:val="clear" w:color="auto" w:fill="auto"/>
            <w:noWrap/>
            <w:vAlign w:val="center"/>
          </w:tcPr>
          <w:p w14:paraId="54D0884D">
            <w:pPr>
              <w:pStyle w:val="24"/>
              <w:rPr>
                <w:sz w:val="16"/>
                <w:szCs w:val="16"/>
              </w:rPr>
            </w:pPr>
            <w:r>
              <w:rPr>
                <w:rFonts w:hint="eastAsia"/>
                <w:sz w:val="16"/>
                <w:szCs w:val="16"/>
              </w:rPr>
              <w:t>0.09</w:t>
            </w:r>
          </w:p>
        </w:tc>
        <w:tc>
          <w:tcPr>
            <w:tcW w:w="506" w:type="pct"/>
            <w:shd w:val="clear" w:color="auto" w:fill="auto"/>
            <w:noWrap/>
            <w:vAlign w:val="center"/>
          </w:tcPr>
          <w:p w14:paraId="58927429">
            <w:pPr>
              <w:pStyle w:val="24"/>
              <w:rPr>
                <w:sz w:val="16"/>
                <w:szCs w:val="16"/>
              </w:rPr>
            </w:pPr>
            <w:r>
              <w:rPr>
                <w:rFonts w:hint="eastAsia"/>
                <w:sz w:val="16"/>
                <w:szCs w:val="16"/>
              </w:rPr>
              <w:t>0.07</w:t>
            </w:r>
          </w:p>
        </w:tc>
        <w:tc>
          <w:tcPr>
            <w:tcW w:w="509" w:type="pct"/>
            <w:shd w:val="clear" w:color="auto" w:fill="auto"/>
            <w:noWrap/>
            <w:vAlign w:val="center"/>
          </w:tcPr>
          <w:p w14:paraId="35DCF407">
            <w:pPr>
              <w:pStyle w:val="24"/>
              <w:rPr>
                <w:sz w:val="16"/>
                <w:szCs w:val="16"/>
              </w:rPr>
            </w:pPr>
            <w:r>
              <w:rPr>
                <w:rFonts w:hint="eastAsia"/>
                <w:sz w:val="16"/>
                <w:szCs w:val="16"/>
              </w:rPr>
              <w:t>0.11</w:t>
            </w:r>
          </w:p>
        </w:tc>
        <w:tc>
          <w:tcPr>
            <w:tcW w:w="512" w:type="pct"/>
            <w:shd w:val="clear" w:color="auto" w:fill="auto"/>
            <w:noWrap/>
            <w:vAlign w:val="center"/>
          </w:tcPr>
          <w:p w14:paraId="790F8268">
            <w:pPr>
              <w:pStyle w:val="24"/>
              <w:rPr>
                <w:sz w:val="16"/>
                <w:szCs w:val="16"/>
              </w:rPr>
            </w:pPr>
            <w:r>
              <w:rPr>
                <w:rFonts w:hint="eastAsia"/>
                <w:sz w:val="16"/>
                <w:szCs w:val="16"/>
              </w:rPr>
              <w:t>Beta</w:t>
            </w:r>
          </w:p>
        </w:tc>
        <w:tc>
          <w:tcPr>
            <w:tcW w:w="494" w:type="pct"/>
            <w:shd w:val="clear" w:color="auto" w:fill="auto"/>
            <w:noWrap/>
            <w:vAlign w:val="center"/>
          </w:tcPr>
          <w:p w14:paraId="4B43BF71">
            <w:pPr>
              <w:pStyle w:val="24"/>
              <w:rPr>
                <w:sz w:val="16"/>
                <w:szCs w:val="16"/>
              </w:rPr>
            </w:pPr>
            <w:r>
              <w:rPr>
                <w:sz w:val="16"/>
                <w:szCs w:val="16"/>
              </w:rPr>
              <w:fldChar w:fldCharType="begin"/>
            </w:r>
            <w:r>
              <w:rPr>
                <w:sz w:val="16"/>
                <w:szCs w:val="16"/>
              </w:rPr>
              <w:instrText xml:space="preserve"> ADDIN NE.Ref.{9A0AD66F-78DE-4578-B52C-6C1288FC1CCB}</w:instrText>
            </w:r>
            <w:r>
              <w:rPr>
                <w:sz w:val="16"/>
                <w:szCs w:val="16"/>
              </w:rPr>
              <w:fldChar w:fldCharType="separate"/>
            </w:r>
            <w:r>
              <w:rPr>
                <w:rFonts w:eastAsia="宋体" w:cs="Times New Roman"/>
                <w:color w:val="080000"/>
                <w:kern w:val="0"/>
                <w:sz w:val="16"/>
                <w:szCs w:val="16"/>
              </w:rPr>
              <w:t>[4, 23]</w:t>
            </w:r>
            <w:r>
              <w:rPr>
                <w:sz w:val="16"/>
                <w:szCs w:val="16"/>
              </w:rPr>
              <w:fldChar w:fldCharType="end"/>
            </w:r>
          </w:p>
        </w:tc>
      </w:tr>
      <w:tr w14:paraId="4915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4EA04BC">
            <w:pPr>
              <w:pStyle w:val="24"/>
              <w:rPr>
                <w:sz w:val="16"/>
                <w:szCs w:val="16"/>
              </w:rPr>
            </w:pPr>
            <w:r>
              <w:rPr>
                <w:rFonts w:hint="eastAsia"/>
                <w:sz w:val="16"/>
                <w:szCs w:val="16"/>
              </w:rPr>
              <w:t>Disutility for Anemia</w:t>
            </w:r>
          </w:p>
        </w:tc>
        <w:tc>
          <w:tcPr>
            <w:tcW w:w="506" w:type="pct"/>
            <w:shd w:val="clear" w:color="auto" w:fill="auto"/>
            <w:noWrap/>
            <w:vAlign w:val="center"/>
          </w:tcPr>
          <w:p w14:paraId="0D690FF1">
            <w:pPr>
              <w:pStyle w:val="24"/>
              <w:rPr>
                <w:sz w:val="16"/>
                <w:szCs w:val="16"/>
              </w:rPr>
            </w:pPr>
            <w:r>
              <w:rPr>
                <w:rFonts w:hint="eastAsia"/>
                <w:sz w:val="16"/>
                <w:szCs w:val="16"/>
              </w:rPr>
              <w:t>0.13</w:t>
            </w:r>
          </w:p>
        </w:tc>
        <w:tc>
          <w:tcPr>
            <w:tcW w:w="506" w:type="pct"/>
            <w:shd w:val="clear" w:color="auto" w:fill="auto"/>
            <w:noWrap/>
            <w:vAlign w:val="center"/>
          </w:tcPr>
          <w:p w14:paraId="06038E4D">
            <w:pPr>
              <w:pStyle w:val="24"/>
              <w:rPr>
                <w:sz w:val="16"/>
                <w:szCs w:val="16"/>
              </w:rPr>
            </w:pPr>
            <w:r>
              <w:rPr>
                <w:rFonts w:hint="eastAsia"/>
                <w:sz w:val="16"/>
                <w:szCs w:val="16"/>
              </w:rPr>
              <w:t>0.10</w:t>
            </w:r>
          </w:p>
        </w:tc>
        <w:tc>
          <w:tcPr>
            <w:tcW w:w="509" w:type="pct"/>
            <w:shd w:val="clear" w:color="auto" w:fill="auto"/>
            <w:noWrap/>
            <w:vAlign w:val="center"/>
          </w:tcPr>
          <w:p w14:paraId="18FBCA1F">
            <w:pPr>
              <w:pStyle w:val="24"/>
              <w:rPr>
                <w:sz w:val="16"/>
                <w:szCs w:val="16"/>
              </w:rPr>
            </w:pPr>
            <w:r>
              <w:rPr>
                <w:rFonts w:hint="eastAsia"/>
                <w:sz w:val="16"/>
                <w:szCs w:val="16"/>
              </w:rPr>
              <w:t>0.16</w:t>
            </w:r>
          </w:p>
        </w:tc>
        <w:tc>
          <w:tcPr>
            <w:tcW w:w="512" w:type="pct"/>
            <w:shd w:val="clear" w:color="auto" w:fill="auto"/>
            <w:noWrap/>
            <w:vAlign w:val="center"/>
          </w:tcPr>
          <w:p w14:paraId="20DC775C">
            <w:pPr>
              <w:pStyle w:val="24"/>
              <w:rPr>
                <w:sz w:val="16"/>
                <w:szCs w:val="16"/>
              </w:rPr>
            </w:pPr>
            <w:r>
              <w:rPr>
                <w:rFonts w:hint="eastAsia"/>
                <w:sz w:val="16"/>
                <w:szCs w:val="16"/>
              </w:rPr>
              <w:t>Beta</w:t>
            </w:r>
          </w:p>
        </w:tc>
        <w:tc>
          <w:tcPr>
            <w:tcW w:w="494" w:type="pct"/>
            <w:shd w:val="clear" w:color="auto" w:fill="auto"/>
            <w:noWrap/>
            <w:vAlign w:val="center"/>
          </w:tcPr>
          <w:p w14:paraId="5E65FB87">
            <w:pPr>
              <w:pStyle w:val="24"/>
              <w:rPr>
                <w:sz w:val="16"/>
                <w:szCs w:val="16"/>
              </w:rPr>
            </w:pPr>
            <w:r>
              <w:rPr>
                <w:sz w:val="16"/>
                <w:szCs w:val="16"/>
              </w:rPr>
              <w:fldChar w:fldCharType="begin"/>
            </w:r>
            <w:r>
              <w:rPr>
                <w:sz w:val="16"/>
                <w:szCs w:val="16"/>
              </w:rPr>
              <w:instrText xml:space="preserve"> ADDIN NE.Ref.{2F7BDD98-DA9C-4C86-AA8B-0E5BAF471B08}</w:instrText>
            </w:r>
            <w:r>
              <w:rPr>
                <w:sz w:val="16"/>
                <w:szCs w:val="16"/>
              </w:rPr>
              <w:fldChar w:fldCharType="separate"/>
            </w:r>
            <w:r>
              <w:rPr>
                <w:rFonts w:eastAsia="宋体" w:cs="Times New Roman"/>
                <w:color w:val="080000"/>
                <w:kern w:val="0"/>
                <w:sz w:val="16"/>
                <w:szCs w:val="16"/>
              </w:rPr>
              <w:t>[9]</w:t>
            </w:r>
            <w:r>
              <w:rPr>
                <w:sz w:val="16"/>
                <w:szCs w:val="16"/>
              </w:rPr>
              <w:fldChar w:fldCharType="end"/>
            </w:r>
          </w:p>
        </w:tc>
      </w:tr>
      <w:tr w14:paraId="1162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3356F31">
            <w:pPr>
              <w:pStyle w:val="24"/>
              <w:rPr>
                <w:sz w:val="16"/>
                <w:szCs w:val="16"/>
              </w:rPr>
            </w:pPr>
            <w:r>
              <w:rPr>
                <w:rFonts w:hint="eastAsia"/>
                <w:sz w:val="16"/>
                <w:szCs w:val="16"/>
              </w:rPr>
              <w:t>Disutility for Anorexia</w:t>
            </w:r>
          </w:p>
        </w:tc>
        <w:tc>
          <w:tcPr>
            <w:tcW w:w="506" w:type="pct"/>
            <w:shd w:val="clear" w:color="auto" w:fill="auto"/>
            <w:noWrap/>
            <w:vAlign w:val="center"/>
          </w:tcPr>
          <w:p w14:paraId="09DA7A65">
            <w:pPr>
              <w:pStyle w:val="24"/>
              <w:rPr>
                <w:sz w:val="16"/>
                <w:szCs w:val="16"/>
              </w:rPr>
            </w:pPr>
            <w:r>
              <w:rPr>
                <w:rFonts w:hint="eastAsia"/>
                <w:sz w:val="16"/>
                <w:szCs w:val="16"/>
              </w:rPr>
              <w:t>0.17</w:t>
            </w:r>
          </w:p>
        </w:tc>
        <w:tc>
          <w:tcPr>
            <w:tcW w:w="506" w:type="pct"/>
            <w:shd w:val="clear" w:color="auto" w:fill="auto"/>
            <w:noWrap/>
            <w:vAlign w:val="center"/>
          </w:tcPr>
          <w:p w14:paraId="60FAF3BF">
            <w:pPr>
              <w:pStyle w:val="24"/>
              <w:rPr>
                <w:sz w:val="16"/>
                <w:szCs w:val="16"/>
              </w:rPr>
            </w:pPr>
            <w:r>
              <w:rPr>
                <w:rFonts w:hint="eastAsia"/>
                <w:sz w:val="16"/>
                <w:szCs w:val="16"/>
              </w:rPr>
              <w:t>0.14</w:t>
            </w:r>
          </w:p>
        </w:tc>
        <w:tc>
          <w:tcPr>
            <w:tcW w:w="509" w:type="pct"/>
            <w:shd w:val="clear" w:color="auto" w:fill="auto"/>
            <w:noWrap/>
            <w:vAlign w:val="center"/>
          </w:tcPr>
          <w:p w14:paraId="1727E625">
            <w:pPr>
              <w:pStyle w:val="24"/>
              <w:rPr>
                <w:sz w:val="16"/>
                <w:szCs w:val="16"/>
              </w:rPr>
            </w:pPr>
            <w:r>
              <w:rPr>
                <w:rFonts w:hint="eastAsia"/>
                <w:sz w:val="16"/>
                <w:szCs w:val="16"/>
              </w:rPr>
              <w:t>0.20</w:t>
            </w:r>
          </w:p>
        </w:tc>
        <w:tc>
          <w:tcPr>
            <w:tcW w:w="512" w:type="pct"/>
            <w:shd w:val="clear" w:color="auto" w:fill="auto"/>
            <w:noWrap/>
            <w:vAlign w:val="center"/>
          </w:tcPr>
          <w:p w14:paraId="70067267">
            <w:pPr>
              <w:pStyle w:val="24"/>
              <w:rPr>
                <w:sz w:val="16"/>
                <w:szCs w:val="16"/>
              </w:rPr>
            </w:pPr>
            <w:r>
              <w:rPr>
                <w:rFonts w:hint="eastAsia"/>
                <w:sz w:val="16"/>
                <w:szCs w:val="16"/>
              </w:rPr>
              <w:t>Beta</w:t>
            </w:r>
          </w:p>
        </w:tc>
        <w:tc>
          <w:tcPr>
            <w:tcW w:w="494" w:type="pct"/>
            <w:shd w:val="clear" w:color="auto" w:fill="auto"/>
            <w:noWrap/>
            <w:vAlign w:val="center"/>
          </w:tcPr>
          <w:p w14:paraId="6192A0D1">
            <w:pPr>
              <w:pStyle w:val="24"/>
              <w:rPr>
                <w:sz w:val="16"/>
                <w:szCs w:val="16"/>
              </w:rPr>
            </w:pPr>
            <w:r>
              <w:rPr>
                <w:sz w:val="16"/>
                <w:szCs w:val="16"/>
              </w:rPr>
              <w:fldChar w:fldCharType="begin"/>
            </w:r>
            <w:r>
              <w:rPr>
                <w:sz w:val="16"/>
                <w:szCs w:val="16"/>
              </w:rPr>
              <w:instrText xml:space="preserve"> ADDIN NE.Ref.{C42665D7-C868-488F-B1A1-148F4BD0F80F}</w:instrText>
            </w:r>
            <w:r>
              <w:rPr>
                <w:sz w:val="16"/>
                <w:szCs w:val="16"/>
              </w:rPr>
              <w:fldChar w:fldCharType="separate"/>
            </w:r>
            <w:r>
              <w:rPr>
                <w:rFonts w:eastAsia="宋体" w:cs="Times New Roman"/>
                <w:color w:val="080000"/>
                <w:kern w:val="0"/>
                <w:sz w:val="16"/>
                <w:szCs w:val="16"/>
              </w:rPr>
              <w:t>[9]</w:t>
            </w:r>
            <w:r>
              <w:rPr>
                <w:sz w:val="16"/>
                <w:szCs w:val="16"/>
              </w:rPr>
              <w:fldChar w:fldCharType="end"/>
            </w:r>
          </w:p>
        </w:tc>
      </w:tr>
      <w:tr w14:paraId="1C187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A3A1DBC">
            <w:pPr>
              <w:pStyle w:val="24"/>
              <w:rPr>
                <w:sz w:val="16"/>
                <w:szCs w:val="16"/>
              </w:rPr>
            </w:pPr>
            <w:r>
              <w:rPr>
                <w:rFonts w:hint="eastAsia"/>
                <w:sz w:val="16"/>
                <w:szCs w:val="16"/>
              </w:rPr>
              <w:t>Disutility for Aspartate aminotransferase increased</w:t>
            </w:r>
          </w:p>
        </w:tc>
        <w:tc>
          <w:tcPr>
            <w:tcW w:w="506" w:type="pct"/>
            <w:shd w:val="clear" w:color="auto" w:fill="auto"/>
            <w:noWrap/>
            <w:vAlign w:val="center"/>
          </w:tcPr>
          <w:p w14:paraId="27A9DBB7">
            <w:pPr>
              <w:pStyle w:val="24"/>
              <w:rPr>
                <w:sz w:val="16"/>
                <w:szCs w:val="16"/>
              </w:rPr>
            </w:pPr>
            <w:r>
              <w:rPr>
                <w:rFonts w:hint="eastAsia"/>
                <w:sz w:val="16"/>
                <w:szCs w:val="16"/>
              </w:rPr>
              <w:t>0.09</w:t>
            </w:r>
          </w:p>
        </w:tc>
        <w:tc>
          <w:tcPr>
            <w:tcW w:w="506" w:type="pct"/>
            <w:shd w:val="clear" w:color="auto" w:fill="auto"/>
            <w:noWrap/>
            <w:vAlign w:val="center"/>
          </w:tcPr>
          <w:p w14:paraId="1529BE6A">
            <w:pPr>
              <w:pStyle w:val="24"/>
              <w:rPr>
                <w:sz w:val="16"/>
                <w:szCs w:val="16"/>
              </w:rPr>
            </w:pPr>
            <w:r>
              <w:rPr>
                <w:rFonts w:hint="eastAsia"/>
                <w:sz w:val="16"/>
                <w:szCs w:val="16"/>
              </w:rPr>
              <w:t>0.07</w:t>
            </w:r>
          </w:p>
        </w:tc>
        <w:tc>
          <w:tcPr>
            <w:tcW w:w="509" w:type="pct"/>
            <w:shd w:val="clear" w:color="auto" w:fill="auto"/>
            <w:noWrap/>
            <w:vAlign w:val="center"/>
          </w:tcPr>
          <w:p w14:paraId="3411149B">
            <w:pPr>
              <w:pStyle w:val="24"/>
              <w:rPr>
                <w:sz w:val="16"/>
                <w:szCs w:val="16"/>
              </w:rPr>
            </w:pPr>
            <w:r>
              <w:rPr>
                <w:rFonts w:hint="eastAsia"/>
                <w:sz w:val="16"/>
                <w:szCs w:val="16"/>
              </w:rPr>
              <w:t>0.11</w:t>
            </w:r>
          </w:p>
        </w:tc>
        <w:tc>
          <w:tcPr>
            <w:tcW w:w="512" w:type="pct"/>
            <w:shd w:val="clear" w:color="auto" w:fill="auto"/>
            <w:noWrap/>
            <w:vAlign w:val="center"/>
          </w:tcPr>
          <w:p w14:paraId="6A17838B">
            <w:pPr>
              <w:pStyle w:val="24"/>
              <w:rPr>
                <w:sz w:val="16"/>
                <w:szCs w:val="16"/>
              </w:rPr>
            </w:pPr>
            <w:r>
              <w:rPr>
                <w:rFonts w:hint="eastAsia"/>
                <w:sz w:val="16"/>
                <w:szCs w:val="16"/>
              </w:rPr>
              <w:t>Beta</w:t>
            </w:r>
          </w:p>
        </w:tc>
        <w:tc>
          <w:tcPr>
            <w:tcW w:w="494" w:type="pct"/>
            <w:shd w:val="clear" w:color="auto" w:fill="auto"/>
            <w:noWrap/>
            <w:vAlign w:val="center"/>
          </w:tcPr>
          <w:p w14:paraId="0728D9AC">
            <w:pPr>
              <w:pStyle w:val="24"/>
              <w:rPr>
                <w:sz w:val="16"/>
                <w:szCs w:val="16"/>
              </w:rPr>
            </w:pPr>
            <w:r>
              <w:rPr>
                <w:sz w:val="16"/>
                <w:szCs w:val="16"/>
              </w:rPr>
              <w:fldChar w:fldCharType="begin"/>
            </w:r>
            <w:r>
              <w:rPr>
                <w:sz w:val="16"/>
                <w:szCs w:val="16"/>
              </w:rPr>
              <w:instrText xml:space="preserve"> ADDIN NE.Ref.{DBB8DE67-F952-4F00-83C4-FEEECCE80559}</w:instrText>
            </w:r>
            <w:r>
              <w:rPr>
                <w:sz w:val="16"/>
                <w:szCs w:val="16"/>
              </w:rPr>
              <w:fldChar w:fldCharType="separate"/>
            </w:r>
            <w:r>
              <w:rPr>
                <w:rFonts w:eastAsia="宋体" w:cs="Times New Roman"/>
                <w:color w:val="080000"/>
                <w:kern w:val="0"/>
                <w:sz w:val="16"/>
                <w:szCs w:val="16"/>
              </w:rPr>
              <w:t>[4, 23]</w:t>
            </w:r>
            <w:r>
              <w:rPr>
                <w:sz w:val="16"/>
                <w:szCs w:val="16"/>
              </w:rPr>
              <w:fldChar w:fldCharType="end"/>
            </w:r>
          </w:p>
        </w:tc>
      </w:tr>
      <w:tr w14:paraId="71D6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6CC0907">
            <w:pPr>
              <w:pStyle w:val="24"/>
              <w:rPr>
                <w:sz w:val="16"/>
                <w:szCs w:val="16"/>
              </w:rPr>
            </w:pPr>
            <w:r>
              <w:rPr>
                <w:rFonts w:hint="eastAsia"/>
                <w:sz w:val="16"/>
                <w:szCs w:val="16"/>
              </w:rPr>
              <w:t>Disutility for Asthenia</w:t>
            </w:r>
          </w:p>
        </w:tc>
        <w:tc>
          <w:tcPr>
            <w:tcW w:w="506" w:type="pct"/>
            <w:shd w:val="clear" w:color="auto" w:fill="auto"/>
            <w:noWrap/>
            <w:vAlign w:val="center"/>
          </w:tcPr>
          <w:p w14:paraId="118EC77E">
            <w:pPr>
              <w:pStyle w:val="24"/>
              <w:rPr>
                <w:sz w:val="16"/>
                <w:szCs w:val="16"/>
              </w:rPr>
            </w:pPr>
            <w:r>
              <w:rPr>
                <w:rFonts w:hint="eastAsia"/>
                <w:sz w:val="16"/>
                <w:szCs w:val="16"/>
              </w:rPr>
              <w:t>0.17</w:t>
            </w:r>
          </w:p>
        </w:tc>
        <w:tc>
          <w:tcPr>
            <w:tcW w:w="506" w:type="pct"/>
            <w:shd w:val="clear" w:color="auto" w:fill="auto"/>
            <w:noWrap/>
            <w:vAlign w:val="center"/>
          </w:tcPr>
          <w:p w14:paraId="3352802E">
            <w:pPr>
              <w:pStyle w:val="24"/>
              <w:rPr>
                <w:sz w:val="16"/>
                <w:szCs w:val="16"/>
              </w:rPr>
            </w:pPr>
            <w:r>
              <w:rPr>
                <w:rFonts w:hint="eastAsia"/>
                <w:sz w:val="16"/>
                <w:szCs w:val="16"/>
              </w:rPr>
              <w:t>0.14</w:t>
            </w:r>
          </w:p>
        </w:tc>
        <w:tc>
          <w:tcPr>
            <w:tcW w:w="509" w:type="pct"/>
            <w:shd w:val="clear" w:color="auto" w:fill="auto"/>
            <w:noWrap/>
            <w:vAlign w:val="center"/>
          </w:tcPr>
          <w:p w14:paraId="38A2FB6B">
            <w:pPr>
              <w:pStyle w:val="24"/>
              <w:rPr>
                <w:sz w:val="16"/>
                <w:szCs w:val="16"/>
              </w:rPr>
            </w:pPr>
            <w:r>
              <w:rPr>
                <w:rFonts w:hint="eastAsia"/>
                <w:sz w:val="16"/>
                <w:szCs w:val="16"/>
              </w:rPr>
              <w:t>0.20</w:t>
            </w:r>
          </w:p>
        </w:tc>
        <w:tc>
          <w:tcPr>
            <w:tcW w:w="512" w:type="pct"/>
            <w:shd w:val="clear" w:color="auto" w:fill="auto"/>
            <w:noWrap/>
            <w:vAlign w:val="center"/>
          </w:tcPr>
          <w:p w14:paraId="579D70EB">
            <w:pPr>
              <w:pStyle w:val="24"/>
              <w:rPr>
                <w:sz w:val="16"/>
                <w:szCs w:val="16"/>
              </w:rPr>
            </w:pPr>
            <w:r>
              <w:rPr>
                <w:rFonts w:hint="eastAsia"/>
                <w:sz w:val="16"/>
                <w:szCs w:val="16"/>
              </w:rPr>
              <w:t>Beta</w:t>
            </w:r>
          </w:p>
        </w:tc>
        <w:tc>
          <w:tcPr>
            <w:tcW w:w="494" w:type="pct"/>
            <w:shd w:val="clear" w:color="auto" w:fill="auto"/>
            <w:noWrap/>
            <w:vAlign w:val="center"/>
          </w:tcPr>
          <w:p w14:paraId="0C39B495">
            <w:pPr>
              <w:pStyle w:val="24"/>
              <w:rPr>
                <w:sz w:val="16"/>
                <w:szCs w:val="16"/>
              </w:rPr>
            </w:pPr>
            <w:r>
              <w:rPr>
                <w:sz w:val="16"/>
                <w:szCs w:val="16"/>
              </w:rPr>
              <w:fldChar w:fldCharType="begin"/>
            </w:r>
            <w:r>
              <w:rPr>
                <w:sz w:val="16"/>
                <w:szCs w:val="16"/>
              </w:rPr>
              <w:instrText xml:space="preserve"> ADDIN NE.Ref.{AC766D1D-4F89-4D1F-921C-C1FDD4D7BE92}</w:instrText>
            </w:r>
            <w:r>
              <w:rPr>
                <w:sz w:val="16"/>
                <w:szCs w:val="16"/>
              </w:rPr>
              <w:fldChar w:fldCharType="separate"/>
            </w:r>
            <w:r>
              <w:rPr>
                <w:rFonts w:eastAsia="宋体" w:cs="Times New Roman"/>
                <w:color w:val="080000"/>
                <w:kern w:val="0"/>
                <w:sz w:val="16"/>
                <w:szCs w:val="16"/>
              </w:rPr>
              <w:t>[9, 24]</w:t>
            </w:r>
            <w:r>
              <w:rPr>
                <w:sz w:val="16"/>
                <w:szCs w:val="16"/>
              </w:rPr>
              <w:fldChar w:fldCharType="end"/>
            </w:r>
          </w:p>
        </w:tc>
      </w:tr>
      <w:tr w14:paraId="08B40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E844180">
            <w:pPr>
              <w:pStyle w:val="24"/>
              <w:rPr>
                <w:sz w:val="16"/>
                <w:szCs w:val="16"/>
              </w:rPr>
            </w:pPr>
            <w:r>
              <w:rPr>
                <w:rFonts w:hint="eastAsia"/>
                <w:sz w:val="16"/>
                <w:szCs w:val="16"/>
              </w:rPr>
              <w:t>Disutility for Blood bilirubin increased/Increase in total bilirubin</w:t>
            </w:r>
          </w:p>
        </w:tc>
        <w:tc>
          <w:tcPr>
            <w:tcW w:w="506" w:type="pct"/>
            <w:shd w:val="clear" w:color="auto" w:fill="auto"/>
            <w:noWrap/>
            <w:vAlign w:val="center"/>
          </w:tcPr>
          <w:p w14:paraId="4A82FA55">
            <w:pPr>
              <w:pStyle w:val="24"/>
              <w:rPr>
                <w:sz w:val="16"/>
                <w:szCs w:val="16"/>
              </w:rPr>
            </w:pPr>
            <w:r>
              <w:rPr>
                <w:rFonts w:hint="eastAsia"/>
                <w:sz w:val="16"/>
                <w:szCs w:val="16"/>
              </w:rPr>
              <w:t>0.09</w:t>
            </w:r>
          </w:p>
        </w:tc>
        <w:tc>
          <w:tcPr>
            <w:tcW w:w="506" w:type="pct"/>
            <w:shd w:val="clear" w:color="auto" w:fill="auto"/>
            <w:noWrap/>
            <w:vAlign w:val="center"/>
          </w:tcPr>
          <w:p w14:paraId="5B1FC866">
            <w:pPr>
              <w:pStyle w:val="24"/>
              <w:rPr>
                <w:sz w:val="16"/>
                <w:szCs w:val="16"/>
              </w:rPr>
            </w:pPr>
            <w:r>
              <w:rPr>
                <w:rFonts w:hint="eastAsia"/>
                <w:sz w:val="16"/>
                <w:szCs w:val="16"/>
              </w:rPr>
              <w:t>0.07</w:t>
            </w:r>
          </w:p>
        </w:tc>
        <w:tc>
          <w:tcPr>
            <w:tcW w:w="509" w:type="pct"/>
            <w:shd w:val="clear" w:color="auto" w:fill="auto"/>
            <w:noWrap/>
            <w:vAlign w:val="center"/>
          </w:tcPr>
          <w:p w14:paraId="1617A5E7">
            <w:pPr>
              <w:pStyle w:val="24"/>
              <w:rPr>
                <w:sz w:val="16"/>
                <w:szCs w:val="16"/>
              </w:rPr>
            </w:pPr>
            <w:r>
              <w:rPr>
                <w:rFonts w:hint="eastAsia"/>
                <w:sz w:val="16"/>
                <w:szCs w:val="16"/>
              </w:rPr>
              <w:t>0.11</w:t>
            </w:r>
          </w:p>
        </w:tc>
        <w:tc>
          <w:tcPr>
            <w:tcW w:w="512" w:type="pct"/>
            <w:shd w:val="clear" w:color="auto" w:fill="auto"/>
            <w:noWrap/>
            <w:vAlign w:val="center"/>
          </w:tcPr>
          <w:p w14:paraId="0890A724">
            <w:pPr>
              <w:pStyle w:val="24"/>
              <w:rPr>
                <w:sz w:val="16"/>
                <w:szCs w:val="16"/>
              </w:rPr>
            </w:pPr>
            <w:r>
              <w:rPr>
                <w:rFonts w:hint="eastAsia"/>
                <w:sz w:val="16"/>
                <w:szCs w:val="16"/>
              </w:rPr>
              <w:t>Beta</w:t>
            </w:r>
          </w:p>
        </w:tc>
        <w:tc>
          <w:tcPr>
            <w:tcW w:w="494" w:type="pct"/>
            <w:shd w:val="clear" w:color="auto" w:fill="auto"/>
            <w:noWrap/>
            <w:vAlign w:val="center"/>
          </w:tcPr>
          <w:p w14:paraId="49969CF4">
            <w:pPr>
              <w:pStyle w:val="24"/>
              <w:rPr>
                <w:sz w:val="16"/>
                <w:szCs w:val="16"/>
              </w:rPr>
            </w:pPr>
            <w:r>
              <w:rPr>
                <w:sz w:val="16"/>
                <w:szCs w:val="16"/>
              </w:rPr>
              <w:fldChar w:fldCharType="begin"/>
            </w:r>
            <w:r>
              <w:rPr>
                <w:sz w:val="16"/>
                <w:szCs w:val="16"/>
              </w:rPr>
              <w:instrText xml:space="preserve"> ADDIN NE.Ref.{FF8C9959-AFA6-4FF3-AAC2-1F588C67E903}</w:instrText>
            </w:r>
            <w:r>
              <w:rPr>
                <w:sz w:val="16"/>
                <w:szCs w:val="16"/>
              </w:rPr>
              <w:fldChar w:fldCharType="separate"/>
            </w:r>
            <w:r>
              <w:rPr>
                <w:rFonts w:eastAsia="宋体" w:cs="Times New Roman"/>
                <w:color w:val="080000"/>
                <w:kern w:val="0"/>
                <w:sz w:val="16"/>
                <w:szCs w:val="16"/>
              </w:rPr>
              <w:t>[4, 23]</w:t>
            </w:r>
            <w:r>
              <w:rPr>
                <w:sz w:val="16"/>
                <w:szCs w:val="16"/>
              </w:rPr>
              <w:fldChar w:fldCharType="end"/>
            </w:r>
          </w:p>
        </w:tc>
      </w:tr>
      <w:tr w14:paraId="3793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C780BD6">
            <w:pPr>
              <w:pStyle w:val="24"/>
              <w:rPr>
                <w:sz w:val="16"/>
                <w:szCs w:val="16"/>
              </w:rPr>
            </w:pPr>
            <w:r>
              <w:rPr>
                <w:rFonts w:hint="eastAsia"/>
                <w:sz w:val="16"/>
                <w:szCs w:val="16"/>
              </w:rPr>
              <w:t>Disutility for Colonic obstruction</w:t>
            </w:r>
          </w:p>
        </w:tc>
        <w:tc>
          <w:tcPr>
            <w:tcW w:w="506" w:type="pct"/>
            <w:shd w:val="clear" w:color="auto" w:fill="auto"/>
            <w:noWrap/>
            <w:vAlign w:val="center"/>
          </w:tcPr>
          <w:p w14:paraId="6090FD08">
            <w:pPr>
              <w:pStyle w:val="24"/>
              <w:rPr>
                <w:sz w:val="16"/>
                <w:szCs w:val="16"/>
              </w:rPr>
            </w:pPr>
            <w:r>
              <w:rPr>
                <w:rFonts w:hint="eastAsia"/>
                <w:sz w:val="16"/>
                <w:szCs w:val="16"/>
              </w:rPr>
              <w:t>0.17</w:t>
            </w:r>
          </w:p>
        </w:tc>
        <w:tc>
          <w:tcPr>
            <w:tcW w:w="506" w:type="pct"/>
            <w:shd w:val="clear" w:color="auto" w:fill="auto"/>
            <w:noWrap/>
            <w:vAlign w:val="center"/>
          </w:tcPr>
          <w:p w14:paraId="22C41DC1">
            <w:pPr>
              <w:pStyle w:val="24"/>
              <w:rPr>
                <w:sz w:val="16"/>
                <w:szCs w:val="16"/>
              </w:rPr>
            </w:pPr>
            <w:r>
              <w:rPr>
                <w:rFonts w:hint="eastAsia"/>
                <w:sz w:val="16"/>
                <w:szCs w:val="16"/>
              </w:rPr>
              <w:t>0.14</w:t>
            </w:r>
          </w:p>
        </w:tc>
        <w:tc>
          <w:tcPr>
            <w:tcW w:w="509" w:type="pct"/>
            <w:shd w:val="clear" w:color="auto" w:fill="auto"/>
            <w:noWrap/>
            <w:vAlign w:val="center"/>
          </w:tcPr>
          <w:p w14:paraId="01A8A9E7">
            <w:pPr>
              <w:pStyle w:val="24"/>
              <w:rPr>
                <w:sz w:val="16"/>
                <w:szCs w:val="16"/>
              </w:rPr>
            </w:pPr>
            <w:r>
              <w:rPr>
                <w:rFonts w:hint="eastAsia"/>
                <w:sz w:val="16"/>
                <w:szCs w:val="16"/>
              </w:rPr>
              <w:t>0.20</w:t>
            </w:r>
          </w:p>
        </w:tc>
        <w:tc>
          <w:tcPr>
            <w:tcW w:w="512" w:type="pct"/>
            <w:shd w:val="clear" w:color="auto" w:fill="auto"/>
            <w:noWrap/>
            <w:vAlign w:val="center"/>
          </w:tcPr>
          <w:p w14:paraId="10AC6884">
            <w:pPr>
              <w:pStyle w:val="24"/>
              <w:rPr>
                <w:sz w:val="16"/>
                <w:szCs w:val="16"/>
              </w:rPr>
            </w:pPr>
            <w:r>
              <w:rPr>
                <w:rFonts w:hint="eastAsia"/>
                <w:sz w:val="16"/>
                <w:szCs w:val="16"/>
              </w:rPr>
              <w:t>Beta</w:t>
            </w:r>
          </w:p>
        </w:tc>
        <w:tc>
          <w:tcPr>
            <w:tcW w:w="494" w:type="pct"/>
            <w:shd w:val="clear" w:color="auto" w:fill="auto"/>
            <w:noWrap/>
            <w:vAlign w:val="center"/>
          </w:tcPr>
          <w:p w14:paraId="35DFECA2">
            <w:pPr>
              <w:pStyle w:val="24"/>
              <w:rPr>
                <w:sz w:val="16"/>
                <w:szCs w:val="16"/>
              </w:rPr>
            </w:pPr>
            <w:r>
              <w:rPr>
                <w:sz w:val="16"/>
                <w:szCs w:val="16"/>
              </w:rPr>
              <w:fldChar w:fldCharType="begin"/>
            </w:r>
            <w:r>
              <w:rPr>
                <w:sz w:val="16"/>
                <w:szCs w:val="16"/>
              </w:rPr>
              <w:instrText xml:space="preserve"> ADDIN NE.Ref.{E76F3417-95C7-4EF0-9721-ED386097D8E8}</w:instrText>
            </w:r>
            <w:r>
              <w:rPr>
                <w:sz w:val="16"/>
                <w:szCs w:val="16"/>
              </w:rPr>
              <w:fldChar w:fldCharType="separate"/>
            </w:r>
            <w:r>
              <w:rPr>
                <w:rFonts w:eastAsia="宋体" w:cs="Times New Roman"/>
                <w:color w:val="080000"/>
                <w:kern w:val="0"/>
                <w:sz w:val="16"/>
                <w:szCs w:val="16"/>
              </w:rPr>
              <w:t>[9, 24]</w:t>
            </w:r>
            <w:r>
              <w:rPr>
                <w:sz w:val="16"/>
                <w:szCs w:val="16"/>
              </w:rPr>
              <w:fldChar w:fldCharType="end"/>
            </w:r>
          </w:p>
        </w:tc>
      </w:tr>
      <w:tr w14:paraId="52A16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B7406EE">
            <w:pPr>
              <w:pStyle w:val="24"/>
              <w:rPr>
                <w:sz w:val="16"/>
                <w:szCs w:val="16"/>
              </w:rPr>
            </w:pPr>
            <w:r>
              <w:rPr>
                <w:rFonts w:hint="eastAsia"/>
                <w:sz w:val="16"/>
                <w:szCs w:val="16"/>
              </w:rPr>
              <w:t>Disutility for Decreased appetite</w:t>
            </w:r>
          </w:p>
        </w:tc>
        <w:tc>
          <w:tcPr>
            <w:tcW w:w="506" w:type="pct"/>
            <w:shd w:val="clear" w:color="auto" w:fill="auto"/>
            <w:noWrap/>
            <w:vAlign w:val="center"/>
          </w:tcPr>
          <w:p w14:paraId="560EBCA1">
            <w:pPr>
              <w:pStyle w:val="24"/>
              <w:rPr>
                <w:sz w:val="16"/>
                <w:szCs w:val="16"/>
              </w:rPr>
            </w:pPr>
            <w:r>
              <w:rPr>
                <w:rFonts w:hint="eastAsia"/>
                <w:sz w:val="16"/>
                <w:szCs w:val="16"/>
              </w:rPr>
              <w:t>0.103</w:t>
            </w:r>
          </w:p>
        </w:tc>
        <w:tc>
          <w:tcPr>
            <w:tcW w:w="506" w:type="pct"/>
            <w:shd w:val="clear" w:color="auto" w:fill="auto"/>
            <w:noWrap/>
            <w:vAlign w:val="center"/>
          </w:tcPr>
          <w:p w14:paraId="6AB03EAC">
            <w:pPr>
              <w:pStyle w:val="24"/>
              <w:rPr>
                <w:sz w:val="16"/>
                <w:szCs w:val="16"/>
              </w:rPr>
            </w:pPr>
            <w:r>
              <w:rPr>
                <w:rFonts w:hint="eastAsia"/>
                <w:sz w:val="16"/>
                <w:szCs w:val="16"/>
              </w:rPr>
              <w:t>0.08</w:t>
            </w:r>
          </w:p>
        </w:tc>
        <w:tc>
          <w:tcPr>
            <w:tcW w:w="509" w:type="pct"/>
            <w:shd w:val="clear" w:color="auto" w:fill="auto"/>
            <w:noWrap/>
            <w:vAlign w:val="center"/>
          </w:tcPr>
          <w:p w14:paraId="7F253770">
            <w:pPr>
              <w:pStyle w:val="24"/>
              <w:rPr>
                <w:sz w:val="16"/>
                <w:szCs w:val="16"/>
              </w:rPr>
            </w:pPr>
            <w:r>
              <w:rPr>
                <w:rFonts w:hint="eastAsia"/>
                <w:sz w:val="16"/>
                <w:szCs w:val="16"/>
              </w:rPr>
              <w:t>0.12</w:t>
            </w:r>
          </w:p>
        </w:tc>
        <w:tc>
          <w:tcPr>
            <w:tcW w:w="512" w:type="pct"/>
            <w:shd w:val="clear" w:color="auto" w:fill="auto"/>
            <w:noWrap/>
            <w:vAlign w:val="center"/>
          </w:tcPr>
          <w:p w14:paraId="62039891">
            <w:pPr>
              <w:pStyle w:val="24"/>
              <w:rPr>
                <w:sz w:val="16"/>
                <w:szCs w:val="16"/>
              </w:rPr>
            </w:pPr>
            <w:r>
              <w:rPr>
                <w:rFonts w:hint="eastAsia"/>
                <w:sz w:val="16"/>
                <w:szCs w:val="16"/>
              </w:rPr>
              <w:t>Beta</w:t>
            </w:r>
          </w:p>
        </w:tc>
        <w:tc>
          <w:tcPr>
            <w:tcW w:w="494" w:type="pct"/>
            <w:shd w:val="clear" w:color="auto" w:fill="auto"/>
            <w:noWrap/>
            <w:vAlign w:val="center"/>
          </w:tcPr>
          <w:p w14:paraId="770AD371">
            <w:pPr>
              <w:pStyle w:val="24"/>
              <w:rPr>
                <w:sz w:val="16"/>
                <w:szCs w:val="16"/>
              </w:rPr>
            </w:pPr>
            <w:r>
              <w:rPr>
                <w:sz w:val="16"/>
                <w:szCs w:val="16"/>
              </w:rPr>
              <w:fldChar w:fldCharType="begin"/>
            </w:r>
            <w:r>
              <w:rPr>
                <w:sz w:val="16"/>
                <w:szCs w:val="16"/>
              </w:rPr>
              <w:instrText xml:space="preserve"> ADDIN NE.Ref.{8C4DB5B7-0072-4010-90FB-A06CF37ED0A2}</w:instrText>
            </w:r>
            <w:r>
              <w:rPr>
                <w:sz w:val="16"/>
                <w:szCs w:val="16"/>
              </w:rPr>
              <w:fldChar w:fldCharType="separate"/>
            </w:r>
            <w:r>
              <w:rPr>
                <w:rFonts w:eastAsia="宋体" w:cs="Times New Roman"/>
                <w:color w:val="080000"/>
                <w:kern w:val="0"/>
                <w:sz w:val="16"/>
                <w:szCs w:val="16"/>
              </w:rPr>
              <w:t>[4, 22]</w:t>
            </w:r>
            <w:r>
              <w:rPr>
                <w:sz w:val="16"/>
                <w:szCs w:val="16"/>
              </w:rPr>
              <w:fldChar w:fldCharType="end"/>
            </w:r>
          </w:p>
        </w:tc>
      </w:tr>
      <w:tr w14:paraId="4BCA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D26BBD8">
            <w:pPr>
              <w:pStyle w:val="24"/>
              <w:rPr>
                <w:sz w:val="16"/>
                <w:szCs w:val="16"/>
              </w:rPr>
            </w:pPr>
            <w:r>
              <w:rPr>
                <w:rFonts w:hint="eastAsia"/>
                <w:sz w:val="16"/>
                <w:szCs w:val="16"/>
              </w:rPr>
              <w:t>Disutility for Dehydration</w:t>
            </w:r>
          </w:p>
        </w:tc>
        <w:tc>
          <w:tcPr>
            <w:tcW w:w="506" w:type="pct"/>
            <w:shd w:val="clear" w:color="auto" w:fill="auto"/>
            <w:noWrap/>
            <w:vAlign w:val="center"/>
          </w:tcPr>
          <w:p w14:paraId="52E10B40">
            <w:pPr>
              <w:pStyle w:val="24"/>
              <w:rPr>
                <w:sz w:val="16"/>
                <w:szCs w:val="16"/>
              </w:rPr>
            </w:pPr>
            <w:r>
              <w:rPr>
                <w:rFonts w:hint="eastAsia"/>
                <w:sz w:val="16"/>
                <w:szCs w:val="16"/>
              </w:rPr>
              <w:t>0.13</w:t>
            </w:r>
          </w:p>
        </w:tc>
        <w:tc>
          <w:tcPr>
            <w:tcW w:w="506" w:type="pct"/>
            <w:shd w:val="clear" w:color="auto" w:fill="auto"/>
            <w:noWrap/>
            <w:vAlign w:val="center"/>
          </w:tcPr>
          <w:p w14:paraId="2AE1466C">
            <w:pPr>
              <w:pStyle w:val="24"/>
              <w:rPr>
                <w:sz w:val="16"/>
                <w:szCs w:val="16"/>
              </w:rPr>
            </w:pPr>
            <w:r>
              <w:rPr>
                <w:rFonts w:hint="eastAsia"/>
                <w:sz w:val="16"/>
                <w:szCs w:val="16"/>
              </w:rPr>
              <w:t>0.10</w:t>
            </w:r>
          </w:p>
        </w:tc>
        <w:tc>
          <w:tcPr>
            <w:tcW w:w="509" w:type="pct"/>
            <w:shd w:val="clear" w:color="auto" w:fill="auto"/>
            <w:noWrap/>
            <w:vAlign w:val="center"/>
          </w:tcPr>
          <w:p w14:paraId="7DB09F51">
            <w:pPr>
              <w:pStyle w:val="24"/>
              <w:rPr>
                <w:sz w:val="16"/>
                <w:szCs w:val="16"/>
              </w:rPr>
            </w:pPr>
            <w:r>
              <w:rPr>
                <w:rFonts w:hint="eastAsia"/>
                <w:sz w:val="16"/>
                <w:szCs w:val="16"/>
              </w:rPr>
              <w:t>0.16</w:t>
            </w:r>
          </w:p>
        </w:tc>
        <w:tc>
          <w:tcPr>
            <w:tcW w:w="512" w:type="pct"/>
            <w:shd w:val="clear" w:color="auto" w:fill="auto"/>
            <w:noWrap/>
            <w:vAlign w:val="center"/>
          </w:tcPr>
          <w:p w14:paraId="3C0F9617">
            <w:pPr>
              <w:pStyle w:val="24"/>
              <w:rPr>
                <w:sz w:val="16"/>
                <w:szCs w:val="16"/>
              </w:rPr>
            </w:pPr>
            <w:r>
              <w:rPr>
                <w:rFonts w:hint="eastAsia"/>
                <w:sz w:val="16"/>
                <w:szCs w:val="16"/>
              </w:rPr>
              <w:t>Beta</w:t>
            </w:r>
          </w:p>
        </w:tc>
        <w:tc>
          <w:tcPr>
            <w:tcW w:w="494" w:type="pct"/>
            <w:shd w:val="clear" w:color="auto" w:fill="auto"/>
            <w:noWrap/>
            <w:vAlign w:val="center"/>
          </w:tcPr>
          <w:p w14:paraId="31C6B26B">
            <w:pPr>
              <w:pStyle w:val="24"/>
              <w:rPr>
                <w:sz w:val="16"/>
                <w:szCs w:val="16"/>
              </w:rPr>
            </w:pPr>
            <w:r>
              <w:rPr>
                <w:sz w:val="16"/>
                <w:szCs w:val="16"/>
              </w:rPr>
              <w:fldChar w:fldCharType="begin"/>
            </w:r>
            <w:r>
              <w:rPr>
                <w:sz w:val="16"/>
                <w:szCs w:val="16"/>
              </w:rPr>
              <w:instrText xml:space="preserve"> ADDIN NE.Ref.{68575B20-979B-4345-AA3E-AA754960BDA1}</w:instrText>
            </w:r>
            <w:r>
              <w:rPr>
                <w:sz w:val="16"/>
                <w:szCs w:val="16"/>
              </w:rPr>
              <w:fldChar w:fldCharType="separate"/>
            </w:r>
            <w:r>
              <w:rPr>
                <w:rFonts w:eastAsia="宋体" w:cs="Times New Roman"/>
                <w:color w:val="080000"/>
                <w:kern w:val="0"/>
                <w:sz w:val="16"/>
                <w:szCs w:val="16"/>
              </w:rPr>
              <w:t>[9]</w:t>
            </w:r>
            <w:r>
              <w:rPr>
                <w:sz w:val="16"/>
                <w:szCs w:val="16"/>
              </w:rPr>
              <w:fldChar w:fldCharType="end"/>
            </w:r>
          </w:p>
        </w:tc>
      </w:tr>
      <w:tr w14:paraId="0BDB7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7EBDAAC">
            <w:pPr>
              <w:pStyle w:val="24"/>
              <w:rPr>
                <w:sz w:val="16"/>
                <w:szCs w:val="16"/>
              </w:rPr>
            </w:pPr>
            <w:r>
              <w:rPr>
                <w:rFonts w:hint="eastAsia"/>
                <w:sz w:val="16"/>
                <w:szCs w:val="16"/>
              </w:rPr>
              <w:t>Disutility for Diarrhoea</w:t>
            </w:r>
          </w:p>
        </w:tc>
        <w:tc>
          <w:tcPr>
            <w:tcW w:w="506" w:type="pct"/>
            <w:shd w:val="clear" w:color="auto" w:fill="auto"/>
            <w:noWrap/>
            <w:vAlign w:val="center"/>
          </w:tcPr>
          <w:p w14:paraId="3C806278">
            <w:pPr>
              <w:pStyle w:val="24"/>
              <w:rPr>
                <w:sz w:val="16"/>
                <w:szCs w:val="16"/>
              </w:rPr>
            </w:pPr>
            <w:r>
              <w:rPr>
                <w:rFonts w:hint="eastAsia"/>
                <w:sz w:val="16"/>
                <w:szCs w:val="16"/>
              </w:rPr>
              <w:t>0.103</w:t>
            </w:r>
          </w:p>
        </w:tc>
        <w:tc>
          <w:tcPr>
            <w:tcW w:w="506" w:type="pct"/>
            <w:shd w:val="clear" w:color="auto" w:fill="auto"/>
            <w:noWrap/>
            <w:vAlign w:val="center"/>
          </w:tcPr>
          <w:p w14:paraId="1EC9AAE9">
            <w:pPr>
              <w:pStyle w:val="24"/>
              <w:rPr>
                <w:sz w:val="16"/>
                <w:szCs w:val="16"/>
              </w:rPr>
            </w:pPr>
            <w:r>
              <w:rPr>
                <w:rFonts w:hint="eastAsia"/>
                <w:sz w:val="16"/>
                <w:szCs w:val="16"/>
              </w:rPr>
              <w:t>0.08</w:t>
            </w:r>
          </w:p>
        </w:tc>
        <w:tc>
          <w:tcPr>
            <w:tcW w:w="509" w:type="pct"/>
            <w:shd w:val="clear" w:color="auto" w:fill="auto"/>
            <w:noWrap/>
            <w:vAlign w:val="center"/>
          </w:tcPr>
          <w:p w14:paraId="04FEE2EF">
            <w:pPr>
              <w:pStyle w:val="24"/>
              <w:rPr>
                <w:sz w:val="16"/>
                <w:szCs w:val="16"/>
              </w:rPr>
            </w:pPr>
            <w:r>
              <w:rPr>
                <w:rFonts w:hint="eastAsia"/>
                <w:sz w:val="16"/>
                <w:szCs w:val="16"/>
              </w:rPr>
              <w:t>0.12</w:t>
            </w:r>
          </w:p>
        </w:tc>
        <w:tc>
          <w:tcPr>
            <w:tcW w:w="512" w:type="pct"/>
            <w:shd w:val="clear" w:color="auto" w:fill="auto"/>
            <w:noWrap/>
            <w:vAlign w:val="center"/>
          </w:tcPr>
          <w:p w14:paraId="63A551C7">
            <w:pPr>
              <w:pStyle w:val="24"/>
              <w:rPr>
                <w:sz w:val="16"/>
                <w:szCs w:val="16"/>
              </w:rPr>
            </w:pPr>
            <w:r>
              <w:rPr>
                <w:rFonts w:hint="eastAsia"/>
                <w:sz w:val="16"/>
                <w:szCs w:val="16"/>
              </w:rPr>
              <w:t>Beta</w:t>
            </w:r>
          </w:p>
        </w:tc>
        <w:tc>
          <w:tcPr>
            <w:tcW w:w="494" w:type="pct"/>
            <w:shd w:val="clear" w:color="auto" w:fill="auto"/>
            <w:noWrap/>
            <w:vAlign w:val="center"/>
          </w:tcPr>
          <w:p w14:paraId="7DFAC79B">
            <w:pPr>
              <w:pStyle w:val="24"/>
              <w:rPr>
                <w:sz w:val="16"/>
                <w:szCs w:val="16"/>
              </w:rPr>
            </w:pPr>
            <w:r>
              <w:rPr>
                <w:sz w:val="16"/>
                <w:szCs w:val="16"/>
              </w:rPr>
              <w:fldChar w:fldCharType="begin"/>
            </w:r>
            <w:r>
              <w:rPr>
                <w:sz w:val="16"/>
                <w:szCs w:val="16"/>
              </w:rPr>
              <w:instrText xml:space="preserve"> ADDIN NE.Ref.{22C2EEA1-3AF5-4DFB-A810-F044CE063E31}</w:instrText>
            </w:r>
            <w:r>
              <w:rPr>
                <w:sz w:val="16"/>
                <w:szCs w:val="16"/>
              </w:rPr>
              <w:fldChar w:fldCharType="separate"/>
            </w:r>
            <w:r>
              <w:rPr>
                <w:rFonts w:eastAsia="宋体" w:cs="Times New Roman"/>
                <w:color w:val="080000"/>
                <w:kern w:val="0"/>
                <w:sz w:val="16"/>
                <w:szCs w:val="16"/>
              </w:rPr>
              <w:t>[22]</w:t>
            </w:r>
            <w:r>
              <w:rPr>
                <w:sz w:val="16"/>
                <w:szCs w:val="16"/>
              </w:rPr>
              <w:fldChar w:fldCharType="end"/>
            </w:r>
          </w:p>
        </w:tc>
      </w:tr>
      <w:tr w14:paraId="607CE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EC4F1A0">
            <w:pPr>
              <w:pStyle w:val="24"/>
              <w:rPr>
                <w:sz w:val="16"/>
                <w:szCs w:val="16"/>
              </w:rPr>
            </w:pPr>
            <w:r>
              <w:rPr>
                <w:rFonts w:hint="eastAsia"/>
                <w:sz w:val="16"/>
                <w:szCs w:val="16"/>
              </w:rPr>
              <w:t>Disutility for Dyspnoea</w:t>
            </w:r>
          </w:p>
        </w:tc>
        <w:tc>
          <w:tcPr>
            <w:tcW w:w="506" w:type="pct"/>
            <w:shd w:val="clear" w:color="auto" w:fill="auto"/>
            <w:noWrap/>
            <w:vAlign w:val="center"/>
          </w:tcPr>
          <w:p w14:paraId="13290986">
            <w:pPr>
              <w:pStyle w:val="24"/>
              <w:rPr>
                <w:sz w:val="16"/>
                <w:szCs w:val="16"/>
              </w:rPr>
            </w:pPr>
            <w:r>
              <w:rPr>
                <w:rFonts w:hint="eastAsia"/>
                <w:sz w:val="16"/>
                <w:szCs w:val="16"/>
              </w:rPr>
              <w:t>0.13</w:t>
            </w:r>
          </w:p>
        </w:tc>
        <w:tc>
          <w:tcPr>
            <w:tcW w:w="506" w:type="pct"/>
            <w:shd w:val="clear" w:color="auto" w:fill="auto"/>
            <w:noWrap/>
            <w:vAlign w:val="center"/>
          </w:tcPr>
          <w:p w14:paraId="4A097EDE">
            <w:pPr>
              <w:pStyle w:val="24"/>
              <w:rPr>
                <w:sz w:val="16"/>
                <w:szCs w:val="16"/>
              </w:rPr>
            </w:pPr>
            <w:r>
              <w:rPr>
                <w:rFonts w:hint="eastAsia"/>
                <w:sz w:val="16"/>
                <w:szCs w:val="16"/>
              </w:rPr>
              <w:t>0.10</w:t>
            </w:r>
          </w:p>
        </w:tc>
        <w:tc>
          <w:tcPr>
            <w:tcW w:w="509" w:type="pct"/>
            <w:shd w:val="clear" w:color="auto" w:fill="auto"/>
            <w:noWrap/>
            <w:vAlign w:val="center"/>
          </w:tcPr>
          <w:p w14:paraId="2B5AF051">
            <w:pPr>
              <w:pStyle w:val="24"/>
              <w:rPr>
                <w:sz w:val="16"/>
                <w:szCs w:val="16"/>
              </w:rPr>
            </w:pPr>
            <w:r>
              <w:rPr>
                <w:rFonts w:hint="eastAsia"/>
                <w:sz w:val="16"/>
                <w:szCs w:val="16"/>
              </w:rPr>
              <w:t>0.16</w:t>
            </w:r>
          </w:p>
        </w:tc>
        <w:tc>
          <w:tcPr>
            <w:tcW w:w="512" w:type="pct"/>
            <w:shd w:val="clear" w:color="auto" w:fill="auto"/>
            <w:noWrap/>
            <w:vAlign w:val="center"/>
          </w:tcPr>
          <w:p w14:paraId="1BBE9306">
            <w:pPr>
              <w:pStyle w:val="24"/>
              <w:rPr>
                <w:sz w:val="16"/>
                <w:szCs w:val="16"/>
              </w:rPr>
            </w:pPr>
            <w:r>
              <w:rPr>
                <w:rFonts w:hint="eastAsia"/>
                <w:sz w:val="16"/>
                <w:szCs w:val="16"/>
              </w:rPr>
              <w:t>Beta</w:t>
            </w:r>
          </w:p>
        </w:tc>
        <w:tc>
          <w:tcPr>
            <w:tcW w:w="494" w:type="pct"/>
            <w:shd w:val="clear" w:color="auto" w:fill="auto"/>
            <w:noWrap/>
            <w:vAlign w:val="center"/>
          </w:tcPr>
          <w:p w14:paraId="7BD5AF14">
            <w:pPr>
              <w:pStyle w:val="24"/>
              <w:rPr>
                <w:sz w:val="16"/>
                <w:szCs w:val="16"/>
              </w:rPr>
            </w:pPr>
            <w:r>
              <w:rPr>
                <w:sz w:val="16"/>
                <w:szCs w:val="16"/>
              </w:rPr>
              <w:fldChar w:fldCharType="begin"/>
            </w:r>
            <w:r>
              <w:rPr>
                <w:sz w:val="16"/>
                <w:szCs w:val="16"/>
              </w:rPr>
              <w:instrText xml:space="preserve"> ADDIN NE.Ref.{0D27A949-BEA3-4914-B005-BE628DF7EAFD}</w:instrText>
            </w:r>
            <w:r>
              <w:rPr>
                <w:sz w:val="16"/>
                <w:szCs w:val="16"/>
              </w:rPr>
              <w:fldChar w:fldCharType="separate"/>
            </w:r>
            <w:r>
              <w:rPr>
                <w:rFonts w:eastAsia="宋体" w:cs="Times New Roman"/>
                <w:color w:val="080000"/>
                <w:kern w:val="0"/>
                <w:sz w:val="16"/>
                <w:szCs w:val="16"/>
              </w:rPr>
              <w:t>[9]</w:t>
            </w:r>
            <w:r>
              <w:rPr>
                <w:sz w:val="16"/>
                <w:szCs w:val="16"/>
              </w:rPr>
              <w:fldChar w:fldCharType="end"/>
            </w:r>
          </w:p>
        </w:tc>
      </w:tr>
      <w:tr w14:paraId="2A160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4683862">
            <w:pPr>
              <w:pStyle w:val="24"/>
              <w:rPr>
                <w:sz w:val="16"/>
                <w:szCs w:val="16"/>
              </w:rPr>
            </w:pPr>
            <w:r>
              <w:rPr>
                <w:rFonts w:hint="eastAsia"/>
                <w:sz w:val="16"/>
                <w:szCs w:val="16"/>
              </w:rPr>
              <w:t>Disutility for Fatigue</w:t>
            </w:r>
          </w:p>
        </w:tc>
        <w:tc>
          <w:tcPr>
            <w:tcW w:w="506" w:type="pct"/>
            <w:shd w:val="clear" w:color="auto" w:fill="auto"/>
            <w:noWrap/>
            <w:vAlign w:val="center"/>
          </w:tcPr>
          <w:p w14:paraId="359E8D17">
            <w:pPr>
              <w:pStyle w:val="24"/>
              <w:rPr>
                <w:sz w:val="16"/>
                <w:szCs w:val="16"/>
              </w:rPr>
            </w:pPr>
            <w:r>
              <w:rPr>
                <w:rFonts w:hint="eastAsia"/>
                <w:sz w:val="16"/>
                <w:szCs w:val="16"/>
              </w:rPr>
              <w:t>0.115</w:t>
            </w:r>
          </w:p>
        </w:tc>
        <w:tc>
          <w:tcPr>
            <w:tcW w:w="506" w:type="pct"/>
            <w:shd w:val="clear" w:color="auto" w:fill="auto"/>
            <w:noWrap/>
            <w:vAlign w:val="center"/>
          </w:tcPr>
          <w:p w14:paraId="5850A950">
            <w:pPr>
              <w:pStyle w:val="24"/>
              <w:rPr>
                <w:sz w:val="16"/>
                <w:szCs w:val="16"/>
              </w:rPr>
            </w:pPr>
            <w:r>
              <w:rPr>
                <w:rFonts w:hint="eastAsia"/>
                <w:sz w:val="16"/>
                <w:szCs w:val="16"/>
              </w:rPr>
              <w:t>0.09</w:t>
            </w:r>
          </w:p>
        </w:tc>
        <w:tc>
          <w:tcPr>
            <w:tcW w:w="509" w:type="pct"/>
            <w:shd w:val="clear" w:color="auto" w:fill="auto"/>
            <w:noWrap/>
            <w:vAlign w:val="center"/>
          </w:tcPr>
          <w:p w14:paraId="7F25F869">
            <w:pPr>
              <w:pStyle w:val="24"/>
              <w:rPr>
                <w:sz w:val="16"/>
                <w:szCs w:val="16"/>
              </w:rPr>
            </w:pPr>
            <w:r>
              <w:rPr>
                <w:rFonts w:hint="eastAsia"/>
                <w:sz w:val="16"/>
                <w:szCs w:val="16"/>
              </w:rPr>
              <w:t>0.14</w:t>
            </w:r>
          </w:p>
        </w:tc>
        <w:tc>
          <w:tcPr>
            <w:tcW w:w="512" w:type="pct"/>
            <w:shd w:val="clear" w:color="auto" w:fill="auto"/>
            <w:noWrap/>
            <w:vAlign w:val="center"/>
          </w:tcPr>
          <w:p w14:paraId="0B91A447">
            <w:pPr>
              <w:pStyle w:val="24"/>
              <w:rPr>
                <w:sz w:val="16"/>
                <w:szCs w:val="16"/>
              </w:rPr>
            </w:pPr>
            <w:r>
              <w:rPr>
                <w:rFonts w:hint="eastAsia"/>
                <w:sz w:val="16"/>
                <w:szCs w:val="16"/>
              </w:rPr>
              <w:t>Beta</w:t>
            </w:r>
          </w:p>
        </w:tc>
        <w:tc>
          <w:tcPr>
            <w:tcW w:w="494" w:type="pct"/>
            <w:shd w:val="clear" w:color="auto" w:fill="auto"/>
            <w:noWrap/>
            <w:vAlign w:val="center"/>
          </w:tcPr>
          <w:p w14:paraId="1BA5C7C1">
            <w:pPr>
              <w:pStyle w:val="24"/>
              <w:rPr>
                <w:sz w:val="16"/>
                <w:szCs w:val="16"/>
              </w:rPr>
            </w:pPr>
            <w:r>
              <w:rPr>
                <w:sz w:val="16"/>
                <w:szCs w:val="16"/>
              </w:rPr>
              <w:fldChar w:fldCharType="begin"/>
            </w:r>
            <w:r>
              <w:rPr>
                <w:sz w:val="16"/>
                <w:szCs w:val="16"/>
              </w:rPr>
              <w:instrText xml:space="preserve"> ADDIN NE.Ref.{B3A23F63-2E80-4596-AEF0-07022927BFD1}</w:instrText>
            </w:r>
            <w:r>
              <w:rPr>
                <w:sz w:val="16"/>
                <w:szCs w:val="16"/>
              </w:rPr>
              <w:fldChar w:fldCharType="separate"/>
            </w:r>
            <w:r>
              <w:rPr>
                <w:rFonts w:eastAsia="宋体" w:cs="Times New Roman"/>
                <w:color w:val="080000"/>
                <w:kern w:val="0"/>
                <w:sz w:val="16"/>
                <w:szCs w:val="16"/>
              </w:rPr>
              <w:t>[22]</w:t>
            </w:r>
            <w:r>
              <w:rPr>
                <w:sz w:val="16"/>
                <w:szCs w:val="16"/>
              </w:rPr>
              <w:fldChar w:fldCharType="end"/>
            </w:r>
          </w:p>
        </w:tc>
      </w:tr>
      <w:tr w14:paraId="2B5F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A11F206">
            <w:pPr>
              <w:pStyle w:val="24"/>
              <w:rPr>
                <w:sz w:val="16"/>
                <w:szCs w:val="16"/>
              </w:rPr>
            </w:pPr>
            <w:r>
              <w:rPr>
                <w:rFonts w:hint="eastAsia"/>
                <w:sz w:val="16"/>
                <w:szCs w:val="16"/>
              </w:rPr>
              <w:t>Disutility for Febrile neutropenia</w:t>
            </w:r>
          </w:p>
        </w:tc>
        <w:tc>
          <w:tcPr>
            <w:tcW w:w="506" w:type="pct"/>
            <w:shd w:val="clear" w:color="auto" w:fill="auto"/>
            <w:noWrap/>
            <w:vAlign w:val="center"/>
          </w:tcPr>
          <w:p w14:paraId="7E371D04">
            <w:pPr>
              <w:pStyle w:val="24"/>
              <w:rPr>
                <w:sz w:val="16"/>
                <w:szCs w:val="16"/>
              </w:rPr>
            </w:pPr>
            <w:r>
              <w:rPr>
                <w:rFonts w:hint="eastAsia"/>
                <w:sz w:val="16"/>
                <w:szCs w:val="16"/>
              </w:rPr>
              <w:t>0.17</w:t>
            </w:r>
          </w:p>
        </w:tc>
        <w:tc>
          <w:tcPr>
            <w:tcW w:w="506" w:type="pct"/>
            <w:shd w:val="clear" w:color="auto" w:fill="auto"/>
            <w:noWrap/>
            <w:vAlign w:val="center"/>
          </w:tcPr>
          <w:p w14:paraId="46523170">
            <w:pPr>
              <w:pStyle w:val="24"/>
              <w:rPr>
                <w:sz w:val="16"/>
                <w:szCs w:val="16"/>
              </w:rPr>
            </w:pPr>
            <w:r>
              <w:rPr>
                <w:rFonts w:hint="eastAsia"/>
                <w:sz w:val="16"/>
                <w:szCs w:val="16"/>
              </w:rPr>
              <w:t>0.14</w:t>
            </w:r>
          </w:p>
        </w:tc>
        <w:tc>
          <w:tcPr>
            <w:tcW w:w="509" w:type="pct"/>
            <w:shd w:val="clear" w:color="auto" w:fill="auto"/>
            <w:noWrap/>
            <w:vAlign w:val="center"/>
          </w:tcPr>
          <w:p w14:paraId="19A39EB0">
            <w:pPr>
              <w:pStyle w:val="24"/>
              <w:rPr>
                <w:sz w:val="16"/>
                <w:szCs w:val="16"/>
              </w:rPr>
            </w:pPr>
            <w:r>
              <w:rPr>
                <w:rFonts w:hint="eastAsia"/>
                <w:sz w:val="16"/>
                <w:szCs w:val="16"/>
              </w:rPr>
              <w:t>0.20</w:t>
            </w:r>
          </w:p>
        </w:tc>
        <w:tc>
          <w:tcPr>
            <w:tcW w:w="512" w:type="pct"/>
            <w:shd w:val="clear" w:color="auto" w:fill="auto"/>
            <w:noWrap/>
            <w:vAlign w:val="center"/>
          </w:tcPr>
          <w:p w14:paraId="063A7664">
            <w:pPr>
              <w:pStyle w:val="24"/>
              <w:rPr>
                <w:sz w:val="16"/>
                <w:szCs w:val="16"/>
              </w:rPr>
            </w:pPr>
            <w:r>
              <w:rPr>
                <w:rFonts w:hint="eastAsia"/>
                <w:sz w:val="16"/>
                <w:szCs w:val="16"/>
              </w:rPr>
              <w:t>Beta</w:t>
            </w:r>
          </w:p>
        </w:tc>
        <w:tc>
          <w:tcPr>
            <w:tcW w:w="494" w:type="pct"/>
            <w:shd w:val="clear" w:color="auto" w:fill="auto"/>
            <w:noWrap/>
            <w:vAlign w:val="center"/>
          </w:tcPr>
          <w:p w14:paraId="4ACA52EF">
            <w:pPr>
              <w:pStyle w:val="24"/>
              <w:rPr>
                <w:sz w:val="16"/>
                <w:szCs w:val="16"/>
              </w:rPr>
            </w:pPr>
            <w:r>
              <w:rPr>
                <w:sz w:val="16"/>
                <w:szCs w:val="16"/>
              </w:rPr>
              <w:fldChar w:fldCharType="begin"/>
            </w:r>
            <w:r>
              <w:rPr>
                <w:sz w:val="16"/>
                <w:szCs w:val="16"/>
              </w:rPr>
              <w:instrText xml:space="preserve"> ADDIN NE.Ref.{165101FD-41F0-4BD8-8862-78AE22384D2D}</w:instrText>
            </w:r>
            <w:r>
              <w:rPr>
                <w:sz w:val="16"/>
                <w:szCs w:val="16"/>
              </w:rPr>
              <w:fldChar w:fldCharType="separate"/>
            </w:r>
            <w:r>
              <w:rPr>
                <w:rFonts w:eastAsia="宋体" w:cs="Times New Roman"/>
                <w:color w:val="080000"/>
                <w:kern w:val="0"/>
                <w:sz w:val="16"/>
                <w:szCs w:val="16"/>
              </w:rPr>
              <w:t>[9]</w:t>
            </w:r>
            <w:r>
              <w:rPr>
                <w:sz w:val="16"/>
                <w:szCs w:val="16"/>
              </w:rPr>
              <w:fldChar w:fldCharType="end"/>
            </w:r>
          </w:p>
        </w:tc>
      </w:tr>
      <w:tr w14:paraId="32E0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978B393">
            <w:pPr>
              <w:pStyle w:val="24"/>
              <w:rPr>
                <w:sz w:val="16"/>
                <w:szCs w:val="16"/>
              </w:rPr>
            </w:pPr>
            <w:r>
              <w:rPr>
                <w:rFonts w:hint="eastAsia"/>
                <w:sz w:val="16"/>
                <w:szCs w:val="16"/>
              </w:rPr>
              <w:t>Disutility for Hand-foot skin reaction</w:t>
            </w:r>
          </w:p>
        </w:tc>
        <w:tc>
          <w:tcPr>
            <w:tcW w:w="506" w:type="pct"/>
            <w:shd w:val="clear" w:color="auto" w:fill="auto"/>
            <w:noWrap/>
            <w:vAlign w:val="center"/>
          </w:tcPr>
          <w:p w14:paraId="1908C069">
            <w:pPr>
              <w:pStyle w:val="24"/>
              <w:rPr>
                <w:sz w:val="16"/>
                <w:szCs w:val="16"/>
              </w:rPr>
            </w:pPr>
            <w:r>
              <w:rPr>
                <w:rFonts w:hint="eastAsia"/>
                <w:sz w:val="16"/>
                <w:szCs w:val="16"/>
              </w:rPr>
              <w:t>0.032</w:t>
            </w:r>
          </w:p>
        </w:tc>
        <w:tc>
          <w:tcPr>
            <w:tcW w:w="506" w:type="pct"/>
            <w:shd w:val="clear" w:color="auto" w:fill="auto"/>
            <w:noWrap/>
            <w:vAlign w:val="center"/>
          </w:tcPr>
          <w:p w14:paraId="5B84CB0E">
            <w:pPr>
              <w:pStyle w:val="24"/>
              <w:rPr>
                <w:sz w:val="16"/>
                <w:szCs w:val="16"/>
              </w:rPr>
            </w:pPr>
            <w:r>
              <w:rPr>
                <w:rFonts w:hint="eastAsia"/>
                <w:sz w:val="16"/>
                <w:szCs w:val="16"/>
              </w:rPr>
              <w:t>0.03</w:t>
            </w:r>
          </w:p>
        </w:tc>
        <w:tc>
          <w:tcPr>
            <w:tcW w:w="509" w:type="pct"/>
            <w:shd w:val="clear" w:color="auto" w:fill="auto"/>
            <w:noWrap/>
            <w:vAlign w:val="center"/>
          </w:tcPr>
          <w:p w14:paraId="48FBCB75">
            <w:pPr>
              <w:pStyle w:val="24"/>
              <w:rPr>
                <w:sz w:val="16"/>
                <w:szCs w:val="16"/>
              </w:rPr>
            </w:pPr>
            <w:r>
              <w:rPr>
                <w:rFonts w:hint="eastAsia"/>
                <w:sz w:val="16"/>
                <w:szCs w:val="16"/>
              </w:rPr>
              <w:t>0.04</w:t>
            </w:r>
          </w:p>
        </w:tc>
        <w:tc>
          <w:tcPr>
            <w:tcW w:w="512" w:type="pct"/>
            <w:shd w:val="clear" w:color="auto" w:fill="auto"/>
            <w:noWrap/>
            <w:vAlign w:val="center"/>
          </w:tcPr>
          <w:p w14:paraId="7A25FE69">
            <w:pPr>
              <w:pStyle w:val="24"/>
              <w:rPr>
                <w:sz w:val="16"/>
                <w:szCs w:val="16"/>
              </w:rPr>
            </w:pPr>
            <w:r>
              <w:rPr>
                <w:rFonts w:hint="eastAsia"/>
                <w:sz w:val="16"/>
                <w:szCs w:val="16"/>
              </w:rPr>
              <w:t>Beta</w:t>
            </w:r>
          </w:p>
        </w:tc>
        <w:tc>
          <w:tcPr>
            <w:tcW w:w="494" w:type="pct"/>
            <w:shd w:val="clear" w:color="auto" w:fill="auto"/>
            <w:noWrap/>
            <w:vAlign w:val="center"/>
          </w:tcPr>
          <w:p w14:paraId="2838A7D2">
            <w:pPr>
              <w:pStyle w:val="24"/>
              <w:rPr>
                <w:sz w:val="16"/>
                <w:szCs w:val="16"/>
              </w:rPr>
            </w:pPr>
            <w:r>
              <w:rPr>
                <w:sz w:val="16"/>
                <w:szCs w:val="16"/>
              </w:rPr>
              <w:fldChar w:fldCharType="begin"/>
            </w:r>
            <w:r>
              <w:rPr>
                <w:sz w:val="16"/>
                <w:szCs w:val="16"/>
              </w:rPr>
              <w:instrText xml:space="preserve"> ADDIN NE.Ref.{0CB03CA5-03E5-48D0-AC6E-C090C35E2205}</w:instrText>
            </w:r>
            <w:r>
              <w:rPr>
                <w:sz w:val="16"/>
                <w:szCs w:val="16"/>
              </w:rPr>
              <w:fldChar w:fldCharType="separate"/>
            </w:r>
            <w:r>
              <w:rPr>
                <w:rFonts w:eastAsia="宋体" w:cs="Times New Roman"/>
                <w:color w:val="080000"/>
                <w:kern w:val="0"/>
                <w:sz w:val="16"/>
                <w:szCs w:val="16"/>
              </w:rPr>
              <w:t>[4, 23]</w:t>
            </w:r>
            <w:r>
              <w:rPr>
                <w:sz w:val="16"/>
                <w:szCs w:val="16"/>
              </w:rPr>
              <w:fldChar w:fldCharType="end"/>
            </w:r>
          </w:p>
        </w:tc>
      </w:tr>
      <w:tr w14:paraId="75AFF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B3F8E6D">
            <w:pPr>
              <w:pStyle w:val="24"/>
              <w:rPr>
                <w:sz w:val="16"/>
                <w:szCs w:val="16"/>
              </w:rPr>
            </w:pPr>
            <w:r>
              <w:rPr>
                <w:rFonts w:hint="eastAsia"/>
                <w:sz w:val="16"/>
                <w:szCs w:val="16"/>
              </w:rPr>
              <w:t>Disutility for Hyperbilirubinaemia</w:t>
            </w:r>
          </w:p>
        </w:tc>
        <w:tc>
          <w:tcPr>
            <w:tcW w:w="506" w:type="pct"/>
            <w:shd w:val="clear" w:color="auto" w:fill="auto"/>
            <w:noWrap/>
            <w:vAlign w:val="center"/>
          </w:tcPr>
          <w:p w14:paraId="0D941DA3">
            <w:pPr>
              <w:pStyle w:val="24"/>
              <w:rPr>
                <w:sz w:val="16"/>
                <w:szCs w:val="16"/>
              </w:rPr>
            </w:pPr>
            <w:r>
              <w:rPr>
                <w:rFonts w:hint="eastAsia"/>
                <w:sz w:val="16"/>
                <w:szCs w:val="16"/>
              </w:rPr>
              <w:t>0.09</w:t>
            </w:r>
          </w:p>
        </w:tc>
        <w:tc>
          <w:tcPr>
            <w:tcW w:w="506" w:type="pct"/>
            <w:shd w:val="clear" w:color="auto" w:fill="auto"/>
            <w:noWrap/>
            <w:vAlign w:val="center"/>
          </w:tcPr>
          <w:p w14:paraId="53835B8F">
            <w:pPr>
              <w:pStyle w:val="24"/>
              <w:rPr>
                <w:sz w:val="16"/>
                <w:szCs w:val="16"/>
              </w:rPr>
            </w:pPr>
            <w:r>
              <w:rPr>
                <w:rFonts w:hint="eastAsia"/>
                <w:sz w:val="16"/>
                <w:szCs w:val="16"/>
              </w:rPr>
              <w:t>0.07</w:t>
            </w:r>
          </w:p>
        </w:tc>
        <w:tc>
          <w:tcPr>
            <w:tcW w:w="509" w:type="pct"/>
            <w:shd w:val="clear" w:color="auto" w:fill="auto"/>
            <w:noWrap/>
            <w:vAlign w:val="center"/>
          </w:tcPr>
          <w:p w14:paraId="3AE3A55E">
            <w:pPr>
              <w:pStyle w:val="24"/>
              <w:rPr>
                <w:sz w:val="16"/>
                <w:szCs w:val="16"/>
              </w:rPr>
            </w:pPr>
            <w:r>
              <w:rPr>
                <w:rFonts w:hint="eastAsia"/>
                <w:sz w:val="16"/>
                <w:szCs w:val="16"/>
              </w:rPr>
              <w:t>0.11</w:t>
            </w:r>
          </w:p>
        </w:tc>
        <w:tc>
          <w:tcPr>
            <w:tcW w:w="512" w:type="pct"/>
            <w:shd w:val="clear" w:color="auto" w:fill="auto"/>
            <w:noWrap/>
            <w:vAlign w:val="center"/>
          </w:tcPr>
          <w:p w14:paraId="04BC1A96">
            <w:pPr>
              <w:pStyle w:val="24"/>
              <w:rPr>
                <w:sz w:val="16"/>
                <w:szCs w:val="16"/>
              </w:rPr>
            </w:pPr>
            <w:r>
              <w:rPr>
                <w:rFonts w:hint="eastAsia"/>
                <w:sz w:val="16"/>
                <w:szCs w:val="16"/>
              </w:rPr>
              <w:t>Beta</w:t>
            </w:r>
          </w:p>
        </w:tc>
        <w:tc>
          <w:tcPr>
            <w:tcW w:w="494" w:type="pct"/>
            <w:shd w:val="clear" w:color="auto" w:fill="auto"/>
            <w:noWrap/>
            <w:vAlign w:val="center"/>
          </w:tcPr>
          <w:p w14:paraId="20785B3D">
            <w:pPr>
              <w:pStyle w:val="24"/>
              <w:rPr>
                <w:sz w:val="16"/>
                <w:szCs w:val="16"/>
              </w:rPr>
            </w:pPr>
            <w:r>
              <w:rPr>
                <w:sz w:val="16"/>
                <w:szCs w:val="16"/>
              </w:rPr>
              <w:fldChar w:fldCharType="begin"/>
            </w:r>
            <w:r>
              <w:rPr>
                <w:sz w:val="16"/>
                <w:szCs w:val="16"/>
              </w:rPr>
              <w:instrText xml:space="preserve"> ADDIN NE.Ref.{A8BBA061-F7A1-4885-BDB6-37C9917E0FC9}</w:instrText>
            </w:r>
            <w:r>
              <w:rPr>
                <w:sz w:val="16"/>
                <w:szCs w:val="16"/>
              </w:rPr>
              <w:fldChar w:fldCharType="separate"/>
            </w:r>
            <w:r>
              <w:rPr>
                <w:rFonts w:eastAsia="宋体" w:cs="Times New Roman"/>
                <w:color w:val="080000"/>
                <w:kern w:val="0"/>
                <w:sz w:val="16"/>
                <w:szCs w:val="16"/>
              </w:rPr>
              <w:t>[4, 23]</w:t>
            </w:r>
            <w:r>
              <w:rPr>
                <w:sz w:val="16"/>
                <w:szCs w:val="16"/>
              </w:rPr>
              <w:fldChar w:fldCharType="end"/>
            </w:r>
          </w:p>
        </w:tc>
      </w:tr>
      <w:tr w14:paraId="009F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00A0741">
            <w:pPr>
              <w:pStyle w:val="24"/>
              <w:rPr>
                <w:sz w:val="16"/>
                <w:szCs w:val="16"/>
              </w:rPr>
            </w:pPr>
            <w:r>
              <w:rPr>
                <w:rFonts w:hint="eastAsia"/>
                <w:sz w:val="16"/>
                <w:szCs w:val="16"/>
              </w:rPr>
              <w:t>Disutility for Hypertension</w:t>
            </w:r>
          </w:p>
        </w:tc>
        <w:tc>
          <w:tcPr>
            <w:tcW w:w="506" w:type="pct"/>
            <w:shd w:val="clear" w:color="auto" w:fill="auto"/>
            <w:noWrap/>
            <w:vAlign w:val="center"/>
          </w:tcPr>
          <w:p w14:paraId="5B8C6829">
            <w:pPr>
              <w:pStyle w:val="24"/>
              <w:rPr>
                <w:sz w:val="16"/>
                <w:szCs w:val="16"/>
              </w:rPr>
            </w:pPr>
            <w:r>
              <w:rPr>
                <w:rFonts w:hint="eastAsia"/>
                <w:sz w:val="16"/>
                <w:szCs w:val="16"/>
              </w:rPr>
              <w:t>0.069</w:t>
            </w:r>
          </w:p>
        </w:tc>
        <w:tc>
          <w:tcPr>
            <w:tcW w:w="506" w:type="pct"/>
            <w:shd w:val="clear" w:color="auto" w:fill="auto"/>
            <w:noWrap/>
            <w:vAlign w:val="center"/>
          </w:tcPr>
          <w:p w14:paraId="78FBC93C">
            <w:pPr>
              <w:pStyle w:val="24"/>
              <w:rPr>
                <w:sz w:val="16"/>
                <w:szCs w:val="16"/>
              </w:rPr>
            </w:pPr>
            <w:r>
              <w:rPr>
                <w:rFonts w:hint="eastAsia"/>
                <w:sz w:val="16"/>
                <w:szCs w:val="16"/>
              </w:rPr>
              <w:t>0.06</w:t>
            </w:r>
          </w:p>
        </w:tc>
        <w:tc>
          <w:tcPr>
            <w:tcW w:w="509" w:type="pct"/>
            <w:shd w:val="clear" w:color="auto" w:fill="auto"/>
            <w:noWrap/>
            <w:vAlign w:val="center"/>
          </w:tcPr>
          <w:p w14:paraId="1DCEE626">
            <w:pPr>
              <w:pStyle w:val="24"/>
              <w:rPr>
                <w:sz w:val="16"/>
                <w:szCs w:val="16"/>
              </w:rPr>
            </w:pPr>
            <w:r>
              <w:rPr>
                <w:rFonts w:hint="eastAsia"/>
                <w:sz w:val="16"/>
                <w:szCs w:val="16"/>
              </w:rPr>
              <w:t>0.08</w:t>
            </w:r>
          </w:p>
        </w:tc>
        <w:tc>
          <w:tcPr>
            <w:tcW w:w="512" w:type="pct"/>
            <w:shd w:val="clear" w:color="auto" w:fill="auto"/>
            <w:noWrap/>
            <w:vAlign w:val="center"/>
          </w:tcPr>
          <w:p w14:paraId="7DFF0C0C">
            <w:pPr>
              <w:pStyle w:val="24"/>
              <w:rPr>
                <w:sz w:val="16"/>
                <w:szCs w:val="16"/>
              </w:rPr>
            </w:pPr>
            <w:r>
              <w:rPr>
                <w:rFonts w:hint="eastAsia"/>
                <w:sz w:val="16"/>
                <w:szCs w:val="16"/>
              </w:rPr>
              <w:t>Beta</w:t>
            </w:r>
          </w:p>
        </w:tc>
        <w:tc>
          <w:tcPr>
            <w:tcW w:w="494" w:type="pct"/>
            <w:shd w:val="clear" w:color="auto" w:fill="auto"/>
            <w:noWrap/>
            <w:vAlign w:val="center"/>
          </w:tcPr>
          <w:p w14:paraId="3DFD4F26">
            <w:pPr>
              <w:pStyle w:val="24"/>
              <w:rPr>
                <w:sz w:val="16"/>
                <w:szCs w:val="16"/>
              </w:rPr>
            </w:pPr>
            <w:r>
              <w:rPr>
                <w:sz w:val="16"/>
                <w:szCs w:val="16"/>
              </w:rPr>
              <w:fldChar w:fldCharType="begin"/>
            </w:r>
            <w:r>
              <w:rPr>
                <w:sz w:val="16"/>
                <w:szCs w:val="16"/>
              </w:rPr>
              <w:instrText xml:space="preserve"> ADDIN NE.Ref.{E1B32A67-FAEF-461E-B4B7-B176B0AE2FB8}</w:instrText>
            </w:r>
            <w:r>
              <w:rPr>
                <w:sz w:val="16"/>
                <w:szCs w:val="16"/>
              </w:rPr>
              <w:fldChar w:fldCharType="separate"/>
            </w:r>
            <w:r>
              <w:rPr>
                <w:rFonts w:eastAsia="宋体" w:cs="Times New Roman"/>
                <w:color w:val="080000"/>
                <w:kern w:val="0"/>
                <w:sz w:val="16"/>
                <w:szCs w:val="16"/>
              </w:rPr>
              <w:t>[23]</w:t>
            </w:r>
            <w:r>
              <w:rPr>
                <w:sz w:val="16"/>
                <w:szCs w:val="16"/>
              </w:rPr>
              <w:fldChar w:fldCharType="end"/>
            </w:r>
          </w:p>
        </w:tc>
      </w:tr>
      <w:tr w14:paraId="006B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5A04D08">
            <w:pPr>
              <w:pStyle w:val="24"/>
              <w:rPr>
                <w:sz w:val="16"/>
                <w:szCs w:val="16"/>
              </w:rPr>
            </w:pPr>
            <w:r>
              <w:rPr>
                <w:rFonts w:hint="eastAsia"/>
                <w:sz w:val="16"/>
                <w:szCs w:val="16"/>
              </w:rPr>
              <w:t>Disutility for Hyponatremia</w:t>
            </w:r>
          </w:p>
        </w:tc>
        <w:tc>
          <w:tcPr>
            <w:tcW w:w="506" w:type="pct"/>
            <w:shd w:val="clear" w:color="auto" w:fill="auto"/>
            <w:noWrap/>
            <w:vAlign w:val="center"/>
          </w:tcPr>
          <w:p w14:paraId="0B949714">
            <w:pPr>
              <w:pStyle w:val="24"/>
              <w:rPr>
                <w:sz w:val="16"/>
                <w:szCs w:val="16"/>
              </w:rPr>
            </w:pPr>
            <w:r>
              <w:rPr>
                <w:rFonts w:hint="eastAsia"/>
                <w:sz w:val="16"/>
                <w:szCs w:val="16"/>
              </w:rPr>
              <w:t>0.17</w:t>
            </w:r>
          </w:p>
        </w:tc>
        <w:tc>
          <w:tcPr>
            <w:tcW w:w="506" w:type="pct"/>
            <w:shd w:val="clear" w:color="auto" w:fill="auto"/>
            <w:noWrap/>
            <w:vAlign w:val="center"/>
          </w:tcPr>
          <w:p w14:paraId="101C4C3B">
            <w:pPr>
              <w:pStyle w:val="24"/>
              <w:rPr>
                <w:sz w:val="16"/>
                <w:szCs w:val="16"/>
              </w:rPr>
            </w:pPr>
            <w:r>
              <w:rPr>
                <w:rFonts w:hint="eastAsia"/>
                <w:sz w:val="16"/>
                <w:szCs w:val="16"/>
              </w:rPr>
              <w:t>0.14</w:t>
            </w:r>
          </w:p>
        </w:tc>
        <w:tc>
          <w:tcPr>
            <w:tcW w:w="509" w:type="pct"/>
            <w:shd w:val="clear" w:color="auto" w:fill="auto"/>
            <w:noWrap/>
            <w:vAlign w:val="center"/>
          </w:tcPr>
          <w:p w14:paraId="207A7C3B">
            <w:pPr>
              <w:pStyle w:val="24"/>
              <w:rPr>
                <w:sz w:val="16"/>
                <w:szCs w:val="16"/>
              </w:rPr>
            </w:pPr>
            <w:r>
              <w:rPr>
                <w:rFonts w:hint="eastAsia"/>
                <w:sz w:val="16"/>
                <w:szCs w:val="16"/>
              </w:rPr>
              <w:t>0.20</w:t>
            </w:r>
          </w:p>
        </w:tc>
        <w:tc>
          <w:tcPr>
            <w:tcW w:w="512" w:type="pct"/>
            <w:shd w:val="clear" w:color="auto" w:fill="auto"/>
            <w:noWrap/>
            <w:vAlign w:val="center"/>
          </w:tcPr>
          <w:p w14:paraId="72A5E22B">
            <w:pPr>
              <w:pStyle w:val="24"/>
              <w:rPr>
                <w:sz w:val="16"/>
                <w:szCs w:val="16"/>
              </w:rPr>
            </w:pPr>
            <w:r>
              <w:rPr>
                <w:rFonts w:hint="eastAsia"/>
                <w:sz w:val="16"/>
                <w:szCs w:val="16"/>
              </w:rPr>
              <w:t>Beta</w:t>
            </w:r>
          </w:p>
        </w:tc>
        <w:tc>
          <w:tcPr>
            <w:tcW w:w="494" w:type="pct"/>
            <w:shd w:val="clear" w:color="auto" w:fill="auto"/>
            <w:noWrap/>
            <w:vAlign w:val="center"/>
          </w:tcPr>
          <w:p w14:paraId="69850E4B">
            <w:pPr>
              <w:pStyle w:val="24"/>
              <w:rPr>
                <w:sz w:val="16"/>
                <w:szCs w:val="16"/>
              </w:rPr>
            </w:pPr>
            <w:r>
              <w:rPr>
                <w:sz w:val="16"/>
                <w:szCs w:val="16"/>
              </w:rPr>
              <w:fldChar w:fldCharType="begin"/>
            </w:r>
            <w:r>
              <w:rPr>
                <w:sz w:val="16"/>
                <w:szCs w:val="16"/>
              </w:rPr>
              <w:instrText xml:space="preserve"> ADDIN NE.Ref.{8293A2F0-2D91-4B17-8772-5A6A0F99A99E}</w:instrText>
            </w:r>
            <w:r>
              <w:rPr>
                <w:sz w:val="16"/>
                <w:szCs w:val="16"/>
              </w:rPr>
              <w:fldChar w:fldCharType="separate"/>
            </w:r>
            <w:r>
              <w:rPr>
                <w:rFonts w:eastAsia="宋体" w:cs="Times New Roman"/>
                <w:color w:val="080000"/>
                <w:kern w:val="0"/>
                <w:sz w:val="16"/>
                <w:szCs w:val="16"/>
              </w:rPr>
              <w:t>[22]</w:t>
            </w:r>
            <w:r>
              <w:rPr>
                <w:sz w:val="16"/>
                <w:szCs w:val="16"/>
              </w:rPr>
              <w:fldChar w:fldCharType="end"/>
            </w:r>
          </w:p>
        </w:tc>
      </w:tr>
      <w:tr w14:paraId="06B1E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AADC5F9">
            <w:pPr>
              <w:pStyle w:val="24"/>
              <w:rPr>
                <w:sz w:val="16"/>
                <w:szCs w:val="16"/>
              </w:rPr>
            </w:pPr>
            <w:r>
              <w:rPr>
                <w:rFonts w:hint="eastAsia"/>
                <w:sz w:val="16"/>
                <w:szCs w:val="16"/>
              </w:rPr>
              <w:t>Disutility for Hypophosphataemia</w:t>
            </w:r>
          </w:p>
        </w:tc>
        <w:tc>
          <w:tcPr>
            <w:tcW w:w="506" w:type="pct"/>
            <w:shd w:val="clear" w:color="auto" w:fill="auto"/>
            <w:noWrap/>
            <w:vAlign w:val="center"/>
          </w:tcPr>
          <w:p w14:paraId="7C0A922E">
            <w:pPr>
              <w:pStyle w:val="24"/>
              <w:rPr>
                <w:sz w:val="16"/>
                <w:szCs w:val="16"/>
              </w:rPr>
            </w:pPr>
            <w:r>
              <w:rPr>
                <w:rFonts w:hint="eastAsia"/>
                <w:sz w:val="16"/>
                <w:szCs w:val="16"/>
              </w:rPr>
              <w:t>0.232</w:t>
            </w:r>
          </w:p>
        </w:tc>
        <w:tc>
          <w:tcPr>
            <w:tcW w:w="506" w:type="pct"/>
            <w:shd w:val="clear" w:color="auto" w:fill="auto"/>
            <w:noWrap/>
            <w:vAlign w:val="center"/>
          </w:tcPr>
          <w:p w14:paraId="4CA957FE">
            <w:pPr>
              <w:pStyle w:val="24"/>
              <w:rPr>
                <w:sz w:val="16"/>
                <w:szCs w:val="16"/>
              </w:rPr>
            </w:pPr>
            <w:r>
              <w:rPr>
                <w:rFonts w:hint="eastAsia"/>
                <w:sz w:val="16"/>
                <w:szCs w:val="16"/>
              </w:rPr>
              <w:t>0.19</w:t>
            </w:r>
          </w:p>
        </w:tc>
        <w:tc>
          <w:tcPr>
            <w:tcW w:w="509" w:type="pct"/>
            <w:shd w:val="clear" w:color="auto" w:fill="auto"/>
            <w:noWrap/>
            <w:vAlign w:val="center"/>
          </w:tcPr>
          <w:p w14:paraId="5A5A633D">
            <w:pPr>
              <w:pStyle w:val="24"/>
              <w:rPr>
                <w:sz w:val="16"/>
                <w:szCs w:val="16"/>
              </w:rPr>
            </w:pPr>
            <w:r>
              <w:rPr>
                <w:rFonts w:hint="eastAsia"/>
                <w:sz w:val="16"/>
                <w:szCs w:val="16"/>
              </w:rPr>
              <w:t>0.28</w:t>
            </w:r>
          </w:p>
        </w:tc>
        <w:tc>
          <w:tcPr>
            <w:tcW w:w="512" w:type="pct"/>
            <w:shd w:val="clear" w:color="auto" w:fill="auto"/>
            <w:noWrap/>
            <w:vAlign w:val="center"/>
          </w:tcPr>
          <w:p w14:paraId="421746DA">
            <w:pPr>
              <w:pStyle w:val="24"/>
              <w:rPr>
                <w:sz w:val="16"/>
                <w:szCs w:val="16"/>
              </w:rPr>
            </w:pPr>
            <w:r>
              <w:rPr>
                <w:rFonts w:hint="eastAsia"/>
                <w:sz w:val="16"/>
                <w:szCs w:val="16"/>
              </w:rPr>
              <w:t>Beta</w:t>
            </w:r>
          </w:p>
        </w:tc>
        <w:tc>
          <w:tcPr>
            <w:tcW w:w="494" w:type="pct"/>
            <w:shd w:val="clear" w:color="auto" w:fill="auto"/>
            <w:noWrap/>
            <w:vAlign w:val="center"/>
          </w:tcPr>
          <w:p w14:paraId="5A32598C">
            <w:pPr>
              <w:pStyle w:val="24"/>
              <w:rPr>
                <w:sz w:val="16"/>
                <w:szCs w:val="16"/>
              </w:rPr>
            </w:pPr>
            <w:r>
              <w:rPr>
                <w:sz w:val="16"/>
                <w:szCs w:val="16"/>
              </w:rPr>
              <w:fldChar w:fldCharType="begin"/>
            </w:r>
            <w:r>
              <w:rPr>
                <w:sz w:val="16"/>
                <w:szCs w:val="16"/>
              </w:rPr>
              <w:instrText xml:space="preserve"> ADDIN NE.Ref.{A453A9F3-D563-4FB5-A9AF-856DFAC6AE42}</w:instrText>
            </w:r>
            <w:r>
              <w:rPr>
                <w:sz w:val="16"/>
                <w:szCs w:val="16"/>
              </w:rPr>
              <w:fldChar w:fldCharType="separate"/>
            </w:r>
            <w:r>
              <w:rPr>
                <w:rFonts w:eastAsia="宋体" w:cs="Times New Roman"/>
                <w:color w:val="080000"/>
                <w:kern w:val="0"/>
                <w:sz w:val="16"/>
                <w:szCs w:val="16"/>
              </w:rPr>
              <w:t>[12, 25]</w:t>
            </w:r>
            <w:r>
              <w:rPr>
                <w:sz w:val="16"/>
                <w:szCs w:val="16"/>
              </w:rPr>
              <w:fldChar w:fldCharType="end"/>
            </w:r>
          </w:p>
        </w:tc>
      </w:tr>
      <w:tr w14:paraId="3B354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748D2E7">
            <w:pPr>
              <w:pStyle w:val="24"/>
              <w:rPr>
                <w:sz w:val="16"/>
                <w:szCs w:val="16"/>
              </w:rPr>
            </w:pPr>
            <w:r>
              <w:rPr>
                <w:rFonts w:hint="eastAsia"/>
                <w:sz w:val="16"/>
                <w:szCs w:val="16"/>
              </w:rPr>
              <w:t>Disutility for Increase alkaline phosphatase level</w:t>
            </w:r>
          </w:p>
        </w:tc>
        <w:tc>
          <w:tcPr>
            <w:tcW w:w="506" w:type="pct"/>
            <w:shd w:val="clear" w:color="auto" w:fill="auto"/>
            <w:noWrap/>
            <w:vAlign w:val="center"/>
          </w:tcPr>
          <w:p w14:paraId="2FFA3379">
            <w:pPr>
              <w:pStyle w:val="24"/>
              <w:rPr>
                <w:sz w:val="16"/>
                <w:szCs w:val="16"/>
              </w:rPr>
            </w:pPr>
            <w:r>
              <w:rPr>
                <w:rFonts w:hint="eastAsia"/>
                <w:sz w:val="16"/>
                <w:szCs w:val="16"/>
              </w:rPr>
              <w:t>0.232</w:t>
            </w:r>
          </w:p>
        </w:tc>
        <w:tc>
          <w:tcPr>
            <w:tcW w:w="506" w:type="pct"/>
            <w:shd w:val="clear" w:color="auto" w:fill="auto"/>
            <w:noWrap/>
            <w:vAlign w:val="center"/>
          </w:tcPr>
          <w:p w14:paraId="135B5E06">
            <w:pPr>
              <w:pStyle w:val="24"/>
              <w:rPr>
                <w:sz w:val="16"/>
                <w:szCs w:val="16"/>
              </w:rPr>
            </w:pPr>
            <w:r>
              <w:rPr>
                <w:rFonts w:hint="eastAsia"/>
                <w:sz w:val="16"/>
                <w:szCs w:val="16"/>
              </w:rPr>
              <w:t>0.19</w:t>
            </w:r>
          </w:p>
        </w:tc>
        <w:tc>
          <w:tcPr>
            <w:tcW w:w="509" w:type="pct"/>
            <w:shd w:val="clear" w:color="auto" w:fill="auto"/>
            <w:noWrap/>
            <w:vAlign w:val="center"/>
          </w:tcPr>
          <w:p w14:paraId="2FCF19A9">
            <w:pPr>
              <w:pStyle w:val="24"/>
              <w:rPr>
                <w:sz w:val="16"/>
                <w:szCs w:val="16"/>
              </w:rPr>
            </w:pPr>
            <w:r>
              <w:rPr>
                <w:rFonts w:hint="eastAsia"/>
                <w:sz w:val="16"/>
                <w:szCs w:val="16"/>
              </w:rPr>
              <w:t>0.28</w:t>
            </w:r>
          </w:p>
        </w:tc>
        <w:tc>
          <w:tcPr>
            <w:tcW w:w="512" w:type="pct"/>
            <w:shd w:val="clear" w:color="auto" w:fill="auto"/>
            <w:noWrap/>
            <w:vAlign w:val="center"/>
          </w:tcPr>
          <w:p w14:paraId="3C9982FB">
            <w:pPr>
              <w:pStyle w:val="24"/>
              <w:rPr>
                <w:sz w:val="16"/>
                <w:szCs w:val="16"/>
              </w:rPr>
            </w:pPr>
            <w:r>
              <w:rPr>
                <w:rFonts w:hint="eastAsia"/>
                <w:sz w:val="16"/>
                <w:szCs w:val="16"/>
              </w:rPr>
              <w:t>Beta</w:t>
            </w:r>
          </w:p>
        </w:tc>
        <w:tc>
          <w:tcPr>
            <w:tcW w:w="494" w:type="pct"/>
            <w:shd w:val="clear" w:color="auto" w:fill="auto"/>
            <w:noWrap/>
            <w:vAlign w:val="center"/>
          </w:tcPr>
          <w:p w14:paraId="47752A76">
            <w:pPr>
              <w:pStyle w:val="24"/>
              <w:rPr>
                <w:sz w:val="16"/>
                <w:szCs w:val="16"/>
              </w:rPr>
            </w:pPr>
            <w:r>
              <w:rPr>
                <w:sz w:val="16"/>
                <w:szCs w:val="16"/>
              </w:rPr>
              <w:fldChar w:fldCharType="begin"/>
            </w:r>
            <w:r>
              <w:rPr>
                <w:sz w:val="16"/>
                <w:szCs w:val="16"/>
              </w:rPr>
              <w:instrText xml:space="preserve"> ADDIN NE.Ref.{6BEBDB2E-0BCF-4913-A693-C721EB750E16}</w:instrText>
            </w:r>
            <w:r>
              <w:rPr>
                <w:sz w:val="16"/>
                <w:szCs w:val="16"/>
              </w:rPr>
              <w:fldChar w:fldCharType="separate"/>
            </w:r>
            <w:r>
              <w:rPr>
                <w:rFonts w:eastAsia="宋体" w:cs="Times New Roman"/>
                <w:color w:val="080000"/>
                <w:kern w:val="0"/>
                <w:sz w:val="16"/>
                <w:szCs w:val="16"/>
              </w:rPr>
              <w:t>[12, 25]</w:t>
            </w:r>
            <w:r>
              <w:rPr>
                <w:sz w:val="16"/>
                <w:szCs w:val="16"/>
              </w:rPr>
              <w:fldChar w:fldCharType="end"/>
            </w:r>
          </w:p>
        </w:tc>
      </w:tr>
      <w:tr w14:paraId="248DE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F0A3BC2">
            <w:pPr>
              <w:pStyle w:val="24"/>
              <w:rPr>
                <w:sz w:val="16"/>
                <w:szCs w:val="16"/>
              </w:rPr>
            </w:pPr>
            <w:r>
              <w:rPr>
                <w:rFonts w:hint="eastAsia"/>
                <w:sz w:val="16"/>
                <w:szCs w:val="16"/>
              </w:rPr>
              <w:t xml:space="preserve">Disutility for Increase in alanine aminotransferase </w:t>
            </w:r>
            <w:r>
              <w:rPr>
                <w:rFonts w:hint="eastAsia"/>
                <w:sz w:val="16"/>
                <w:szCs w:val="16"/>
              </w:rPr>
              <w:br w:type="textWrapping"/>
            </w:r>
            <w:r>
              <w:rPr>
                <w:rFonts w:hint="eastAsia"/>
                <w:sz w:val="16"/>
                <w:szCs w:val="16"/>
              </w:rPr>
              <w:t>level</w:t>
            </w:r>
          </w:p>
        </w:tc>
        <w:tc>
          <w:tcPr>
            <w:tcW w:w="506" w:type="pct"/>
            <w:shd w:val="clear" w:color="auto" w:fill="auto"/>
            <w:noWrap/>
            <w:vAlign w:val="center"/>
          </w:tcPr>
          <w:p w14:paraId="1ABAA354">
            <w:pPr>
              <w:pStyle w:val="24"/>
              <w:rPr>
                <w:sz w:val="16"/>
                <w:szCs w:val="16"/>
              </w:rPr>
            </w:pPr>
            <w:r>
              <w:rPr>
                <w:rFonts w:hint="eastAsia"/>
                <w:sz w:val="16"/>
                <w:szCs w:val="16"/>
              </w:rPr>
              <w:t>0.13</w:t>
            </w:r>
          </w:p>
        </w:tc>
        <w:tc>
          <w:tcPr>
            <w:tcW w:w="506" w:type="pct"/>
            <w:shd w:val="clear" w:color="auto" w:fill="auto"/>
            <w:noWrap/>
            <w:vAlign w:val="center"/>
          </w:tcPr>
          <w:p w14:paraId="0E04A2F8">
            <w:pPr>
              <w:pStyle w:val="24"/>
              <w:rPr>
                <w:sz w:val="16"/>
                <w:szCs w:val="16"/>
              </w:rPr>
            </w:pPr>
            <w:r>
              <w:rPr>
                <w:rFonts w:hint="eastAsia"/>
                <w:sz w:val="16"/>
                <w:szCs w:val="16"/>
              </w:rPr>
              <w:t>0.10</w:t>
            </w:r>
          </w:p>
        </w:tc>
        <w:tc>
          <w:tcPr>
            <w:tcW w:w="509" w:type="pct"/>
            <w:shd w:val="clear" w:color="auto" w:fill="auto"/>
            <w:noWrap/>
            <w:vAlign w:val="center"/>
          </w:tcPr>
          <w:p w14:paraId="01DD15CB">
            <w:pPr>
              <w:pStyle w:val="24"/>
              <w:rPr>
                <w:sz w:val="16"/>
                <w:szCs w:val="16"/>
              </w:rPr>
            </w:pPr>
            <w:r>
              <w:rPr>
                <w:rFonts w:hint="eastAsia"/>
                <w:sz w:val="16"/>
                <w:szCs w:val="16"/>
              </w:rPr>
              <w:t>0.16</w:t>
            </w:r>
          </w:p>
        </w:tc>
        <w:tc>
          <w:tcPr>
            <w:tcW w:w="512" w:type="pct"/>
            <w:shd w:val="clear" w:color="auto" w:fill="auto"/>
            <w:noWrap/>
            <w:vAlign w:val="center"/>
          </w:tcPr>
          <w:p w14:paraId="2F9E5333">
            <w:pPr>
              <w:pStyle w:val="24"/>
              <w:rPr>
                <w:sz w:val="16"/>
                <w:szCs w:val="16"/>
              </w:rPr>
            </w:pPr>
            <w:r>
              <w:rPr>
                <w:rFonts w:hint="eastAsia"/>
                <w:sz w:val="16"/>
                <w:szCs w:val="16"/>
              </w:rPr>
              <w:t>Beta</w:t>
            </w:r>
          </w:p>
        </w:tc>
        <w:tc>
          <w:tcPr>
            <w:tcW w:w="494" w:type="pct"/>
            <w:shd w:val="clear" w:color="auto" w:fill="auto"/>
            <w:noWrap/>
            <w:vAlign w:val="center"/>
          </w:tcPr>
          <w:p w14:paraId="307154C7">
            <w:pPr>
              <w:pStyle w:val="24"/>
              <w:rPr>
                <w:sz w:val="16"/>
                <w:szCs w:val="16"/>
              </w:rPr>
            </w:pPr>
            <w:r>
              <w:rPr>
                <w:sz w:val="16"/>
                <w:szCs w:val="16"/>
              </w:rPr>
              <w:fldChar w:fldCharType="begin"/>
            </w:r>
            <w:r>
              <w:rPr>
                <w:sz w:val="16"/>
                <w:szCs w:val="16"/>
              </w:rPr>
              <w:instrText xml:space="preserve"> ADDIN NE.Ref.{CFD40372-3BA5-4CB4-BFBC-6A4456784B47}</w:instrText>
            </w:r>
            <w:r>
              <w:rPr>
                <w:sz w:val="16"/>
                <w:szCs w:val="16"/>
              </w:rPr>
              <w:fldChar w:fldCharType="separate"/>
            </w:r>
            <w:r>
              <w:rPr>
                <w:rFonts w:eastAsia="宋体" w:cs="Times New Roman"/>
                <w:color w:val="080000"/>
                <w:kern w:val="0"/>
                <w:sz w:val="16"/>
                <w:szCs w:val="16"/>
              </w:rPr>
              <w:t>[9]</w:t>
            </w:r>
            <w:r>
              <w:rPr>
                <w:sz w:val="16"/>
                <w:szCs w:val="16"/>
              </w:rPr>
              <w:fldChar w:fldCharType="end"/>
            </w:r>
          </w:p>
        </w:tc>
      </w:tr>
      <w:tr w14:paraId="5AE51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5CA39D2">
            <w:pPr>
              <w:pStyle w:val="24"/>
              <w:rPr>
                <w:sz w:val="16"/>
                <w:szCs w:val="16"/>
              </w:rPr>
            </w:pPr>
            <w:r>
              <w:rPr>
                <w:rFonts w:hint="eastAsia"/>
                <w:sz w:val="16"/>
                <w:szCs w:val="16"/>
              </w:rPr>
              <w:t xml:space="preserve">Disutility for Increase in aspartate aminotransferase </w:t>
            </w:r>
            <w:r>
              <w:rPr>
                <w:rFonts w:hint="eastAsia"/>
                <w:sz w:val="16"/>
                <w:szCs w:val="16"/>
              </w:rPr>
              <w:br w:type="textWrapping"/>
            </w:r>
            <w:r>
              <w:rPr>
                <w:rFonts w:hint="eastAsia"/>
                <w:sz w:val="16"/>
                <w:szCs w:val="16"/>
              </w:rPr>
              <w:t>level</w:t>
            </w:r>
          </w:p>
        </w:tc>
        <w:tc>
          <w:tcPr>
            <w:tcW w:w="506" w:type="pct"/>
            <w:shd w:val="clear" w:color="auto" w:fill="auto"/>
            <w:noWrap/>
            <w:vAlign w:val="center"/>
          </w:tcPr>
          <w:p w14:paraId="05E4DC16">
            <w:pPr>
              <w:pStyle w:val="24"/>
              <w:rPr>
                <w:sz w:val="16"/>
                <w:szCs w:val="16"/>
              </w:rPr>
            </w:pPr>
            <w:r>
              <w:rPr>
                <w:rFonts w:hint="eastAsia"/>
                <w:sz w:val="16"/>
                <w:szCs w:val="16"/>
              </w:rPr>
              <w:t>0.13</w:t>
            </w:r>
          </w:p>
        </w:tc>
        <w:tc>
          <w:tcPr>
            <w:tcW w:w="506" w:type="pct"/>
            <w:shd w:val="clear" w:color="auto" w:fill="auto"/>
            <w:noWrap/>
            <w:vAlign w:val="center"/>
          </w:tcPr>
          <w:p w14:paraId="19F3AD97">
            <w:pPr>
              <w:pStyle w:val="24"/>
              <w:rPr>
                <w:sz w:val="16"/>
                <w:szCs w:val="16"/>
              </w:rPr>
            </w:pPr>
            <w:r>
              <w:rPr>
                <w:rFonts w:hint="eastAsia"/>
                <w:sz w:val="16"/>
                <w:szCs w:val="16"/>
              </w:rPr>
              <w:t>0.10</w:t>
            </w:r>
          </w:p>
        </w:tc>
        <w:tc>
          <w:tcPr>
            <w:tcW w:w="509" w:type="pct"/>
            <w:shd w:val="clear" w:color="auto" w:fill="auto"/>
            <w:noWrap/>
            <w:vAlign w:val="center"/>
          </w:tcPr>
          <w:p w14:paraId="4603D33A">
            <w:pPr>
              <w:pStyle w:val="24"/>
              <w:rPr>
                <w:sz w:val="16"/>
                <w:szCs w:val="16"/>
              </w:rPr>
            </w:pPr>
            <w:r>
              <w:rPr>
                <w:rFonts w:hint="eastAsia"/>
                <w:sz w:val="16"/>
                <w:szCs w:val="16"/>
              </w:rPr>
              <w:t>0.16</w:t>
            </w:r>
          </w:p>
        </w:tc>
        <w:tc>
          <w:tcPr>
            <w:tcW w:w="512" w:type="pct"/>
            <w:shd w:val="clear" w:color="auto" w:fill="auto"/>
            <w:noWrap/>
            <w:vAlign w:val="center"/>
          </w:tcPr>
          <w:p w14:paraId="7CE0380C">
            <w:pPr>
              <w:pStyle w:val="24"/>
              <w:rPr>
                <w:sz w:val="16"/>
                <w:szCs w:val="16"/>
              </w:rPr>
            </w:pPr>
            <w:r>
              <w:rPr>
                <w:rFonts w:hint="eastAsia"/>
                <w:sz w:val="16"/>
                <w:szCs w:val="16"/>
              </w:rPr>
              <w:t>Beta</w:t>
            </w:r>
          </w:p>
        </w:tc>
        <w:tc>
          <w:tcPr>
            <w:tcW w:w="494" w:type="pct"/>
            <w:shd w:val="clear" w:color="auto" w:fill="auto"/>
            <w:noWrap/>
            <w:vAlign w:val="center"/>
          </w:tcPr>
          <w:p w14:paraId="368C6B07">
            <w:pPr>
              <w:pStyle w:val="24"/>
              <w:rPr>
                <w:sz w:val="16"/>
                <w:szCs w:val="16"/>
              </w:rPr>
            </w:pPr>
            <w:r>
              <w:rPr>
                <w:sz w:val="16"/>
                <w:szCs w:val="16"/>
              </w:rPr>
              <w:fldChar w:fldCharType="begin"/>
            </w:r>
            <w:r>
              <w:rPr>
                <w:sz w:val="16"/>
                <w:szCs w:val="16"/>
              </w:rPr>
              <w:instrText xml:space="preserve"> ADDIN NE.Ref.{E56B7DC9-76B6-4DA0-B345-4C3AB3A6C575}</w:instrText>
            </w:r>
            <w:r>
              <w:rPr>
                <w:sz w:val="16"/>
                <w:szCs w:val="16"/>
              </w:rPr>
              <w:fldChar w:fldCharType="separate"/>
            </w:r>
            <w:r>
              <w:rPr>
                <w:rFonts w:eastAsia="宋体" w:cs="Times New Roman"/>
                <w:color w:val="080000"/>
                <w:kern w:val="0"/>
                <w:sz w:val="16"/>
                <w:szCs w:val="16"/>
              </w:rPr>
              <w:t>[9]</w:t>
            </w:r>
            <w:r>
              <w:rPr>
                <w:sz w:val="16"/>
                <w:szCs w:val="16"/>
              </w:rPr>
              <w:fldChar w:fldCharType="end"/>
            </w:r>
          </w:p>
        </w:tc>
      </w:tr>
      <w:tr w14:paraId="03F0E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08A4BF7">
            <w:pPr>
              <w:pStyle w:val="24"/>
              <w:rPr>
                <w:sz w:val="16"/>
                <w:szCs w:val="16"/>
              </w:rPr>
            </w:pPr>
            <w:r>
              <w:rPr>
                <w:rFonts w:hint="eastAsia"/>
                <w:sz w:val="16"/>
                <w:szCs w:val="16"/>
              </w:rPr>
              <w:t>Disutility for Leucopenia</w:t>
            </w:r>
          </w:p>
        </w:tc>
        <w:tc>
          <w:tcPr>
            <w:tcW w:w="506" w:type="pct"/>
            <w:shd w:val="clear" w:color="auto" w:fill="auto"/>
            <w:noWrap/>
            <w:vAlign w:val="center"/>
          </w:tcPr>
          <w:p w14:paraId="0BB2EE29">
            <w:pPr>
              <w:pStyle w:val="24"/>
              <w:rPr>
                <w:sz w:val="16"/>
                <w:szCs w:val="16"/>
              </w:rPr>
            </w:pPr>
            <w:r>
              <w:rPr>
                <w:rFonts w:hint="eastAsia"/>
                <w:sz w:val="16"/>
                <w:szCs w:val="16"/>
              </w:rPr>
              <w:t>0.232</w:t>
            </w:r>
          </w:p>
        </w:tc>
        <w:tc>
          <w:tcPr>
            <w:tcW w:w="506" w:type="pct"/>
            <w:shd w:val="clear" w:color="auto" w:fill="auto"/>
            <w:noWrap/>
            <w:vAlign w:val="center"/>
          </w:tcPr>
          <w:p w14:paraId="24F6E4F1">
            <w:pPr>
              <w:pStyle w:val="24"/>
              <w:rPr>
                <w:sz w:val="16"/>
                <w:szCs w:val="16"/>
              </w:rPr>
            </w:pPr>
            <w:r>
              <w:rPr>
                <w:rFonts w:hint="eastAsia"/>
                <w:sz w:val="16"/>
                <w:szCs w:val="16"/>
              </w:rPr>
              <w:t>0.19</w:t>
            </w:r>
          </w:p>
        </w:tc>
        <w:tc>
          <w:tcPr>
            <w:tcW w:w="509" w:type="pct"/>
            <w:shd w:val="clear" w:color="auto" w:fill="auto"/>
            <w:noWrap/>
            <w:vAlign w:val="center"/>
          </w:tcPr>
          <w:p w14:paraId="5CC8B3AC">
            <w:pPr>
              <w:pStyle w:val="24"/>
              <w:rPr>
                <w:sz w:val="16"/>
                <w:szCs w:val="16"/>
              </w:rPr>
            </w:pPr>
            <w:r>
              <w:rPr>
                <w:rFonts w:hint="eastAsia"/>
                <w:sz w:val="16"/>
                <w:szCs w:val="16"/>
              </w:rPr>
              <w:t>0.28</w:t>
            </w:r>
          </w:p>
        </w:tc>
        <w:tc>
          <w:tcPr>
            <w:tcW w:w="512" w:type="pct"/>
            <w:shd w:val="clear" w:color="auto" w:fill="auto"/>
            <w:noWrap/>
            <w:vAlign w:val="center"/>
          </w:tcPr>
          <w:p w14:paraId="44CE02F7">
            <w:pPr>
              <w:pStyle w:val="24"/>
              <w:rPr>
                <w:sz w:val="16"/>
                <w:szCs w:val="16"/>
              </w:rPr>
            </w:pPr>
            <w:r>
              <w:rPr>
                <w:rFonts w:hint="eastAsia"/>
                <w:sz w:val="16"/>
                <w:szCs w:val="16"/>
              </w:rPr>
              <w:t>Beta</w:t>
            </w:r>
          </w:p>
        </w:tc>
        <w:tc>
          <w:tcPr>
            <w:tcW w:w="494" w:type="pct"/>
            <w:shd w:val="clear" w:color="auto" w:fill="auto"/>
            <w:noWrap/>
            <w:vAlign w:val="center"/>
          </w:tcPr>
          <w:p w14:paraId="1A56D7D6">
            <w:pPr>
              <w:pStyle w:val="24"/>
              <w:rPr>
                <w:sz w:val="16"/>
                <w:szCs w:val="16"/>
              </w:rPr>
            </w:pPr>
            <w:r>
              <w:rPr>
                <w:sz w:val="16"/>
                <w:szCs w:val="16"/>
              </w:rPr>
              <w:fldChar w:fldCharType="begin"/>
            </w:r>
            <w:r>
              <w:rPr>
                <w:sz w:val="16"/>
                <w:szCs w:val="16"/>
              </w:rPr>
              <w:instrText xml:space="preserve"> ADDIN NE.Ref.{9859A9CE-7185-422E-8751-7A4F25BE39A3}</w:instrText>
            </w:r>
            <w:r>
              <w:rPr>
                <w:sz w:val="16"/>
                <w:szCs w:val="16"/>
              </w:rPr>
              <w:fldChar w:fldCharType="separate"/>
            </w:r>
            <w:r>
              <w:rPr>
                <w:rFonts w:eastAsia="宋体" w:cs="Times New Roman"/>
                <w:color w:val="080000"/>
                <w:kern w:val="0"/>
                <w:sz w:val="16"/>
                <w:szCs w:val="16"/>
              </w:rPr>
              <w:t>[12, 25]</w:t>
            </w:r>
            <w:r>
              <w:rPr>
                <w:sz w:val="16"/>
                <w:szCs w:val="16"/>
              </w:rPr>
              <w:fldChar w:fldCharType="end"/>
            </w:r>
          </w:p>
        </w:tc>
      </w:tr>
      <w:tr w14:paraId="59E59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C5E21E0">
            <w:pPr>
              <w:pStyle w:val="24"/>
              <w:rPr>
                <w:sz w:val="16"/>
                <w:szCs w:val="16"/>
              </w:rPr>
            </w:pPr>
            <w:r>
              <w:rPr>
                <w:rFonts w:hint="eastAsia"/>
                <w:sz w:val="16"/>
                <w:szCs w:val="16"/>
              </w:rPr>
              <w:t>Disutility for Lipase concentration increased</w:t>
            </w:r>
          </w:p>
        </w:tc>
        <w:tc>
          <w:tcPr>
            <w:tcW w:w="506" w:type="pct"/>
            <w:shd w:val="clear" w:color="auto" w:fill="auto"/>
            <w:noWrap/>
            <w:vAlign w:val="center"/>
          </w:tcPr>
          <w:p w14:paraId="62481A0E">
            <w:pPr>
              <w:pStyle w:val="24"/>
              <w:rPr>
                <w:sz w:val="16"/>
                <w:szCs w:val="16"/>
              </w:rPr>
            </w:pPr>
            <w:r>
              <w:rPr>
                <w:rFonts w:hint="eastAsia"/>
                <w:sz w:val="16"/>
                <w:szCs w:val="16"/>
              </w:rPr>
              <w:t>0.17</w:t>
            </w:r>
          </w:p>
        </w:tc>
        <w:tc>
          <w:tcPr>
            <w:tcW w:w="506" w:type="pct"/>
            <w:shd w:val="clear" w:color="auto" w:fill="auto"/>
            <w:noWrap/>
            <w:vAlign w:val="center"/>
          </w:tcPr>
          <w:p w14:paraId="615F34D2">
            <w:pPr>
              <w:pStyle w:val="24"/>
              <w:rPr>
                <w:sz w:val="16"/>
                <w:szCs w:val="16"/>
              </w:rPr>
            </w:pPr>
            <w:r>
              <w:rPr>
                <w:rFonts w:hint="eastAsia"/>
                <w:sz w:val="16"/>
                <w:szCs w:val="16"/>
              </w:rPr>
              <w:t>0.14</w:t>
            </w:r>
          </w:p>
        </w:tc>
        <w:tc>
          <w:tcPr>
            <w:tcW w:w="509" w:type="pct"/>
            <w:shd w:val="clear" w:color="auto" w:fill="auto"/>
            <w:noWrap/>
            <w:vAlign w:val="center"/>
          </w:tcPr>
          <w:p w14:paraId="336919C7">
            <w:pPr>
              <w:pStyle w:val="24"/>
              <w:rPr>
                <w:sz w:val="16"/>
                <w:szCs w:val="16"/>
              </w:rPr>
            </w:pPr>
            <w:r>
              <w:rPr>
                <w:rFonts w:hint="eastAsia"/>
                <w:sz w:val="16"/>
                <w:szCs w:val="16"/>
              </w:rPr>
              <w:t>0.20</w:t>
            </w:r>
          </w:p>
        </w:tc>
        <w:tc>
          <w:tcPr>
            <w:tcW w:w="512" w:type="pct"/>
            <w:shd w:val="clear" w:color="auto" w:fill="auto"/>
            <w:noWrap/>
            <w:vAlign w:val="center"/>
          </w:tcPr>
          <w:p w14:paraId="1BBF13E9">
            <w:pPr>
              <w:pStyle w:val="24"/>
              <w:rPr>
                <w:sz w:val="16"/>
                <w:szCs w:val="16"/>
              </w:rPr>
            </w:pPr>
            <w:r>
              <w:rPr>
                <w:rFonts w:hint="eastAsia"/>
                <w:sz w:val="16"/>
                <w:szCs w:val="16"/>
              </w:rPr>
              <w:t>Beta</w:t>
            </w:r>
          </w:p>
        </w:tc>
        <w:tc>
          <w:tcPr>
            <w:tcW w:w="494" w:type="pct"/>
            <w:shd w:val="clear" w:color="auto" w:fill="auto"/>
            <w:noWrap/>
            <w:vAlign w:val="center"/>
          </w:tcPr>
          <w:p w14:paraId="06308089">
            <w:pPr>
              <w:pStyle w:val="24"/>
              <w:rPr>
                <w:sz w:val="16"/>
                <w:szCs w:val="16"/>
              </w:rPr>
            </w:pPr>
            <w:r>
              <w:rPr>
                <w:sz w:val="16"/>
                <w:szCs w:val="16"/>
              </w:rPr>
              <w:fldChar w:fldCharType="begin"/>
            </w:r>
            <w:r>
              <w:rPr>
                <w:sz w:val="16"/>
                <w:szCs w:val="16"/>
              </w:rPr>
              <w:instrText xml:space="preserve"> ADDIN NE.Ref.{57BD78B2-A23F-4271-AB9A-E837F71A8428}</w:instrText>
            </w:r>
            <w:r>
              <w:rPr>
                <w:sz w:val="16"/>
                <w:szCs w:val="16"/>
              </w:rPr>
              <w:fldChar w:fldCharType="separate"/>
            </w:r>
            <w:r>
              <w:rPr>
                <w:rFonts w:eastAsia="宋体" w:cs="Times New Roman"/>
                <w:color w:val="080000"/>
                <w:kern w:val="0"/>
                <w:sz w:val="16"/>
                <w:szCs w:val="16"/>
              </w:rPr>
              <w:t>[9]</w:t>
            </w:r>
            <w:r>
              <w:rPr>
                <w:sz w:val="16"/>
                <w:szCs w:val="16"/>
              </w:rPr>
              <w:fldChar w:fldCharType="end"/>
            </w:r>
          </w:p>
        </w:tc>
      </w:tr>
      <w:tr w14:paraId="1E96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8EF84A3">
            <w:pPr>
              <w:pStyle w:val="24"/>
              <w:rPr>
                <w:sz w:val="16"/>
                <w:szCs w:val="16"/>
              </w:rPr>
            </w:pPr>
            <w:r>
              <w:rPr>
                <w:rFonts w:hint="eastAsia"/>
                <w:sz w:val="16"/>
                <w:szCs w:val="16"/>
              </w:rPr>
              <w:t>Disutility for Lymphocyte count decreased</w:t>
            </w:r>
          </w:p>
        </w:tc>
        <w:tc>
          <w:tcPr>
            <w:tcW w:w="506" w:type="pct"/>
            <w:shd w:val="clear" w:color="auto" w:fill="auto"/>
            <w:noWrap/>
            <w:vAlign w:val="center"/>
          </w:tcPr>
          <w:p w14:paraId="6C73F8A9">
            <w:pPr>
              <w:pStyle w:val="24"/>
              <w:rPr>
                <w:sz w:val="16"/>
                <w:szCs w:val="16"/>
              </w:rPr>
            </w:pPr>
            <w:r>
              <w:rPr>
                <w:rFonts w:hint="eastAsia"/>
                <w:sz w:val="16"/>
                <w:szCs w:val="16"/>
              </w:rPr>
              <w:t>0.09</w:t>
            </w:r>
          </w:p>
        </w:tc>
        <w:tc>
          <w:tcPr>
            <w:tcW w:w="506" w:type="pct"/>
            <w:shd w:val="clear" w:color="auto" w:fill="auto"/>
            <w:noWrap/>
            <w:vAlign w:val="center"/>
          </w:tcPr>
          <w:p w14:paraId="2548455C">
            <w:pPr>
              <w:pStyle w:val="24"/>
              <w:rPr>
                <w:sz w:val="16"/>
                <w:szCs w:val="16"/>
              </w:rPr>
            </w:pPr>
            <w:r>
              <w:rPr>
                <w:rFonts w:hint="eastAsia"/>
                <w:sz w:val="16"/>
                <w:szCs w:val="16"/>
              </w:rPr>
              <w:t>0.07</w:t>
            </w:r>
          </w:p>
        </w:tc>
        <w:tc>
          <w:tcPr>
            <w:tcW w:w="509" w:type="pct"/>
            <w:shd w:val="clear" w:color="auto" w:fill="auto"/>
            <w:noWrap/>
            <w:vAlign w:val="center"/>
          </w:tcPr>
          <w:p w14:paraId="70AC80A7">
            <w:pPr>
              <w:pStyle w:val="24"/>
              <w:rPr>
                <w:sz w:val="16"/>
                <w:szCs w:val="16"/>
              </w:rPr>
            </w:pPr>
            <w:r>
              <w:rPr>
                <w:rFonts w:hint="eastAsia"/>
                <w:sz w:val="16"/>
                <w:szCs w:val="16"/>
              </w:rPr>
              <w:t>0.11</w:t>
            </w:r>
          </w:p>
        </w:tc>
        <w:tc>
          <w:tcPr>
            <w:tcW w:w="512" w:type="pct"/>
            <w:shd w:val="clear" w:color="auto" w:fill="auto"/>
            <w:noWrap/>
            <w:vAlign w:val="center"/>
          </w:tcPr>
          <w:p w14:paraId="12DA2C10">
            <w:pPr>
              <w:pStyle w:val="24"/>
              <w:rPr>
                <w:sz w:val="16"/>
                <w:szCs w:val="16"/>
              </w:rPr>
            </w:pPr>
            <w:r>
              <w:rPr>
                <w:rFonts w:hint="eastAsia"/>
                <w:sz w:val="16"/>
                <w:szCs w:val="16"/>
              </w:rPr>
              <w:t>Beta</w:t>
            </w:r>
          </w:p>
        </w:tc>
        <w:tc>
          <w:tcPr>
            <w:tcW w:w="494" w:type="pct"/>
            <w:shd w:val="clear" w:color="auto" w:fill="auto"/>
            <w:noWrap/>
            <w:vAlign w:val="center"/>
          </w:tcPr>
          <w:p w14:paraId="59CBFC02">
            <w:pPr>
              <w:pStyle w:val="24"/>
              <w:rPr>
                <w:sz w:val="16"/>
                <w:szCs w:val="16"/>
              </w:rPr>
            </w:pPr>
            <w:r>
              <w:rPr>
                <w:sz w:val="16"/>
                <w:szCs w:val="16"/>
              </w:rPr>
              <w:fldChar w:fldCharType="begin"/>
            </w:r>
            <w:r>
              <w:rPr>
                <w:sz w:val="16"/>
                <w:szCs w:val="16"/>
              </w:rPr>
              <w:instrText xml:space="preserve"> ADDIN NE.Ref.{CAA332E8-666B-4798-B7A2-8D8F3E0B59A3}</w:instrText>
            </w:r>
            <w:r>
              <w:rPr>
                <w:sz w:val="16"/>
                <w:szCs w:val="16"/>
              </w:rPr>
              <w:fldChar w:fldCharType="separate"/>
            </w:r>
            <w:r>
              <w:rPr>
                <w:rFonts w:eastAsia="宋体" w:cs="Times New Roman"/>
                <w:color w:val="080000"/>
                <w:kern w:val="0"/>
                <w:sz w:val="16"/>
                <w:szCs w:val="16"/>
              </w:rPr>
              <w:t>[4, 23]</w:t>
            </w:r>
            <w:r>
              <w:rPr>
                <w:sz w:val="16"/>
                <w:szCs w:val="16"/>
              </w:rPr>
              <w:fldChar w:fldCharType="end"/>
            </w:r>
          </w:p>
        </w:tc>
      </w:tr>
      <w:tr w14:paraId="2A50C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A8BB723">
            <w:pPr>
              <w:pStyle w:val="24"/>
              <w:rPr>
                <w:sz w:val="16"/>
                <w:szCs w:val="16"/>
              </w:rPr>
            </w:pPr>
            <w:r>
              <w:rPr>
                <w:rFonts w:hint="eastAsia"/>
                <w:sz w:val="16"/>
                <w:szCs w:val="16"/>
              </w:rPr>
              <w:t>Disutility for Myalgia</w:t>
            </w:r>
          </w:p>
        </w:tc>
        <w:tc>
          <w:tcPr>
            <w:tcW w:w="506" w:type="pct"/>
            <w:shd w:val="clear" w:color="auto" w:fill="auto"/>
            <w:noWrap/>
            <w:vAlign w:val="center"/>
          </w:tcPr>
          <w:p w14:paraId="45C174B8">
            <w:pPr>
              <w:pStyle w:val="24"/>
              <w:rPr>
                <w:sz w:val="16"/>
                <w:szCs w:val="16"/>
              </w:rPr>
            </w:pPr>
            <w:r>
              <w:rPr>
                <w:rFonts w:hint="eastAsia"/>
                <w:sz w:val="16"/>
                <w:szCs w:val="16"/>
              </w:rPr>
              <w:t>0.13</w:t>
            </w:r>
          </w:p>
        </w:tc>
        <w:tc>
          <w:tcPr>
            <w:tcW w:w="506" w:type="pct"/>
            <w:shd w:val="clear" w:color="auto" w:fill="auto"/>
            <w:noWrap/>
            <w:vAlign w:val="center"/>
          </w:tcPr>
          <w:p w14:paraId="2A496BE6">
            <w:pPr>
              <w:pStyle w:val="24"/>
              <w:rPr>
                <w:sz w:val="16"/>
                <w:szCs w:val="16"/>
              </w:rPr>
            </w:pPr>
            <w:r>
              <w:rPr>
                <w:rFonts w:hint="eastAsia"/>
                <w:sz w:val="16"/>
                <w:szCs w:val="16"/>
              </w:rPr>
              <w:t>0.10</w:t>
            </w:r>
          </w:p>
        </w:tc>
        <w:tc>
          <w:tcPr>
            <w:tcW w:w="509" w:type="pct"/>
            <w:shd w:val="clear" w:color="auto" w:fill="auto"/>
            <w:noWrap/>
            <w:vAlign w:val="center"/>
          </w:tcPr>
          <w:p w14:paraId="53B85A06">
            <w:pPr>
              <w:pStyle w:val="24"/>
              <w:rPr>
                <w:sz w:val="16"/>
                <w:szCs w:val="16"/>
              </w:rPr>
            </w:pPr>
            <w:r>
              <w:rPr>
                <w:rFonts w:hint="eastAsia"/>
                <w:sz w:val="16"/>
                <w:szCs w:val="16"/>
              </w:rPr>
              <w:t>0.16</w:t>
            </w:r>
          </w:p>
        </w:tc>
        <w:tc>
          <w:tcPr>
            <w:tcW w:w="512" w:type="pct"/>
            <w:shd w:val="clear" w:color="auto" w:fill="auto"/>
            <w:noWrap/>
            <w:vAlign w:val="center"/>
          </w:tcPr>
          <w:p w14:paraId="48609F56">
            <w:pPr>
              <w:pStyle w:val="24"/>
              <w:rPr>
                <w:sz w:val="16"/>
                <w:szCs w:val="16"/>
              </w:rPr>
            </w:pPr>
            <w:r>
              <w:rPr>
                <w:rFonts w:hint="eastAsia"/>
                <w:sz w:val="16"/>
                <w:szCs w:val="16"/>
              </w:rPr>
              <w:t>Beta</w:t>
            </w:r>
          </w:p>
        </w:tc>
        <w:tc>
          <w:tcPr>
            <w:tcW w:w="494" w:type="pct"/>
            <w:shd w:val="clear" w:color="auto" w:fill="auto"/>
            <w:noWrap/>
            <w:vAlign w:val="center"/>
          </w:tcPr>
          <w:p w14:paraId="701A1822">
            <w:pPr>
              <w:pStyle w:val="24"/>
              <w:rPr>
                <w:sz w:val="16"/>
                <w:szCs w:val="16"/>
              </w:rPr>
            </w:pPr>
            <w:r>
              <w:rPr>
                <w:sz w:val="16"/>
                <w:szCs w:val="16"/>
              </w:rPr>
              <w:fldChar w:fldCharType="begin"/>
            </w:r>
            <w:r>
              <w:rPr>
                <w:sz w:val="16"/>
                <w:szCs w:val="16"/>
              </w:rPr>
              <w:instrText xml:space="preserve"> ADDIN NE.Ref.{3D913453-B2B2-4E76-9046-695062C8F088}</w:instrText>
            </w:r>
            <w:r>
              <w:rPr>
                <w:sz w:val="16"/>
                <w:szCs w:val="16"/>
              </w:rPr>
              <w:fldChar w:fldCharType="separate"/>
            </w:r>
            <w:r>
              <w:rPr>
                <w:rFonts w:eastAsia="宋体" w:cs="Times New Roman"/>
                <w:color w:val="080000"/>
                <w:kern w:val="0"/>
                <w:sz w:val="16"/>
                <w:szCs w:val="16"/>
              </w:rPr>
              <w:t>[22]</w:t>
            </w:r>
            <w:r>
              <w:rPr>
                <w:sz w:val="16"/>
                <w:szCs w:val="16"/>
              </w:rPr>
              <w:fldChar w:fldCharType="end"/>
            </w:r>
          </w:p>
        </w:tc>
      </w:tr>
      <w:tr w14:paraId="0A4E9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F4CC055">
            <w:pPr>
              <w:pStyle w:val="24"/>
              <w:rPr>
                <w:sz w:val="16"/>
                <w:szCs w:val="16"/>
              </w:rPr>
            </w:pPr>
            <w:r>
              <w:rPr>
                <w:rFonts w:hint="eastAsia"/>
                <w:sz w:val="16"/>
                <w:szCs w:val="16"/>
              </w:rPr>
              <w:t>Disutility for Nausea</w:t>
            </w:r>
          </w:p>
        </w:tc>
        <w:tc>
          <w:tcPr>
            <w:tcW w:w="506" w:type="pct"/>
            <w:shd w:val="clear" w:color="auto" w:fill="auto"/>
            <w:noWrap/>
            <w:vAlign w:val="center"/>
          </w:tcPr>
          <w:p w14:paraId="51E1E343">
            <w:pPr>
              <w:pStyle w:val="24"/>
              <w:rPr>
                <w:sz w:val="16"/>
                <w:szCs w:val="16"/>
              </w:rPr>
            </w:pPr>
            <w:r>
              <w:rPr>
                <w:rFonts w:hint="eastAsia"/>
                <w:sz w:val="16"/>
                <w:szCs w:val="16"/>
              </w:rPr>
              <w:t>0.103</w:t>
            </w:r>
          </w:p>
        </w:tc>
        <w:tc>
          <w:tcPr>
            <w:tcW w:w="506" w:type="pct"/>
            <w:shd w:val="clear" w:color="auto" w:fill="auto"/>
            <w:noWrap/>
            <w:vAlign w:val="center"/>
          </w:tcPr>
          <w:p w14:paraId="1130F60D">
            <w:pPr>
              <w:pStyle w:val="24"/>
              <w:rPr>
                <w:sz w:val="16"/>
                <w:szCs w:val="16"/>
              </w:rPr>
            </w:pPr>
            <w:r>
              <w:rPr>
                <w:rFonts w:hint="eastAsia"/>
                <w:sz w:val="16"/>
                <w:szCs w:val="16"/>
              </w:rPr>
              <w:t>0.08</w:t>
            </w:r>
          </w:p>
        </w:tc>
        <w:tc>
          <w:tcPr>
            <w:tcW w:w="509" w:type="pct"/>
            <w:shd w:val="clear" w:color="auto" w:fill="auto"/>
            <w:noWrap/>
            <w:vAlign w:val="center"/>
          </w:tcPr>
          <w:p w14:paraId="3C0F4202">
            <w:pPr>
              <w:pStyle w:val="24"/>
              <w:rPr>
                <w:sz w:val="16"/>
                <w:szCs w:val="16"/>
              </w:rPr>
            </w:pPr>
            <w:r>
              <w:rPr>
                <w:rFonts w:hint="eastAsia"/>
                <w:sz w:val="16"/>
                <w:szCs w:val="16"/>
              </w:rPr>
              <w:t>0.12</w:t>
            </w:r>
          </w:p>
        </w:tc>
        <w:tc>
          <w:tcPr>
            <w:tcW w:w="512" w:type="pct"/>
            <w:shd w:val="clear" w:color="auto" w:fill="auto"/>
            <w:noWrap/>
            <w:vAlign w:val="center"/>
          </w:tcPr>
          <w:p w14:paraId="0E3BA56B">
            <w:pPr>
              <w:pStyle w:val="24"/>
              <w:rPr>
                <w:sz w:val="16"/>
                <w:szCs w:val="16"/>
              </w:rPr>
            </w:pPr>
            <w:r>
              <w:rPr>
                <w:rFonts w:hint="eastAsia"/>
                <w:sz w:val="16"/>
                <w:szCs w:val="16"/>
              </w:rPr>
              <w:t>Beta</w:t>
            </w:r>
          </w:p>
        </w:tc>
        <w:tc>
          <w:tcPr>
            <w:tcW w:w="494" w:type="pct"/>
            <w:shd w:val="clear" w:color="auto" w:fill="auto"/>
            <w:noWrap/>
            <w:vAlign w:val="center"/>
          </w:tcPr>
          <w:p w14:paraId="7D31789E">
            <w:pPr>
              <w:pStyle w:val="24"/>
              <w:rPr>
                <w:sz w:val="16"/>
                <w:szCs w:val="16"/>
              </w:rPr>
            </w:pPr>
            <w:r>
              <w:rPr>
                <w:sz w:val="16"/>
                <w:szCs w:val="16"/>
              </w:rPr>
              <w:fldChar w:fldCharType="begin"/>
            </w:r>
            <w:r>
              <w:rPr>
                <w:sz w:val="16"/>
                <w:szCs w:val="16"/>
              </w:rPr>
              <w:instrText xml:space="preserve"> ADDIN NE.Ref.{7AC5E797-272C-4087-A201-9236B778D1C4}</w:instrText>
            </w:r>
            <w:r>
              <w:rPr>
                <w:sz w:val="16"/>
                <w:szCs w:val="16"/>
              </w:rPr>
              <w:fldChar w:fldCharType="separate"/>
            </w:r>
            <w:r>
              <w:rPr>
                <w:rFonts w:eastAsia="宋体" w:cs="Times New Roman"/>
                <w:color w:val="080000"/>
                <w:kern w:val="0"/>
                <w:sz w:val="16"/>
                <w:szCs w:val="16"/>
              </w:rPr>
              <w:t>[22]</w:t>
            </w:r>
            <w:r>
              <w:rPr>
                <w:sz w:val="16"/>
                <w:szCs w:val="16"/>
              </w:rPr>
              <w:fldChar w:fldCharType="end"/>
            </w:r>
          </w:p>
        </w:tc>
      </w:tr>
      <w:tr w14:paraId="6CC9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8F08271">
            <w:pPr>
              <w:pStyle w:val="24"/>
              <w:rPr>
                <w:sz w:val="16"/>
                <w:szCs w:val="16"/>
              </w:rPr>
            </w:pPr>
            <w:r>
              <w:rPr>
                <w:rFonts w:hint="eastAsia"/>
                <w:sz w:val="16"/>
                <w:szCs w:val="16"/>
              </w:rPr>
              <w:t>Disutility for Neutropenia</w:t>
            </w:r>
          </w:p>
        </w:tc>
        <w:tc>
          <w:tcPr>
            <w:tcW w:w="506" w:type="pct"/>
            <w:shd w:val="clear" w:color="auto" w:fill="auto"/>
            <w:noWrap/>
            <w:vAlign w:val="center"/>
          </w:tcPr>
          <w:p w14:paraId="64939DF3">
            <w:pPr>
              <w:pStyle w:val="24"/>
              <w:rPr>
                <w:sz w:val="16"/>
                <w:szCs w:val="16"/>
              </w:rPr>
            </w:pPr>
            <w:r>
              <w:rPr>
                <w:rFonts w:hint="eastAsia"/>
                <w:sz w:val="16"/>
                <w:szCs w:val="16"/>
              </w:rPr>
              <w:t>0.13</w:t>
            </w:r>
          </w:p>
        </w:tc>
        <w:tc>
          <w:tcPr>
            <w:tcW w:w="506" w:type="pct"/>
            <w:shd w:val="clear" w:color="auto" w:fill="auto"/>
            <w:noWrap/>
            <w:vAlign w:val="center"/>
          </w:tcPr>
          <w:p w14:paraId="1EC59572">
            <w:pPr>
              <w:pStyle w:val="24"/>
              <w:rPr>
                <w:sz w:val="16"/>
                <w:szCs w:val="16"/>
              </w:rPr>
            </w:pPr>
            <w:r>
              <w:rPr>
                <w:rFonts w:hint="eastAsia"/>
                <w:sz w:val="16"/>
                <w:szCs w:val="16"/>
              </w:rPr>
              <w:t>0.110</w:t>
            </w:r>
          </w:p>
        </w:tc>
        <w:tc>
          <w:tcPr>
            <w:tcW w:w="509" w:type="pct"/>
            <w:shd w:val="clear" w:color="auto" w:fill="auto"/>
            <w:noWrap/>
            <w:vAlign w:val="center"/>
          </w:tcPr>
          <w:p w14:paraId="61F33691">
            <w:pPr>
              <w:pStyle w:val="24"/>
              <w:rPr>
                <w:sz w:val="16"/>
                <w:szCs w:val="16"/>
              </w:rPr>
            </w:pPr>
            <w:r>
              <w:rPr>
                <w:rFonts w:hint="eastAsia"/>
                <w:sz w:val="16"/>
                <w:szCs w:val="16"/>
              </w:rPr>
              <w:t>0.20</w:t>
            </w:r>
          </w:p>
        </w:tc>
        <w:tc>
          <w:tcPr>
            <w:tcW w:w="512" w:type="pct"/>
            <w:shd w:val="clear" w:color="auto" w:fill="auto"/>
            <w:noWrap/>
            <w:vAlign w:val="center"/>
          </w:tcPr>
          <w:p w14:paraId="327E9326">
            <w:pPr>
              <w:pStyle w:val="24"/>
              <w:rPr>
                <w:sz w:val="16"/>
                <w:szCs w:val="16"/>
              </w:rPr>
            </w:pPr>
            <w:r>
              <w:rPr>
                <w:rFonts w:hint="eastAsia"/>
                <w:sz w:val="16"/>
                <w:szCs w:val="16"/>
              </w:rPr>
              <w:t>Beta</w:t>
            </w:r>
          </w:p>
        </w:tc>
        <w:tc>
          <w:tcPr>
            <w:tcW w:w="494" w:type="pct"/>
            <w:shd w:val="clear" w:color="auto" w:fill="auto"/>
            <w:noWrap/>
            <w:vAlign w:val="center"/>
          </w:tcPr>
          <w:p w14:paraId="4BE1BA7A">
            <w:pPr>
              <w:pStyle w:val="24"/>
              <w:rPr>
                <w:sz w:val="16"/>
                <w:szCs w:val="16"/>
              </w:rPr>
            </w:pPr>
            <w:r>
              <w:rPr>
                <w:sz w:val="16"/>
                <w:szCs w:val="16"/>
              </w:rPr>
              <w:fldChar w:fldCharType="begin"/>
            </w:r>
            <w:r>
              <w:rPr>
                <w:sz w:val="16"/>
                <w:szCs w:val="16"/>
              </w:rPr>
              <w:instrText xml:space="preserve"> ADDIN NE.Ref.{E5E35589-E25F-4C5A-BF30-E50F53522D2C}</w:instrText>
            </w:r>
            <w:r>
              <w:rPr>
                <w:sz w:val="16"/>
                <w:szCs w:val="16"/>
              </w:rPr>
              <w:fldChar w:fldCharType="separate"/>
            </w:r>
            <w:r>
              <w:rPr>
                <w:rFonts w:eastAsia="宋体" w:cs="Times New Roman"/>
                <w:color w:val="080000"/>
                <w:kern w:val="0"/>
                <w:sz w:val="16"/>
                <w:szCs w:val="16"/>
              </w:rPr>
              <w:t>[22]</w:t>
            </w:r>
            <w:r>
              <w:rPr>
                <w:sz w:val="16"/>
                <w:szCs w:val="16"/>
              </w:rPr>
              <w:fldChar w:fldCharType="end"/>
            </w:r>
          </w:p>
        </w:tc>
      </w:tr>
      <w:tr w14:paraId="3D83E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20312F1">
            <w:pPr>
              <w:pStyle w:val="24"/>
              <w:rPr>
                <w:sz w:val="16"/>
                <w:szCs w:val="16"/>
              </w:rPr>
            </w:pPr>
            <w:r>
              <w:rPr>
                <w:rFonts w:hint="eastAsia"/>
                <w:sz w:val="16"/>
                <w:szCs w:val="16"/>
              </w:rPr>
              <w:t>Disutility for Oral mucositis</w:t>
            </w:r>
          </w:p>
        </w:tc>
        <w:tc>
          <w:tcPr>
            <w:tcW w:w="506" w:type="pct"/>
            <w:shd w:val="clear" w:color="auto" w:fill="auto"/>
            <w:noWrap/>
            <w:vAlign w:val="center"/>
          </w:tcPr>
          <w:p w14:paraId="1EF32AAB">
            <w:pPr>
              <w:pStyle w:val="24"/>
              <w:rPr>
                <w:sz w:val="16"/>
                <w:szCs w:val="16"/>
              </w:rPr>
            </w:pPr>
            <w:r>
              <w:rPr>
                <w:rFonts w:hint="eastAsia"/>
                <w:sz w:val="16"/>
                <w:szCs w:val="16"/>
              </w:rPr>
              <w:t>0.032</w:t>
            </w:r>
          </w:p>
        </w:tc>
        <w:tc>
          <w:tcPr>
            <w:tcW w:w="506" w:type="pct"/>
            <w:shd w:val="clear" w:color="auto" w:fill="auto"/>
            <w:noWrap/>
            <w:vAlign w:val="center"/>
          </w:tcPr>
          <w:p w14:paraId="2FE984E5">
            <w:pPr>
              <w:pStyle w:val="24"/>
              <w:rPr>
                <w:sz w:val="16"/>
                <w:szCs w:val="16"/>
              </w:rPr>
            </w:pPr>
            <w:r>
              <w:rPr>
                <w:rFonts w:hint="eastAsia"/>
                <w:sz w:val="16"/>
                <w:szCs w:val="16"/>
              </w:rPr>
              <w:t>0.026</w:t>
            </w:r>
          </w:p>
        </w:tc>
        <w:tc>
          <w:tcPr>
            <w:tcW w:w="509" w:type="pct"/>
            <w:shd w:val="clear" w:color="auto" w:fill="auto"/>
            <w:noWrap/>
            <w:vAlign w:val="center"/>
          </w:tcPr>
          <w:p w14:paraId="136F1DEC">
            <w:pPr>
              <w:pStyle w:val="24"/>
              <w:rPr>
                <w:sz w:val="16"/>
                <w:szCs w:val="16"/>
              </w:rPr>
            </w:pPr>
            <w:r>
              <w:rPr>
                <w:rFonts w:hint="eastAsia"/>
                <w:sz w:val="16"/>
                <w:szCs w:val="16"/>
              </w:rPr>
              <w:t>0.04</w:t>
            </w:r>
          </w:p>
        </w:tc>
        <w:tc>
          <w:tcPr>
            <w:tcW w:w="512" w:type="pct"/>
            <w:shd w:val="clear" w:color="auto" w:fill="auto"/>
            <w:noWrap/>
            <w:vAlign w:val="center"/>
          </w:tcPr>
          <w:p w14:paraId="71A0004B">
            <w:pPr>
              <w:pStyle w:val="24"/>
              <w:rPr>
                <w:sz w:val="16"/>
                <w:szCs w:val="16"/>
              </w:rPr>
            </w:pPr>
            <w:r>
              <w:rPr>
                <w:rFonts w:hint="eastAsia"/>
                <w:sz w:val="16"/>
                <w:szCs w:val="16"/>
              </w:rPr>
              <w:t>Beta</w:t>
            </w:r>
          </w:p>
        </w:tc>
        <w:tc>
          <w:tcPr>
            <w:tcW w:w="494" w:type="pct"/>
            <w:shd w:val="clear" w:color="auto" w:fill="auto"/>
            <w:noWrap/>
            <w:vAlign w:val="center"/>
          </w:tcPr>
          <w:p w14:paraId="1B081C4C">
            <w:pPr>
              <w:pStyle w:val="24"/>
              <w:rPr>
                <w:sz w:val="16"/>
                <w:szCs w:val="16"/>
              </w:rPr>
            </w:pPr>
            <w:r>
              <w:rPr>
                <w:sz w:val="16"/>
                <w:szCs w:val="16"/>
              </w:rPr>
              <w:fldChar w:fldCharType="begin"/>
            </w:r>
            <w:r>
              <w:rPr>
                <w:sz w:val="16"/>
                <w:szCs w:val="16"/>
              </w:rPr>
              <w:instrText xml:space="preserve"> ADDIN NE.Ref.{A639F390-4313-44EE-842E-CE69D426BBDC}</w:instrText>
            </w:r>
            <w:r>
              <w:rPr>
                <w:sz w:val="16"/>
                <w:szCs w:val="16"/>
              </w:rPr>
              <w:fldChar w:fldCharType="separate"/>
            </w:r>
            <w:r>
              <w:rPr>
                <w:rFonts w:eastAsia="宋体" w:cs="Times New Roman"/>
                <w:color w:val="080000"/>
                <w:kern w:val="0"/>
                <w:sz w:val="16"/>
                <w:szCs w:val="16"/>
              </w:rPr>
              <w:t>[4, 23]</w:t>
            </w:r>
            <w:r>
              <w:rPr>
                <w:sz w:val="16"/>
                <w:szCs w:val="16"/>
              </w:rPr>
              <w:fldChar w:fldCharType="end"/>
            </w:r>
          </w:p>
        </w:tc>
      </w:tr>
      <w:tr w14:paraId="02AC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D35C4DC">
            <w:pPr>
              <w:pStyle w:val="24"/>
              <w:rPr>
                <w:sz w:val="16"/>
                <w:szCs w:val="16"/>
              </w:rPr>
            </w:pPr>
            <w:r>
              <w:rPr>
                <w:rFonts w:hint="eastAsia"/>
                <w:sz w:val="16"/>
                <w:szCs w:val="16"/>
              </w:rPr>
              <w:t>Disutility for Rash or desquamation</w:t>
            </w:r>
          </w:p>
        </w:tc>
        <w:tc>
          <w:tcPr>
            <w:tcW w:w="506" w:type="pct"/>
            <w:shd w:val="clear" w:color="auto" w:fill="auto"/>
            <w:noWrap/>
            <w:vAlign w:val="center"/>
          </w:tcPr>
          <w:p w14:paraId="1982466A">
            <w:pPr>
              <w:pStyle w:val="24"/>
              <w:rPr>
                <w:sz w:val="16"/>
                <w:szCs w:val="16"/>
              </w:rPr>
            </w:pPr>
            <w:r>
              <w:rPr>
                <w:rFonts w:hint="eastAsia"/>
                <w:sz w:val="16"/>
                <w:szCs w:val="16"/>
              </w:rPr>
              <w:t>0.13</w:t>
            </w:r>
          </w:p>
        </w:tc>
        <w:tc>
          <w:tcPr>
            <w:tcW w:w="506" w:type="pct"/>
            <w:shd w:val="clear" w:color="auto" w:fill="auto"/>
            <w:noWrap/>
            <w:vAlign w:val="center"/>
          </w:tcPr>
          <w:p w14:paraId="4D683A96">
            <w:pPr>
              <w:pStyle w:val="24"/>
              <w:rPr>
                <w:sz w:val="16"/>
                <w:szCs w:val="16"/>
              </w:rPr>
            </w:pPr>
            <w:r>
              <w:rPr>
                <w:rFonts w:hint="eastAsia"/>
                <w:sz w:val="16"/>
                <w:szCs w:val="16"/>
              </w:rPr>
              <w:t>0.104</w:t>
            </w:r>
          </w:p>
        </w:tc>
        <w:tc>
          <w:tcPr>
            <w:tcW w:w="509" w:type="pct"/>
            <w:shd w:val="clear" w:color="auto" w:fill="auto"/>
            <w:noWrap/>
            <w:vAlign w:val="center"/>
          </w:tcPr>
          <w:p w14:paraId="7B902789">
            <w:pPr>
              <w:pStyle w:val="24"/>
              <w:rPr>
                <w:sz w:val="16"/>
                <w:szCs w:val="16"/>
              </w:rPr>
            </w:pPr>
            <w:r>
              <w:rPr>
                <w:rFonts w:hint="eastAsia"/>
                <w:sz w:val="16"/>
                <w:szCs w:val="16"/>
              </w:rPr>
              <w:t>0.16</w:t>
            </w:r>
          </w:p>
        </w:tc>
        <w:tc>
          <w:tcPr>
            <w:tcW w:w="512" w:type="pct"/>
            <w:shd w:val="clear" w:color="auto" w:fill="auto"/>
            <w:noWrap/>
            <w:vAlign w:val="center"/>
          </w:tcPr>
          <w:p w14:paraId="2CCF1BFA">
            <w:pPr>
              <w:pStyle w:val="24"/>
              <w:rPr>
                <w:sz w:val="16"/>
                <w:szCs w:val="16"/>
              </w:rPr>
            </w:pPr>
            <w:r>
              <w:rPr>
                <w:rFonts w:hint="eastAsia"/>
                <w:sz w:val="16"/>
                <w:szCs w:val="16"/>
              </w:rPr>
              <w:t>Beta</w:t>
            </w:r>
          </w:p>
        </w:tc>
        <w:tc>
          <w:tcPr>
            <w:tcW w:w="494" w:type="pct"/>
            <w:shd w:val="clear" w:color="auto" w:fill="auto"/>
            <w:noWrap/>
            <w:vAlign w:val="center"/>
          </w:tcPr>
          <w:p w14:paraId="56A34EA6">
            <w:pPr>
              <w:pStyle w:val="24"/>
              <w:rPr>
                <w:sz w:val="16"/>
                <w:szCs w:val="16"/>
              </w:rPr>
            </w:pPr>
            <w:r>
              <w:rPr>
                <w:sz w:val="16"/>
                <w:szCs w:val="16"/>
              </w:rPr>
              <w:fldChar w:fldCharType="begin"/>
            </w:r>
            <w:r>
              <w:rPr>
                <w:sz w:val="16"/>
                <w:szCs w:val="16"/>
              </w:rPr>
              <w:instrText xml:space="preserve"> ADDIN NE.Ref.{767BD1E7-6188-48C2-A1FB-7EA37D045426}</w:instrText>
            </w:r>
            <w:r>
              <w:rPr>
                <w:sz w:val="16"/>
                <w:szCs w:val="16"/>
              </w:rPr>
              <w:fldChar w:fldCharType="separate"/>
            </w:r>
            <w:r>
              <w:rPr>
                <w:rFonts w:eastAsia="宋体" w:cs="Times New Roman"/>
                <w:color w:val="080000"/>
                <w:kern w:val="0"/>
                <w:sz w:val="16"/>
                <w:szCs w:val="16"/>
              </w:rPr>
              <w:t>[9]</w:t>
            </w:r>
            <w:r>
              <w:rPr>
                <w:sz w:val="16"/>
                <w:szCs w:val="16"/>
              </w:rPr>
              <w:fldChar w:fldCharType="end"/>
            </w:r>
          </w:p>
        </w:tc>
      </w:tr>
      <w:tr w14:paraId="741F4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FF43B66">
            <w:pPr>
              <w:pStyle w:val="24"/>
              <w:rPr>
                <w:sz w:val="16"/>
                <w:szCs w:val="16"/>
              </w:rPr>
            </w:pPr>
            <w:r>
              <w:rPr>
                <w:rFonts w:hint="eastAsia"/>
                <w:sz w:val="16"/>
                <w:szCs w:val="16"/>
              </w:rPr>
              <w:t>Disutility for Thrombocytopenia</w:t>
            </w:r>
          </w:p>
        </w:tc>
        <w:tc>
          <w:tcPr>
            <w:tcW w:w="506" w:type="pct"/>
            <w:shd w:val="clear" w:color="auto" w:fill="auto"/>
            <w:noWrap/>
            <w:vAlign w:val="center"/>
          </w:tcPr>
          <w:p w14:paraId="4DB4518E">
            <w:pPr>
              <w:pStyle w:val="24"/>
              <w:rPr>
                <w:sz w:val="16"/>
                <w:szCs w:val="16"/>
              </w:rPr>
            </w:pPr>
            <w:r>
              <w:rPr>
                <w:rFonts w:hint="eastAsia"/>
                <w:sz w:val="16"/>
                <w:szCs w:val="16"/>
              </w:rPr>
              <w:t>0.09</w:t>
            </w:r>
          </w:p>
        </w:tc>
        <w:tc>
          <w:tcPr>
            <w:tcW w:w="506" w:type="pct"/>
            <w:shd w:val="clear" w:color="auto" w:fill="auto"/>
            <w:noWrap/>
            <w:vAlign w:val="center"/>
          </w:tcPr>
          <w:p w14:paraId="6555E11D">
            <w:pPr>
              <w:pStyle w:val="24"/>
              <w:rPr>
                <w:sz w:val="16"/>
                <w:szCs w:val="16"/>
              </w:rPr>
            </w:pPr>
            <w:r>
              <w:rPr>
                <w:rFonts w:hint="eastAsia"/>
                <w:sz w:val="16"/>
                <w:szCs w:val="16"/>
              </w:rPr>
              <w:t>0.072</w:t>
            </w:r>
          </w:p>
        </w:tc>
        <w:tc>
          <w:tcPr>
            <w:tcW w:w="509" w:type="pct"/>
            <w:shd w:val="clear" w:color="auto" w:fill="auto"/>
            <w:noWrap/>
            <w:vAlign w:val="center"/>
          </w:tcPr>
          <w:p w14:paraId="230F90D1">
            <w:pPr>
              <w:pStyle w:val="24"/>
              <w:rPr>
                <w:sz w:val="16"/>
                <w:szCs w:val="16"/>
              </w:rPr>
            </w:pPr>
            <w:r>
              <w:rPr>
                <w:rFonts w:hint="eastAsia"/>
                <w:sz w:val="16"/>
                <w:szCs w:val="16"/>
              </w:rPr>
              <w:t>0.11</w:t>
            </w:r>
          </w:p>
        </w:tc>
        <w:tc>
          <w:tcPr>
            <w:tcW w:w="512" w:type="pct"/>
            <w:shd w:val="clear" w:color="auto" w:fill="auto"/>
            <w:noWrap/>
            <w:vAlign w:val="center"/>
          </w:tcPr>
          <w:p w14:paraId="7829677F">
            <w:pPr>
              <w:pStyle w:val="24"/>
              <w:rPr>
                <w:sz w:val="16"/>
                <w:szCs w:val="16"/>
              </w:rPr>
            </w:pPr>
            <w:r>
              <w:rPr>
                <w:rFonts w:hint="eastAsia"/>
                <w:sz w:val="16"/>
                <w:szCs w:val="16"/>
              </w:rPr>
              <w:t>Beta</w:t>
            </w:r>
          </w:p>
        </w:tc>
        <w:tc>
          <w:tcPr>
            <w:tcW w:w="494" w:type="pct"/>
            <w:shd w:val="clear" w:color="auto" w:fill="auto"/>
            <w:noWrap/>
            <w:vAlign w:val="center"/>
          </w:tcPr>
          <w:p w14:paraId="6E7BB574">
            <w:pPr>
              <w:pStyle w:val="24"/>
              <w:rPr>
                <w:sz w:val="16"/>
                <w:szCs w:val="16"/>
              </w:rPr>
            </w:pPr>
            <w:r>
              <w:rPr>
                <w:sz w:val="16"/>
                <w:szCs w:val="16"/>
              </w:rPr>
              <w:fldChar w:fldCharType="begin"/>
            </w:r>
            <w:r>
              <w:rPr>
                <w:sz w:val="16"/>
                <w:szCs w:val="16"/>
              </w:rPr>
              <w:instrText xml:space="preserve"> ADDIN NE.Ref.{CF4CB81B-8E38-4682-B4E9-9352FE033400}</w:instrText>
            </w:r>
            <w:r>
              <w:rPr>
                <w:sz w:val="16"/>
                <w:szCs w:val="16"/>
              </w:rPr>
              <w:fldChar w:fldCharType="separate"/>
            </w:r>
            <w:r>
              <w:rPr>
                <w:rFonts w:eastAsia="宋体" w:cs="Times New Roman"/>
                <w:color w:val="080000"/>
                <w:kern w:val="0"/>
                <w:sz w:val="16"/>
                <w:szCs w:val="16"/>
              </w:rPr>
              <w:t>[4, 23]</w:t>
            </w:r>
            <w:r>
              <w:rPr>
                <w:sz w:val="16"/>
                <w:szCs w:val="16"/>
              </w:rPr>
              <w:fldChar w:fldCharType="end"/>
            </w:r>
          </w:p>
        </w:tc>
      </w:tr>
      <w:tr w14:paraId="4A0E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C938AD8">
            <w:pPr>
              <w:pStyle w:val="24"/>
              <w:rPr>
                <w:sz w:val="16"/>
                <w:szCs w:val="16"/>
              </w:rPr>
            </w:pPr>
            <w:r>
              <w:rPr>
                <w:rFonts w:hint="eastAsia"/>
                <w:sz w:val="16"/>
                <w:szCs w:val="16"/>
              </w:rPr>
              <w:t>Disutility for Vomiting</w:t>
            </w:r>
          </w:p>
        </w:tc>
        <w:tc>
          <w:tcPr>
            <w:tcW w:w="506" w:type="pct"/>
            <w:shd w:val="clear" w:color="auto" w:fill="auto"/>
            <w:noWrap/>
            <w:vAlign w:val="center"/>
          </w:tcPr>
          <w:p w14:paraId="6F5B9998">
            <w:pPr>
              <w:pStyle w:val="24"/>
              <w:rPr>
                <w:sz w:val="16"/>
                <w:szCs w:val="16"/>
              </w:rPr>
            </w:pPr>
            <w:r>
              <w:rPr>
                <w:rFonts w:hint="eastAsia"/>
                <w:sz w:val="16"/>
                <w:szCs w:val="16"/>
              </w:rPr>
              <w:t>0.103</w:t>
            </w:r>
          </w:p>
        </w:tc>
        <w:tc>
          <w:tcPr>
            <w:tcW w:w="506" w:type="pct"/>
            <w:shd w:val="clear" w:color="auto" w:fill="auto"/>
            <w:noWrap/>
            <w:vAlign w:val="center"/>
          </w:tcPr>
          <w:p w14:paraId="5EE7657C">
            <w:pPr>
              <w:pStyle w:val="24"/>
              <w:rPr>
                <w:sz w:val="16"/>
                <w:szCs w:val="16"/>
              </w:rPr>
            </w:pPr>
            <w:r>
              <w:rPr>
                <w:rFonts w:hint="eastAsia"/>
                <w:sz w:val="16"/>
                <w:szCs w:val="16"/>
              </w:rPr>
              <w:t>0.110</w:t>
            </w:r>
          </w:p>
        </w:tc>
        <w:tc>
          <w:tcPr>
            <w:tcW w:w="509" w:type="pct"/>
            <w:shd w:val="clear" w:color="auto" w:fill="auto"/>
            <w:noWrap/>
            <w:vAlign w:val="center"/>
          </w:tcPr>
          <w:p w14:paraId="5074AE27">
            <w:pPr>
              <w:pStyle w:val="24"/>
              <w:rPr>
                <w:sz w:val="16"/>
                <w:szCs w:val="16"/>
              </w:rPr>
            </w:pPr>
            <w:r>
              <w:rPr>
                <w:rFonts w:hint="eastAsia"/>
                <w:sz w:val="16"/>
                <w:szCs w:val="16"/>
              </w:rPr>
              <w:t>0.20</w:t>
            </w:r>
          </w:p>
        </w:tc>
        <w:tc>
          <w:tcPr>
            <w:tcW w:w="512" w:type="pct"/>
            <w:shd w:val="clear" w:color="auto" w:fill="auto"/>
            <w:noWrap/>
            <w:vAlign w:val="center"/>
          </w:tcPr>
          <w:p w14:paraId="2F2F5089">
            <w:pPr>
              <w:pStyle w:val="24"/>
              <w:rPr>
                <w:sz w:val="16"/>
                <w:szCs w:val="16"/>
              </w:rPr>
            </w:pPr>
            <w:r>
              <w:rPr>
                <w:rFonts w:hint="eastAsia"/>
                <w:sz w:val="16"/>
                <w:szCs w:val="16"/>
              </w:rPr>
              <w:t>Beta</w:t>
            </w:r>
          </w:p>
        </w:tc>
        <w:tc>
          <w:tcPr>
            <w:tcW w:w="494" w:type="pct"/>
            <w:shd w:val="clear" w:color="auto" w:fill="auto"/>
            <w:noWrap/>
            <w:vAlign w:val="center"/>
          </w:tcPr>
          <w:p w14:paraId="3FC7B97D">
            <w:pPr>
              <w:pStyle w:val="24"/>
              <w:rPr>
                <w:sz w:val="16"/>
                <w:szCs w:val="16"/>
              </w:rPr>
            </w:pPr>
            <w:r>
              <w:rPr>
                <w:sz w:val="16"/>
                <w:szCs w:val="16"/>
              </w:rPr>
              <w:fldChar w:fldCharType="begin"/>
            </w:r>
            <w:r>
              <w:rPr>
                <w:sz w:val="16"/>
                <w:szCs w:val="16"/>
              </w:rPr>
              <w:instrText xml:space="preserve"> ADDIN NE.Ref.{63EFA4A2-D38F-48D3-AFDD-01726F15FA9C}</w:instrText>
            </w:r>
            <w:r>
              <w:rPr>
                <w:sz w:val="16"/>
                <w:szCs w:val="16"/>
              </w:rPr>
              <w:fldChar w:fldCharType="separate"/>
            </w:r>
            <w:r>
              <w:rPr>
                <w:rFonts w:eastAsia="宋体" w:cs="Times New Roman"/>
                <w:color w:val="080000"/>
                <w:kern w:val="0"/>
                <w:sz w:val="16"/>
                <w:szCs w:val="16"/>
              </w:rPr>
              <w:t>[22]</w:t>
            </w:r>
            <w:r>
              <w:rPr>
                <w:sz w:val="16"/>
                <w:szCs w:val="16"/>
              </w:rPr>
              <w:fldChar w:fldCharType="end"/>
            </w:r>
          </w:p>
        </w:tc>
      </w:tr>
      <w:tr w14:paraId="1512D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FC486DE">
            <w:pPr>
              <w:pStyle w:val="24"/>
              <w:rPr>
                <w:sz w:val="16"/>
                <w:szCs w:val="16"/>
              </w:rPr>
            </w:pPr>
            <w:r>
              <w:rPr>
                <w:rFonts w:hint="eastAsia"/>
                <w:sz w:val="16"/>
                <w:szCs w:val="16"/>
              </w:rPr>
              <w:t>Disutility for Proteinuria</w:t>
            </w:r>
          </w:p>
        </w:tc>
        <w:tc>
          <w:tcPr>
            <w:tcW w:w="506" w:type="pct"/>
            <w:shd w:val="clear" w:color="auto" w:fill="auto"/>
            <w:noWrap/>
            <w:vAlign w:val="center"/>
          </w:tcPr>
          <w:p w14:paraId="37EC471A">
            <w:pPr>
              <w:pStyle w:val="24"/>
              <w:rPr>
                <w:sz w:val="16"/>
                <w:szCs w:val="16"/>
              </w:rPr>
            </w:pPr>
            <w:r>
              <w:rPr>
                <w:rFonts w:hint="eastAsia"/>
                <w:sz w:val="16"/>
                <w:szCs w:val="16"/>
              </w:rPr>
              <w:t>0.232</w:t>
            </w:r>
          </w:p>
        </w:tc>
        <w:tc>
          <w:tcPr>
            <w:tcW w:w="506" w:type="pct"/>
            <w:shd w:val="clear" w:color="auto" w:fill="auto"/>
            <w:noWrap/>
            <w:vAlign w:val="center"/>
          </w:tcPr>
          <w:p w14:paraId="56C5E97E">
            <w:pPr>
              <w:pStyle w:val="24"/>
              <w:rPr>
                <w:sz w:val="16"/>
                <w:szCs w:val="16"/>
              </w:rPr>
            </w:pPr>
            <w:r>
              <w:rPr>
                <w:rFonts w:hint="eastAsia"/>
                <w:sz w:val="16"/>
                <w:szCs w:val="16"/>
              </w:rPr>
              <w:t>0.19</w:t>
            </w:r>
          </w:p>
        </w:tc>
        <w:tc>
          <w:tcPr>
            <w:tcW w:w="509" w:type="pct"/>
            <w:shd w:val="clear" w:color="auto" w:fill="auto"/>
            <w:noWrap/>
            <w:vAlign w:val="center"/>
          </w:tcPr>
          <w:p w14:paraId="353FF613">
            <w:pPr>
              <w:pStyle w:val="24"/>
              <w:rPr>
                <w:sz w:val="16"/>
                <w:szCs w:val="16"/>
              </w:rPr>
            </w:pPr>
            <w:r>
              <w:rPr>
                <w:rFonts w:hint="eastAsia"/>
                <w:sz w:val="16"/>
                <w:szCs w:val="16"/>
              </w:rPr>
              <w:t>0.28</w:t>
            </w:r>
          </w:p>
        </w:tc>
        <w:tc>
          <w:tcPr>
            <w:tcW w:w="512" w:type="pct"/>
            <w:shd w:val="clear" w:color="auto" w:fill="auto"/>
            <w:noWrap/>
            <w:vAlign w:val="center"/>
          </w:tcPr>
          <w:p w14:paraId="4B233259">
            <w:pPr>
              <w:pStyle w:val="24"/>
              <w:rPr>
                <w:sz w:val="16"/>
                <w:szCs w:val="16"/>
              </w:rPr>
            </w:pPr>
            <w:r>
              <w:rPr>
                <w:rFonts w:hint="eastAsia"/>
                <w:sz w:val="16"/>
                <w:szCs w:val="16"/>
              </w:rPr>
              <w:t>Beta</w:t>
            </w:r>
          </w:p>
        </w:tc>
        <w:tc>
          <w:tcPr>
            <w:tcW w:w="494" w:type="pct"/>
            <w:shd w:val="clear" w:color="auto" w:fill="auto"/>
            <w:noWrap/>
            <w:vAlign w:val="center"/>
          </w:tcPr>
          <w:p w14:paraId="7E5E501C">
            <w:pPr>
              <w:pStyle w:val="24"/>
              <w:rPr>
                <w:sz w:val="16"/>
                <w:szCs w:val="16"/>
              </w:rPr>
            </w:pPr>
            <w:r>
              <w:rPr>
                <w:sz w:val="16"/>
                <w:szCs w:val="16"/>
              </w:rPr>
              <w:fldChar w:fldCharType="begin"/>
            </w:r>
            <w:r>
              <w:rPr>
                <w:sz w:val="16"/>
                <w:szCs w:val="16"/>
              </w:rPr>
              <w:instrText xml:space="preserve"> ADDIN NE.Ref.{F78ACFE6-69EB-4399-B7F1-ACDB93D845D7}</w:instrText>
            </w:r>
            <w:r>
              <w:rPr>
                <w:sz w:val="16"/>
                <w:szCs w:val="16"/>
              </w:rPr>
              <w:fldChar w:fldCharType="separate"/>
            </w:r>
            <w:r>
              <w:rPr>
                <w:rFonts w:eastAsia="宋体" w:cs="Times New Roman"/>
                <w:color w:val="080000"/>
                <w:kern w:val="0"/>
                <w:sz w:val="16"/>
                <w:szCs w:val="16"/>
              </w:rPr>
              <w:t>[25]</w:t>
            </w:r>
            <w:r>
              <w:rPr>
                <w:sz w:val="16"/>
                <w:szCs w:val="16"/>
              </w:rPr>
              <w:fldChar w:fldCharType="end"/>
            </w:r>
          </w:p>
        </w:tc>
      </w:tr>
      <w:tr w14:paraId="5AB9A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DFD6D30">
            <w:pPr>
              <w:pStyle w:val="24"/>
              <w:rPr>
                <w:sz w:val="16"/>
                <w:szCs w:val="16"/>
              </w:rPr>
            </w:pPr>
            <w:r>
              <w:rPr>
                <w:rFonts w:hint="eastAsia"/>
                <w:sz w:val="16"/>
                <w:szCs w:val="16"/>
              </w:rPr>
              <w:t>Safety Parameters</w:t>
            </w:r>
          </w:p>
        </w:tc>
        <w:tc>
          <w:tcPr>
            <w:tcW w:w="506" w:type="pct"/>
            <w:shd w:val="clear" w:color="auto" w:fill="auto"/>
            <w:noWrap/>
            <w:vAlign w:val="center"/>
          </w:tcPr>
          <w:p w14:paraId="48001CE9">
            <w:pPr>
              <w:pStyle w:val="24"/>
              <w:rPr>
                <w:sz w:val="16"/>
                <w:szCs w:val="16"/>
              </w:rPr>
            </w:pPr>
            <w:r>
              <w:rPr>
                <w:rFonts w:hint="eastAsia"/>
                <w:sz w:val="16"/>
                <w:szCs w:val="16"/>
              </w:rPr>
              <w:t>　</w:t>
            </w:r>
          </w:p>
        </w:tc>
        <w:tc>
          <w:tcPr>
            <w:tcW w:w="506" w:type="pct"/>
            <w:shd w:val="clear" w:color="auto" w:fill="auto"/>
            <w:noWrap/>
            <w:vAlign w:val="center"/>
          </w:tcPr>
          <w:p w14:paraId="0BF31E69">
            <w:pPr>
              <w:pStyle w:val="24"/>
              <w:rPr>
                <w:sz w:val="16"/>
                <w:szCs w:val="16"/>
              </w:rPr>
            </w:pPr>
            <w:r>
              <w:rPr>
                <w:rFonts w:hint="eastAsia"/>
                <w:sz w:val="16"/>
                <w:szCs w:val="16"/>
              </w:rPr>
              <w:t>　</w:t>
            </w:r>
          </w:p>
        </w:tc>
        <w:tc>
          <w:tcPr>
            <w:tcW w:w="509" w:type="pct"/>
            <w:shd w:val="clear" w:color="auto" w:fill="auto"/>
            <w:noWrap/>
            <w:vAlign w:val="center"/>
          </w:tcPr>
          <w:p w14:paraId="3BA29091">
            <w:pPr>
              <w:pStyle w:val="24"/>
              <w:rPr>
                <w:sz w:val="16"/>
                <w:szCs w:val="16"/>
              </w:rPr>
            </w:pPr>
            <w:r>
              <w:rPr>
                <w:rFonts w:hint="eastAsia"/>
                <w:sz w:val="16"/>
                <w:szCs w:val="16"/>
              </w:rPr>
              <w:t>　</w:t>
            </w:r>
          </w:p>
        </w:tc>
        <w:tc>
          <w:tcPr>
            <w:tcW w:w="512" w:type="pct"/>
            <w:shd w:val="clear" w:color="auto" w:fill="auto"/>
            <w:noWrap/>
            <w:vAlign w:val="center"/>
          </w:tcPr>
          <w:p w14:paraId="25496AF0">
            <w:pPr>
              <w:pStyle w:val="24"/>
              <w:rPr>
                <w:sz w:val="16"/>
                <w:szCs w:val="16"/>
              </w:rPr>
            </w:pPr>
            <w:r>
              <w:rPr>
                <w:rFonts w:hint="eastAsia"/>
                <w:sz w:val="16"/>
                <w:szCs w:val="16"/>
              </w:rPr>
              <w:t>　</w:t>
            </w:r>
          </w:p>
        </w:tc>
        <w:tc>
          <w:tcPr>
            <w:tcW w:w="494" w:type="pct"/>
            <w:shd w:val="clear" w:color="auto" w:fill="auto"/>
            <w:noWrap/>
            <w:vAlign w:val="center"/>
          </w:tcPr>
          <w:p w14:paraId="07BC901E">
            <w:pPr>
              <w:pStyle w:val="24"/>
              <w:rPr>
                <w:sz w:val="16"/>
                <w:szCs w:val="16"/>
              </w:rPr>
            </w:pPr>
            <w:r>
              <w:rPr>
                <w:rFonts w:hint="eastAsia"/>
                <w:sz w:val="16"/>
                <w:szCs w:val="16"/>
              </w:rPr>
              <w:t>　</w:t>
            </w:r>
          </w:p>
        </w:tc>
      </w:tr>
      <w:tr w14:paraId="6E28C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586DDBA">
            <w:pPr>
              <w:pStyle w:val="24"/>
              <w:rPr>
                <w:sz w:val="16"/>
                <w:szCs w:val="16"/>
              </w:rPr>
            </w:pPr>
            <w:r>
              <w:rPr>
                <w:rFonts w:hint="eastAsia"/>
                <w:sz w:val="16"/>
                <w:szCs w:val="16"/>
              </w:rPr>
              <w:t>Adverse event rate for Fruquintinib_Hypertension</w:t>
            </w:r>
          </w:p>
        </w:tc>
        <w:tc>
          <w:tcPr>
            <w:tcW w:w="506" w:type="pct"/>
            <w:shd w:val="clear" w:color="auto" w:fill="auto"/>
            <w:noWrap/>
            <w:vAlign w:val="center"/>
          </w:tcPr>
          <w:p w14:paraId="5431DF4F">
            <w:pPr>
              <w:pStyle w:val="24"/>
              <w:rPr>
                <w:sz w:val="16"/>
                <w:szCs w:val="16"/>
              </w:rPr>
            </w:pPr>
            <w:r>
              <w:rPr>
                <w:rFonts w:hint="eastAsia"/>
                <w:sz w:val="16"/>
                <w:szCs w:val="16"/>
              </w:rPr>
              <w:t>21.22%</w:t>
            </w:r>
          </w:p>
        </w:tc>
        <w:tc>
          <w:tcPr>
            <w:tcW w:w="506" w:type="pct"/>
            <w:shd w:val="clear" w:color="auto" w:fill="auto"/>
            <w:noWrap/>
            <w:vAlign w:val="center"/>
          </w:tcPr>
          <w:p w14:paraId="2E51F0FC">
            <w:pPr>
              <w:pStyle w:val="24"/>
              <w:rPr>
                <w:sz w:val="16"/>
                <w:szCs w:val="16"/>
              </w:rPr>
            </w:pPr>
            <w:r>
              <w:rPr>
                <w:rFonts w:hint="eastAsia"/>
                <w:sz w:val="16"/>
                <w:szCs w:val="16"/>
              </w:rPr>
              <w:t>0.17</w:t>
            </w:r>
          </w:p>
        </w:tc>
        <w:tc>
          <w:tcPr>
            <w:tcW w:w="509" w:type="pct"/>
            <w:shd w:val="clear" w:color="auto" w:fill="auto"/>
            <w:noWrap/>
            <w:vAlign w:val="center"/>
          </w:tcPr>
          <w:p w14:paraId="0B36E556">
            <w:pPr>
              <w:pStyle w:val="24"/>
              <w:rPr>
                <w:sz w:val="16"/>
                <w:szCs w:val="16"/>
              </w:rPr>
            </w:pPr>
            <w:r>
              <w:rPr>
                <w:rFonts w:hint="eastAsia"/>
                <w:sz w:val="16"/>
                <w:szCs w:val="16"/>
              </w:rPr>
              <w:t>0.25</w:t>
            </w:r>
          </w:p>
        </w:tc>
        <w:tc>
          <w:tcPr>
            <w:tcW w:w="512" w:type="pct"/>
            <w:shd w:val="clear" w:color="auto" w:fill="auto"/>
            <w:noWrap/>
            <w:vAlign w:val="center"/>
          </w:tcPr>
          <w:p w14:paraId="6976C308">
            <w:pPr>
              <w:pStyle w:val="24"/>
              <w:rPr>
                <w:sz w:val="16"/>
                <w:szCs w:val="16"/>
              </w:rPr>
            </w:pPr>
            <w:r>
              <w:rPr>
                <w:rFonts w:hint="eastAsia"/>
                <w:sz w:val="16"/>
                <w:szCs w:val="16"/>
              </w:rPr>
              <w:t>Beta</w:t>
            </w:r>
          </w:p>
        </w:tc>
        <w:tc>
          <w:tcPr>
            <w:tcW w:w="494" w:type="pct"/>
            <w:shd w:val="clear" w:color="auto" w:fill="auto"/>
            <w:noWrap/>
            <w:vAlign w:val="center"/>
          </w:tcPr>
          <w:p w14:paraId="254C9953">
            <w:pPr>
              <w:pStyle w:val="24"/>
              <w:rPr>
                <w:sz w:val="16"/>
                <w:szCs w:val="16"/>
              </w:rPr>
            </w:pPr>
            <w:r>
              <w:rPr>
                <w:sz w:val="16"/>
                <w:szCs w:val="16"/>
              </w:rPr>
              <w:fldChar w:fldCharType="begin"/>
            </w:r>
            <w:r>
              <w:rPr>
                <w:sz w:val="16"/>
                <w:szCs w:val="16"/>
              </w:rPr>
              <w:instrText xml:space="preserve"> ADDIN NE.Ref.{583C213A-E538-4E68-B540-8979B60832BE}</w:instrText>
            </w:r>
            <w:r>
              <w:rPr>
                <w:sz w:val="16"/>
                <w:szCs w:val="16"/>
              </w:rPr>
              <w:fldChar w:fldCharType="separate"/>
            </w:r>
            <w:r>
              <w:rPr>
                <w:rFonts w:eastAsia="宋体" w:cs="Times New Roman"/>
                <w:color w:val="080000"/>
                <w:kern w:val="0"/>
                <w:sz w:val="16"/>
                <w:szCs w:val="16"/>
              </w:rPr>
              <w:t>[18]</w:t>
            </w:r>
            <w:r>
              <w:rPr>
                <w:sz w:val="16"/>
                <w:szCs w:val="16"/>
              </w:rPr>
              <w:fldChar w:fldCharType="end"/>
            </w:r>
          </w:p>
        </w:tc>
      </w:tr>
      <w:tr w14:paraId="204F2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E18C601">
            <w:pPr>
              <w:pStyle w:val="24"/>
              <w:rPr>
                <w:sz w:val="16"/>
                <w:szCs w:val="16"/>
              </w:rPr>
            </w:pPr>
            <w:r>
              <w:rPr>
                <w:rFonts w:hint="eastAsia"/>
                <w:sz w:val="16"/>
                <w:szCs w:val="16"/>
              </w:rPr>
              <w:t>Adverse event rate for Fruquintinib_Hand-foot skin reaction</w:t>
            </w:r>
          </w:p>
        </w:tc>
        <w:tc>
          <w:tcPr>
            <w:tcW w:w="506" w:type="pct"/>
            <w:shd w:val="clear" w:color="auto" w:fill="auto"/>
            <w:noWrap/>
            <w:vAlign w:val="center"/>
          </w:tcPr>
          <w:p w14:paraId="11326BA6">
            <w:pPr>
              <w:pStyle w:val="24"/>
              <w:rPr>
                <w:sz w:val="16"/>
                <w:szCs w:val="16"/>
              </w:rPr>
            </w:pPr>
            <w:r>
              <w:rPr>
                <w:rFonts w:hint="eastAsia"/>
                <w:sz w:val="16"/>
                <w:szCs w:val="16"/>
              </w:rPr>
              <w:t>10.79%</w:t>
            </w:r>
          </w:p>
        </w:tc>
        <w:tc>
          <w:tcPr>
            <w:tcW w:w="506" w:type="pct"/>
            <w:shd w:val="clear" w:color="auto" w:fill="auto"/>
            <w:noWrap/>
            <w:vAlign w:val="center"/>
          </w:tcPr>
          <w:p w14:paraId="731234A9">
            <w:pPr>
              <w:pStyle w:val="24"/>
              <w:rPr>
                <w:sz w:val="16"/>
                <w:szCs w:val="16"/>
              </w:rPr>
            </w:pPr>
            <w:r>
              <w:rPr>
                <w:rFonts w:hint="eastAsia"/>
                <w:sz w:val="16"/>
                <w:szCs w:val="16"/>
              </w:rPr>
              <w:t>0.09</w:t>
            </w:r>
          </w:p>
        </w:tc>
        <w:tc>
          <w:tcPr>
            <w:tcW w:w="509" w:type="pct"/>
            <w:shd w:val="clear" w:color="auto" w:fill="auto"/>
            <w:noWrap/>
            <w:vAlign w:val="center"/>
          </w:tcPr>
          <w:p w14:paraId="6E9F3410">
            <w:pPr>
              <w:pStyle w:val="24"/>
              <w:rPr>
                <w:sz w:val="16"/>
                <w:szCs w:val="16"/>
              </w:rPr>
            </w:pPr>
            <w:r>
              <w:rPr>
                <w:rFonts w:hint="eastAsia"/>
                <w:sz w:val="16"/>
                <w:szCs w:val="16"/>
              </w:rPr>
              <w:t>0.13</w:t>
            </w:r>
          </w:p>
        </w:tc>
        <w:tc>
          <w:tcPr>
            <w:tcW w:w="512" w:type="pct"/>
            <w:shd w:val="clear" w:color="auto" w:fill="auto"/>
            <w:noWrap/>
            <w:vAlign w:val="center"/>
          </w:tcPr>
          <w:p w14:paraId="63A5F4E2">
            <w:pPr>
              <w:pStyle w:val="24"/>
              <w:rPr>
                <w:sz w:val="16"/>
                <w:szCs w:val="16"/>
              </w:rPr>
            </w:pPr>
            <w:r>
              <w:rPr>
                <w:rFonts w:hint="eastAsia"/>
                <w:sz w:val="16"/>
                <w:szCs w:val="16"/>
              </w:rPr>
              <w:t>Beta</w:t>
            </w:r>
          </w:p>
        </w:tc>
        <w:tc>
          <w:tcPr>
            <w:tcW w:w="494" w:type="pct"/>
            <w:shd w:val="clear" w:color="auto" w:fill="auto"/>
            <w:noWrap/>
            <w:vAlign w:val="center"/>
          </w:tcPr>
          <w:p w14:paraId="6205E8C8">
            <w:pPr>
              <w:pStyle w:val="24"/>
              <w:rPr>
                <w:sz w:val="16"/>
                <w:szCs w:val="16"/>
              </w:rPr>
            </w:pPr>
            <w:r>
              <w:rPr>
                <w:sz w:val="16"/>
                <w:szCs w:val="16"/>
              </w:rPr>
              <w:fldChar w:fldCharType="begin"/>
            </w:r>
            <w:r>
              <w:rPr>
                <w:sz w:val="16"/>
                <w:szCs w:val="16"/>
              </w:rPr>
              <w:instrText xml:space="preserve"> ADDIN NE.Ref.{3B433D98-0F70-4042-A277-D7511D19F6B9}</w:instrText>
            </w:r>
            <w:r>
              <w:rPr>
                <w:sz w:val="16"/>
                <w:szCs w:val="16"/>
              </w:rPr>
              <w:fldChar w:fldCharType="separate"/>
            </w:r>
            <w:r>
              <w:rPr>
                <w:rFonts w:eastAsia="宋体" w:cs="Times New Roman"/>
                <w:color w:val="080000"/>
                <w:kern w:val="0"/>
                <w:sz w:val="16"/>
                <w:szCs w:val="16"/>
              </w:rPr>
              <w:t>[18]</w:t>
            </w:r>
            <w:r>
              <w:rPr>
                <w:sz w:val="16"/>
                <w:szCs w:val="16"/>
              </w:rPr>
              <w:fldChar w:fldCharType="end"/>
            </w:r>
          </w:p>
        </w:tc>
      </w:tr>
      <w:tr w14:paraId="41D2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173F4B9">
            <w:pPr>
              <w:pStyle w:val="24"/>
              <w:rPr>
                <w:sz w:val="16"/>
                <w:szCs w:val="16"/>
              </w:rPr>
            </w:pPr>
            <w:r>
              <w:rPr>
                <w:rFonts w:hint="eastAsia"/>
                <w:sz w:val="16"/>
                <w:szCs w:val="16"/>
              </w:rPr>
              <w:t>Adverse event rate for Fruquintinib_Proteinuria</w:t>
            </w:r>
          </w:p>
        </w:tc>
        <w:tc>
          <w:tcPr>
            <w:tcW w:w="506" w:type="pct"/>
            <w:shd w:val="clear" w:color="auto" w:fill="auto"/>
            <w:noWrap/>
            <w:vAlign w:val="center"/>
          </w:tcPr>
          <w:p w14:paraId="467F87E9">
            <w:pPr>
              <w:pStyle w:val="24"/>
              <w:rPr>
                <w:sz w:val="16"/>
                <w:szCs w:val="16"/>
              </w:rPr>
            </w:pPr>
            <w:r>
              <w:rPr>
                <w:rFonts w:hint="eastAsia"/>
                <w:sz w:val="16"/>
                <w:szCs w:val="16"/>
              </w:rPr>
              <w:t>3.24%</w:t>
            </w:r>
          </w:p>
        </w:tc>
        <w:tc>
          <w:tcPr>
            <w:tcW w:w="506" w:type="pct"/>
            <w:shd w:val="clear" w:color="auto" w:fill="auto"/>
            <w:noWrap/>
            <w:vAlign w:val="center"/>
          </w:tcPr>
          <w:p w14:paraId="50741FF8">
            <w:pPr>
              <w:pStyle w:val="24"/>
              <w:rPr>
                <w:sz w:val="16"/>
                <w:szCs w:val="16"/>
              </w:rPr>
            </w:pPr>
            <w:r>
              <w:rPr>
                <w:rFonts w:hint="eastAsia"/>
                <w:sz w:val="16"/>
                <w:szCs w:val="16"/>
              </w:rPr>
              <w:t>0.03</w:t>
            </w:r>
          </w:p>
        </w:tc>
        <w:tc>
          <w:tcPr>
            <w:tcW w:w="509" w:type="pct"/>
            <w:shd w:val="clear" w:color="auto" w:fill="auto"/>
            <w:noWrap/>
            <w:vAlign w:val="center"/>
          </w:tcPr>
          <w:p w14:paraId="7D6097C8">
            <w:pPr>
              <w:pStyle w:val="24"/>
              <w:rPr>
                <w:sz w:val="16"/>
                <w:szCs w:val="16"/>
              </w:rPr>
            </w:pPr>
            <w:r>
              <w:rPr>
                <w:rFonts w:hint="eastAsia"/>
                <w:sz w:val="16"/>
                <w:szCs w:val="16"/>
              </w:rPr>
              <w:t>0.04</w:t>
            </w:r>
          </w:p>
        </w:tc>
        <w:tc>
          <w:tcPr>
            <w:tcW w:w="512" w:type="pct"/>
            <w:shd w:val="clear" w:color="auto" w:fill="auto"/>
            <w:noWrap/>
            <w:vAlign w:val="center"/>
          </w:tcPr>
          <w:p w14:paraId="6335B012">
            <w:pPr>
              <w:pStyle w:val="24"/>
              <w:rPr>
                <w:sz w:val="16"/>
                <w:szCs w:val="16"/>
              </w:rPr>
            </w:pPr>
            <w:r>
              <w:rPr>
                <w:rFonts w:hint="eastAsia"/>
                <w:sz w:val="16"/>
                <w:szCs w:val="16"/>
              </w:rPr>
              <w:t>Beta</w:t>
            </w:r>
          </w:p>
        </w:tc>
        <w:tc>
          <w:tcPr>
            <w:tcW w:w="494" w:type="pct"/>
            <w:shd w:val="clear" w:color="auto" w:fill="auto"/>
            <w:noWrap/>
            <w:vAlign w:val="center"/>
          </w:tcPr>
          <w:p w14:paraId="4DBD96F0">
            <w:pPr>
              <w:pStyle w:val="24"/>
              <w:rPr>
                <w:sz w:val="16"/>
                <w:szCs w:val="16"/>
              </w:rPr>
            </w:pPr>
            <w:r>
              <w:rPr>
                <w:sz w:val="16"/>
                <w:szCs w:val="16"/>
              </w:rPr>
              <w:fldChar w:fldCharType="begin"/>
            </w:r>
            <w:r>
              <w:rPr>
                <w:sz w:val="16"/>
                <w:szCs w:val="16"/>
              </w:rPr>
              <w:instrText xml:space="preserve"> ADDIN NE.Ref.{F1525DAE-66A9-49CB-88A9-65A3A2179241}</w:instrText>
            </w:r>
            <w:r>
              <w:rPr>
                <w:sz w:val="16"/>
                <w:szCs w:val="16"/>
              </w:rPr>
              <w:fldChar w:fldCharType="separate"/>
            </w:r>
            <w:r>
              <w:rPr>
                <w:rFonts w:eastAsia="宋体" w:cs="Times New Roman"/>
                <w:color w:val="080000"/>
                <w:kern w:val="0"/>
                <w:sz w:val="16"/>
                <w:szCs w:val="16"/>
              </w:rPr>
              <w:t>[18]</w:t>
            </w:r>
            <w:r>
              <w:rPr>
                <w:sz w:val="16"/>
                <w:szCs w:val="16"/>
              </w:rPr>
              <w:fldChar w:fldCharType="end"/>
            </w:r>
          </w:p>
        </w:tc>
      </w:tr>
      <w:tr w14:paraId="3CFCB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2762FD8">
            <w:pPr>
              <w:pStyle w:val="24"/>
              <w:rPr>
                <w:sz w:val="16"/>
                <w:szCs w:val="16"/>
              </w:rPr>
            </w:pPr>
            <w:r>
              <w:rPr>
                <w:rFonts w:hint="eastAsia"/>
                <w:sz w:val="16"/>
                <w:szCs w:val="16"/>
              </w:rPr>
              <w:t>Adverse event rate for Fruquintinib_Diarrhea</w:t>
            </w:r>
          </w:p>
        </w:tc>
        <w:tc>
          <w:tcPr>
            <w:tcW w:w="506" w:type="pct"/>
            <w:shd w:val="clear" w:color="auto" w:fill="auto"/>
            <w:noWrap/>
            <w:vAlign w:val="center"/>
          </w:tcPr>
          <w:p w14:paraId="31FD4981">
            <w:pPr>
              <w:pStyle w:val="24"/>
              <w:rPr>
                <w:sz w:val="16"/>
                <w:szCs w:val="16"/>
              </w:rPr>
            </w:pPr>
            <w:r>
              <w:rPr>
                <w:rFonts w:hint="eastAsia"/>
                <w:sz w:val="16"/>
                <w:szCs w:val="16"/>
              </w:rPr>
              <w:t>2.88%</w:t>
            </w:r>
          </w:p>
        </w:tc>
        <w:tc>
          <w:tcPr>
            <w:tcW w:w="506" w:type="pct"/>
            <w:shd w:val="clear" w:color="auto" w:fill="auto"/>
            <w:noWrap/>
            <w:vAlign w:val="center"/>
          </w:tcPr>
          <w:p w14:paraId="2571B277">
            <w:pPr>
              <w:pStyle w:val="24"/>
              <w:rPr>
                <w:sz w:val="16"/>
                <w:szCs w:val="16"/>
              </w:rPr>
            </w:pPr>
            <w:r>
              <w:rPr>
                <w:rFonts w:hint="eastAsia"/>
                <w:sz w:val="16"/>
                <w:szCs w:val="16"/>
              </w:rPr>
              <w:t>0.02</w:t>
            </w:r>
          </w:p>
        </w:tc>
        <w:tc>
          <w:tcPr>
            <w:tcW w:w="509" w:type="pct"/>
            <w:shd w:val="clear" w:color="auto" w:fill="auto"/>
            <w:noWrap/>
            <w:vAlign w:val="center"/>
          </w:tcPr>
          <w:p w14:paraId="37D2DB1D">
            <w:pPr>
              <w:pStyle w:val="24"/>
              <w:rPr>
                <w:sz w:val="16"/>
                <w:szCs w:val="16"/>
              </w:rPr>
            </w:pPr>
            <w:r>
              <w:rPr>
                <w:rFonts w:hint="eastAsia"/>
                <w:sz w:val="16"/>
                <w:szCs w:val="16"/>
              </w:rPr>
              <w:t>0.03</w:t>
            </w:r>
          </w:p>
        </w:tc>
        <w:tc>
          <w:tcPr>
            <w:tcW w:w="512" w:type="pct"/>
            <w:shd w:val="clear" w:color="auto" w:fill="auto"/>
            <w:noWrap/>
            <w:vAlign w:val="center"/>
          </w:tcPr>
          <w:p w14:paraId="20A6A63D">
            <w:pPr>
              <w:pStyle w:val="24"/>
              <w:rPr>
                <w:sz w:val="16"/>
                <w:szCs w:val="16"/>
              </w:rPr>
            </w:pPr>
            <w:r>
              <w:rPr>
                <w:rFonts w:hint="eastAsia"/>
                <w:sz w:val="16"/>
                <w:szCs w:val="16"/>
              </w:rPr>
              <w:t>Beta</w:t>
            </w:r>
          </w:p>
        </w:tc>
        <w:tc>
          <w:tcPr>
            <w:tcW w:w="494" w:type="pct"/>
            <w:shd w:val="clear" w:color="auto" w:fill="auto"/>
            <w:noWrap/>
            <w:vAlign w:val="center"/>
          </w:tcPr>
          <w:p w14:paraId="4C34CB39">
            <w:pPr>
              <w:pStyle w:val="24"/>
              <w:rPr>
                <w:sz w:val="16"/>
                <w:szCs w:val="16"/>
              </w:rPr>
            </w:pPr>
            <w:r>
              <w:rPr>
                <w:sz w:val="16"/>
                <w:szCs w:val="16"/>
              </w:rPr>
              <w:fldChar w:fldCharType="begin"/>
            </w:r>
            <w:r>
              <w:rPr>
                <w:sz w:val="16"/>
                <w:szCs w:val="16"/>
              </w:rPr>
              <w:instrText xml:space="preserve"> ADDIN NE.Ref.{918D7FCC-366A-459D-9B37-46813C95455F}</w:instrText>
            </w:r>
            <w:r>
              <w:rPr>
                <w:sz w:val="16"/>
                <w:szCs w:val="16"/>
              </w:rPr>
              <w:fldChar w:fldCharType="separate"/>
            </w:r>
            <w:r>
              <w:rPr>
                <w:rFonts w:eastAsia="宋体" w:cs="Times New Roman"/>
                <w:color w:val="080000"/>
                <w:kern w:val="0"/>
                <w:sz w:val="16"/>
                <w:szCs w:val="16"/>
              </w:rPr>
              <w:t>[18]</w:t>
            </w:r>
            <w:r>
              <w:rPr>
                <w:sz w:val="16"/>
                <w:szCs w:val="16"/>
              </w:rPr>
              <w:fldChar w:fldCharType="end"/>
            </w:r>
          </w:p>
        </w:tc>
      </w:tr>
      <w:tr w14:paraId="4C37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03B1C2A">
            <w:pPr>
              <w:pStyle w:val="24"/>
              <w:rPr>
                <w:sz w:val="16"/>
                <w:szCs w:val="16"/>
              </w:rPr>
            </w:pPr>
            <w:r>
              <w:rPr>
                <w:rFonts w:hint="eastAsia"/>
                <w:sz w:val="16"/>
                <w:szCs w:val="16"/>
              </w:rPr>
              <w:t>Adverse event rate for Fruquintinib_Platelet count decreased</w:t>
            </w:r>
          </w:p>
        </w:tc>
        <w:tc>
          <w:tcPr>
            <w:tcW w:w="506" w:type="pct"/>
            <w:shd w:val="clear" w:color="auto" w:fill="auto"/>
            <w:noWrap/>
            <w:vAlign w:val="center"/>
          </w:tcPr>
          <w:p w14:paraId="1E278C91">
            <w:pPr>
              <w:pStyle w:val="24"/>
              <w:rPr>
                <w:sz w:val="16"/>
                <w:szCs w:val="16"/>
              </w:rPr>
            </w:pPr>
            <w:r>
              <w:rPr>
                <w:rFonts w:hint="eastAsia"/>
                <w:sz w:val="16"/>
                <w:szCs w:val="16"/>
              </w:rPr>
              <w:t>2.52%</w:t>
            </w:r>
          </w:p>
        </w:tc>
        <w:tc>
          <w:tcPr>
            <w:tcW w:w="506" w:type="pct"/>
            <w:shd w:val="clear" w:color="auto" w:fill="auto"/>
            <w:noWrap/>
            <w:vAlign w:val="center"/>
          </w:tcPr>
          <w:p w14:paraId="6E76FED1">
            <w:pPr>
              <w:pStyle w:val="24"/>
              <w:rPr>
                <w:sz w:val="16"/>
                <w:szCs w:val="16"/>
              </w:rPr>
            </w:pPr>
            <w:r>
              <w:rPr>
                <w:rFonts w:hint="eastAsia"/>
                <w:sz w:val="16"/>
                <w:szCs w:val="16"/>
              </w:rPr>
              <w:t>0.02</w:t>
            </w:r>
          </w:p>
        </w:tc>
        <w:tc>
          <w:tcPr>
            <w:tcW w:w="509" w:type="pct"/>
            <w:shd w:val="clear" w:color="auto" w:fill="auto"/>
            <w:noWrap/>
            <w:vAlign w:val="center"/>
          </w:tcPr>
          <w:p w14:paraId="24D1D388">
            <w:pPr>
              <w:pStyle w:val="24"/>
              <w:rPr>
                <w:sz w:val="16"/>
                <w:szCs w:val="16"/>
              </w:rPr>
            </w:pPr>
            <w:r>
              <w:rPr>
                <w:rFonts w:hint="eastAsia"/>
                <w:sz w:val="16"/>
                <w:szCs w:val="16"/>
              </w:rPr>
              <w:t>0.03</w:t>
            </w:r>
          </w:p>
        </w:tc>
        <w:tc>
          <w:tcPr>
            <w:tcW w:w="512" w:type="pct"/>
            <w:shd w:val="clear" w:color="auto" w:fill="auto"/>
            <w:noWrap/>
            <w:vAlign w:val="center"/>
          </w:tcPr>
          <w:p w14:paraId="22BFAB4E">
            <w:pPr>
              <w:pStyle w:val="24"/>
              <w:rPr>
                <w:sz w:val="16"/>
                <w:szCs w:val="16"/>
              </w:rPr>
            </w:pPr>
            <w:r>
              <w:rPr>
                <w:rFonts w:hint="eastAsia"/>
                <w:sz w:val="16"/>
                <w:szCs w:val="16"/>
              </w:rPr>
              <w:t>Beta</w:t>
            </w:r>
          </w:p>
        </w:tc>
        <w:tc>
          <w:tcPr>
            <w:tcW w:w="494" w:type="pct"/>
            <w:shd w:val="clear" w:color="auto" w:fill="auto"/>
            <w:noWrap/>
            <w:vAlign w:val="center"/>
          </w:tcPr>
          <w:p w14:paraId="208C4ACF">
            <w:pPr>
              <w:pStyle w:val="24"/>
              <w:rPr>
                <w:sz w:val="16"/>
                <w:szCs w:val="16"/>
              </w:rPr>
            </w:pPr>
            <w:r>
              <w:rPr>
                <w:sz w:val="16"/>
                <w:szCs w:val="16"/>
              </w:rPr>
              <w:fldChar w:fldCharType="begin"/>
            </w:r>
            <w:r>
              <w:rPr>
                <w:sz w:val="16"/>
                <w:szCs w:val="16"/>
              </w:rPr>
              <w:instrText xml:space="preserve"> ADDIN NE.Ref.{5C74A2EA-A061-4B29-9CCC-E673C85CFDF2}</w:instrText>
            </w:r>
            <w:r>
              <w:rPr>
                <w:sz w:val="16"/>
                <w:szCs w:val="16"/>
              </w:rPr>
              <w:fldChar w:fldCharType="separate"/>
            </w:r>
            <w:r>
              <w:rPr>
                <w:rFonts w:eastAsia="宋体" w:cs="Times New Roman"/>
                <w:color w:val="080000"/>
                <w:kern w:val="0"/>
                <w:sz w:val="16"/>
                <w:szCs w:val="16"/>
              </w:rPr>
              <w:t>[18]</w:t>
            </w:r>
            <w:r>
              <w:rPr>
                <w:sz w:val="16"/>
                <w:szCs w:val="16"/>
              </w:rPr>
              <w:fldChar w:fldCharType="end"/>
            </w:r>
          </w:p>
        </w:tc>
      </w:tr>
      <w:tr w14:paraId="3DA27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68AFC6D">
            <w:pPr>
              <w:pStyle w:val="24"/>
              <w:rPr>
                <w:sz w:val="16"/>
                <w:szCs w:val="16"/>
              </w:rPr>
            </w:pPr>
            <w:r>
              <w:rPr>
                <w:rFonts w:hint="eastAsia"/>
                <w:sz w:val="16"/>
                <w:szCs w:val="16"/>
              </w:rPr>
              <w:t>Adverse event rate for TAS-102+BEV_Neutropenia</w:t>
            </w:r>
          </w:p>
        </w:tc>
        <w:tc>
          <w:tcPr>
            <w:tcW w:w="506" w:type="pct"/>
            <w:shd w:val="clear" w:color="auto" w:fill="auto"/>
            <w:noWrap/>
            <w:vAlign w:val="center"/>
          </w:tcPr>
          <w:p w14:paraId="68FF1AC7">
            <w:pPr>
              <w:pStyle w:val="24"/>
              <w:rPr>
                <w:sz w:val="16"/>
                <w:szCs w:val="16"/>
              </w:rPr>
            </w:pPr>
            <w:r>
              <w:rPr>
                <w:rFonts w:hint="eastAsia"/>
                <w:sz w:val="16"/>
                <w:szCs w:val="16"/>
              </w:rPr>
              <w:t>38.30%</w:t>
            </w:r>
          </w:p>
        </w:tc>
        <w:tc>
          <w:tcPr>
            <w:tcW w:w="506" w:type="pct"/>
            <w:shd w:val="clear" w:color="auto" w:fill="auto"/>
            <w:noWrap/>
            <w:vAlign w:val="center"/>
          </w:tcPr>
          <w:p w14:paraId="4F6181E9">
            <w:pPr>
              <w:pStyle w:val="24"/>
              <w:rPr>
                <w:sz w:val="16"/>
                <w:szCs w:val="16"/>
              </w:rPr>
            </w:pPr>
            <w:r>
              <w:rPr>
                <w:rFonts w:hint="eastAsia"/>
                <w:sz w:val="16"/>
                <w:szCs w:val="16"/>
              </w:rPr>
              <w:t>0.31</w:t>
            </w:r>
          </w:p>
        </w:tc>
        <w:tc>
          <w:tcPr>
            <w:tcW w:w="509" w:type="pct"/>
            <w:shd w:val="clear" w:color="auto" w:fill="auto"/>
            <w:noWrap/>
            <w:vAlign w:val="center"/>
          </w:tcPr>
          <w:p w14:paraId="5F7A4E9C">
            <w:pPr>
              <w:pStyle w:val="24"/>
              <w:rPr>
                <w:sz w:val="16"/>
                <w:szCs w:val="16"/>
              </w:rPr>
            </w:pPr>
            <w:r>
              <w:rPr>
                <w:rFonts w:hint="eastAsia"/>
                <w:sz w:val="16"/>
                <w:szCs w:val="16"/>
              </w:rPr>
              <w:t>0.46</w:t>
            </w:r>
          </w:p>
        </w:tc>
        <w:tc>
          <w:tcPr>
            <w:tcW w:w="512" w:type="pct"/>
            <w:shd w:val="clear" w:color="auto" w:fill="auto"/>
            <w:noWrap/>
            <w:vAlign w:val="center"/>
          </w:tcPr>
          <w:p w14:paraId="7A4354EF">
            <w:pPr>
              <w:pStyle w:val="24"/>
              <w:rPr>
                <w:sz w:val="16"/>
                <w:szCs w:val="16"/>
              </w:rPr>
            </w:pPr>
            <w:r>
              <w:rPr>
                <w:rFonts w:hint="eastAsia"/>
                <w:sz w:val="16"/>
                <w:szCs w:val="16"/>
              </w:rPr>
              <w:t>Beta</w:t>
            </w:r>
          </w:p>
        </w:tc>
        <w:tc>
          <w:tcPr>
            <w:tcW w:w="494" w:type="pct"/>
            <w:shd w:val="clear" w:color="auto" w:fill="auto"/>
            <w:noWrap/>
            <w:vAlign w:val="center"/>
          </w:tcPr>
          <w:p w14:paraId="3B9314DD">
            <w:pPr>
              <w:pStyle w:val="24"/>
              <w:rPr>
                <w:sz w:val="16"/>
                <w:szCs w:val="16"/>
              </w:rPr>
            </w:pPr>
            <w:r>
              <w:rPr>
                <w:sz w:val="16"/>
                <w:szCs w:val="16"/>
              </w:rPr>
              <w:fldChar w:fldCharType="begin"/>
            </w:r>
            <w:r>
              <w:rPr>
                <w:sz w:val="16"/>
                <w:szCs w:val="16"/>
              </w:rPr>
              <w:instrText xml:space="preserve"> ADDIN NE.Ref.{193BA0D5-CB25-4804-B513-7976B26648AB}</w:instrText>
            </w:r>
            <w:r>
              <w:rPr>
                <w:sz w:val="16"/>
                <w:szCs w:val="16"/>
              </w:rPr>
              <w:fldChar w:fldCharType="separate"/>
            </w:r>
            <w:r>
              <w:rPr>
                <w:rFonts w:eastAsia="宋体" w:cs="Times New Roman"/>
                <w:color w:val="080000"/>
                <w:kern w:val="0"/>
                <w:sz w:val="16"/>
                <w:szCs w:val="16"/>
              </w:rPr>
              <w:t>[26]</w:t>
            </w:r>
            <w:r>
              <w:rPr>
                <w:sz w:val="16"/>
                <w:szCs w:val="16"/>
              </w:rPr>
              <w:fldChar w:fldCharType="end"/>
            </w:r>
          </w:p>
        </w:tc>
      </w:tr>
      <w:tr w14:paraId="4F56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0A5B045">
            <w:pPr>
              <w:pStyle w:val="24"/>
              <w:rPr>
                <w:sz w:val="16"/>
                <w:szCs w:val="16"/>
              </w:rPr>
            </w:pPr>
            <w:r>
              <w:rPr>
                <w:rFonts w:hint="eastAsia"/>
                <w:sz w:val="16"/>
                <w:szCs w:val="16"/>
              </w:rPr>
              <w:t>Adverse event rate for TAS-102+BEV_Anaemia</w:t>
            </w:r>
          </w:p>
        </w:tc>
        <w:tc>
          <w:tcPr>
            <w:tcW w:w="506" w:type="pct"/>
            <w:shd w:val="clear" w:color="auto" w:fill="auto"/>
            <w:noWrap/>
            <w:vAlign w:val="center"/>
          </w:tcPr>
          <w:p w14:paraId="0A3AB3CD">
            <w:pPr>
              <w:pStyle w:val="24"/>
              <w:rPr>
                <w:sz w:val="16"/>
                <w:szCs w:val="16"/>
              </w:rPr>
            </w:pPr>
            <w:r>
              <w:rPr>
                <w:rFonts w:hint="eastAsia"/>
                <w:sz w:val="16"/>
                <w:szCs w:val="16"/>
              </w:rPr>
              <w:t>17.02%</w:t>
            </w:r>
          </w:p>
        </w:tc>
        <w:tc>
          <w:tcPr>
            <w:tcW w:w="506" w:type="pct"/>
            <w:shd w:val="clear" w:color="auto" w:fill="auto"/>
            <w:noWrap/>
            <w:vAlign w:val="center"/>
          </w:tcPr>
          <w:p w14:paraId="4447363E">
            <w:pPr>
              <w:pStyle w:val="24"/>
              <w:rPr>
                <w:sz w:val="16"/>
                <w:szCs w:val="16"/>
              </w:rPr>
            </w:pPr>
            <w:r>
              <w:rPr>
                <w:rFonts w:hint="eastAsia"/>
                <w:sz w:val="16"/>
                <w:szCs w:val="16"/>
              </w:rPr>
              <w:t>0.14</w:t>
            </w:r>
          </w:p>
        </w:tc>
        <w:tc>
          <w:tcPr>
            <w:tcW w:w="509" w:type="pct"/>
            <w:shd w:val="clear" w:color="auto" w:fill="auto"/>
            <w:noWrap/>
            <w:vAlign w:val="center"/>
          </w:tcPr>
          <w:p w14:paraId="145F499E">
            <w:pPr>
              <w:pStyle w:val="24"/>
              <w:rPr>
                <w:sz w:val="16"/>
                <w:szCs w:val="16"/>
              </w:rPr>
            </w:pPr>
            <w:r>
              <w:rPr>
                <w:rFonts w:hint="eastAsia"/>
                <w:sz w:val="16"/>
                <w:szCs w:val="16"/>
              </w:rPr>
              <w:t>0.20</w:t>
            </w:r>
          </w:p>
        </w:tc>
        <w:tc>
          <w:tcPr>
            <w:tcW w:w="512" w:type="pct"/>
            <w:shd w:val="clear" w:color="auto" w:fill="auto"/>
            <w:noWrap/>
            <w:vAlign w:val="center"/>
          </w:tcPr>
          <w:p w14:paraId="208CD63A">
            <w:pPr>
              <w:pStyle w:val="24"/>
              <w:rPr>
                <w:sz w:val="16"/>
                <w:szCs w:val="16"/>
              </w:rPr>
            </w:pPr>
            <w:r>
              <w:rPr>
                <w:rFonts w:hint="eastAsia"/>
                <w:sz w:val="16"/>
                <w:szCs w:val="16"/>
              </w:rPr>
              <w:t>Beta</w:t>
            </w:r>
          </w:p>
        </w:tc>
        <w:tc>
          <w:tcPr>
            <w:tcW w:w="494" w:type="pct"/>
            <w:shd w:val="clear" w:color="auto" w:fill="auto"/>
            <w:noWrap/>
            <w:vAlign w:val="center"/>
          </w:tcPr>
          <w:p w14:paraId="7381ADBC">
            <w:pPr>
              <w:pStyle w:val="24"/>
              <w:rPr>
                <w:sz w:val="16"/>
                <w:szCs w:val="16"/>
              </w:rPr>
            </w:pPr>
            <w:r>
              <w:rPr>
                <w:sz w:val="16"/>
                <w:szCs w:val="16"/>
              </w:rPr>
              <w:fldChar w:fldCharType="begin"/>
            </w:r>
            <w:r>
              <w:rPr>
                <w:sz w:val="16"/>
                <w:szCs w:val="16"/>
              </w:rPr>
              <w:instrText xml:space="preserve"> ADDIN NE.Ref.{460403C3-42B3-4130-B718-1FD3D33C5EF7}</w:instrText>
            </w:r>
            <w:r>
              <w:rPr>
                <w:sz w:val="16"/>
                <w:szCs w:val="16"/>
              </w:rPr>
              <w:fldChar w:fldCharType="separate"/>
            </w:r>
            <w:r>
              <w:rPr>
                <w:rFonts w:eastAsia="宋体" w:cs="Times New Roman"/>
                <w:color w:val="080000"/>
                <w:kern w:val="0"/>
                <w:sz w:val="16"/>
                <w:szCs w:val="16"/>
              </w:rPr>
              <w:t>[26]</w:t>
            </w:r>
            <w:r>
              <w:rPr>
                <w:sz w:val="16"/>
                <w:szCs w:val="16"/>
              </w:rPr>
              <w:fldChar w:fldCharType="end"/>
            </w:r>
          </w:p>
        </w:tc>
      </w:tr>
      <w:tr w14:paraId="2DAE1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616542C">
            <w:pPr>
              <w:pStyle w:val="24"/>
              <w:rPr>
                <w:sz w:val="16"/>
                <w:szCs w:val="16"/>
              </w:rPr>
            </w:pPr>
            <w:r>
              <w:rPr>
                <w:rFonts w:hint="eastAsia"/>
                <w:sz w:val="16"/>
                <w:szCs w:val="16"/>
              </w:rPr>
              <w:t>Adverse event rate for TAS-102+BEV_Nausea</w:t>
            </w:r>
          </w:p>
        </w:tc>
        <w:tc>
          <w:tcPr>
            <w:tcW w:w="506" w:type="pct"/>
            <w:shd w:val="clear" w:color="auto" w:fill="auto"/>
            <w:noWrap/>
            <w:vAlign w:val="center"/>
          </w:tcPr>
          <w:p w14:paraId="7CF92FCB">
            <w:pPr>
              <w:pStyle w:val="24"/>
              <w:rPr>
                <w:sz w:val="16"/>
                <w:szCs w:val="16"/>
              </w:rPr>
            </w:pPr>
            <w:r>
              <w:rPr>
                <w:rFonts w:hint="eastAsia"/>
                <w:sz w:val="16"/>
                <w:szCs w:val="16"/>
              </w:rPr>
              <w:t>6.38%</w:t>
            </w:r>
          </w:p>
        </w:tc>
        <w:tc>
          <w:tcPr>
            <w:tcW w:w="506" w:type="pct"/>
            <w:shd w:val="clear" w:color="auto" w:fill="auto"/>
            <w:noWrap/>
            <w:vAlign w:val="center"/>
          </w:tcPr>
          <w:p w14:paraId="3388E4CE">
            <w:pPr>
              <w:pStyle w:val="24"/>
              <w:rPr>
                <w:sz w:val="16"/>
                <w:szCs w:val="16"/>
              </w:rPr>
            </w:pPr>
            <w:r>
              <w:rPr>
                <w:rFonts w:hint="eastAsia"/>
                <w:sz w:val="16"/>
                <w:szCs w:val="16"/>
              </w:rPr>
              <w:t>0.05</w:t>
            </w:r>
          </w:p>
        </w:tc>
        <w:tc>
          <w:tcPr>
            <w:tcW w:w="509" w:type="pct"/>
            <w:shd w:val="clear" w:color="auto" w:fill="auto"/>
            <w:noWrap/>
            <w:vAlign w:val="center"/>
          </w:tcPr>
          <w:p w14:paraId="4F795C54">
            <w:pPr>
              <w:pStyle w:val="24"/>
              <w:rPr>
                <w:sz w:val="16"/>
                <w:szCs w:val="16"/>
              </w:rPr>
            </w:pPr>
            <w:r>
              <w:rPr>
                <w:rFonts w:hint="eastAsia"/>
                <w:sz w:val="16"/>
                <w:szCs w:val="16"/>
              </w:rPr>
              <w:t>0.08</w:t>
            </w:r>
          </w:p>
        </w:tc>
        <w:tc>
          <w:tcPr>
            <w:tcW w:w="512" w:type="pct"/>
            <w:shd w:val="clear" w:color="auto" w:fill="auto"/>
            <w:noWrap/>
            <w:vAlign w:val="center"/>
          </w:tcPr>
          <w:p w14:paraId="4226A053">
            <w:pPr>
              <w:pStyle w:val="24"/>
              <w:rPr>
                <w:sz w:val="16"/>
                <w:szCs w:val="16"/>
              </w:rPr>
            </w:pPr>
            <w:r>
              <w:rPr>
                <w:rFonts w:hint="eastAsia"/>
                <w:sz w:val="16"/>
                <w:szCs w:val="16"/>
              </w:rPr>
              <w:t>Beta</w:t>
            </w:r>
          </w:p>
        </w:tc>
        <w:tc>
          <w:tcPr>
            <w:tcW w:w="494" w:type="pct"/>
            <w:shd w:val="clear" w:color="auto" w:fill="auto"/>
            <w:noWrap/>
            <w:vAlign w:val="center"/>
          </w:tcPr>
          <w:p w14:paraId="5AB9B440">
            <w:pPr>
              <w:pStyle w:val="24"/>
              <w:rPr>
                <w:sz w:val="16"/>
                <w:szCs w:val="16"/>
              </w:rPr>
            </w:pPr>
            <w:r>
              <w:rPr>
                <w:sz w:val="16"/>
                <w:szCs w:val="16"/>
              </w:rPr>
              <w:fldChar w:fldCharType="begin"/>
            </w:r>
            <w:r>
              <w:rPr>
                <w:sz w:val="16"/>
                <w:szCs w:val="16"/>
              </w:rPr>
              <w:instrText xml:space="preserve"> ADDIN NE.Ref.{8A735798-4610-4496-B034-CEFFBF177F09}</w:instrText>
            </w:r>
            <w:r>
              <w:rPr>
                <w:sz w:val="16"/>
                <w:szCs w:val="16"/>
              </w:rPr>
              <w:fldChar w:fldCharType="separate"/>
            </w:r>
            <w:r>
              <w:rPr>
                <w:rFonts w:eastAsia="宋体" w:cs="Times New Roman"/>
                <w:color w:val="080000"/>
                <w:kern w:val="0"/>
                <w:sz w:val="16"/>
                <w:szCs w:val="16"/>
              </w:rPr>
              <w:t>[26]</w:t>
            </w:r>
            <w:r>
              <w:rPr>
                <w:sz w:val="16"/>
                <w:szCs w:val="16"/>
              </w:rPr>
              <w:fldChar w:fldCharType="end"/>
            </w:r>
          </w:p>
        </w:tc>
      </w:tr>
      <w:tr w14:paraId="0E0B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4FAD8C9">
            <w:pPr>
              <w:pStyle w:val="24"/>
              <w:rPr>
                <w:sz w:val="16"/>
                <w:szCs w:val="16"/>
              </w:rPr>
            </w:pPr>
            <w:r>
              <w:rPr>
                <w:rFonts w:hint="eastAsia"/>
                <w:sz w:val="16"/>
                <w:szCs w:val="16"/>
              </w:rPr>
              <w:t>Adverse event rate for TAS-102+BEV_Vomiting</w:t>
            </w:r>
          </w:p>
        </w:tc>
        <w:tc>
          <w:tcPr>
            <w:tcW w:w="506" w:type="pct"/>
            <w:shd w:val="clear" w:color="auto" w:fill="auto"/>
            <w:noWrap/>
            <w:vAlign w:val="center"/>
          </w:tcPr>
          <w:p w14:paraId="1858106B">
            <w:pPr>
              <w:pStyle w:val="24"/>
              <w:rPr>
                <w:sz w:val="16"/>
                <w:szCs w:val="16"/>
              </w:rPr>
            </w:pPr>
            <w:r>
              <w:rPr>
                <w:rFonts w:hint="eastAsia"/>
                <w:sz w:val="16"/>
                <w:szCs w:val="16"/>
              </w:rPr>
              <w:t>2.13%</w:t>
            </w:r>
          </w:p>
        </w:tc>
        <w:tc>
          <w:tcPr>
            <w:tcW w:w="506" w:type="pct"/>
            <w:shd w:val="clear" w:color="auto" w:fill="auto"/>
            <w:noWrap/>
            <w:vAlign w:val="center"/>
          </w:tcPr>
          <w:p w14:paraId="6737924D">
            <w:pPr>
              <w:pStyle w:val="24"/>
              <w:rPr>
                <w:sz w:val="16"/>
                <w:szCs w:val="16"/>
              </w:rPr>
            </w:pPr>
            <w:r>
              <w:rPr>
                <w:rFonts w:hint="eastAsia"/>
                <w:sz w:val="16"/>
                <w:szCs w:val="16"/>
              </w:rPr>
              <w:t>0.02</w:t>
            </w:r>
          </w:p>
        </w:tc>
        <w:tc>
          <w:tcPr>
            <w:tcW w:w="509" w:type="pct"/>
            <w:shd w:val="clear" w:color="auto" w:fill="auto"/>
            <w:noWrap/>
            <w:vAlign w:val="center"/>
          </w:tcPr>
          <w:p w14:paraId="14B074F6">
            <w:pPr>
              <w:pStyle w:val="24"/>
              <w:rPr>
                <w:sz w:val="16"/>
                <w:szCs w:val="16"/>
              </w:rPr>
            </w:pPr>
            <w:r>
              <w:rPr>
                <w:rFonts w:hint="eastAsia"/>
                <w:sz w:val="16"/>
                <w:szCs w:val="16"/>
              </w:rPr>
              <w:t>0.03</w:t>
            </w:r>
          </w:p>
        </w:tc>
        <w:tc>
          <w:tcPr>
            <w:tcW w:w="512" w:type="pct"/>
            <w:shd w:val="clear" w:color="auto" w:fill="auto"/>
            <w:noWrap/>
            <w:vAlign w:val="center"/>
          </w:tcPr>
          <w:p w14:paraId="3A3D0214">
            <w:pPr>
              <w:pStyle w:val="24"/>
              <w:rPr>
                <w:sz w:val="16"/>
                <w:szCs w:val="16"/>
              </w:rPr>
            </w:pPr>
            <w:r>
              <w:rPr>
                <w:rFonts w:hint="eastAsia"/>
                <w:sz w:val="16"/>
                <w:szCs w:val="16"/>
              </w:rPr>
              <w:t>Beta</w:t>
            </w:r>
          </w:p>
        </w:tc>
        <w:tc>
          <w:tcPr>
            <w:tcW w:w="494" w:type="pct"/>
            <w:shd w:val="clear" w:color="auto" w:fill="auto"/>
            <w:noWrap/>
            <w:vAlign w:val="center"/>
          </w:tcPr>
          <w:p w14:paraId="17C9586B">
            <w:pPr>
              <w:pStyle w:val="24"/>
              <w:rPr>
                <w:sz w:val="16"/>
                <w:szCs w:val="16"/>
              </w:rPr>
            </w:pPr>
            <w:r>
              <w:rPr>
                <w:sz w:val="16"/>
                <w:szCs w:val="16"/>
              </w:rPr>
              <w:fldChar w:fldCharType="begin"/>
            </w:r>
            <w:r>
              <w:rPr>
                <w:sz w:val="16"/>
                <w:szCs w:val="16"/>
              </w:rPr>
              <w:instrText xml:space="preserve"> ADDIN NE.Ref.{68289194-0672-4157-9466-20DD6D0EBF13}</w:instrText>
            </w:r>
            <w:r>
              <w:rPr>
                <w:sz w:val="16"/>
                <w:szCs w:val="16"/>
              </w:rPr>
              <w:fldChar w:fldCharType="separate"/>
            </w:r>
            <w:r>
              <w:rPr>
                <w:rFonts w:eastAsia="宋体" w:cs="Times New Roman"/>
                <w:color w:val="080000"/>
                <w:kern w:val="0"/>
                <w:sz w:val="16"/>
                <w:szCs w:val="16"/>
              </w:rPr>
              <w:t>[26]</w:t>
            </w:r>
            <w:r>
              <w:rPr>
                <w:sz w:val="16"/>
                <w:szCs w:val="16"/>
              </w:rPr>
              <w:fldChar w:fldCharType="end"/>
            </w:r>
          </w:p>
        </w:tc>
      </w:tr>
      <w:tr w14:paraId="3ABD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B7B55E9">
            <w:pPr>
              <w:pStyle w:val="24"/>
              <w:rPr>
                <w:sz w:val="16"/>
                <w:szCs w:val="16"/>
              </w:rPr>
            </w:pPr>
            <w:r>
              <w:rPr>
                <w:rFonts w:hint="eastAsia"/>
                <w:sz w:val="16"/>
                <w:szCs w:val="16"/>
              </w:rPr>
              <w:t>Adverse event rate for TAS-102+BEV_Fatigue</w:t>
            </w:r>
          </w:p>
        </w:tc>
        <w:tc>
          <w:tcPr>
            <w:tcW w:w="506" w:type="pct"/>
            <w:shd w:val="clear" w:color="auto" w:fill="auto"/>
            <w:noWrap/>
            <w:vAlign w:val="center"/>
          </w:tcPr>
          <w:p w14:paraId="0C927FD3">
            <w:pPr>
              <w:pStyle w:val="24"/>
              <w:rPr>
                <w:sz w:val="16"/>
                <w:szCs w:val="16"/>
              </w:rPr>
            </w:pPr>
            <w:r>
              <w:rPr>
                <w:rFonts w:hint="eastAsia"/>
                <w:sz w:val="16"/>
                <w:szCs w:val="16"/>
              </w:rPr>
              <w:t>10.64%</w:t>
            </w:r>
          </w:p>
        </w:tc>
        <w:tc>
          <w:tcPr>
            <w:tcW w:w="506" w:type="pct"/>
            <w:shd w:val="clear" w:color="auto" w:fill="auto"/>
            <w:noWrap/>
            <w:vAlign w:val="center"/>
          </w:tcPr>
          <w:p w14:paraId="7464C639">
            <w:pPr>
              <w:pStyle w:val="24"/>
              <w:rPr>
                <w:sz w:val="16"/>
                <w:szCs w:val="16"/>
              </w:rPr>
            </w:pPr>
            <w:r>
              <w:rPr>
                <w:rFonts w:hint="eastAsia"/>
                <w:sz w:val="16"/>
                <w:szCs w:val="16"/>
              </w:rPr>
              <w:t>0.09</w:t>
            </w:r>
          </w:p>
        </w:tc>
        <w:tc>
          <w:tcPr>
            <w:tcW w:w="509" w:type="pct"/>
            <w:shd w:val="clear" w:color="auto" w:fill="auto"/>
            <w:noWrap/>
            <w:vAlign w:val="center"/>
          </w:tcPr>
          <w:p w14:paraId="57503C7D">
            <w:pPr>
              <w:pStyle w:val="24"/>
              <w:rPr>
                <w:sz w:val="16"/>
                <w:szCs w:val="16"/>
              </w:rPr>
            </w:pPr>
            <w:r>
              <w:rPr>
                <w:rFonts w:hint="eastAsia"/>
                <w:sz w:val="16"/>
                <w:szCs w:val="16"/>
              </w:rPr>
              <w:t>0.13</w:t>
            </w:r>
          </w:p>
        </w:tc>
        <w:tc>
          <w:tcPr>
            <w:tcW w:w="512" w:type="pct"/>
            <w:shd w:val="clear" w:color="auto" w:fill="auto"/>
            <w:noWrap/>
            <w:vAlign w:val="center"/>
          </w:tcPr>
          <w:p w14:paraId="30A99F1E">
            <w:pPr>
              <w:pStyle w:val="24"/>
              <w:rPr>
                <w:sz w:val="16"/>
                <w:szCs w:val="16"/>
              </w:rPr>
            </w:pPr>
            <w:r>
              <w:rPr>
                <w:rFonts w:hint="eastAsia"/>
                <w:sz w:val="16"/>
                <w:szCs w:val="16"/>
              </w:rPr>
              <w:t>Beta</w:t>
            </w:r>
          </w:p>
        </w:tc>
        <w:tc>
          <w:tcPr>
            <w:tcW w:w="494" w:type="pct"/>
            <w:shd w:val="clear" w:color="auto" w:fill="auto"/>
            <w:noWrap/>
            <w:vAlign w:val="center"/>
          </w:tcPr>
          <w:p w14:paraId="49D7C9E6">
            <w:pPr>
              <w:pStyle w:val="24"/>
              <w:rPr>
                <w:sz w:val="16"/>
                <w:szCs w:val="16"/>
              </w:rPr>
            </w:pPr>
            <w:r>
              <w:rPr>
                <w:sz w:val="16"/>
                <w:szCs w:val="16"/>
              </w:rPr>
              <w:fldChar w:fldCharType="begin"/>
            </w:r>
            <w:r>
              <w:rPr>
                <w:sz w:val="16"/>
                <w:szCs w:val="16"/>
              </w:rPr>
              <w:instrText xml:space="preserve"> ADDIN NE.Ref.{CA73DF79-1D03-47D8-8E65-1BAFD61896CE}</w:instrText>
            </w:r>
            <w:r>
              <w:rPr>
                <w:sz w:val="16"/>
                <w:szCs w:val="16"/>
              </w:rPr>
              <w:fldChar w:fldCharType="separate"/>
            </w:r>
            <w:r>
              <w:rPr>
                <w:rFonts w:eastAsia="宋体" w:cs="Times New Roman"/>
                <w:color w:val="080000"/>
                <w:kern w:val="0"/>
                <w:sz w:val="16"/>
                <w:szCs w:val="16"/>
              </w:rPr>
              <w:t>[26]</w:t>
            </w:r>
            <w:r>
              <w:rPr>
                <w:sz w:val="16"/>
                <w:szCs w:val="16"/>
              </w:rPr>
              <w:fldChar w:fldCharType="end"/>
            </w:r>
          </w:p>
        </w:tc>
      </w:tr>
      <w:tr w14:paraId="0D08A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835F528">
            <w:pPr>
              <w:pStyle w:val="24"/>
              <w:rPr>
                <w:sz w:val="16"/>
                <w:szCs w:val="16"/>
              </w:rPr>
            </w:pPr>
            <w:r>
              <w:rPr>
                <w:rFonts w:hint="eastAsia"/>
                <w:sz w:val="16"/>
                <w:szCs w:val="16"/>
              </w:rPr>
              <w:t>Adverse event rate for TAS-102+BEV_Febrile neutropenia</w:t>
            </w:r>
          </w:p>
        </w:tc>
        <w:tc>
          <w:tcPr>
            <w:tcW w:w="506" w:type="pct"/>
            <w:shd w:val="clear" w:color="auto" w:fill="auto"/>
            <w:noWrap/>
            <w:vAlign w:val="center"/>
          </w:tcPr>
          <w:p w14:paraId="10216D03">
            <w:pPr>
              <w:pStyle w:val="24"/>
              <w:rPr>
                <w:sz w:val="16"/>
                <w:szCs w:val="16"/>
              </w:rPr>
            </w:pPr>
            <w:r>
              <w:rPr>
                <w:rFonts w:hint="eastAsia"/>
                <w:sz w:val="16"/>
                <w:szCs w:val="16"/>
              </w:rPr>
              <w:t>2.13%</w:t>
            </w:r>
          </w:p>
        </w:tc>
        <w:tc>
          <w:tcPr>
            <w:tcW w:w="506" w:type="pct"/>
            <w:shd w:val="clear" w:color="auto" w:fill="auto"/>
            <w:noWrap/>
            <w:vAlign w:val="center"/>
          </w:tcPr>
          <w:p w14:paraId="5978A8CF">
            <w:pPr>
              <w:pStyle w:val="24"/>
              <w:rPr>
                <w:sz w:val="16"/>
                <w:szCs w:val="16"/>
              </w:rPr>
            </w:pPr>
            <w:r>
              <w:rPr>
                <w:rFonts w:hint="eastAsia"/>
                <w:sz w:val="16"/>
                <w:szCs w:val="16"/>
              </w:rPr>
              <w:t>0.02</w:t>
            </w:r>
          </w:p>
        </w:tc>
        <w:tc>
          <w:tcPr>
            <w:tcW w:w="509" w:type="pct"/>
            <w:shd w:val="clear" w:color="auto" w:fill="auto"/>
            <w:noWrap/>
            <w:vAlign w:val="center"/>
          </w:tcPr>
          <w:p w14:paraId="29451690">
            <w:pPr>
              <w:pStyle w:val="24"/>
              <w:rPr>
                <w:sz w:val="16"/>
                <w:szCs w:val="16"/>
              </w:rPr>
            </w:pPr>
            <w:r>
              <w:rPr>
                <w:rFonts w:hint="eastAsia"/>
                <w:sz w:val="16"/>
                <w:szCs w:val="16"/>
              </w:rPr>
              <w:t>0.03</w:t>
            </w:r>
          </w:p>
        </w:tc>
        <w:tc>
          <w:tcPr>
            <w:tcW w:w="512" w:type="pct"/>
            <w:shd w:val="clear" w:color="auto" w:fill="auto"/>
            <w:noWrap/>
            <w:vAlign w:val="center"/>
          </w:tcPr>
          <w:p w14:paraId="0C28D673">
            <w:pPr>
              <w:pStyle w:val="24"/>
              <w:rPr>
                <w:sz w:val="16"/>
                <w:szCs w:val="16"/>
              </w:rPr>
            </w:pPr>
            <w:r>
              <w:rPr>
                <w:rFonts w:hint="eastAsia"/>
                <w:sz w:val="16"/>
                <w:szCs w:val="16"/>
              </w:rPr>
              <w:t>Beta</w:t>
            </w:r>
          </w:p>
        </w:tc>
        <w:tc>
          <w:tcPr>
            <w:tcW w:w="494" w:type="pct"/>
            <w:shd w:val="clear" w:color="auto" w:fill="auto"/>
            <w:noWrap/>
            <w:vAlign w:val="center"/>
          </w:tcPr>
          <w:p w14:paraId="6A37F3F5">
            <w:pPr>
              <w:pStyle w:val="24"/>
              <w:rPr>
                <w:sz w:val="16"/>
                <w:szCs w:val="16"/>
              </w:rPr>
            </w:pPr>
            <w:r>
              <w:rPr>
                <w:sz w:val="16"/>
                <w:szCs w:val="16"/>
              </w:rPr>
              <w:fldChar w:fldCharType="begin"/>
            </w:r>
            <w:r>
              <w:rPr>
                <w:sz w:val="16"/>
                <w:szCs w:val="16"/>
              </w:rPr>
              <w:instrText xml:space="preserve"> ADDIN NE.Ref.{E1317EE5-AFCD-4EE2-A596-4382D5D813C8}</w:instrText>
            </w:r>
            <w:r>
              <w:rPr>
                <w:sz w:val="16"/>
                <w:szCs w:val="16"/>
              </w:rPr>
              <w:fldChar w:fldCharType="separate"/>
            </w:r>
            <w:r>
              <w:rPr>
                <w:rFonts w:eastAsia="宋体" w:cs="Times New Roman"/>
                <w:color w:val="080000"/>
                <w:kern w:val="0"/>
                <w:sz w:val="16"/>
                <w:szCs w:val="16"/>
              </w:rPr>
              <w:t>[26]</w:t>
            </w:r>
            <w:r>
              <w:rPr>
                <w:sz w:val="16"/>
                <w:szCs w:val="16"/>
              </w:rPr>
              <w:fldChar w:fldCharType="end"/>
            </w:r>
          </w:p>
        </w:tc>
      </w:tr>
      <w:tr w14:paraId="1009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1505187">
            <w:pPr>
              <w:pStyle w:val="24"/>
              <w:rPr>
                <w:sz w:val="16"/>
                <w:szCs w:val="16"/>
              </w:rPr>
            </w:pPr>
            <w:r>
              <w:rPr>
                <w:rFonts w:hint="eastAsia"/>
                <w:sz w:val="16"/>
                <w:szCs w:val="16"/>
              </w:rPr>
              <w:t>Adverse event rate for REDoS_Fatigue</w:t>
            </w:r>
          </w:p>
        </w:tc>
        <w:tc>
          <w:tcPr>
            <w:tcW w:w="506" w:type="pct"/>
            <w:shd w:val="clear" w:color="auto" w:fill="auto"/>
            <w:noWrap/>
            <w:vAlign w:val="center"/>
          </w:tcPr>
          <w:p w14:paraId="0CB43F90">
            <w:pPr>
              <w:pStyle w:val="24"/>
              <w:rPr>
                <w:sz w:val="16"/>
                <w:szCs w:val="16"/>
              </w:rPr>
            </w:pPr>
            <w:r>
              <w:rPr>
                <w:rFonts w:hint="eastAsia"/>
                <w:sz w:val="16"/>
                <w:szCs w:val="16"/>
              </w:rPr>
              <w:t>0.13</w:t>
            </w:r>
          </w:p>
        </w:tc>
        <w:tc>
          <w:tcPr>
            <w:tcW w:w="506" w:type="pct"/>
            <w:shd w:val="clear" w:color="auto" w:fill="auto"/>
            <w:noWrap/>
            <w:vAlign w:val="center"/>
          </w:tcPr>
          <w:p w14:paraId="2BA16A9E">
            <w:pPr>
              <w:pStyle w:val="24"/>
              <w:rPr>
                <w:sz w:val="16"/>
                <w:szCs w:val="16"/>
              </w:rPr>
            </w:pPr>
            <w:r>
              <w:rPr>
                <w:rFonts w:hint="eastAsia"/>
                <w:sz w:val="16"/>
                <w:szCs w:val="16"/>
              </w:rPr>
              <w:t>0.10</w:t>
            </w:r>
          </w:p>
        </w:tc>
        <w:tc>
          <w:tcPr>
            <w:tcW w:w="509" w:type="pct"/>
            <w:shd w:val="clear" w:color="auto" w:fill="auto"/>
            <w:noWrap/>
            <w:vAlign w:val="center"/>
          </w:tcPr>
          <w:p w14:paraId="528B6AF7">
            <w:pPr>
              <w:pStyle w:val="24"/>
              <w:rPr>
                <w:sz w:val="16"/>
                <w:szCs w:val="16"/>
              </w:rPr>
            </w:pPr>
            <w:r>
              <w:rPr>
                <w:rFonts w:hint="eastAsia"/>
                <w:sz w:val="16"/>
                <w:szCs w:val="16"/>
              </w:rPr>
              <w:t>0.16</w:t>
            </w:r>
          </w:p>
        </w:tc>
        <w:tc>
          <w:tcPr>
            <w:tcW w:w="512" w:type="pct"/>
            <w:shd w:val="clear" w:color="auto" w:fill="auto"/>
            <w:noWrap/>
            <w:vAlign w:val="center"/>
          </w:tcPr>
          <w:p w14:paraId="4F85897D">
            <w:pPr>
              <w:pStyle w:val="24"/>
              <w:rPr>
                <w:sz w:val="16"/>
                <w:szCs w:val="16"/>
              </w:rPr>
            </w:pPr>
            <w:r>
              <w:rPr>
                <w:rFonts w:hint="eastAsia"/>
                <w:sz w:val="16"/>
                <w:szCs w:val="16"/>
              </w:rPr>
              <w:t>Beta</w:t>
            </w:r>
          </w:p>
        </w:tc>
        <w:tc>
          <w:tcPr>
            <w:tcW w:w="494" w:type="pct"/>
            <w:shd w:val="clear" w:color="auto" w:fill="auto"/>
            <w:noWrap/>
            <w:vAlign w:val="center"/>
          </w:tcPr>
          <w:p w14:paraId="2885C65D">
            <w:pPr>
              <w:pStyle w:val="24"/>
              <w:rPr>
                <w:sz w:val="16"/>
                <w:szCs w:val="16"/>
              </w:rPr>
            </w:pPr>
            <w:r>
              <w:rPr>
                <w:sz w:val="16"/>
                <w:szCs w:val="16"/>
              </w:rPr>
              <w:fldChar w:fldCharType="begin"/>
            </w:r>
            <w:r>
              <w:rPr>
                <w:sz w:val="16"/>
                <w:szCs w:val="16"/>
              </w:rPr>
              <w:instrText xml:space="preserve"> ADDIN NE.Ref.{189A8BC8-99A5-4693-90A9-B2A23BD2919C}</w:instrText>
            </w:r>
            <w:r>
              <w:rPr>
                <w:sz w:val="16"/>
                <w:szCs w:val="16"/>
              </w:rPr>
              <w:fldChar w:fldCharType="separate"/>
            </w:r>
            <w:r>
              <w:rPr>
                <w:rFonts w:eastAsia="宋体" w:cs="Times New Roman"/>
                <w:color w:val="080000"/>
                <w:kern w:val="0"/>
                <w:sz w:val="16"/>
                <w:szCs w:val="16"/>
              </w:rPr>
              <w:t>[27]</w:t>
            </w:r>
            <w:r>
              <w:rPr>
                <w:sz w:val="16"/>
                <w:szCs w:val="16"/>
              </w:rPr>
              <w:fldChar w:fldCharType="end"/>
            </w:r>
          </w:p>
        </w:tc>
      </w:tr>
      <w:tr w14:paraId="4464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C3F11C7">
            <w:pPr>
              <w:pStyle w:val="24"/>
              <w:rPr>
                <w:sz w:val="16"/>
                <w:szCs w:val="16"/>
              </w:rPr>
            </w:pPr>
            <w:r>
              <w:rPr>
                <w:rFonts w:hint="eastAsia"/>
                <w:sz w:val="16"/>
                <w:szCs w:val="16"/>
              </w:rPr>
              <w:t>Adverse event rate for REDoS_Hand-foot skin reaction</w:t>
            </w:r>
          </w:p>
        </w:tc>
        <w:tc>
          <w:tcPr>
            <w:tcW w:w="506" w:type="pct"/>
            <w:shd w:val="clear" w:color="auto" w:fill="auto"/>
            <w:noWrap/>
            <w:vAlign w:val="center"/>
          </w:tcPr>
          <w:p w14:paraId="42DE763B">
            <w:pPr>
              <w:pStyle w:val="24"/>
              <w:rPr>
                <w:sz w:val="16"/>
                <w:szCs w:val="16"/>
              </w:rPr>
            </w:pPr>
            <w:r>
              <w:rPr>
                <w:rFonts w:hint="eastAsia"/>
                <w:sz w:val="16"/>
                <w:szCs w:val="16"/>
              </w:rPr>
              <w:t>0.15</w:t>
            </w:r>
          </w:p>
        </w:tc>
        <w:tc>
          <w:tcPr>
            <w:tcW w:w="506" w:type="pct"/>
            <w:shd w:val="clear" w:color="auto" w:fill="auto"/>
            <w:noWrap/>
            <w:vAlign w:val="center"/>
          </w:tcPr>
          <w:p w14:paraId="18441989">
            <w:pPr>
              <w:pStyle w:val="24"/>
              <w:rPr>
                <w:sz w:val="16"/>
                <w:szCs w:val="16"/>
              </w:rPr>
            </w:pPr>
            <w:r>
              <w:rPr>
                <w:rFonts w:hint="eastAsia"/>
                <w:sz w:val="16"/>
                <w:szCs w:val="16"/>
              </w:rPr>
              <w:t>0.12</w:t>
            </w:r>
          </w:p>
        </w:tc>
        <w:tc>
          <w:tcPr>
            <w:tcW w:w="509" w:type="pct"/>
            <w:shd w:val="clear" w:color="auto" w:fill="auto"/>
            <w:noWrap/>
            <w:vAlign w:val="center"/>
          </w:tcPr>
          <w:p w14:paraId="5A2925E8">
            <w:pPr>
              <w:pStyle w:val="24"/>
              <w:rPr>
                <w:sz w:val="16"/>
                <w:szCs w:val="16"/>
              </w:rPr>
            </w:pPr>
            <w:r>
              <w:rPr>
                <w:rFonts w:hint="eastAsia"/>
                <w:sz w:val="16"/>
                <w:szCs w:val="16"/>
              </w:rPr>
              <w:t>0.18</w:t>
            </w:r>
          </w:p>
        </w:tc>
        <w:tc>
          <w:tcPr>
            <w:tcW w:w="512" w:type="pct"/>
            <w:shd w:val="clear" w:color="auto" w:fill="auto"/>
            <w:noWrap/>
            <w:vAlign w:val="center"/>
          </w:tcPr>
          <w:p w14:paraId="0D8747D1">
            <w:pPr>
              <w:pStyle w:val="24"/>
              <w:rPr>
                <w:sz w:val="16"/>
                <w:szCs w:val="16"/>
              </w:rPr>
            </w:pPr>
            <w:r>
              <w:rPr>
                <w:rFonts w:hint="eastAsia"/>
                <w:sz w:val="16"/>
                <w:szCs w:val="16"/>
              </w:rPr>
              <w:t>Beta</w:t>
            </w:r>
          </w:p>
        </w:tc>
        <w:tc>
          <w:tcPr>
            <w:tcW w:w="494" w:type="pct"/>
            <w:shd w:val="clear" w:color="auto" w:fill="auto"/>
            <w:noWrap/>
            <w:vAlign w:val="center"/>
          </w:tcPr>
          <w:p w14:paraId="768BE559">
            <w:pPr>
              <w:pStyle w:val="24"/>
              <w:rPr>
                <w:sz w:val="16"/>
                <w:szCs w:val="16"/>
              </w:rPr>
            </w:pPr>
            <w:r>
              <w:rPr>
                <w:sz w:val="16"/>
                <w:szCs w:val="16"/>
              </w:rPr>
              <w:fldChar w:fldCharType="begin"/>
            </w:r>
            <w:r>
              <w:rPr>
                <w:sz w:val="16"/>
                <w:szCs w:val="16"/>
              </w:rPr>
              <w:instrText xml:space="preserve"> ADDIN NE.Ref.{1A95B90A-73C0-4354-96A0-0D4D4E60F047}</w:instrText>
            </w:r>
            <w:r>
              <w:rPr>
                <w:sz w:val="16"/>
                <w:szCs w:val="16"/>
              </w:rPr>
              <w:fldChar w:fldCharType="separate"/>
            </w:r>
            <w:r>
              <w:rPr>
                <w:rFonts w:eastAsia="宋体" w:cs="Times New Roman"/>
                <w:color w:val="080000"/>
                <w:kern w:val="0"/>
                <w:sz w:val="16"/>
                <w:szCs w:val="16"/>
              </w:rPr>
              <w:t>[27]</w:t>
            </w:r>
            <w:r>
              <w:rPr>
                <w:sz w:val="16"/>
                <w:szCs w:val="16"/>
              </w:rPr>
              <w:fldChar w:fldCharType="end"/>
            </w:r>
          </w:p>
        </w:tc>
      </w:tr>
      <w:tr w14:paraId="598D5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734B75A">
            <w:pPr>
              <w:pStyle w:val="24"/>
              <w:rPr>
                <w:sz w:val="16"/>
                <w:szCs w:val="16"/>
              </w:rPr>
            </w:pPr>
            <w:r>
              <w:rPr>
                <w:rFonts w:hint="eastAsia"/>
                <w:sz w:val="16"/>
                <w:szCs w:val="16"/>
              </w:rPr>
              <w:t>Adverse event rate for REDoS_Hypertension</w:t>
            </w:r>
          </w:p>
        </w:tc>
        <w:tc>
          <w:tcPr>
            <w:tcW w:w="506" w:type="pct"/>
            <w:shd w:val="clear" w:color="auto" w:fill="auto"/>
            <w:noWrap/>
            <w:vAlign w:val="center"/>
          </w:tcPr>
          <w:p w14:paraId="24917EB5">
            <w:pPr>
              <w:pStyle w:val="24"/>
              <w:rPr>
                <w:sz w:val="16"/>
                <w:szCs w:val="16"/>
              </w:rPr>
            </w:pPr>
            <w:r>
              <w:rPr>
                <w:rFonts w:hint="eastAsia"/>
                <w:sz w:val="16"/>
                <w:szCs w:val="16"/>
              </w:rPr>
              <w:t>0.07</w:t>
            </w:r>
          </w:p>
        </w:tc>
        <w:tc>
          <w:tcPr>
            <w:tcW w:w="506" w:type="pct"/>
            <w:shd w:val="clear" w:color="auto" w:fill="auto"/>
            <w:noWrap/>
            <w:vAlign w:val="center"/>
          </w:tcPr>
          <w:p w14:paraId="1B5FC0AE">
            <w:pPr>
              <w:pStyle w:val="24"/>
              <w:rPr>
                <w:sz w:val="16"/>
                <w:szCs w:val="16"/>
              </w:rPr>
            </w:pPr>
            <w:r>
              <w:rPr>
                <w:rFonts w:hint="eastAsia"/>
                <w:sz w:val="16"/>
                <w:szCs w:val="16"/>
              </w:rPr>
              <w:t>0.06</w:t>
            </w:r>
          </w:p>
        </w:tc>
        <w:tc>
          <w:tcPr>
            <w:tcW w:w="509" w:type="pct"/>
            <w:shd w:val="clear" w:color="auto" w:fill="auto"/>
            <w:noWrap/>
            <w:vAlign w:val="center"/>
          </w:tcPr>
          <w:p w14:paraId="1B861133">
            <w:pPr>
              <w:pStyle w:val="24"/>
              <w:rPr>
                <w:sz w:val="16"/>
                <w:szCs w:val="16"/>
              </w:rPr>
            </w:pPr>
            <w:r>
              <w:rPr>
                <w:rFonts w:hint="eastAsia"/>
                <w:sz w:val="16"/>
                <w:szCs w:val="16"/>
              </w:rPr>
              <w:t>0.09</w:t>
            </w:r>
          </w:p>
        </w:tc>
        <w:tc>
          <w:tcPr>
            <w:tcW w:w="512" w:type="pct"/>
            <w:shd w:val="clear" w:color="auto" w:fill="auto"/>
            <w:noWrap/>
            <w:vAlign w:val="center"/>
          </w:tcPr>
          <w:p w14:paraId="707E1282">
            <w:pPr>
              <w:pStyle w:val="24"/>
              <w:rPr>
                <w:sz w:val="16"/>
                <w:szCs w:val="16"/>
              </w:rPr>
            </w:pPr>
            <w:r>
              <w:rPr>
                <w:rFonts w:hint="eastAsia"/>
                <w:sz w:val="16"/>
                <w:szCs w:val="16"/>
              </w:rPr>
              <w:t>Beta</w:t>
            </w:r>
          </w:p>
        </w:tc>
        <w:tc>
          <w:tcPr>
            <w:tcW w:w="494" w:type="pct"/>
            <w:shd w:val="clear" w:color="auto" w:fill="auto"/>
            <w:noWrap/>
            <w:vAlign w:val="center"/>
          </w:tcPr>
          <w:p w14:paraId="7DEB4680">
            <w:pPr>
              <w:pStyle w:val="24"/>
              <w:rPr>
                <w:sz w:val="16"/>
                <w:szCs w:val="16"/>
              </w:rPr>
            </w:pPr>
            <w:r>
              <w:rPr>
                <w:sz w:val="16"/>
                <w:szCs w:val="16"/>
              </w:rPr>
              <w:fldChar w:fldCharType="begin"/>
            </w:r>
            <w:r>
              <w:rPr>
                <w:sz w:val="16"/>
                <w:szCs w:val="16"/>
              </w:rPr>
              <w:instrText xml:space="preserve"> ADDIN NE.Ref.{C9B48513-160F-4173-B73D-27123694C993}</w:instrText>
            </w:r>
            <w:r>
              <w:rPr>
                <w:sz w:val="16"/>
                <w:szCs w:val="16"/>
              </w:rPr>
              <w:fldChar w:fldCharType="separate"/>
            </w:r>
            <w:r>
              <w:rPr>
                <w:rFonts w:eastAsia="宋体" w:cs="Times New Roman"/>
                <w:color w:val="080000"/>
                <w:kern w:val="0"/>
                <w:sz w:val="16"/>
                <w:szCs w:val="16"/>
              </w:rPr>
              <w:t>[27]</w:t>
            </w:r>
            <w:r>
              <w:rPr>
                <w:sz w:val="16"/>
                <w:szCs w:val="16"/>
              </w:rPr>
              <w:fldChar w:fldCharType="end"/>
            </w:r>
          </w:p>
        </w:tc>
      </w:tr>
      <w:tr w14:paraId="7AD0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FEA95C4">
            <w:pPr>
              <w:pStyle w:val="24"/>
              <w:rPr>
                <w:sz w:val="16"/>
                <w:szCs w:val="16"/>
              </w:rPr>
            </w:pPr>
            <w:r>
              <w:rPr>
                <w:rFonts w:hint="eastAsia"/>
                <w:sz w:val="16"/>
                <w:szCs w:val="16"/>
              </w:rPr>
              <w:t>Adverse event rate for REDoS_Diarrhoea</w:t>
            </w:r>
          </w:p>
        </w:tc>
        <w:tc>
          <w:tcPr>
            <w:tcW w:w="506" w:type="pct"/>
            <w:shd w:val="clear" w:color="auto" w:fill="auto"/>
            <w:noWrap/>
            <w:vAlign w:val="center"/>
          </w:tcPr>
          <w:p w14:paraId="03EA4357">
            <w:pPr>
              <w:pStyle w:val="24"/>
              <w:rPr>
                <w:sz w:val="16"/>
                <w:szCs w:val="16"/>
              </w:rPr>
            </w:pPr>
            <w:r>
              <w:rPr>
                <w:rFonts w:hint="eastAsia"/>
                <w:sz w:val="16"/>
                <w:szCs w:val="16"/>
              </w:rPr>
              <w:t>0.02</w:t>
            </w:r>
          </w:p>
        </w:tc>
        <w:tc>
          <w:tcPr>
            <w:tcW w:w="506" w:type="pct"/>
            <w:shd w:val="clear" w:color="auto" w:fill="auto"/>
            <w:noWrap/>
            <w:vAlign w:val="center"/>
          </w:tcPr>
          <w:p w14:paraId="5896A8AF">
            <w:pPr>
              <w:pStyle w:val="24"/>
              <w:rPr>
                <w:sz w:val="16"/>
                <w:szCs w:val="16"/>
              </w:rPr>
            </w:pPr>
            <w:r>
              <w:rPr>
                <w:rFonts w:hint="eastAsia"/>
                <w:sz w:val="16"/>
                <w:szCs w:val="16"/>
              </w:rPr>
              <w:t>0.01</w:t>
            </w:r>
          </w:p>
        </w:tc>
        <w:tc>
          <w:tcPr>
            <w:tcW w:w="509" w:type="pct"/>
            <w:shd w:val="clear" w:color="auto" w:fill="auto"/>
            <w:noWrap/>
            <w:vAlign w:val="center"/>
          </w:tcPr>
          <w:p w14:paraId="26F8073A">
            <w:pPr>
              <w:pStyle w:val="24"/>
              <w:rPr>
                <w:sz w:val="16"/>
                <w:szCs w:val="16"/>
              </w:rPr>
            </w:pPr>
            <w:r>
              <w:rPr>
                <w:rFonts w:hint="eastAsia"/>
                <w:sz w:val="16"/>
                <w:szCs w:val="16"/>
              </w:rPr>
              <w:t>0.02</w:t>
            </w:r>
          </w:p>
        </w:tc>
        <w:tc>
          <w:tcPr>
            <w:tcW w:w="512" w:type="pct"/>
            <w:shd w:val="clear" w:color="auto" w:fill="auto"/>
            <w:noWrap/>
            <w:vAlign w:val="center"/>
          </w:tcPr>
          <w:p w14:paraId="512B7DCD">
            <w:pPr>
              <w:pStyle w:val="24"/>
              <w:rPr>
                <w:sz w:val="16"/>
                <w:szCs w:val="16"/>
              </w:rPr>
            </w:pPr>
            <w:r>
              <w:rPr>
                <w:rFonts w:hint="eastAsia"/>
                <w:sz w:val="16"/>
                <w:szCs w:val="16"/>
              </w:rPr>
              <w:t>Beta</w:t>
            </w:r>
          </w:p>
        </w:tc>
        <w:tc>
          <w:tcPr>
            <w:tcW w:w="494" w:type="pct"/>
            <w:shd w:val="clear" w:color="auto" w:fill="auto"/>
            <w:noWrap/>
            <w:vAlign w:val="center"/>
          </w:tcPr>
          <w:p w14:paraId="77F95BF2">
            <w:pPr>
              <w:pStyle w:val="24"/>
              <w:rPr>
                <w:sz w:val="16"/>
                <w:szCs w:val="16"/>
              </w:rPr>
            </w:pPr>
            <w:r>
              <w:rPr>
                <w:sz w:val="16"/>
                <w:szCs w:val="16"/>
              </w:rPr>
              <w:fldChar w:fldCharType="begin"/>
            </w:r>
            <w:r>
              <w:rPr>
                <w:sz w:val="16"/>
                <w:szCs w:val="16"/>
              </w:rPr>
              <w:instrText xml:space="preserve"> ADDIN NE.Ref.{7015BEE5-0971-402B-A893-C206D47D753E}</w:instrText>
            </w:r>
            <w:r>
              <w:rPr>
                <w:sz w:val="16"/>
                <w:szCs w:val="16"/>
              </w:rPr>
              <w:fldChar w:fldCharType="separate"/>
            </w:r>
            <w:r>
              <w:rPr>
                <w:rFonts w:eastAsia="宋体" w:cs="Times New Roman"/>
                <w:color w:val="080000"/>
                <w:kern w:val="0"/>
                <w:sz w:val="16"/>
                <w:szCs w:val="16"/>
              </w:rPr>
              <w:t>[27]</w:t>
            </w:r>
            <w:r>
              <w:rPr>
                <w:sz w:val="16"/>
                <w:szCs w:val="16"/>
              </w:rPr>
              <w:fldChar w:fldCharType="end"/>
            </w:r>
          </w:p>
        </w:tc>
      </w:tr>
      <w:tr w14:paraId="177F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C763DB8">
            <w:pPr>
              <w:pStyle w:val="24"/>
              <w:rPr>
                <w:sz w:val="16"/>
                <w:szCs w:val="16"/>
              </w:rPr>
            </w:pPr>
            <w:r>
              <w:rPr>
                <w:rFonts w:hint="eastAsia"/>
                <w:sz w:val="16"/>
                <w:szCs w:val="16"/>
              </w:rPr>
              <w:t>Adverse event rate for REDoS_Anorexia</w:t>
            </w:r>
          </w:p>
        </w:tc>
        <w:tc>
          <w:tcPr>
            <w:tcW w:w="506" w:type="pct"/>
            <w:shd w:val="clear" w:color="auto" w:fill="auto"/>
            <w:noWrap/>
            <w:vAlign w:val="center"/>
          </w:tcPr>
          <w:p w14:paraId="0B33C2C2">
            <w:pPr>
              <w:pStyle w:val="24"/>
              <w:rPr>
                <w:sz w:val="16"/>
                <w:szCs w:val="16"/>
              </w:rPr>
            </w:pPr>
            <w:r>
              <w:rPr>
                <w:rFonts w:hint="eastAsia"/>
                <w:sz w:val="16"/>
                <w:szCs w:val="16"/>
              </w:rPr>
              <w:t>0.02</w:t>
            </w:r>
          </w:p>
        </w:tc>
        <w:tc>
          <w:tcPr>
            <w:tcW w:w="506" w:type="pct"/>
            <w:shd w:val="clear" w:color="auto" w:fill="auto"/>
            <w:noWrap/>
            <w:vAlign w:val="center"/>
          </w:tcPr>
          <w:p w14:paraId="6B8E1D84">
            <w:pPr>
              <w:pStyle w:val="24"/>
              <w:rPr>
                <w:sz w:val="16"/>
                <w:szCs w:val="16"/>
              </w:rPr>
            </w:pPr>
            <w:r>
              <w:rPr>
                <w:rFonts w:hint="eastAsia"/>
                <w:sz w:val="16"/>
                <w:szCs w:val="16"/>
              </w:rPr>
              <w:t>0.01</w:t>
            </w:r>
          </w:p>
        </w:tc>
        <w:tc>
          <w:tcPr>
            <w:tcW w:w="509" w:type="pct"/>
            <w:shd w:val="clear" w:color="auto" w:fill="auto"/>
            <w:noWrap/>
            <w:vAlign w:val="center"/>
          </w:tcPr>
          <w:p w14:paraId="308D9D22">
            <w:pPr>
              <w:pStyle w:val="24"/>
              <w:rPr>
                <w:sz w:val="16"/>
                <w:szCs w:val="16"/>
              </w:rPr>
            </w:pPr>
            <w:r>
              <w:rPr>
                <w:rFonts w:hint="eastAsia"/>
                <w:sz w:val="16"/>
                <w:szCs w:val="16"/>
              </w:rPr>
              <w:t>0.02</w:t>
            </w:r>
          </w:p>
        </w:tc>
        <w:tc>
          <w:tcPr>
            <w:tcW w:w="512" w:type="pct"/>
            <w:shd w:val="clear" w:color="auto" w:fill="auto"/>
            <w:noWrap/>
            <w:vAlign w:val="center"/>
          </w:tcPr>
          <w:p w14:paraId="45478C5F">
            <w:pPr>
              <w:pStyle w:val="24"/>
              <w:rPr>
                <w:sz w:val="16"/>
                <w:szCs w:val="16"/>
              </w:rPr>
            </w:pPr>
            <w:r>
              <w:rPr>
                <w:rFonts w:hint="eastAsia"/>
                <w:sz w:val="16"/>
                <w:szCs w:val="16"/>
              </w:rPr>
              <w:t>Beta</w:t>
            </w:r>
          </w:p>
        </w:tc>
        <w:tc>
          <w:tcPr>
            <w:tcW w:w="494" w:type="pct"/>
            <w:shd w:val="clear" w:color="auto" w:fill="auto"/>
            <w:noWrap/>
            <w:vAlign w:val="center"/>
          </w:tcPr>
          <w:p w14:paraId="40F52FF7">
            <w:pPr>
              <w:pStyle w:val="24"/>
              <w:rPr>
                <w:sz w:val="16"/>
                <w:szCs w:val="16"/>
              </w:rPr>
            </w:pPr>
            <w:r>
              <w:rPr>
                <w:sz w:val="16"/>
                <w:szCs w:val="16"/>
              </w:rPr>
              <w:fldChar w:fldCharType="begin"/>
            </w:r>
            <w:r>
              <w:rPr>
                <w:sz w:val="16"/>
                <w:szCs w:val="16"/>
              </w:rPr>
              <w:instrText xml:space="preserve"> ADDIN NE.Ref.{5CD50856-F182-487A-91B1-3136D2882409}</w:instrText>
            </w:r>
            <w:r>
              <w:rPr>
                <w:sz w:val="16"/>
                <w:szCs w:val="16"/>
              </w:rPr>
              <w:fldChar w:fldCharType="separate"/>
            </w:r>
            <w:r>
              <w:rPr>
                <w:rFonts w:eastAsia="宋体" w:cs="Times New Roman"/>
                <w:color w:val="080000"/>
                <w:kern w:val="0"/>
                <w:sz w:val="16"/>
                <w:szCs w:val="16"/>
              </w:rPr>
              <w:t>[27]</w:t>
            </w:r>
            <w:r>
              <w:rPr>
                <w:sz w:val="16"/>
                <w:szCs w:val="16"/>
              </w:rPr>
              <w:fldChar w:fldCharType="end"/>
            </w:r>
          </w:p>
        </w:tc>
      </w:tr>
      <w:tr w14:paraId="40E5F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E6C815E">
            <w:pPr>
              <w:pStyle w:val="24"/>
              <w:rPr>
                <w:sz w:val="16"/>
                <w:szCs w:val="16"/>
              </w:rPr>
            </w:pPr>
            <w:r>
              <w:rPr>
                <w:rFonts w:hint="eastAsia"/>
                <w:sz w:val="16"/>
                <w:szCs w:val="16"/>
              </w:rPr>
              <w:t>Adverse event rate for REDoS_Blood bilirubin increased</w:t>
            </w:r>
          </w:p>
        </w:tc>
        <w:tc>
          <w:tcPr>
            <w:tcW w:w="506" w:type="pct"/>
            <w:shd w:val="clear" w:color="auto" w:fill="auto"/>
            <w:noWrap/>
            <w:vAlign w:val="center"/>
          </w:tcPr>
          <w:p w14:paraId="269F0F0A">
            <w:pPr>
              <w:pStyle w:val="24"/>
              <w:rPr>
                <w:sz w:val="16"/>
                <w:szCs w:val="16"/>
              </w:rPr>
            </w:pPr>
            <w:r>
              <w:rPr>
                <w:rFonts w:hint="eastAsia"/>
                <w:sz w:val="16"/>
                <w:szCs w:val="16"/>
              </w:rPr>
              <w:t>0.04</w:t>
            </w:r>
          </w:p>
        </w:tc>
        <w:tc>
          <w:tcPr>
            <w:tcW w:w="506" w:type="pct"/>
            <w:shd w:val="clear" w:color="auto" w:fill="auto"/>
            <w:noWrap/>
            <w:vAlign w:val="center"/>
          </w:tcPr>
          <w:p w14:paraId="043CCC00">
            <w:pPr>
              <w:pStyle w:val="24"/>
              <w:rPr>
                <w:sz w:val="16"/>
                <w:szCs w:val="16"/>
              </w:rPr>
            </w:pPr>
            <w:r>
              <w:rPr>
                <w:rFonts w:hint="eastAsia"/>
                <w:sz w:val="16"/>
                <w:szCs w:val="16"/>
              </w:rPr>
              <w:t>0.03</w:t>
            </w:r>
          </w:p>
        </w:tc>
        <w:tc>
          <w:tcPr>
            <w:tcW w:w="509" w:type="pct"/>
            <w:shd w:val="clear" w:color="auto" w:fill="auto"/>
            <w:noWrap/>
            <w:vAlign w:val="center"/>
          </w:tcPr>
          <w:p w14:paraId="0DC7C35B">
            <w:pPr>
              <w:pStyle w:val="24"/>
              <w:rPr>
                <w:sz w:val="16"/>
                <w:szCs w:val="16"/>
              </w:rPr>
            </w:pPr>
            <w:r>
              <w:rPr>
                <w:rFonts w:hint="eastAsia"/>
                <w:sz w:val="16"/>
                <w:szCs w:val="16"/>
              </w:rPr>
              <w:t>0.04</w:t>
            </w:r>
          </w:p>
        </w:tc>
        <w:tc>
          <w:tcPr>
            <w:tcW w:w="512" w:type="pct"/>
            <w:shd w:val="clear" w:color="auto" w:fill="auto"/>
            <w:noWrap/>
            <w:vAlign w:val="center"/>
          </w:tcPr>
          <w:p w14:paraId="35717EAB">
            <w:pPr>
              <w:pStyle w:val="24"/>
              <w:rPr>
                <w:sz w:val="16"/>
                <w:szCs w:val="16"/>
              </w:rPr>
            </w:pPr>
            <w:r>
              <w:rPr>
                <w:rFonts w:hint="eastAsia"/>
                <w:sz w:val="16"/>
                <w:szCs w:val="16"/>
              </w:rPr>
              <w:t>Beta</w:t>
            </w:r>
          </w:p>
        </w:tc>
        <w:tc>
          <w:tcPr>
            <w:tcW w:w="494" w:type="pct"/>
            <w:shd w:val="clear" w:color="auto" w:fill="auto"/>
            <w:noWrap/>
            <w:vAlign w:val="center"/>
          </w:tcPr>
          <w:p w14:paraId="2DC4F5B4">
            <w:pPr>
              <w:pStyle w:val="24"/>
              <w:rPr>
                <w:sz w:val="16"/>
                <w:szCs w:val="16"/>
              </w:rPr>
            </w:pPr>
            <w:r>
              <w:rPr>
                <w:sz w:val="16"/>
                <w:szCs w:val="16"/>
              </w:rPr>
              <w:fldChar w:fldCharType="begin"/>
            </w:r>
            <w:r>
              <w:rPr>
                <w:sz w:val="16"/>
                <w:szCs w:val="16"/>
              </w:rPr>
              <w:instrText xml:space="preserve"> ADDIN NE.Ref.{4615FAAB-DF59-4338-AD13-B749E5280F7F}</w:instrText>
            </w:r>
            <w:r>
              <w:rPr>
                <w:sz w:val="16"/>
                <w:szCs w:val="16"/>
              </w:rPr>
              <w:fldChar w:fldCharType="separate"/>
            </w:r>
            <w:r>
              <w:rPr>
                <w:rFonts w:eastAsia="宋体" w:cs="Times New Roman"/>
                <w:color w:val="080000"/>
                <w:kern w:val="0"/>
                <w:sz w:val="16"/>
                <w:szCs w:val="16"/>
              </w:rPr>
              <w:t>[27]</w:t>
            </w:r>
            <w:r>
              <w:rPr>
                <w:sz w:val="16"/>
                <w:szCs w:val="16"/>
              </w:rPr>
              <w:fldChar w:fldCharType="end"/>
            </w:r>
          </w:p>
        </w:tc>
      </w:tr>
      <w:tr w14:paraId="74AC8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E88B2C2">
            <w:pPr>
              <w:pStyle w:val="24"/>
              <w:rPr>
                <w:sz w:val="16"/>
                <w:szCs w:val="16"/>
              </w:rPr>
            </w:pPr>
            <w:r>
              <w:rPr>
                <w:rFonts w:hint="eastAsia"/>
                <w:sz w:val="16"/>
                <w:szCs w:val="16"/>
              </w:rPr>
              <w:t>Adverse event rate for REDoS_Increase in AST leve</w:t>
            </w:r>
          </w:p>
        </w:tc>
        <w:tc>
          <w:tcPr>
            <w:tcW w:w="506" w:type="pct"/>
            <w:shd w:val="clear" w:color="auto" w:fill="auto"/>
            <w:noWrap/>
            <w:vAlign w:val="center"/>
          </w:tcPr>
          <w:p w14:paraId="5875B9AF">
            <w:pPr>
              <w:pStyle w:val="24"/>
              <w:rPr>
                <w:sz w:val="16"/>
                <w:szCs w:val="16"/>
              </w:rPr>
            </w:pPr>
            <w:r>
              <w:rPr>
                <w:rFonts w:hint="eastAsia"/>
                <w:sz w:val="16"/>
                <w:szCs w:val="16"/>
              </w:rPr>
              <w:t>0.02</w:t>
            </w:r>
          </w:p>
        </w:tc>
        <w:tc>
          <w:tcPr>
            <w:tcW w:w="506" w:type="pct"/>
            <w:shd w:val="clear" w:color="auto" w:fill="auto"/>
            <w:noWrap/>
            <w:vAlign w:val="center"/>
          </w:tcPr>
          <w:p w14:paraId="2D345E91">
            <w:pPr>
              <w:pStyle w:val="24"/>
              <w:rPr>
                <w:sz w:val="16"/>
                <w:szCs w:val="16"/>
              </w:rPr>
            </w:pPr>
            <w:r>
              <w:rPr>
                <w:rFonts w:hint="eastAsia"/>
                <w:sz w:val="16"/>
                <w:szCs w:val="16"/>
              </w:rPr>
              <w:t>0.01</w:t>
            </w:r>
          </w:p>
        </w:tc>
        <w:tc>
          <w:tcPr>
            <w:tcW w:w="509" w:type="pct"/>
            <w:shd w:val="clear" w:color="auto" w:fill="auto"/>
            <w:noWrap/>
            <w:vAlign w:val="center"/>
          </w:tcPr>
          <w:p w14:paraId="3C7A100B">
            <w:pPr>
              <w:pStyle w:val="24"/>
              <w:rPr>
                <w:sz w:val="16"/>
                <w:szCs w:val="16"/>
              </w:rPr>
            </w:pPr>
            <w:r>
              <w:rPr>
                <w:rFonts w:hint="eastAsia"/>
                <w:sz w:val="16"/>
                <w:szCs w:val="16"/>
              </w:rPr>
              <w:t>0.02</w:t>
            </w:r>
          </w:p>
        </w:tc>
        <w:tc>
          <w:tcPr>
            <w:tcW w:w="512" w:type="pct"/>
            <w:shd w:val="clear" w:color="auto" w:fill="auto"/>
            <w:noWrap/>
            <w:vAlign w:val="center"/>
          </w:tcPr>
          <w:p w14:paraId="248F3A7C">
            <w:pPr>
              <w:pStyle w:val="24"/>
              <w:rPr>
                <w:sz w:val="16"/>
                <w:szCs w:val="16"/>
              </w:rPr>
            </w:pPr>
            <w:r>
              <w:rPr>
                <w:rFonts w:hint="eastAsia"/>
                <w:sz w:val="16"/>
                <w:szCs w:val="16"/>
              </w:rPr>
              <w:t>Beta</w:t>
            </w:r>
          </w:p>
        </w:tc>
        <w:tc>
          <w:tcPr>
            <w:tcW w:w="494" w:type="pct"/>
            <w:shd w:val="clear" w:color="auto" w:fill="auto"/>
            <w:noWrap/>
            <w:vAlign w:val="center"/>
          </w:tcPr>
          <w:p w14:paraId="65FB5FFE">
            <w:pPr>
              <w:pStyle w:val="24"/>
              <w:rPr>
                <w:sz w:val="16"/>
                <w:szCs w:val="16"/>
              </w:rPr>
            </w:pPr>
            <w:r>
              <w:rPr>
                <w:sz w:val="16"/>
                <w:szCs w:val="16"/>
              </w:rPr>
              <w:fldChar w:fldCharType="begin"/>
            </w:r>
            <w:r>
              <w:rPr>
                <w:sz w:val="16"/>
                <w:szCs w:val="16"/>
              </w:rPr>
              <w:instrText xml:space="preserve"> ADDIN NE.Ref.{012F0D4F-DCF5-41B2-861E-87F1B1C044BD}</w:instrText>
            </w:r>
            <w:r>
              <w:rPr>
                <w:sz w:val="16"/>
                <w:szCs w:val="16"/>
              </w:rPr>
              <w:fldChar w:fldCharType="separate"/>
            </w:r>
            <w:r>
              <w:rPr>
                <w:rFonts w:eastAsia="宋体" w:cs="Times New Roman"/>
                <w:color w:val="080000"/>
                <w:kern w:val="0"/>
                <w:sz w:val="16"/>
                <w:szCs w:val="16"/>
              </w:rPr>
              <w:t>[27]</w:t>
            </w:r>
            <w:r>
              <w:rPr>
                <w:sz w:val="16"/>
                <w:szCs w:val="16"/>
              </w:rPr>
              <w:fldChar w:fldCharType="end"/>
            </w:r>
          </w:p>
        </w:tc>
      </w:tr>
      <w:tr w14:paraId="025BC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572DAD4">
            <w:pPr>
              <w:pStyle w:val="24"/>
              <w:rPr>
                <w:sz w:val="16"/>
                <w:szCs w:val="16"/>
              </w:rPr>
            </w:pPr>
            <w:r>
              <w:rPr>
                <w:rFonts w:hint="eastAsia"/>
                <w:sz w:val="16"/>
                <w:szCs w:val="16"/>
              </w:rPr>
              <w:t>Adverse event rate for REDoS_Alkaline phosphatase increased</w:t>
            </w:r>
          </w:p>
        </w:tc>
        <w:tc>
          <w:tcPr>
            <w:tcW w:w="506" w:type="pct"/>
            <w:shd w:val="clear" w:color="auto" w:fill="auto"/>
            <w:noWrap/>
            <w:vAlign w:val="center"/>
          </w:tcPr>
          <w:p w14:paraId="743F6EB3">
            <w:pPr>
              <w:pStyle w:val="24"/>
              <w:rPr>
                <w:sz w:val="16"/>
                <w:szCs w:val="16"/>
              </w:rPr>
            </w:pPr>
            <w:r>
              <w:rPr>
                <w:rFonts w:hint="eastAsia"/>
                <w:sz w:val="16"/>
                <w:szCs w:val="16"/>
              </w:rPr>
              <w:t>0.06</w:t>
            </w:r>
          </w:p>
        </w:tc>
        <w:tc>
          <w:tcPr>
            <w:tcW w:w="506" w:type="pct"/>
            <w:shd w:val="clear" w:color="auto" w:fill="auto"/>
            <w:noWrap/>
            <w:vAlign w:val="center"/>
          </w:tcPr>
          <w:p w14:paraId="62C46E5B">
            <w:pPr>
              <w:pStyle w:val="24"/>
              <w:rPr>
                <w:sz w:val="16"/>
                <w:szCs w:val="16"/>
              </w:rPr>
            </w:pPr>
            <w:r>
              <w:rPr>
                <w:rFonts w:hint="eastAsia"/>
                <w:sz w:val="16"/>
                <w:szCs w:val="16"/>
              </w:rPr>
              <w:t>0.04</w:t>
            </w:r>
          </w:p>
        </w:tc>
        <w:tc>
          <w:tcPr>
            <w:tcW w:w="509" w:type="pct"/>
            <w:shd w:val="clear" w:color="auto" w:fill="auto"/>
            <w:noWrap/>
            <w:vAlign w:val="center"/>
          </w:tcPr>
          <w:p w14:paraId="57E244C2">
            <w:pPr>
              <w:pStyle w:val="24"/>
              <w:rPr>
                <w:sz w:val="16"/>
                <w:szCs w:val="16"/>
              </w:rPr>
            </w:pPr>
            <w:r>
              <w:rPr>
                <w:rFonts w:hint="eastAsia"/>
                <w:sz w:val="16"/>
                <w:szCs w:val="16"/>
              </w:rPr>
              <w:t>0.07</w:t>
            </w:r>
          </w:p>
        </w:tc>
        <w:tc>
          <w:tcPr>
            <w:tcW w:w="512" w:type="pct"/>
            <w:shd w:val="clear" w:color="auto" w:fill="auto"/>
            <w:noWrap/>
            <w:vAlign w:val="center"/>
          </w:tcPr>
          <w:p w14:paraId="56434F2C">
            <w:pPr>
              <w:pStyle w:val="24"/>
              <w:rPr>
                <w:sz w:val="16"/>
                <w:szCs w:val="16"/>
              </w:rPr>
            </w:pPr>
            <w:r>
              <w:rPr>
                <w:rFonts w:hint="eastAsia"/>
                <w:sz w:val="16"/>
                <w:szCs w:val="16"/>
              </w:rPr>
              <w:t>Beta</w:t>
            </w:r>
          </w:p>
        </w:tc>
        <w:tc>
          <w:tcPr>
            <w:tcW w:w="494" w:type="pct"/>
            <w:shd w:val="clear" w:color="auto" w:fill="auto"/>
            <w:noWrap/>
            <w:vAlign w:val="center"/>
          </w:tcPr>
          <w:p w14:paraId="48810696">
            <w:pPr>
              <w:pStyle w:val="24"/>
              <w:rPr>
                <w:sz w:val="16"/>
                <w:szCs w:val="16"/>
              </w:rPr>
            </w:pPr>
            <w:r>
              <w:rPr>
                <w:sz w:val="16"/>
                <w:szCs w:val="16"/>
              </w:rPr>
              <w:fldChar w:fldCharType="begin"/>
            </w:r>
            <w:r>
              <w:rPr>
                <w:sz w:val="16"/>
                <w:szCs w:val="16"/>
              </w:rPr>
              <w:instrText xml:space="preserve"> ADDIN NE.Ref.{A177D1CE-9D86-488D-B082-9052646C961E}</w:instrText>
            </w:r>
            <w:r>
              <w:rPr>
                <w:sz w:val="16"/>
                <w:szCs w:val="16"/>
              </w:rPr>
              <w:fldChar w:fldCharType="separate"/>
            </w:r>
            <w:r>
              <w:rPr>
                <w:rFonts w:eastAsia="宋体" w:cs="Times New Roman"/>
                <w:color w:val="080000"/>
                <w:kern w:val="0"/>
                <w:sz w:val="16"/>
                <w:szCs w:val="16"/>
              </w:rPr>
              <w:t>[27]</w:t>
            </w:r>
            <w:r>
              <w:rPr>
                <w:sz w:val="16"/>
                <w:szCs w:val="16"/>
              </w:rPr>
              <w:fldChar w:fldCharType="end"/>
            </w:r>
          </w:p>
        </w:tc>
      </w:tr>
      <w:tr w14:paraId="58E7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0994D53">
            <w:pPr>
              <w:pStyle w:val="24"/>
              <w:rPr>
                <w:sz w:val="16"/>
                <w:szCs w:val="16"/>
              </w:rPr>
            </w:pPr>
            <w:r>
              <w:rPr>
                <w:rFonts w:hint="eastAsia"/>
                <w:sz w:val="16"/>
                <w:szCs w:val="16"/>
              </w:rPr>
              <w:t>Adverse event rate for REDoS_Abdominal pain</w:t>
            </w:r>
          </w:p>
        </w:tc>
        <w:tc>
          <w:tcPr>
            <w:tcW w:w="506" w:type="pct"/>
            <w:shd w:val="clear" w:color="auto" w:fill="auto"/>
            <w:noWrap/>
            <w:vAlign w:val="center"/>
          </w:tcPr>
          <w:p w14:paraId="1C94BD86">
            <w:pPr>
              <w:pStyle w:val="24"/>
              <w:rPr>
                <w:sz w:val="16"/>
                <w:szCs w:val="16"/>
              </w:rPr>
            </w:pPr>
            <w:r>
              <w:rPr>
                <w:rFonts w:hint="eastAsia"/>
                <w:sz w:val="16"/>
                <w:szCs w:val="16"/>
              </w:rPr>
              <w:t>0.17</w:t>
            </w:r>
          </w:p>
        </w:tc>
        <w:tc>
          <w:tcPr>
            <w:tcW w:w="506" w:type="pct"/>
            <w:shd w:val="clear" w:color="auto" w:fill="auto"/>
            <w:noWrap/>
            <w:vAlign w:val="center"/>
          </w:tcPr>
          <w:p w14:paraId="70CDD87C">
            <w:pPr>
              <w:pStyle w:val="24"/>
              <w:rPr>
                <w:sz w:val="16"/>
                <w:szCs w:val="16"/>
              </w:rPr>
            </w:pPr>
            <w:r>
              <w:rPr>
                <w:rFonts w:hint="eastAsia"/>
                <w:sz w:val="16"/>
                <w:szCs w:val="16"/>
              </w:rPr>
              <w:t>0.13</w:t>
            </w:r>
          </w:p>
        </w:tc>
        <w:tc>
          <w:tcPr>
            <w:tcW w:w="509" w:type="pct"/>
            <w:shd w:val="clear" w:color="auto" w:fill="auto"/>
            <w:noWrap/>
            <w:vAlign w:val="center"/>
          </w:tcPr>
          <w:p w14:paraId="6238FBF8">
            <w:pPr>
              <w:pStyle w:val="24"/>
              <w:rPr>
                <w:sz w:val="16"/>
                <w:szCs w:val="16"/>
              </w:rPr>
            </w:pPr>
            <w:r>
              <w:rPr>
                <w:rFonts w:hint="eastAsia"/>
                <w:sz w:val="16"/>
                <w:szCs w:val="16"/>
              </w:rPr>
              <w:t>0.20</w:t>
            </w:r>
          </w:p>
        </w:tc>
        <w:tc>
          <w:tcPr>
            <w:tcW w:w="512" w:type="pct"/>
            <w:shd w:val="clear" w:color="auto" w:fill="auto"/>
            <w:noWrap/>
            <w:vAlign w:val="center"/>
          </w:tcPr>
          <w:p w14:paraId="55699B69">
            <w:pPr>
              <w:pStyle w:val="24"/>
              <w:rPr>
                <w:sz w:val="16"/>
                <w:szCs w:val="16"/>
              </w:rPr>
            </w:pPr>
            <w:r>
              <w:rPr>
                <w:rFonts w:hint="eastAsia"/>
                <w:sz w:val="16"/>
                <w:szCs w:val="16"/>
              </w:rPr>
              <w:t>Beta</w:t>
            </w:r>
          </w:p>
        </w:tc>
        <w:tc>
          <w:tcPr>
            <w:tcW w:w="494" w:type="pct"/>
            <w:shd w:val="clear" w:color="auto" w:fill="auto"/>
            <w:noWrap/>
            <w:vAlign w:val="center"/>
          </w:tcPr>
          <w:p w14:paraId="60F491B8">
            <w:pPr>
              <w:pStyle w:val="24"/>
              <w:rPr>
                <w:sz w:val="16"/>
                <w:szCs w:val="16"/>
              </w:rPr>
            </w:pPr>
            <w:r>
              <w:rPr>
                <w:sz w:val="16"/>
                <w:szCs w:val="16"/>
              </w:rPr>
              <w:fldChar w:fldCharType="begin"/>
            </w:r>
            <w:r>
              <w:rPr>
                <w:sz w:val="16"/>
                <w:szCs w:val="16"/>
              </w:rPr>
              <w:instrText xml:space="preserve"> ADDIN NE.Ref.{BB30DFC8-78A5-4F3E-BF00-37A67B0DDBD4}</w:instrText>
            </w:r>
            <w:r>
              <w:rPr>
                <w:sz w:val="16"/>
                <w:szCs w:val="16"/>
              </w:rPr>
              <w:fldChar w:fldCharType="separate"/>
            </w:r>
            <w:r>
              <w:rPr>
                <w:rFonts w:eastAsia="宋体" w:cs="Times New Roman"/>
                <w:color w:val="080000"/>
                <w:kern w:val="0"/>
                <w:sz w:val="16"/>
                <w:szCs w:val="16"/>
              </w:rPr>
              <w:t>[27]</w:t>
            </w:r>
            <w:r>
              <w:rPr>
                <w:sz w:val="16"/>
                <w:szCs w:val="16"/>
              </w:rPr>
              <w:fldChar w:fldCharType="end"/>
            </w:r>
          </w:p>
        </w:tc>
      </w:tr>
      <w:tr w14:paraId="1D822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9F8A21C">
            <w:pPr>
              <w:pStyle w:val="24"/>
              <w:rPr>
                <w:sz w:val="16"/>
                <w:szCs w:val="16"/>
              </w:rPr>
            </w:pPr>
            <w:r>
              <w:rPr>
                <w:rFonts w:hint="eastAsia"/>
                <w:sz w:val="16"/>
                <w:szCs w:val="16"/>
              </w:rPr>
              <w:t>Adverse event rate for REDoS_Dyspnoea</w:t>
            </w:r>
          </w:p>
        </w:tc>
        <w:tc>
          <w:tcPr>
            <w:tcW w:w="506" w:type="pct"/>
            <w:shd w:val="clear" w:color="auto" w:fill="auto"/>
            <w:noWrap/>
            <w:vAlign w:val="center"/>
          </w:tcPr>
          <w:p w14:paraId="419EB231">
            <w:pPr>
              <w:pStyle w:val="24"/>
              <w:rPr>
                <w:sz w:val="16"/>
                <w:szCs w:val="16"/>
              </w:rPr>
            </w:pPr>
            <w:r>
              <w:rPr>
                <w:rFonts w:hint="eastAsia"/>
                <w:sz w:val="16"/>
                <w:szCs w:val="16"/>
              </w:rPr>
              <w:t>0.04</w:t>
            </w:r>
          </w:p>
        </w:tc>
        <w:tc>
          <w:tcPr>
            <w:tcW w:w="506" w:type="pct"/>
            <w:shd w:val="clear" w:color="auto" w:fill="auto"/>
            <w:noWrap/>
            <w:vAlign w:val="center"/>
          </w:tcPr>
          <w:p w14:paraId="3985A77C">
            <w:pPr>
              <w:pStyle w:val="24"/>
              <w:rPr>
                <w:sz w:val="16"/>
                <w:szCs w:val="16"/>
              </w:rPr>
            </w:pPr>
            <w:r>
              <w:rPr>
                <w:rFonts w:hint="eastAsia"/>
                <w:sz w:val="16"/>
                <w:szCs w:val="16"/>
              </w:rPr>
              <w:t>0.03</w:t>
            </w:r>
          </w:p>
        </w:tc>
        <w:tc>
          <w:tcPr>
            <w:tcW w:w="509" w:type="pct"/>
            <w:shd w:val="clear" w:color="auto" w:fill="auto"/>
            <w:noWrap/>
            <w:vAlign w:val="center"/>
          </w:tcPr>
          <w:p w14:paraId="117E8B17">
            <w:pPr>
              <w:pStyle w:val="24"/>
              <w:rPr>
                <w:sz w:val="16"/>
                <w:szCs w:val="16"/>
              </w:rPr>
            </w:pPr>
            <w:r>
              <w:rPr>
                <w:rFonts w:hint="eastAsia"/>
                <w:sz w:val="16"/>
                <w:szCs w:val="16"/>
              </w:rPr>
              <w:t>0.04</w:t>
            </w:r>
          </w:p>
        </w:tc>
        <w:tc>
          <w:tcPr>
            <w:tcW w:w="512" w:type="pct"/>
            <w:shd w:val="clear" w:color="auto" w:fill="auto"/>
            <w:noWrap/>
            <w:vAlign w:val="center"/>
          </w:tcPr>
          <w:p w14:paraId="7B365565">
            <w:pPr>
              <w:pStyle w:val="24"/>
              <w:rPr>
                <w:sz w:val="16"/>
                <w:szCs w:val="16"/>
              </w:rPr>
            </w:pPr>
            <w:r>
              <w:rPr>
                <w:rFonts w:hint="eastAsia"/>
                <w:sz w:val="16"/>
                <w:szCs w:val="16"/>
              </w:rPr>
              <w:t>Beta</w:t>
            </w:r>
          </w:p>
        </w:tc>
        <w:tc>
          <w:tcPr>
            <w:tcW w:w="494" w:type="pct"/>
            <w:shd w:val="clear" w:color="auto" w:fill="auto"/>
            <w:noWrap/>
            <w:vAlign w:val="center"/>
          </w:tcPr>
          <w:p w14:paraId="08A3DB90">
            <w:pPr>
              <w:pStyle w:val="24"/>
              <w:rPr>
                <w:sz w:val="16"/>
                <w:szCs w:val="16"/>
              </w:rPr>
            </w:pPr>
            <w:r>
              <w:rPr>
                <w:sz w:val="16"/>
                <w:szCs w:val="16"/>
              </w:rPr>
              <w:fldChar w:fldCharType="begin"/>
            </w:r>
            <w:r>
              <w:rPr>
                <w:sz w:val="16"/>
                <w:szCs w:val="16"/>
              </w:rPr>
              <w:instrText xml:space="preserve"> ADDIN NE.Ref.{7978D9EF-CD96-4E5A-8EE6-9F3CE7996169}</w:instrText>
            </w:r>
            <w:r>
              <w:rPr>
                <w:sz w:val="16"/>
                <w:szCs w:val="16"/>
              </w:rPr>
              <w:fldChar w:fldCharType="separate"/>
            </w:r>
            <w:r>
              <w:rPr>
                <w:rFonts w:eastAsia="宋体" w:cs="Times New Roman"/>
                <w:color w:val="080000"/>
                <w:kern w:val="0"/>
                <w:sz w:val="16"/>
                <w:szCs w:val="16"/>
              </w:rPr>
              <w:t>[27]</w:t>
            </w:r>
            <w:r>
              <w:rPr>
                <w:sz w:val="16"/>
                <w:szCs w:val="16"/>
              </w:rPr>
              <w:fldChar w:fldCharType="end"/>
            </w:r>
          </w:p>
        </w:tc>
      </w:tr>
      <w:tr w14:paraId="23AC9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DBE2889">
            <w:pPr>
              <w:pStyle w:val="24"/>
              <w:rPr>
                <w:sz w:val="16"/>
                <w:szCs w:val="16"/>
              </w:rPr>
            </w:pPr>
            <w:r>
              <w:rPr>
                <w:rFonts w:hint="eastAsia"/>
                <w:sz w:val="16"/>
                <w:szCs w:val="16"/>
              </w:rPr>
              <w:t>Adverse event rate for REDoS_Hyponatremia</w:t>
            </w:r>
          </w:p>
        </w:tc>
        <w:tc>
          <w:tcPr>
            <w:tcW w:w="506" w:type="pct"/>
            <w:shd w:val="clear" w:color="auto" w:fill="auto"/>
            <w:noWrap/>
            <w:vAlign w:val="center"/>
          </w:tcPr>
          <w:p w14:paraId="63F35EB1">
            <w:pPr>
              <w:pStyle w:val="24"/>
              <w:rPr>
                <w:sz w:val="16"/>
                <w:szCs w:val="16"/>
              </w:rPr>
            </w:pPr>
            <w:r>
              <w:rPr>
                <w:rFonts w:hint="eastAsia"/>
                <w:sz w:val="16"/>
                <w:szCs w:val="16"/>
              </w:rPr>
              <w:t>0.06</w:t>
            </w:r>
          </w:p>
        </w:tc>
        <w:tc>
          <w:tcPr>
            <w:tcW w:w="506" w:type="pct"/>
            <w:shd w:val="clear" w:color="auto" w:fill="auto"/>
            <w:noWrap/>
            <w:vAlign w:val="center"/>
          </w:tcPr>
          <w:p w14:paraId="5D2E90C8">
            <w:pPr>
              <w:pStyle w:val="24"/>
              <w:rPr>
                <w:sz w:val="16"/>
                <w:szCs w:val="16"/>
              </w:rPr>
            </w:pPr>
            <w:r>
              <w:rPr>
                <w:rFonts w:hint="eastAsia"/>
                <w:sz w:val="16"/>
                <w:szCs w:val="16"/>
              </w:rPr>
              <w:t>0.04</w:t>
            </w:r>
          </w:p>
        </w:tc>
        <w:tc>
          <w:tcPr>
            <w:tcW w:w="509" w:type="pct"/>
            <w:shd w:val="clear" w:color="auto" w:fill="auto"/>
            <w:noWrap/>
            <w:vAlign w:val="center"/>
          </w:tcPr>
          <w:p w14:paraId="022BAE19">
            <w:pPr>
              <w:pStyle w:val="24"/>
              <w:rPr>
                <w:sz w:val="16"/>
                <w:szCs w:val="16"/>
              </w:rPr>
            </w:pPr>
            <w:r>
              <w:rPr>
                <w:rFonts w:hint="eastAsia"/>
                <w:sz w:val="16"/>
                <w:szCs w:val="16"/>
              </w:rPr>
              <w:t>0.07</w:t>
            </w:r>
          </w:p>
        </w:tc>
        <w:tc>
          <w:tcPr>
            <w:tcW w:w="512" w:type="pct"/>
            <w:shd w:val="clear" w:color="auto" w:fill="auto"/>
            <w:noWrap/>
            <w:vAlign w:val="center"/>
          </w:tcPr>
          <w:p w14:paraId="7D41459B">
            <w:pPr>
              <w:pStyle w:val="24"/>
              <w:rPr>
                <w:sz w:val="16"/>
                <w:szCs w:val="16"/>
              </w:rPr>
            </w:pPr>
            <w:r>
              <w:rPr>
                <w:rFonts w:hint="eastAsia"/>
                <w:sz w:val="16"/>
                <w:szCs w:val="16"/>
              </w:rPr>
              <w:t>Beta</w:t>
            </w:r>
          </w:p>
        </w:tc>
        <w:tc>
          <w:tcPr>
            <w:tcW w:w="494" w:type="pct"/>
            <w:shd w:val="clear" w:color="auto" w:fill="auto"/>
            <w:noWrap/>
            <w:vAlign w:val="center"/>
          </w:tcPr>
          <w:p w14:paraId="4DC24F81">
            <w:pPr>
              <w:pStyle w:val="24"/>
              <w:rPr>
                <w:sz w:val="16"/>
                <w:szCs w:val="16"/>
              </w:rPr>
            </w:pPr>
            <w:r>
              <w:rPr>
                <w:sz w:val="16"/>
                <w:szCs w:val="16"/>
              </w:rPr>
              <w:fldChar w:fldCharType="begin"/>
            </w:r>
            <w:r>
              <w:rPr>
                <w:sz w:val="16"/>
                <w:szCs w:val="16"/>
              </w:rPr>
              <w:instrText xml:space="preserve"> ADDIN NE.Ref.{E0FB092A-B338-499F-ADA3-C7A67E990582}</w:instrText>
            </w:r>
            <w:r>
              <w:rPr>
                <w:sz w:val="16"/>
                <w:szCs w:val="16"/>
              </w:rPr>
              <w:fldChar w:fldCharType="separate"/>
            </w:r>
            <w:r>
              <w:rPr>
                <w:rFonts w:eastAsia="宋体" w:cs="Times New Roman"/>
                <w:color w:val="080000"/>
                <w:kern w:val="0"/>
                <w:sz w:val="16"/>
                <w:szCs w:val="16"/>
              </w:rPr>
              <w:t>[27]</w:t>
            </w:r>
            <w:r>
              <w:rPr>
                <w:sz w:val="16"/>
                <w:szCs w:val="16"/>
              </w:rPr>
              <w:fldChar w:fldCharType="end"/>
            </w:r>
          </w:p>
        </w:tc>
      </w:tr>
      <w:tr w14:paraId="51B53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842CD69">
            <w:pPr>
              <w:pStyle w:val="24"/>
              <w:rPr>
                <w:sz w:val="16"/>
                <w:szCs w:val="16"/>
              </w:rPr>
            </w:pPr>
            <w:r>
              <w:rPr>
                <w:rFonts w:hint="eastAsia"/>
                <w:sz w:val="16"/>
                <w:szCs w:val="16"/>
              </w:rPr>
              <w:t>Adverse event rate for REDoS_Lymphocyte count decreased</w:t>
            </w:r>
          </w:p>
        </w:tc>
        <w:tc>
          <w:tcPr>
            <w:tcW w:w="506" w:type="pct"/>
            <w:shd w:val="clear" w:color="auto" w:fill="auto"/>
            <w:noWrap/>
            <w:vAlign w:val="center"/>
          </w:tcPr>
          <w:p w14:paraId="75C056AC">
            <w:pPr>
              <w:pStyle w:val="24"/>
              <w:rPr>
                <w:sz w:val="16"/>
                <w:szCs w:val="16"/>
              </w:rPr>
            </w:pPr>
            <w:r>
              <w:rPr>
                <w:rFonts w:hint="eastAsia"/>
                <w:sz w:val="16"/>
                <w:szCs w:val="16"/>
              </w:rPr>
              <w:t>0.07</w:t>
            </w:r>
          </w:p>
        </w:tc>
        <w:tc>
          <w:tcPr>
            <w:tcW w:w="506" w:type="pct"/>
            <w:shd w:val="clear" w:color="auto" w:fill="auto"/>
            <w:noWrap/>
            <w:vAlign w:val="center"/>
          </w:tcPr>
          <w:p w14:paraId="2DB7928C">
            <w:pPr>
              <w:pStyle w:val="24"/>
              <w:rPr>
                <w:sz w:val="16"/>
                <w:szCs w:val="16"/>
              </w:rPr>
            </w:pPr>
            <w:r>
              <w:rPr>
                <w:rFonts w:hint="eastAsia"/>
                <w:sz w:val="16"/>
                <w:szCs w:val="16"/>
              </w:rPr>
              <w:t>0.06</w:t>
            </w:r>
          </w:p>
        </w:tc>
        <w:tc>
          <w:tcPr>
            <w:tcW w:w="509" w:type="pct"/>
            <w:shd w:val="clear" w:color="auto" w:fill="auto"/>
            <w:noWrap/>
            <w:vAlign w:val="center"/>
          </w:tcPr>
          <w:p w14:paraId="2B41610B">
            <w:pPr>
              <w:pStyle w:val="24"/>
              <w:rPr>
                <w:sz w:val="16"/>
                <w:szCs w:val="16"/>
              </w:rPr>
            </w:pPr>
            <w:r>
              <w:rPr>
                <w:rFonts w:hint="eastAsia"/>
                <w:sz w:val="16"/>
                <w:szCs w:val="16"/>
              </w:rPr>
              <w:t>0.09</w:t>
            </w:r>
          </w:p>
        </w:tc>
        <w:tc>
          <w:tcPr>
            <w:tcW w:w="512" w:type="pct"/>
            <w:shd w:val="clear" w:color="auto" w:fill="auto"/>
            <w:noWrap/>
            <w:vAlign w:val="center"/>
          </w:tcPr>
          <w:p w14:paraId="2E5B113B">
            <w:pPr>
              <w:pStyle w:val="24"/>
              <w:rPr>
                <w:sz w:val="16"/>
                <w:szCs w:val="16"/>
              </w:rPr>
            </w:pPr>
            <w:r>
              <w:rPr>
                <w:rFonts w:hint="eastAsia"/>
                <w:sz w:val="16"/>
                <w:szCs w:val="16"/>
              </w:rPr>
              <w:t>Beta</w:t>
            </w:r>
          </w:p>
        </w:tc>
        <w:tc>
          <w:tcPr>
            <w:tcW w:w="494" w:type="pct"/>
            <w:shd w:val="clear" w:color="auto" w:fill="auto"/>
            <w:noWrap/>
            <w:vAlign w:val="center"/>
          </w:tcPr>
          <w:p w14:paraId="6A6D84C9">
            <w:pPr>
              <w:pStyle w:val="24"/>
              <w:rPr>
                <w:sz w:val="16"/>
                <w:szCs w:val="16"/>
              </w:rPr>
            </w:pPr>
            <w:r>
              <w:rPr>
                <w:sz w:val="16"/>
                <w:szCs w:val="16"/>
              </w:rPr>
              <w:fldChar w:fldCharType="begin"/>
            </w:r>
            <w:r>
              <w:rPr>
                <w:sz w:val="16"/>
                <w:szCs w:val="16"/>
              </w:rPr>
              <w:instrText xml:space="preserve"> ADDIN NE.Ref.{8E2E28F5-6567-4358-9256-DAE03C3FAEF3}</w:instrText>
            </w:r>
            <w:r>
              <w:rPr>
                <w:sz w:val="16"/>
                <w:szCs w:val="16"/>
              </w:rPr>
              <w:fldChar w:fldCharType="separate"/>
            </w:r>
            <w:r>
              <w:rPr>
                <w:rFonts w:eastAsia="宋体" w:cs="Times New Roman"/>
                <w:color w:val="080000"/>
                <w:kern w:val="0"/>
                <w:sz w:val="16"/>
                <w:szCs w:val="16"/>
              </w:rPr>
              <w:t>[27]</w:t>
            </w:r>
            <w:r>
              <w:rPr>
                <w:sz w:val="16"/>
                <w:szCs w:val="16"/>
              </w:rPr>
              <w:fldChar w:fldCharType="end"/>
            </w:r>
          </w:p>
        </w:tc>
      </w:tr>
      <w:tr w14:paraId="023FD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DE5EF4A">
            <w:pPr>
              <w:pStyle w:val="24"/>
              <w:rPr>
                <w:sz w:val="16"/>
                <w:szCs w:val="16"/>
              </w:rPr>
            </w:pPr>
            <w:r>
              <w:rPr>
                <w:rFonts w:hint="eastAsia"/>
                <w:sz w:val="16"/>
                <w:szCs w:val="16"/>
              </w:rPr>
              <w:t>Adverse event rate for REDoS_Myalgia</w:t>
            </w:r>
          </w:p>
        </w:tc>
        <w:tc>
          <w:tcPr>
            <w:tcW w:w="506" w:type="pct"/>
            <w:shd w:val="clear" w:color="auto" w:fill="auto"/>
            <w:noWrap/>
            <w:vAlign w:val="center"/>
          </w:tcPr>
          <w:p w14:paraId="41803B17">
            <w:pPr>
              <w:pStyle w:val="24"/>
              <w:rPr>
                <w:sz w:val="16"/>
                <w:szCs w:val="16"/>
              </w:rPr>
            </w:pPr>
            <w:r>
              <w:rPr>
                <w:rFonts w:hint="eastAsia"/>
                <w:sz w:val="16"/>
                <w:szCs w:val="16"/>
              </w:rPr>
              <w:t>0.02</w:t>
            </w:r>
          </w:p>
        </w:tc>
        <w:tc>
          <w:tcPr>
            <w:tcW w:w="506" w:type="pct"/>
            <w:shd w:val="clear" w:color="auto" w:fill="auto"/>
            <w:noWrap/>
            <w:vAlign w:val="center"/>
          </w:tcPr>
          <w:p w14:paraId="6288DEC9">
            <w:pPr>
              <w:pStyle w:val="24"/>
              <w:rPr>
                <w:sz w:val="16"/>
                <w:szCs w:val="16"/>
              </w:rPr>
            </w:pPr>
            <w:r>
              <w:rPr>
                <w:rFonts w:hint="eastAsia"/>
                <w:sz w:val="16"/>
                <w:szCs w:val="16"/>
              </w:rPr>
              <w:t>0.01</w:t>
            </w:r>
          </w:p>
        </w:tc>
        <w:tc>
          <w:tcPr>
            <w:tcW w:w="509" w:type="pct"/>
            <w:shd w:val="clear" w:color="auto" w:fill="auto"/>
            <w:noWrap/>
            <w:vAlign w:val="center"/>
          </w:tcPr>
          <w:p w14:paraId="5D010C65">
            <w:pPr>
              <w:pStyle w:val="24"/>
              <w:rPr>
                <w:sz w:val="16"/>
                <w:szCs w:val="16"/>
              </w:rPr>
            </w:pPr>
            <w:r>
              <w:rPr>
                <w:rFonts w:hint="eastAsia"/>
                <w:sz w:val="16"/>
                <w:szCs w:val="16"/>
              </w:rPr>
              <w:t>0.02</w:t>
            </w:r>
          </w:p>
        </w:tc>
        <w:tc>
          <w:tcPr>
            <w:tcW w:w="512" w:type="pct"/>
            <w:shd w:val="clear" w:color="auto" w:fill="auto"/>
            <w:noWrap/>
            <w:vAlign w:val="center"/>
          </w:tcPr>
          <w:p w14:paraId="2F004B7B">
            <w:pPr>
              <w:pStyle w:val="24"/>
              <w:rPr>
                <w:sz w:val="16"/>
                <w:szCs w:val="16"/>
              </w:rPr>
            </w:pPr>
            <w:r>
              <w:rPr>
                <w:rFonts w:hint="eastAsia"/>
                <w:sz w:val="16"/>
                <w:szCs w:val="16"/>
              </w:rPr>
              <w:t>Beta</w:t>
            </w:r>
          </w:p>
        </w:tc>
        <w:tc>
          <w:tcPr>
            <w:tcW w:w="494" w:type="pct"/>
            <w:shd w:val="clear" w:color="auto" w:fill="auto"/>
            <w:noWrap/>
            <w:vAlign w:val="center"/>
          </w:tcPr>
          <w:p w14:paraId="65A6DCE2">
            <w:pPr>
              <w:pStyle w:val="24"/>
              <w:rPr>
                <w:sz w:val="16"/>
                <w:szCs w:val="16"/>
              </w:rPr>
            </w:pPr>
            <w:r>
              <w:rPr>
                <w:sz w:val="16"/>
                <w:szCs w:val="16"/>
              </w:rPr>
              <w:fldChar w:fldCharType="begin"/>
            </w:r>
            <w:r>
              <w:rPr>
                <w:sz w:val="16"/>
                <w:szCs w:val="16"/>
              </w:rPr>
              <w:instrText xml:space="preserve"> ADDIN NE.Ref.{43B371F9-5F4E-46A7-9F60-96638671AF2F}</w:instrText>
            </w:r>
            <w:r>
              <w:rPr>
                <w:sz w:val="16"/>
                <w:szCs w:val="16"/>
              </w:rPr>
              <w:fldChar w:fldCharType="separate"/>
            </w:r>
            <w:r>
              <w:rPr>
                <w:rFonts w:eastAsia="宋体" w:cs="Times New Roman"/>
                <w:color w:val="080000"/>
                <w:kern w:val="0"/>
                <w:sz w:val="16"/>
                <w:szCs w:val="16"/>
              </w:rPr>
              <w:t>[27]</w:t>
            </w:r>
            <w:r>
              <w:rPr>
                <w:sz w:val="16"/>
                <w:szCs w:val="16"/>
              </w:rPr>
              <w:fldChar w:fldCharType="end"/>
            </w:r>
          </w:p>
        </w:tc>
      </w:tr>
      <w:tr w14:paraId="63997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696F534">
            <w:pPr>
              <w:pStyle w:val="24"/>
              <w:rPr>
                <w:sz w:val="16"/>
                <w:szCs w:val="16"/>
              </w:rPr>
            </w:pPr>
            <w:r>
              <w:rPr>
                <w:rFonts w:hint="eastAsia"/>
                <w:sz w:val="16"/>
                <w:szCs w:val="16"/>
              </w:rPr>
              <w:t>Adverse event rate for REDoS_Colonic obstruction</w:t>
            </w:r>
          </w:p>
        </w:tc>
        <w:tc>
          <w:tcPr>
            <w:tcW w:w="506" w:type="pct"/>
            <w:shd w:val="clear" w:color="auto" w:fill="auto"/>
            <w:noWrap/>
            <w:vAlign w:val="center"/>
          </w:tcPr>
          <w:p w14:paraId="039F181B">
            <w:pPr>
              <w:pStyle w:val="24"/>
              <w:rPr>
                <w:sz w:val="16"/>
                <w:szCs w:val="16"/>
              </w:rPr>
            </w:pPr>
            <w:r>
              <w:rPr>
                <w:rFonts w:hint="eastAsia"/>
                <w:sz w:val="16"/>
                <w:szCs w:val="16"/>
              </w:rPr>
              <w:t>0.06</w:t>
            </w:r>
          </w:p>
        </w:tc>
        <w:tc>
          <w:tcPr>
            <w:tcW w:w="506" w:type="pct"/>
            <w:shd w:val="clear" w:color="auto" w:fill="auto"/>
            <w:noWrap/>
            <w:vAlign w:val="center"/>
          </w:tcPr>
          <w:p w14:paraId="14C83C42">
            <w:pPr>
              <w:pStyle w:val="24"/>
              <w:rPr>
                <w:sz w:val="16"/>
                <w:szCs w:val="16"/>
              </w:rPr>
            </w:pPr>
            <w:r>
              <w:rPr>
                <w:rFonts w:hint="eastAsia"/>
                <w:sz w:val="16"/>
                <w:szCs w:val="16"/>
              </w:rPr>
              <w:t>0.04</w:t>
            </w:r>
          </w:p>
        </w:tc>
        <w:tc>
          <w:tcPr>
            <w:tcW w:w="509" w:type="pct"/>
            <w:shd w:val="clear" w:color="auto" w:fill="auto"/>
            <w:noWrap/>
            <w:vAlign w:val="center"/>
          </w:tcPr>
          <w:p w14:paraId="1EC56F9C">
            <w:pPr>
              <w:pStyle w:val="24"/>
              <w:rPr>
                <w:sz w:val="16"/>
                <w:szCs w:val="16"/>
              </w:rPr>
            </w:pPr>
            <w:r>
              <w:rPr>
                <w:rFonts w:hint="eastAsia"/>
                <w:sz w:val="16"/>
                <w:szCs w:val="16"/>
              </w:rPr>
              <w:t>0.07</w:t>
            </w:r>
          </w:p>
        </w:tc>
        <w:tc>
          <w:tcPr>
            <w:tcW w:w="512" w:type="pct"/>
            <w:shd w:val="clear" w:color="auto" w:fill="auto"/>
            <w:noWrap/>
            <w:vAlign w:val="center"/>
          </w:tcPr>
          <w:p w14:paraId="683D2333">
            <w:pPr>
              <w:pStyle w:val="24"/>
              <w:rPr>
                <w:sz w:val="16"/>
                <w:szCs w:val="16"/>
              </w:rPr>
            </w:pPr>
            <w:r>
              <w:rPr>
                <w:rFonts w:hint="eastAsia"/>
                <w:sz w:val="16"/>
                <w:szCs w:val="16"/>
              </w:rPr>
              <w:t>Beta</w:t>
            </w:r>
          </w:p>
        </w:tc>
        <w:tc>
          <w:tcPr>
            <w:tcW w:w="494" w:type="pct"/>
            <w:shd w:val="clear" w:color="auto" w:fill="auto"/>
            <w:noWrap/>
            <w:vAlign w:val="center"/>
          </w:tcPr>
          <w:p w14:paraId="0E398B76">
            <w:pPr>
              <w:pStyle w:val="24"/>
              <w:rPr>
                <w:sz w:val="16"/>
                <w:szCs w:val="16"/>
              </w:rPr>
            </w:pPr>
            <w:r>
              <w:rPr>
                <w:sz w:val="16"/>
                <w:szCs w:val="16"/>
              </w:rPr>
              <w:fldChar w:fldCharType="begin"/>
            </w:r>
            <w:r>
              <w:rPr>
                <w:sz w:val="16"/>
                <w:szCs w:val="16"/>
              </w:rPr>
              <w:instrText xml:space="preserve"> ADDIN NE.Ref.{17F785D8-18B2-496D-89F0-00D8785708FC}</w:instrText>
            </w:r>
            <w:r>
              <w:rPr>
                <w:sz w:val="16"/>
                <w:szCs w:val="16"/>
              </w:rPr>
              <w:fldChar w:fldCharType="separate"/>
            </w:r>
            <w:r>
              <w:rPr>
                <w:rFonts w:eastAsia="宋体" w:cs="Times New Roman"/>
                <w:color w:val="080000"/>
                <w:kern w:val="0"/>
                <w:sz w:val="16"/>
                <w:szCs w:val="16"/>
              </w:rPr>
              <w:t>[27]</w:t>
            </w:r>
            <w:r>
              <w:rPr>
                <w:sz w:val="16"/>
                <w:szCs w:val="16"/>
              </w:rPr>
              <w:fldChar w:fldCharType="end"/>
            </w:r>
          </w:p>
        </w:tc>
      </w:tr>
      <w:tr w14:paraId="28F5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C7AA6BD">
            <w:pPr>
              <w:pStyle w:val="24"/>
              <w:rPr>
                <w:sz w:val="16"/>
                <w:szCs w:val="16"/>
              </w:rPr>
            </w:pPr>
            <w:r>
              <w:rPr>
                <w:rFonts w:hint="eastAsia"/>
                <w:sz w:val="16"/>
                <w:szCs w:val="16"/>
              </w:rPr>
              <w:t>Adverse event rate for TAS-102_Anemia</w:t>
            </w:r>
          </w:p>
        </w:tc>
        <w:tc>
          <w:tcPr>
            <w:tcW w:w="506" w:type="pct"/>
            <w:shd w:val="clear" w:color="auto" w:fill="auto"/>
            <w:noWrap/>
            <w:vAlign w:val="center"/>
          </w:tcPr>
          <w:p w14:paraId="0EE18881">
            <w:pPr>
              <w:pStyle w:val="24"/>
              <w:rPr>
                <w:sz w:val="16"/>
                <w:szCs w:val="16"/>
              </w:rPr>
            </w:pPr>
            <w:r>
              <w:rPr>
                <w:rFonts w:hint="eastAsia"/>
                <w:sz w:val="16"/>
                <w:szCs w:val="16"/>
              </w:rPr>
              <w:t>0.11</w:t>
            </w:r>
          </w:p>
        </w:tc>
        <w:tc>
          <w:tcPr>
            <w:tcW w:w="506" w:type="pct"/>
            <w:shd w:val="clear" w:color="auto" w:fill="auto"/>
            <w:noWrap/>
            <w:vAlign w:val="center"/>
          </w:tcPr>
          <w:p w14:paraId="211DBC19">
            <w:pPr>
              <w:pStyle w:val="24"/>
              <w:rPr>
                <w:sz w:val="16"/>
                <w:szCs w:val="16"/>
              </w:rPr>
            </w:pPr>
            <w:r>
              <w:rPr>
                <w:rFonts w:hint="eastAsia"/>
                <w:sz w:val="16"/>
                <w:szCs w:val="16"/>
              </w:rPr>
              <w:t>0.09</w:t>
            </w:r>
          </w:p>
        </w:tc>
        <w:tc>
          <w:tcPr>
            <w:tcW w:w="509" w:type="pct"/>
            <w:shd w:val="clear" w:color="auto" w:fill="auto"/>
            <w:noWrap/>
            <w:vAlign w:val="center"/>
          </w:tcPr>
          <w:p w14:paraId="5599D71C">
            <w:pPr>
              <w:pStyle w:val="24"/>
              <w:rPr>
                <w:sz w:val="16"/>
                <w:szCs w:val="16"/>
              </w:rPr>
            </w:pPr>
            <w:r>
              <w:rPr>
                <w:rFonts w:hint="eastAsia"/>
                <w:sz w:val="16"/>
                <w:szCs w:val="16"/>
              </w:rPr>
              <w:t>0.13</w:t>
            </w:r>
          </w:p>
        </w:tc>
        <w:tc>
          <w:tcPr>
            <w:tcW w:w="512" w:type="pct"/>
            <w:shd w:val="clear" w:color="auto" w:fill="auto"/>
            <w:noWrap/>
            <w:vAlign w:val="center"/>
          </w:tcPr>
          <w:p w14:paraId="20C46976">
            <w:pPr>
              <w:pStyle w:val="24"/>
              <w:rPr>
                <w:sz w:val="16"/>
                <w:szCs w:val="16"/>
              </w:rPr>
            </w:pPr>
            <w:r>
              <w:rPr>
                <w:rFonts w:hint="eastAsia"/>
                <w:sz w:val="16"/>
                <w:szCs w:val="16"/>
              </w:rPr>
              <w:t>Beta</w:t>
            </w:r>
          </w:p>
        </w:tc>
        <w:tc>
          <w:tcPr>
            <w:tcW w:w="494" w:type="pct"/>
            <w:shd w:val="clear" w:color="auto" w:fill="auto"/>
            <w:noWrap/>
            <w:vAlign w:val="center"/>
          </w:tcPr>
          <w:p w14:paraId="7D963456">
            <w:pPr>
              <w:pStyle w:val="24"/>
              <w:rPr>
                <w:sz w:val="16"/>
                <w:szCs w:val="16"/>
              </w:rPr>
            </w:pPr>
            <w:r>
              <w:rPr>
                <w:sz w:val="16"/>
                <w:szCs w:val="16"/>
              </w:rPr>
              <w:fldChar w:fldCharType="begin"/>
            </w:r>
            <w:r>
              <w:rPr>
                <w:sz w:val="16"/>
                <w:szCs w:val="16"/>
              </w:rPr>
              <w:instrText xml:space="preserve"> ADDIN NE.Ref.{5562154E-8E97-485B-B605-105C0AB96011}</w:instrText>
            </w:r>
            <w:r>
              <w:rPr>
                <w:sz w:val="16"/>
                <w:szCs w:val="16"/>
              </w:rPr>
              <w:fldChar w:fldCharType="separate"/>
            </w:r>
            <w:r>
              <w:rPr>
                <w:rFonts w:eastAsia="宋体" w:cs="Times New Roman"/>
                <w:color w:val="080000"/>
                <w:kern w:val="0"/>
                <w:sz w:val="16"/>
                <w:szCs w:val="16"/>
              </w:rPr>
              <w:t>[15, 27]</w:t>
            </w:r>
            <w:r>
              <w:rPr>
                <w:sz w:val="16"/>
                <w:szCs w:val="16"/>
              </w:rPr>
              <w:fldChar w:fldCharType="end"/>
            </w:r>
          </w:p>
        </w:tc>
      </w:tr>
      <w:tr w14:paraId="717C6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0DA6414">
            <w:pPr>
              <w:pStyle w:val="24"/>
              <w:rPr>
                <w:sz w:val="16"/>
                <w:szCs w:val="16"/>
              </w:rPr>
            </w:pPr>
            <w:r>
              <w:rPr>
                <w:rFonts w:hint="eastAsia"/>
                <w:sz w:val="16"/>
                <w:szCs w:val="16"/>
              </w:rPr>
              <w:t>Adverse event rate for TAS-102_Diarrhoea</w:t>
            </w:r>
          </w:p>
        </w:tc>
        <w:tc>
          <w:tcPr>
            <w:tcW w:w="506" w:type="pct"/>
            <w:shd w:val="clear" w:color="auto" w:fill="auto"/>
            <w:noWrap/>
            <w:vAlign w:val="center"/>
          </w:tcPr>
          <w:p w14:paraId="0C56C489">
            <w:pPr>
              <w:pStyle w:val="24"/>
              <w:rPr>
                <w:sz w:val="16"/>
                <w:szCs w:val="16"/>
              </w:rPr>
            </w:pPr>
            <w:r>
              <w:rPr>
                <w:rFonts w:hint="eastAsia"/>
                <w:sz w:val="16"/>
                <w:szCs w:val="16"/>
              </w:rPr>
              <w:t>0.01</w:t>
            </w:r>
          </w:p>
        </w:tc>
        <w:tc>
          <w:tcPr>
            <w:tcW w:w="506" w:type="pct"/>
            <w:shd w:val="clear" w:color="auto" w:fill="auto"/>
            <w:noWrap/>
            <w:vAlign w:val="center"/>
          </w:tcPr>
          <w:p w14:paraId="24E9AF6A">
            <w:pPr>
              <w:pStyle w:val="24"/>
              <w:rPr>
                <w:sz w:val="16"/>
                <w:szCs w:val="16"/>
              </w:rPr>
            </w:pPr>
            <w:r>
              <w:rPr>
                <w:rFonts w:hint="eastAsia"/>
                <w:sz w:val="16"/>
                <w:szCs w:val="16"/>
              </w:rPr>
              <w:t>0.01</w:t>
            </w:r>
          </w:p>
        </w:tc>
        <w:tc>
          <w:tcPr>
            <w:tcW w:w="509" w:type="pct"/>
            <w:shd w:val="clear" w:color="auto" w:fill="auto"/>
            <w:noWrap/>
            <w:vAlign w:val="center"/>
          </w:tcPr>
          <w:p w14:paraId="38C4A2E9">
            <w:pPr>
              <w:pStyle w:val="24"/>
              <w:rPr>
                <w:sz w:val="16"/>
                <w:szCs w:val="16"/>
              </w:rPr>
            </w:pPr>
            <w:r>
              <w:rPr>
                <w:rFonts w:hint="eastAsia"/>
                <w:sz w:val="16"/>
                <w:szCs w:val="16"/>
              </w:rPr>
              <w:t>0.02</w:t>
            </w:r>
          </w:p>
        </w:tc>
        <w:tc>
          <w:tcPr>
            <w:tcW w:w="512" w:type="pct"/>
            <w:shd w:val="clear" w:color="auto" w:fill="auto"/>
            <w:noWrap/>
            <w:vAlign w:val="center"/>
          </w:tcPr>
          <w:p w14:paraId="68FF0C03">
            <w:pPr>
              <w:pStyle w:val="24"/>
              <w:rPr>
                <w:sz w:val="16"/>
                <w:szCs w:val="16"/>
              </w:rPr>
            </w:pPr>
            <w:r>
              <w:rPr>
                <w:rFonts w:hint="eastAsia"/>
                <w:sz w:val="16"/>
                <w:szCs w:val="16"/>
              </w:rPr>
              <w:t>Beta</w:t>
            </w:r>
          </w:p>
        </w:tc>
        <w:tc>
          <w:tcPr>
            <w:tcW w:w="494" w:type="pct"/>
            <w:shd w:val="clear" w:color="auto" w:fill="auto"/>
            <w:noWrap/>
            <w:vAlign w:val="center"/>
          </w:tcPr>
          <w:p w14:paraId="431AF465">
            <w:pPr>
              <w:pStyle w:val="24"/>
              <w:rPr>
                <w:sz w:val="16"/>
                <w:szCs w:val="16"/>
              </w:rPr>
            </w:pPr>
            <w:r>
              <w:rPr>
                <w:sz w:val="16"/>
                <w:szCs w:val="16"/>
              </w:rPr>
              <w:fldChar w:fldCharType="begin"/>
            </w:r>
            <w:r>
              <w:rPr>
                <w:sz w:val="16"/>
                <w:szCs w:val="16"/>
              </w:rPr>
              <w:instrText xml:space="preserve"> ADDIN NE.Ref.{C667A341-3A38-49E9-BB72-0BE42A2F8E6C}</w:instrText>
            </w:r>
            <w:r>
              <w:rPr>
                <w:sz w:val="16"/>
                <w:szCs w:val="16"/>
              </w:rPr>
              <w:fldChar w:fldCharType="separate"/>
            </w:r>
            <w:r>
              <w:rPr>
                <w:rFonts w:eastAsia="宋体" w:cs="Times New Roman"/>
                <w:color w:val="080000"/>
                <w:kern w:val="0"/>
                <w:sz w:val="16"/>
                <w:szCs w:val="16"/>
              </w:rPr>
              <w:t>[15, 27]</w:t>
            </w:r>
            <w:r>
              <w:rPr>
                <w:sz w:val="16"/>
                <w:szCs w:val="16"/>
              </w:rPr>
              <w:fldChar w:fldCharType="end"/>
            </w:r>
          </w:p>
        </w:tc>
      </w:tr>
      <w:tr w14:paraId="707C8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606FA88">
            <w:pPr>
              <w:pStyle w:val="24"/>
              <w:rPr>
                <w:sz w:val="16"/>
                <w:szCs w:val="16"/>
              </w:rPr>
            </w:pPr>
            <w:r>
              <w:rPr>
                <w:rFonts w:hint="eastAsia"/>
                <w:sz w:val="16"/>
                <w:szCs w:val="16"/>
              </w:rPr>
              <w:t>Adverse event rate for TAS-102_Hypoalbuminemia</w:t>
            </w:r>
          </w:p>
        </w:tc>
        <w:tc>
          <w:tcPr>
            <w:tcW w:w="506" w:type="pct"/>
            <w:shd w:val="clear" w:color="auto" w:fill="auto"/>
            <w:noWrap/>
            <w:vAlign w:val="center"/>
          </w:tcPr>
          <w:p w14:paraId="45A6ADC9">
            <w:pPr>
              <w:pStyle w:val="24"/>
              <w:rPr>
                <w:sz w:val="16"/>
                <w:szCs w:val="16"/>
              </w:rPr>
            </w:pPr>
            <w:r>
              <w:rPr>
                <w:rFonts w:hint="eastAsia"/>
                <w:sz w:val="16"/>
                <w:szCs w:val="16"/>
              </w:rPr>
              <w:t>0.03</w:t>
            </w:r>
          </w:p>
        </w:tc>
        <w:tc>
          <w:tcPr>
            <w:tcW w:w="506" w:type="pct"/>
            <w:shd w:val="clear" w:color="auto" w:fill="auto"/>
            <w:noWrap/>
            <w:vAlign w:val="center"/>
          </w:tcPr>
          <w:p w14:paraId="1D9C1065">
            <w:pPr>
              <w:pStyle w:val="24"/>
              <w:rPr>
                <w:sz w:val="16"/>
                <w:szCs w:val="16"/>
              </w:rPr>
            </w:pPr>
            <w:r>
              <w:rPr>
                <w:rFonts w:hint="eastAsia"/>
                <w:sz w:val="16"/>
                <w:szCs w:val="16"/>
              </w:rPr>
              <w:t>0.02</w:t>
            </w:r>
          </w:p>
        </w:tc>
        <w:tc>
          <w:tcPr>
            <w:tcW w:w="509" w:type="pct"/>
            <w:shd w:val="clear" w:color="auto" w:fill="auto"/>
            <w:noWrap/>
            <w:vAlign w:val="center"/>
          </w:tcPr>
          <w:p w14:paraId="054A1D4C">
            <w:pPr>
              <w:pStyle w:val="24"/>
              <w:rPr>
                <w:sz w:val="16"/>
                <w:szCs w:val="16"/>
              </w:rPr>
            </w:pPr>
            <w:r>
              <w:rPr>
                <w:rFonts w:hint="eastAsia"/>
                <w:sz w:val="16"/>
                <w:szCs w:val="16"/>
              </w:rPr>
              <w:t>0.03</w:t>
            </w:r>
          </w:p>
        </w:tc>
        <w:tc>
          <w:tcPr>
            <w:tcW w:w="512" w:type="pct"/>
            <w:shd w:val="clear" w:color="auto" w:fill="auto"/>
            <w:noWrap/>
            <w:vAlign w:val="center"/>
          </w:tcPr>
          <w:p w14:paraId="095BF4A4">
            <w:pPr>
              <w:pStyle w:val="24"/>
              <w:rPr>
                <w:sz w:val="16"/>
                <w:szCs w:val="16"/>
              </w:rPr>
            </w:pPr>
            <w:r>
              <w:rPr>
                <w:rFonts w:hint="eastAsia"/>
                <w:sz w:val="16"/>
                <w:szCs w:val="16"/>
              </w:rPr>
              <w:t>Beta</w:t>
            </w:r>
          </w:p>
        </w:tc>
        <w:tc>
          <w:tcPr>
            <w:tcW w:w="494" w:type="pct"/>
            <w:shd w:val="clear" w:color="auto" w:fill="auto"/>
            <w:noWrap/>
            <w:vAlign w:val="center"/>
          </w:tcPr>
          <w:p w14:paraId="5D7D78F1">
            <w:pPr>
              <w:pStyle w:val="24"/>
              <w:rPr>
                <w:sz w:val="16"/>
                <w:szCs w:val="16"/>
              </w:rPr>
            </w:pPr>
            <w:r>
              <w:rPr>
                <w:sz w:val="16"/>
                <w:szCs w:val="16"/>
              </w:rPr>
              <w:fldChar w:fldCharType="begin"/>
            </w:r>
            <w:r>
              <w:rPr>
                <w:sz w:val="16"/>
                <w:szCs w:val="16"/>
              </w:rPr>
              <w:instrText xml:space="preserve"> ADDIN NE.Ref.{66933C1E-19F8-4DEF-9082-795B0AC17228}</w:instrText>
            </w:r>
            <w:r>
              <w:rPr>
                <w:sz w:val="16"/>
                <w:szCs w:val="16"/>
              </w:rPr>
              <w:fldChar w:fldCharType="separate"/>
            </w:r>
            <w:r>
              <w:rPr>
                <w:rFonts w:eastAsia="宋体" w:cs="Times New Roman"/>
                <w:color w:val="080000"/>
                <w:kern w:val="0"/>
                <w:sz w:val="16"/>
                <w:szCs w:val="16"/>
              </w:rPr>
              <w:t>[15, 27]</w:t>
            </w:r>
            <w:r>
              <w:rPr>
                <w:sz w:val="16"/>
                <w:szCs w:val="16"/>
              </w:rPr>
              <w:fldChar w:fldCharType="end"/>
            </w:r>
            <w:r>
              <w:rPr>
                <w:sz w:val="16"/>
                <w:szCs w:val="16"/>
              </w:rPr>
              <w:t xml:space="preserve"> </w:t>
            </w:r>
          </w:p>
        </w:tc>
      </w:tr>
      <w:tr w14:paraId="18E11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B8F7F83">
            <w:pPr>
              <w:pStyle w:val="24"/>
              <w:rPr>
                <w:sz w:val="16"/>
                <w:szCs w:val="16"/>
              </w:rPr>
            </w:pPr>
            <w:r>
              <w:rPr>
                <w:rFonts w:hint="eastAsia"/>
                <w:sz w:val="16"/>
                <w:szCs w:val="16"/>
              </w:rPr>
              <w:t>Adverse event rate for TAS-102_Hyponatremia</w:t>
            </w:r>
          </w:p>
        </w:tc>
        <w:tc>
          <w:tcPr>
            <w:tcW w:w="506" w:type="pct"/>
            <w:shd w:val="clear" w:color="auto" w:fill="auto"/>
            <w:noWrap/>
            <w:vAlign w:val="center"/>
          </w:tcPr>
          <w:p w14:paraId="6254854F">
            <w:pPr>
              <w:pStyle w:val="24"/>
              <w:rPr>
                <w:sz w:val="16"/>
                <w:szCs w:val="16"/>
              </w:rPr>
            </w:pPr>
            <w:r>
              <w:rPr>
                <w:rFonts w:hint="eastAsia"/>
                <w:sz w:val="16"/>
                <w:szCs w:val="16"/>
              </w:rPr>
              <w:t>0.04</w:t>
            </w:r>
          </w:p>
        </w:tc>
        <w:tc>
          <w:tcPr>
            <w:tcW w:w="506" w:type="pct"/>
            <w:shd w:val="clear" w:color="auto" w:fill="auto"/>
            <w:noWrap/>
            <w:vAlign w:val="center"/>
          </w:tcPr>
          <w:p w14:paraId="4CB5F483">
            <w:pPr>
              <w:pStyle w:val="24"/>
              <w:rPr>
                <w:sz w:val="16"/>
                <w:szCs w:val="16"/>
              </w:rPr>
            </w:pPr>
            <w:r>
              <w:rPr>
                <w:rFonts w:hint="eastAsia"/>
                <w:sz w:val="16"/>
                <w:szCs w:val="16"/>
              </w:rPr>
              <w:t>0.03</w:t>
            </w:r>
          </w:p>
        </w:tc>
        <w:tc>
          <w:tcPr>
            <w:tcW w:w="509" w:type="pct"/>
            <w:shd w:val="clear" w:color="auto" w:fill="auto"/>
            <w:noWrap/>
            <w:vAlign w:val="center"/>
          </w:tcPr>
          <w:p w14:paraId="6900C3D4">
            <w:pPr>
              <w:pStyle w:val="24"/>
              <w:rPr>
                <w:sz w:val="16"/>
                <w:szCs w:val="16"/>
              </w:rPr>
            </w:pPr>
            <w:r>
              <w:rPr>
                <w:rFonts w:hint="eastAsia"/>
                <w:sz w:val="16"/>
                <w:szCs w:val="16"/>
              </w:rPr>
              <w:t>0.05</w:t>
            </w:r>
          </w:p>
        </w:tc>
        <w:tc>
          <w:tcPr>
            <w:tcW w:w="512" w:type="pct"/>
            <w:shd w:val="clear" w:color="auto" w:fill="auto"/>
            <w:noWrap/>
            <w:vAlign w:val="center"/>
          </w:tcPr>
          <w:p w14:paraId="2E80D849">
            <w:pPr>
              <w:pStyle w:val="24"/>
              <w:rPr>
                <w:sz w:val="16"/>
                <w:szCs w:val="16"/>
              </w:rPr>
            </w:pPr>
            <w:r>
              <w:rPr>
                <w:rFonts w:hint="eastAsia"/>
                <w:sz w:val="16"/>
                <w:szCs w:val="16"/>
              </w:rPr>
              <w:t>Beta</w:t>
            </w:r>
          </w:p>
        </w:tc>
        <w:tc>
          <w:tcPr>
            <w:tcW w:w="494" w:type="pct"/>
            <w:shd w:val="clear" w:color="auto" w:fill="auto"/>
            <w:noWrap/>
            <w:vAlign w:val="center"/>
          </w:tcPr>
          <w:p w14:paraId="27962E2B">
            <w:pPr>
              <w:pStyle w:val="24"/>
              <w:rPr>
                <w:sz w:val="16"/>
                <w:szCs w:val="16"/>
              </w:rPr>
            </w:pPr>
            <w:r>
              <w:rPr>
                <w:sz w:val="16"/>
                <w:szCs w:val="16"/>
              </w:rPr>
              <w:fldChar w:fldCharType="begin"/>
            </w:r>
            <w:r>
              <w:rPr>
                <w:sz w:val="16"/>
                <w:szCs w:val="16"/>
              </w:rPr>
              <w:instrText xml:space="preserve"> ADDIN NE.Ref.{F30D57DA-4798-40FF-BBD9-2DC1FDC00DAC}</w:instrText>
            </w:r>
            <w:r>
              <w:rPr>
                <w:sz w:val="16"/>
                <w:szCs w:val="16"/>
              </w:rPr>
              <w:fldChar w:fldCharType="separate"/>
            </w:r>
            <w:r>
              <w:rPr>
                <w:rFonts w:eastAsia="宋体" w:cs="Times New Roman"/>
                <w:color w:val="080000"/>
                <w:kern w:val="0"/>
                <w:sz w:val="16"/>
                <w:szCs w:val="16"/>
              </w:rPr>
              <w:t>[15, 27]</w:t>
            </w:r>
            <w:r>
              <w:rPr>
                <w:sz w:val="16"/>
                <w:szCs w:val="16"/>
              </w:rPr>
              <w:fldChar w:fldCharType="end"/>
            </w:r>
          </w:p>
        </w:tc>
      </w:tr>
      <w:tr w14:paraId="4196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E43275D">
            <w:pPr>
              <w:pStyle w:val="24"/>
              <w:rPr>
                <w:rFonts w:eastAsiaTheme="minorEastAsia"/>
                <w:sz w:val="16"/>
                <w:szCs w:val="16"/>
              </w:rPr>
            </w:pPr>
            <w:r>
              <w:rPr>
                <w:rFonts w:hint="eastAsia"/>
                <w:sz w:val="16"/>
                <w:szCs w:val="16"/>
              </w:rPr>
              <w:t>Adverse event rate for TAS-102_Increase in AST leve</w:t>
            </w:r>
            <w:r>
              <w:rPr>
                <w:rFonts w:hint="eastAsia" w:eastAsiaTheme="minorEastAsia"/>
                <w:sz w:val="16"/>
                <w:szCs w:val="16"/>
              </w:rPr>
              <w:t>l</w:t>
            </w:r>
          </w:p>
        </w:tc>
        <w:tc>
          <w:tcPr>
            <w:tcW w:w="506" w:type="pct"/>
            <w:shd w:val="clear" w:color="auto" w:fill="auto"/>
            <w:noWrap/>
            <w:vAlign w:val="center"/>
          </w:tcPr>
          <w:p w14:paraId="47254404">
            <w:pPr>
              <w:pStyle w:val="24"/>
              <w:rPr>
                <w:sz w:val="16"/>
                <w:szCs w:val="16"/>
              </w:rPr>
            </w:pPr>
            <w:r>
              <w:rPr>
                <w:rFonts w:hint="eastAsia"/>
                <w:sz w:val="16"/>
                <w:szCs w:val="16"/>
              </w:rPr>
              <w:t>0.03</w:t>
            </w:r>
          </w:p>
        </w:tc>
        <w:tc>
          <w:tcPr>
            <w:tcW w:w="506" w:type="pct"/>
            <w:shd w:val="clear" w:color="auto" w:fill="auto"/>
            <w:noWrap/>
            <w:vAlign w:val="center"/>
          </w:tcPr>
          <w:p w14:paraId="229194C0">
            <w:pPr>
              <w:pStyle w:val="24"/>
              <w:rPr>
                <w:sz w:val="16"/>
                <w:szCs w:val="16"/>
              </w:rPr>
            </w:pPr>
            <w:r>
              <w:rPr>
                <w:rFonts w:hint="eastAsia"/>
                <w:sz w:val="16"/>
                <w:szCs w:val="16"/>
              </w:rPr>
              <w:t>0.03</w:t>
            </w:r>
          </w:p>
        </w:tc>
        <w:tc>
          <w:tcPr>
            <w:tcW w:w="509" w:type="pct"/>
            <w:shd w:val="clear" w:color="auto" w:fill="auto"/>
            <w:noWrap/>
            <w:vAlign w:val="center"/>
          </w:tcPr>
          <w:p w14:paraId="4877106F">
            <w:pPr>
              <w:pStyle w:val="24"/>
              <w:rPr>
                <w:sz w:val="16"/>
                <w:szCs w:val="16"/>
              </w:rPr>
            </w:pPr>
            <w:r>
              <w:rPr>
                <w:rFonts w:hint="eastAsia"/>
                <w:sz w:val="16"/>
                <w:szCs w:val="16"/>
              </w:rPr>
              <w:t>0.04</w:t>
            </w:r>
          </w:p>
        </w:tc>
        <w:tc>
          <w:tcPr>
            <w:tcW w:w="512" w:type="pct"/>
            <w:shd w:val="clear" w:color="auto" w:fill="auto"/>
            <w:noWrap/>
            <w:vAlign w:val="center"/>
          </w:tcPr>
          <w:p w14:paraId="47B858BB">
            <w:pPr>
              <w:pStyle w:val="24"/>
              <w:rPr>
                <w:sz w:val="16"/>
                <w:szCs w:val="16"/>
              </w:rPr>
            </w:pPr>
            <w:r>
              <w:rPr>
                <w:rFonts w:hint="eastAsia"/>
                <w:sz w:val="16"/>
                <w:szCs w:val="16"/>
              </w:rPr>
              <w:t>Beta</w:t>
            </w:r>
          </w:p>
        </w:tc>
        <w:tc>
          <w:tcPr>
            <w:tcW w:w="494" w:type="pct"/>
            <w:shd w:val="clear" w:color="auto" w:fill="auto"/>
            <w:noWrap/>
            <w:vAlign w:val="center"/>
          </w:tcPr>
          <w:p w14:paraId="2E6D011B">
            <w:pPr>
              <w:pStyle w:val="24"/>
              <w:rPr>
                <w:sz w:val="16"/>
                <w:szCs w:val="16"/>
              </w:rPr>
            </w:pPr>
            <w:r>
              <w:rPr>
                <w:sz w:val="16"/>
                <w:szCs w:val="16"/>
              </w:rPr>
              <w:fldChar w:fldCharType="begin"/>
            </w:r>
            <w:r>
              <w:rPr>
                <w:sz w:val="16"/>
                <w:szCs w:val="16"/>
              </w:rPr>
              <w:instrText xml:space="preserve"> ADDIN NE.Ref.{EE8D00F6-7759-4D8A-96D4-0F4ADA6461C9}</w:instrText>
            </w:r>
            <w:r>
              <w:rPr>
                <w:sz w:val="16"/>
                <w:szCs w:val="16"/>
              </w:rPr>
              <w:fldChar w:fldCharType="separate"/>
            </w:r>
            <w:r>
              <w:rPr>
                <w:rFonts w:eastAsia="宋体" w:cs="Times New Roman"/>
                <w:color w:val="080000"/>
                <w:kern w:val="0"/>
                <w:sz w:val="16"/>
                <w:szCs w:val="16"/>
              </w:rPr>
              <w:t>[15, 27]</w:t>
            </w:r>
            <w:r>
              <w:rPr>
                <w:sz w:val="16"/>
                <w:szCs w:val="16"/>
              </w:rPr>
              <w:fldChar w:fldCharType="end"/>
            </w:r>
          </w:p>
        </w:tc>
      </w:tr>
      <w:tr w14:paraId="74F0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C8ADBF9">
            <w:pPr>
              <w:pStyle w:val="24"/>
              <w:rPr>
                <w:sz w:val="16"/>
                <w:szCs w:val="16"/>
              </w:rPr>
            </w:pPr>
            <w:r>
              <w:rPr>
                <w:rFonts w:hint="eastAsia"/>
                <w:sz w:val="16"/>
                <w:szCs w:val="16"/>
              </w:rPr>
              <w:t>Adverse event rate for TAS-102_Increase in total bilirubin level</w:t>
            </w:r>
          </w:p>
        </w:tc>
        <w:tc>
          <w:tcPr>
            <w:tcW w:w="506" w:type="pct"/>
            <w:shd w:val="clear" w:color="auto" w:fill="auto"/>
            <w:noWrap/>
            <w:vAlign w:val="center"/>
          </w:tcPr>
          <w:p w14:paraId="13F4EC24">
            <w:pPr>
              <w:pStyle w:val="24"/>
              <w:rPr>
                <w:sz w:val="16"/>
                <w:szCs w:val="16"/>
              </w:rPr>
            </w:pPr>
            <w:r>
              <w:rPr>
                <w:rFonts w:hint="eastAsia"/>
                <w:sz w:val="16"/>
                <w:szCs w:val="16"/>
              </w:rPr>
              <w:t>0.06</w:t>
            </w:r>
          </w:p>
        </w:tc>
        <w:tc>
          <w:tcPr>
            <w:tcW w:w="506" w:type="pct"/>
            <w:shd w:val="clear" w:color="auto" w:fill="auto"/>
            <w:noWrap/>
            <w:vAlign w:val="center"/>
          </w:tcPr>
          <w:p w14:paraId="29DA63CD">
            <w:pPr>
              <w:pStyle w:val="24"/>
              <w:rPr>
                <w:sz w:val="16"/>
                <w:szCs w:val="16"/>
              </w:rPr>
            </w:pPr>
            <w:r>
              <w:rPr>
                <w:rFonts w:hint="eastAsia"/>
                <w:sz w:val="16"/>
                <w:szCs w:val="16"/>
              </w:rPr>
              <w:t>0.05</w:t>
            </w:r>
          </w:p>
        </w:tc>
        <w:tc>
          <w:tcPr>
            <w:tcW w:w="509" w:type="pct"/>
            <w:shd w:val="clear" w:color="auto" w:fill="auto"/>
            <w:noWrap/>
            <w:vAlign w:val="center"/>
          </w:tcPr>
          <w:p w14:paraId="619C34EC">
            <w:pPr>
              <w:pStyle w:val="24"/>
              <w:rPr>
                <w:sz w:val="16"/>
                <w:szCs w:val="16"/>
              </w:rPr>
            </w:pPr>
            <w:r>
              <w:rPr>
                <w:rFonts w:hint="eastAsia"/>
                <w:sz w:val="16"/>
                <w:szCs w:val="16"/>
              </w:rPr>
              <w:t>0.07</w:t>
            </w:r>
          </w:p>
        </w:tc>
        <w:tc>
          <w:tcPr>
            <w:tcW w:w="512" w:type="pct"/>
            <w:shd w:val="clear" w:color="auto" w:fill="auto"/>
            <w:noWrap/>
            <w:vAlign w:val="center"/>
          </w:tcPr>
          <w:p w14:paraId="3BFC71B7">
            <w:pPr>
              <w:pStyle w:val="24"/>
              <w:rPr>
                <w:sz w:val="16"/>
                <w:szCs w:val="16"/>
              </w:rPr>
            </w:pPr>
            <w:r>
              <w:rPr>
                <w:rFonts w:hint="eastAsia"/>
                <w:sz w:val="16"/>
                <w:szCs w:val="16"/>
              </w:rPr>
              <w:t>Beta</w:t>
            </w:r>
          </w:p>
        </w:tc>
        <w:tc>
          <w:tcPr>
            <w:tcW w:w="494" w:type="pct"/>
            <w:shd w:val="clear" w:color="auto" w:fill="auto"/>
            <w:noWrap/>
            <w:vAlign w:val="center"/>
          </w:tcPr>
          <w:p w14:paraId="6EE94D96">
            <w:pPr>
              <w:pStyle w:val="24"/>
              <w:rPr>
                <w:sz w:val="16"/>
                <w:szCs w:val="16"/>
              </w:rPr>
            </w:pPr>
            <w:r>
              <w:rPr>
                <w:sz w:val="16"/>
                <w:szCs w:val="16"/>
              </w:rPr>
              <w:fldChar w:fldCharType="begin"/>
            </w:r>
            <w:r>
              <w:rPr>
                <w:sz w:val="16"/>
                <w:szCs w:val="16"/>
              </w:rPr>
              <w:instrText xml:space="preserve"> ADDIN NE.Ref.{8159A26A-B7CA-4376-ABF7-783908027DD4}</w:instrText>
            </w:r>
            <w:r>
              <w:rPr>
                <w:sz w:val="16"/>
                <w:szCs w:val="16"/>
              </w:rPr>
              <w:fldChar w:fldCharType="separate"/>
            </w:r>
            <w:r>
              <w:rPr>
                <w:rFonts w:eastAsia="宋体" w:cs="Times New Roman"/>
                <w:color w:val="080000"/>
                <w:kern w:val="0"/>
                <w:sz w:val="16"/>
                <w:szCs w:val="16"/>
              </w:rPr>
              <w:t>[15, 27]</w:t>
            </w:r>
            <w:r>
              <w:rPr>
                <w:sz w:val="16"/>
                <w:szCs w:val="16"/>
              </w:rPr>
              <w:fldChar w:fldCharType="end"/>
            </w:r>
          </w:p>
        </w:tc>
      </w:tr>
      <w:tr w14:paraId="3E4E3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05E0C27">
            <w:pPr>
              <w:pStyle w:val="24"/>
              <w:rPr>
                <w:sz w:val="16"/>
                <w:szCs w:val="16"/>
              </w:rPr>
            </w:pPr>
            <w:r>
              <w:rPr>
                <w:rFonts w:hint="eastAsia"/>
                <w:sz w:val="16"/>
                <w:szCs w:val="16"/>
              </w:rPr>
              <w:t>Adverse event rate for TAS-102_Leukopenia</w:t>
            </w:r>
          </w:p>
        </w:tc>
        <w:tc>
          <w:tcPr>
            <w:tcW w:w="506" w:type="pct"/>
            <w:shd w:val="clear" w:color="auto" w:fill="auto"/>
            <w:noWrap/>
            <w:vAlign w:val="center"/>
          </w:tcPr>
          <w:p w14:paraId="3C228A65">
            <w:pPr>
              <w:pStyle w:val="24"/>
              <w:rPr>
                <w:sz w:val="16"/>
                <w:szCs w:val="16"/>
              </w:rPr>
            </w:pPr>
            <w:r>
              <w:rPr>
                <w:rFonts w:hint="eastAsia"/>
                <w:sz w:val="16"/>
                <w:szCs w:val="16"/>
              </w:rPr>
              <w:t>0.04</w:t>
            </w:r>
          </w:p>
        </w:tc>
        <w:tc>
          <w:tcPr>
            <w:tcW w:w="506" w:type="pct"/>
            <w:shd w:val="clear" w:color="auto" w:fill="auto"/>
            <w:noWrap/>
            <w:vAlign w:val="center"/>
          </w:tcPr>
          <w:p w14:paraId="61DA4299">
            <w:pPr>
              <w:pStyle w:val="24"/>
              <w:rPr>
                <w:sz w:val="16"/>
                <w:szCs w:val="16"/>
              </w:rPr>
            </w:pPr>
            <w:r>
              <w:rPr>
                <w:rFonts w:hint="eastAsia"/>
                <w:sz w:val="16"/>
                <w:szCs w:val="16"/>
              </w:rPr>
              <w:t>0.03</w:t>
            </w:r>
          </w:p>
        </w:tc>
        <w:tc>
          <w:tcPr>
            <w:tcW w:w="509" w:type="pct"/>
            <w:shd w:val="clear" w:color="auto" w:fill="auto"/>
            <w:noWrap/>
            <w:vAlign w:val="center"/>
          </w:tcPr>
          <w:p w14:paraId="09B87F68">
            <w:pPr>
              <w:pStyle w:val="24"/>
              <w:rPr>
                <w:sz w:val="16"/>
                <w:szCs w:val="16"/>
              </w:rPr>
            </w:pPr>
            <w:r>
              <w:rPr>
                <w:rFonts w:hint="eastAsia"/>
                <w:sz w:val="16"/>
                <w:szCs w:val="16"/>
              </w:rPr>
              <w:t>0.05</w:t>
            </w:r>
          </w:p>
        </w:tc>
        <w:tc>
          <w:tcPr>
            <w:tcW w:w="512" w:type="pct"/>
            <w:shd w:val="clear" w:color="auto" w:fill="auto"/>
            <w:noWrap/>
            <w:vAlign w:val="center"/>
          </w:tcPr>
          <w:p w14:paraId="22FD8A03">
            <w:pPr>
              <w:pStyle w:val="24"/>
              <w:rPr>
                <w:sz w:val="16"/>
                <w:szCs w:val="16"/>
              </w:rPr>
            </w:pPr>
            <w:r>
              <w:rPr>
                <w:rFonts w:hint="eastAsia"/>
                <w:sz w:val="16"/>
                <w:szCs w:val="16"/>
              </w:rPr>
              <w:t>Beta</w:t>
            </w:r>
          </w:p>
        </w:tc>
        <w:tc>
          <w:tcPr>
            <w:tcW w:w="494" w:type="pct"/>
            <w:shd w:val="clear" w:color="auto" w:fill="auto"/>
            <w:noWrap/>
            <w:vAlign w:val="center"/>
          </w:tcPr>
          <w:p w14:paraId="15EF5519">
            <w:pPr>
              <w:pStyle w:val="24"/>
              <w:rPr>
                <w:sz w:val="16"/>
                <w:szCs w:val="16"/>
              </w:rPr>
            </w:pPr>
            <w:r>
              <w:rPr>
                <w:sz w:val="16"/>
                <w:szCs w:val="16"/>
              </w:rPr>
              <w:fldChar w:fldCharType="begin"/>
            </w:r>
            <w:r>
              <w:rPr>
                <w:sz w:val="16"/>
                <w:szCs w:val="16"/>
              </w:rPr>
              <w:instrText xml:space="preserve"> ADDIN NE.Ref.{EC8E8610-5693-4A68-BAD9-CFE3D4F50EBC}</w:instrText>
            </w:r>
            <w:r>
              <w:rPr>
                <w:sz w:val="16"/>
                <w:szCs w:val="16"/>
              </w:rPr>
              <w:fldChar w:fldCharType="separate"/>
            </w:r>
            <w:r>
              <w:rPr>
                <w:rFonts w:eastAsia="宋体" w:cs="Times New Roman"/>
                <w:color w:val="080000"/>
                <w:kern w:val="0"/>
                <w:sz w:val="16"/>
                <w:szCs w:val="16"/>
              </w:rPr>
              <w:t>[15, 27]</w:t>
            </w:r>
            <w:r>
              <w:rPr>
                <w:sz w:val="16"/>
                <w:szCs w:val="16"/>
              </w:rPr>
              <w:fldChar w:fldCharType="end"/>
            </w:r>
          </w:p>
        </w:tc>
      </w:tr>
      <w:tr w14:paraId="5BD78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67EA9B3">
            <w:pPr>
              <w:pStyle w:val="24"/>
              <w:rPr>
                <w:sz w:val="16"/>
                <w:szCs w:val="16"/>
              </w:rPr>
            </w:pPr>
            <w:r>
              <w:rPr>
                <w:rFonts w:hint="eastAsia"/>
                <w:sz w:val="16"/>
                <w:szCs w:val="16"/>
              </w:rPr>
              <w:t>Adverse event rate for TAS-102_Lymphopenia</w:t>
            </w:r>
          </w:p>
        </w:tc>
        <w:tc>
          <w:tcPr>
            <w:tcW w:w="506" w:type="pct"/>
            <w:shd w:val="clear" w:color="auto" w:fill="auto"/>
            <w:noWrap/>
            <w:vAlign w:val="center"/>
          </w:tcPr>
          <w:p w14:paraId="7F94A0D9">
            <w:pPr>
              <w:pStyle w:val="24"/>
              <w:rPr>
                <w:sz w:val="16"/>
                <w:szCs w:val="16"/>
              </w:rPr>
            </w:pPr>
            <w:r>
              <w:rPr>
                <w:rFonts w:hint="eastAsia"/>
                <w:sz w:val="16"/>
                <w:szCs w:val="16"/>
              </w:rPr>
              <w:t>0.12</w:t>
            </w:r>
          </w:p>
        </w:tc>
        <w:tc>
          <w:tcPr>
            <w:tcW w:w="506" w:type="pct"/>
            <w:shd w:val="clear" w:color="auto" w:fill="auto"/>
            <w:noWrap/>
            <w:vAlign w:val="center"/>
          </w:tcPr>
          <w:p w14:paraId="3965B269">
            <w:pPr>
              <w:pStyle w:val="24"/>
              <w:rPr>
                <w:sz w:val="16"/>
                <w:szCs w:val="16"/>
              </w:rPr>
            </w:pPr>
            <w:r>
              <w:rPr>
                <w:rFonts w:hint="eastAsia"/>
                <w:sz w:val="16"/>
                <w:szCs w:val="16"/>
              </w:rPr>
              <w:t>0.10</w:t>
            </w:r>
          </w:p>
        </w:tc>
        <w:tc>
          <w:tcPr>
            <w:tcW w:w="509" w:type="pct"/>
            <w:shd w:val="clear" w:color="auto" w:fill="auto"/>
            <w:noWrap/>
            <w:vAlign w:val="center"/>
          </w:tcPr>
          <w:p w14:paraId="741AC308">
            <w:pPr>
              <w:pStyle w:val="24"/>
              <w:rPr>
                <w:sz w:val="16"/>
                <w:szCs w:val="16"/>
              </w:rPr>
            </w:pPr>
            <w:r>
              <w:rPr>
                <w:rFonts w:hint="eastAsia"/>
                <w:sz w:val="16"/>
                <w:szCs w:val="16"/>
              </w:rPr>
              <w:t>0.15</w:t>
            </w:r>
          </w:p>
        </w:tc>
        <w:tc>
          <w:tcPr>
            <w:tcW w:w="512" w:type="pct"/>
            <w:shd w:val="clear" w:color="auto" w:fill="auto"/>
            <w:noWrap/>
            <w:vAlign w:val="center"/>
          </w:tcPr>
          <w:p w14:paraId="1465EF05">
            <w:pPr>
              <w:pStyle w:val="24"/>
              <w:rPr>
                <w:sz w:val="16"/>
                <w:szCs w:val="16"/>
              </w:rPr>
            </w:pPr>
            <w:r>
              <w:rPr>
                <w:rFonts w:hint="eastAsia"/>
                <w:sz w:val="16"/>
                <w:szCs w:val="16"/>
              </w:rPr>
              <w:t>Beta</w:t>
            </w:r>
          </w:p>
        </w:tc>
        <w:tc>
          <w:tcPr>
            <w:tcW w:w="494" w:type="pct"/>
            <w:shd w:val="clear" w:color="auto" w:fill="auto"/>
            <w:noWrap/>
            <w:vAlign w:val="center"/>
          </w:tcPr>
          <w:p w14:paraId="63BC3BD8">
            <w:pPr>
              <w:pStyle w:val="24"/>
              <w:rPr>
                <w:sz w:val="16"/>
                <w:szCs w:val="16"/>
              </w:rPr>
            </w:pPr>
            <w:r>
              <w:rPr>
                <w:sz w:val="16"/>
                <w:szCs w:val="16"/>
              </w:rPr>
              <w:fldChar w:fldCharType="begin"/>
            </w:r>
            <w:r>
              <w:rPr>
                <w:sz w:val="16"/>
                <w:szCs w:val="16"/>
              </w:rPr>
              <w:instrText xml:space="preserve"> ADDIN NE.Ref.{9860D16F-251B-40D7-A85C-62F342AB5758}</w:instrText>
            </w:r>
            <w:r>
              <w:rPr>
                <w:sz w:val="16"/>
                <w:szCs w:val="16"/>
              </w:rPr>
              <w:fldChar w:fldCharType="separate"/>
            </w:r>
            <w:r>
              <w:rPr>
                <w:rFonts w:eastAsia="宋体" w:cs="Times New Roman"/>
                <w:color w:val="080000"/>
                <w:kern w:val="0"/>
                <w:sz w:val="16"/>
                <w:szCs w:val="16"/>
              </w:rPr>
              <w:t>[15, 27]</w:t>
            </w:r>
            <w:r>
              <w:rPr>
                <w:sz w:val="16"/>
                <w:szCs w:val="16"/>
              </w:rPr>
              <w:fldChar w:fldCharType="end"/>
            </w:r>
          </w:p>
        </w:tc>
      </w:tr>
      <w:tr w14:paraId="7F1E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FE6D61A">
            <w:pPr>
              <w:pStyle w:val="24"/>
              <w:rPr>
                <w:sz w:val="16"/>
                <w:szCs w:val="16"/>
              </w:rPr>
            </w:pPr>
            <w:r>
              <w:rPr>
                <w:rFonts w:hint="eastAsia"/>
                <w:sz w:val="16"/>
                <w:szCs w:val="16"/>
              </w:rPr>
              <w:t>Adverse event rate for TAS-102_Neutropenia</w:t>
            </w:r>
          </w:p>
        </w:tc>
        <w:tc>
          <w:tcPr>
            <w:tcW w:w="506" w:type="pct"/>
            <w:shd w:val="clear" w:color="auto" w:fill="auto"/>
            <w:noWrap/>
            <w:vAlign w:val="center"/>
          </w:tcPr>
          <w:p w14:paraId="49063907">
            <w:pPr>
              <w:pStyle w:val="24"/>
              <w:rPr>
                <w:sz w:val="16"/>
                <w:szCs w:val="16"/>
              </w:rPr>
            </w:pPr>
            <w:r>
              <w:rPr>
                <w:rFonts w:hint="eastAsia"/>
                <w:sz w:val="16"/>
                <w:szCs w:val="16"/>
              </w:rPr>
              <w:t>0.27</w:t>
            </w:r>
          </w:p>
        </w:tc>
        <w:tc>
          <w:tcPr>
            <w:tcW w:w="506" w:type="pct"/>
            <w:shd w:val="clear" w:color="auto" w:fill="auto"/>
            <w:noWrap/>
            <w:vAlign w:val="center"/>
          </w:tcPr>
          <w:p w14:paraId="4A881C5F">
            <w:pPr>
              <w:pStyle w:val="24"/>
              <w:rPr>
                <w:sz w:val="16"/>
                <w:szCs w:val="16"/>
              </w:rPr>
            </w:pPr>
            <w:r>
              <w:rPr>
                <w:rFonts w:hint="eastAsia"/>
                <w:sz w:val="16"/>
                <w:szCs w:val="16"/>
              </w:rPr>
              <w:t>0.22</w:t>
            </w:r>
          </w:p>
        </w:tc>
        <w:tc>
          <w:tcPr>
            <w:tcW w:w="509" w:type="pct"/>
            <w:shd w:val="clear" w:color="auto" w:fill="auto"/>
            <w:noWrap/>
            <w:vAlign w:val="center"/>
          </w:tcPr>
          <w:p w14:paraId="757B9655">
            <w:pPr>
              <w:pStyle w:val="24"/>
              <w:rPr>
                <w:sz w:val="16"/>
                <w:szCs w:val="16"/>
              </w:rPr>
            </w:pPr>
            <w:r>
              <w:rPr>
                <w:rFonts w:hint="eastAsia"/>
                <w:sz w:val="16"/>
                <w:szCs w:val="16"/>
              </w:rPr>
              <w:t>0.33</w:t>
            </w:r>
          </w:p>
        </w:tc>
        <w:tc>
          <w:tcPr>
            <w:tcW w:w="512" w:type="pct"/>
            <w:shd w:val="clear" w:color="auto" w:fill="auto"/>
            <w:noWrap/>
            <w:vAlign w:val="center"/>
          </w:tcPr>
          <w:p w14:paraId="17C8B79B">
            <w:pPr>
              <w:pStyle w:val="24"/>
              <w:rPr>
                <w:sz w:val="16"/>
                <w:szCs w:val="16"/>
              </w:rPr>
            </w:pPr>
            <w:r>
              <w:rPr>
                <w:rFonts w:hint="eastAsia"/>
                <w:sz w:val="16"/>
                <w:szCs w:val="16"/>
              </w:rPr>
              <w:t>Beta</w:t>
            </w:r>
          </w:p>
        </w:tc>
        <w:tc>
          <w:tcPr>
            <w:tcW w:w="494" w:type="pct"/>
            <w:shd w:val="clear" w:color="auto" w:fill="auto"/>
            <w:noWrap/>
            <w:vAlign w:val="center"/>
          </w:tcPr>
          <w:p w14:paraId="2799A3C2">
            <w:pPr>
              <w:pStyle w:val="24"/>
              <w:rPr>
                <w:sz w:val="16"/>
                <w:szCs w:val="16"/>
              </w:rPr>
            </w:pPr>
            <w:r>
              <w:rPr>
                <w:sz w:val="16"/>
                <w:szCs w:val="16"/>
              </w:rPr>
              <w:fldChar w:fldCharType="begin"/>
            </w:r>
            <w:r>
              <w:rPr>
                <w:sz w:val="16"/>
                <w:szCs w:val="16"/>
              </w:rPr>
              <w:instrText xml:space="preserve"> ADDIN NE.Ref.{B2A96BF6-31F6-4A1D-8E2C-9FA6E05612CE}</w:instrText>
            </w:r>
            <w:r>
              <w:rPr>
                <w:sz w:val="16"/>
                <w:szCs w:val="16"/>
              </w:rPr>
              <w:fldChar w:fldCharType="separate"/>
            </w:r>
            <w:r>
              <w:rPr>
                <w:rFonts w:eastAsia="宋体" w:cs="Times New Roman"/>
                <w:color w:val="080000"/>
                <w:kern w:val="0"/>
                <w:sz w:val="16"/>
                <w:szCs w:val="16"/>
              </w:rPr>
              <w:t>[15, 27]</w:t>
            </w:r>
            <w:r>
              <w:rPr>
                <w:sz w:val="16"/>
                <w:szCs w:val="16"/>
              </w:rPr>
              <w:fldChar w:fldCharType="end"/>
            </w:r>
          </w:p>
        </w:tc>
      </w:tr>
      <w:tr w14:paraId="6C7B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677F094">
            <w:pPr>
              <w:pStyle w:val="24"/>
              <w:rPr>
                <w:sz w:val="16"/>
                <w:szCs w:val="16"/>
              </w:rPr>
            </w:pPr>
            <w:r>
              <w:rPr>
                <w:rFonts w:hint="eastAsia"/>
                <w:sz w:val="16"/>
                <w:szCs w:val="16"/>
              </w:rPr>
              <w:t>Adverse event rate for TAS-102_Neutrophil count decreased</w:t>
            </w:r>
          </w:p>
        </w:tc>
        <w:tc>
          <w:tcPr>
            <w:tcW w:w="506" w:type="pct"/>
            <w:shd w:val="clear" w:color="auto" w:fill="auto"/>
            <w:noWrap/>
            <w:vAlign w:val="center"/>
          </w:tcPr>
          <w:p w14:paraId="43CCCCA4">
            <w:pPr>
              <w:pStyle w:val="24"/>
              <w:rPr>
                <w:sz w:val="16"/>
                <w:szCs w:val="16"/>
              </w:rPr>
            </w:pPr>
            <w:r>
              <w:rPr>
                <w:rFonts w:hint="eastAsia"/>
                <w:sz w:val="16"/>
                <w:szCs w:val="16"/>
              </w:rPr>
              <w:t>0.09</w:t>
            </w:r>
          </w:p>
        </w:tc>
        <w:tc>
          <w:tcPr>
            <w:tcW w:w="506" w:type="pct"/>
            <w:shd w:val="clear" w:color="auto" w:fill="auto"/>
            <w:noWrap/>
            <w:vAlign w:val="center"/>
          </w:tcPr>
          <w:p w14:paraId="7E6B514D">
            <w:pPr>
              <w:pStyle w:val="24"/>
              <w:rPr>
                <w:sz w:val="16"/>
                <w:szCs w:val="16"/>
              </w:rPr>
            </w:pPr>
            <w:r>
              <w:rPr>
                <w:rFonts w:hint="eastAsia"/>
                <w:sz w:val="16"/>
                <w:szCs w:val="16"/>
              </w:rPr>
              <w:t>0.08</w:t>
            </w:r>
          </w:p>
        </w:tc>
        <w:tc>
          <w:tcPr>
            <w:tcW w:w="509" w:type="pct"/>
            <w:shd w:val="clear" w:color="auto" w:fill="auto"/>
            <w:noWrap/>
            <w:vAlign w:val="center"/>
          </w:tcPr>
          <w:p w14:paraId="68E18659">
            <w:pPr>
              <w:pStyle w:val="24"/>
              <w:rPr>
                <w:sz w:val="16"/>
                <w:szCs w:val="16"/>
              </w:rPr>
            </w:pPr>
            <w:r>
              <w:rPr>
                <w:rFonts w:hint="eastAsia"/>
                <w:sz w:val="16"/>
                <w:szCs w:val="16"/>
              </w:rPr>
              <w:t>0.11</w:t>
            </w:r>
          </w:p>
        </w:tc>
        <w:tc>
          <w:tcPr>
            <w:tcW w:w="512" w:type="pct"/>
            <w:shd w:val="clear" w:color="auto" w:fill="auto"/>
            <w:noWrap/>
            <w:vAlign w:val="center"/>
          </w:tcPr>
          <w:p w14:paraId="4558887D">
            <w:pPr>
              <w:pStyle w:val="24"/>
              <w:rPr>
                <w:sz w:val="16"/>
                <w:szCs w:val="16"/>
              </w:rPr>
            </w:pPr>
            <w:r>
              <w:rPr>
                <w:rFonts w:hint="eastAsia"/>
                <w:sz w:val="16"/>
                <w:szCs w:val="16"/>
              </w:rPr>
              <w:t>Beta</w:t>
            </w:r>
          </w:p>
        </w:tc>
        <w:tc>
          <w:tcPr>
            <w:tcW w:w="494" w:type="pct"/>
            <w:shd w:val="clear" w:color="auto" w:fill="auto"/>
            <w:noWrap/>
            <w:vAlign w:val="center"/>
          </w:tcPr>
          <w:p w14:paraId="19CA8186">
            <w:pPr>
              <w:pStyle w:val="24"/>
              <w:rPr>
                <w:sz w:val="16"/>
                <w:szCs w:val="16"/>
              </w:rPr>
            </w:pPr>
            <w:r>
              <w:rPr>
                <w:sz w:val="16"/>
                <w:szCs w:val="16"/>
              </w:rPr>
              <w:fldChar w:fldCharType="begin"/>
            </w:r>
            <w:r>
              <w:rPr>
                <w:sz w:val="16"/>
                <w:szCs w:val="16"/>
              </w:rPr>
              <w:instrText xml:space="preserve"> ADDIN NE.Ref.{3DA666E1-E3C7-4EA2-BF18-6BF82A7AF70D}</w:instrText>
            </w:r>
            <w:r>
              <w:rPr>
                <w:sz w:val="16"/>
                <w:szCs w:val="16"/>
              </w:rPr>
              <w:fldChar w:fldCharType="separate"/>
            </w:r>
            <w:r>
              <w:rPr>
                <w:rFonts w:eastAsia="宋体" w:cs="Times New Roman"/>
                <w:color w:val="080000"/>
                <w:kern w:val="0"/>
                <w:sz w:val="16"/>
                <w:szCs w:val="16"/>
              </w:rPr>
              <w:t>[15, 27]</w:t>
            </w:r>
            <w:r>
              <w:rPr>
                <w:sz w:val="16"/>
                <w:szCs w:val="16"/>
              </w:rPr>
              <w:fldChar w:fldCharType="end"/>
            </w:r>
          </w:p>
        </w:tc>
      </w:tr>
      <w:tr w14:paraId="3C35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FC3165C">
            <w:pPr>
              <w:pStyle w:val="24"/>
              <w:rPr>
                <w:sz w:val="16"/>
                <w:szCs w:val="16"/>
              </w:rPr>
            </w:pPr>
            <w:r>
              <w:rPr>
                <w:rFonts w:hint="eastAsia"/>
                <w:sz w:val="16"/>
                <w:szCs w:val="16"/>
              </w:rPr>
              <w:t>Adverse event rate for TAS-102_WBC count decreased</w:t>
            </w:r>
          </w:p>
        </w:tc>
        <w:tc>
          <w:tcPr>
            <w:tcW w:w="506" w:type="pct"/>
            <w:shd w:val="clear" w:color="auto" w:fill="auto"/>
            <w:noWrap/>
            <w:vAlign w:val="center"/>
          </w:tcPr>
          <w:p w14:paraId="13C5B8B5">
            <w:pPr>
              <w:pStyle w:val="24"/>
              <w:rPr>
                <w:sz w:val="16"/>
                <w:szCs w:val="16"/>
              </w:rPr>
            </w:pPr>
            <w:r>
              <w:rPr>
                <w:rFonts w:hint="eastAsia"/>
                <w:sz w:val="16"/>
                <w:szCs w:val="16"/>
              </w:rPr>
              <w:t>0.09</w:t>
            </w:r>
          </w:p>
        </w:tc>
        <w:tc>
          <w:tcPr>
            <w:tcW w:w="506" w:type="pct"/>
            <w:shd w:val="clear" w:color="auto" w:fill="auto"/>
            <w:noWrap/>
            <w:vAlign w:val="center"/>
          </w:tcPr>
          <w:p w14:paraId="58C9F5CF">
            <w:pPr>
              <w:pStyle w:val="24"/>
              <w:rPr>
                <w:sz w:val="16"/>
                <w:szCs w:val="16"/>
              </w:rPr>
            </w:pPr>
            <w:r>
              <w:rPr>
                <w:rFonts w:hint="eastAsia"/>
                <w:sz w:val="16"/>
                <w:szCs w:val="16"/>
              </w:rPr>
              <w:t>0.07</w:t>
            </w:r>
          </w:p>
        </w:tc>
        <w:tc>
          <w:tcPr>
            <w:tcW w:w="509" w:type="pct"/>
            <w:shd w:val="clear" w:color="auto" w:fill="auto"/>
            <w:noWrap/>
            <w:vAlign w:val="center"/>
          </w:tcPr>
          <w:p w14:paraId="0258390B">
            <w:pPr>
              <w:pStyle w:val="24"/>
              <w:rPr>
                <w:sz w:val="16"/>
                <w:szCs w:val="16"/>
              </w:rPr>
            </w:pPr>
            <w:r>
              <w:rPr>
                <w:rFonts w:hint="eastAsia"/>
                <w:sz w:val="16"/>
                <w:szCs w:val="16"/>
              </w:rPr>
              <w:t>0.11</w:t>
            </w:r>
          </w:p>
        </w:tc>
        <w:tc>
          <w:tcPr>
            <w:tcW w:w="512" w:type="pct"/>
            <w:shd w:val="clear" w:color="auto" w:fill="auto"/>
            <w:noWrap/>
            <w:vAlign w:val="center"/>
          </w:tcPr>
          <w:p w14:paraId="2F8FF2AC">
            <w:pPr>
              <w:pStyle w:val="24"/>
              <w:rPr>
                <w:sz w:val="16"/>
                <w:szCs w:val="16"/>
              </w:rPr>
            </w:pPr>
            <w:r>
              <w:rPr>
                <w:rFonts w:hint="eastAsia"/>
                <w:sz w:val="16"/>
                <w:szCs w:val="16"/>
              </w:rPr>
              <w:t>Beta</w:t>
            </w:r>
          </w:p>
        </w:tc>
        <w:tc>
          <w:tcPr>
            <w:tcW w:w="494" w:type="pct"/>
            <w:shd w:val="clear" w:color="auto" w:fill="auto"/>
            <w:noWrap/>
            <w:vAlign w:val="center"/>
          </w:tcPr>
          <w:p w14:paraId="5B66BEED">
            <w:pPr>
              <w:pStyle w:val="24"/>
              <w:rPr>
                <w:sz w:val="16"/>
                <w:szCs w:val="16"/>
              </w:rPr>
            </w:pPr>
            <w:r>
              <w:rPr>
                <w:sz w:val="16"/>
                <w:szCs w:val="16"/>
              </w:rPr>
              <w:fldChar w:fldCharType="begin"/>
            </w:r>
            <w:r>
              <w:rPr>
                <w:sz w:val="16"/>
                <w:szCs w:val="16"/>
              </w:rPr>
              <w:instrText xml:space="preserve"> ADDIN NE.Ref.{EA16FED9-D29B-4608-9711-29D2F3A7DECC}</w:instrText>
            </w:r>
            <w:r>
              <w:rPr>
                <w:sz w:val="16"/>
                <w:szCs w:val="16"/>
              </w:rPr>
              <w:fldChar w:fldCharType="separate"/>
            </w:r>
            <w:r>
              <w:rPr>
                <w:rFonts w:eastAsia="宋体" w:cs="Times New Roman"/>
                <w:color w:val="080000"/>
                <w:kern w:val="0"/>
                <w:sz w:val="16"/>
                <w:szCs w:val="16"/>
              </w:rPr>
              <w:t>[15, 27]</w:t>
            </w:r>
            <w:r>
              <w:rPr>
                <w:sz w:val="16"/>
                <w:szCs w:val="16"/>
              </w:rPr>
              <w:fldChar w:fldCharType="end"/>
            </w:r>
          </w:p>
        </w:tc>
      </w:tr>
      <w:tr w14:paraId="001D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576B323">
            <w:pPr>
              <w:pStyle w:val="24"/>
              <w:rPr>
                <w:sz w:val="16"/>
                <w:szCs w:val="16"/>
              </w:rPr>
            </w:pPr>
            <w:r>
              <w:rPr>
                <w:rFonts w:hint="eastAsia"/>
                <w:sz w:val="16"/>
                <w:szCs w:val="16"/>
              </w:rPr>
              <w:t>Adverse event rate for Regorafenib_Anaemia</w:t>
            </w:r>
          </w:p>
        </w:tc>
        <w:tc>
          <w:tcPr>
            <w:tcW w:w="506" w:type="pct"/>
            <w:shd w:val="clear" w:color="auto" w:fill="auto"/>
            <w:noWrap/>
            <w:vAlign w:val="center"/>
          </w:tcPr>
          <w:p w14:paraId="5D18C2D1">
            <w:pPr>
              <w:pStyle w:val="24"/>
              <w:rPr>
                <w:sz w:val="16"/>
                <w:szCs w:val="16"/>
              </w:rPr>
            </w:pPr>
            <w:r>
              <w:rPr>
                <w:rFonts w:hint="eastAsia"/>
                <w:sz w:val="16"/>
                <w:szCs w:val="16"/>
              </w:rPr>
              <w:t>0.02</w:t>
            </w:r>
          </w:p>
        </w:tc>
        <w:tc>
          <w:tcPr>
            <w:tcW w:w="506" w:type="pct"/>
            <w:shd w:val="clear" w:color="auto" w:fill="auto"/>
            <w:noWrap/>
            <w:vAlign w:val="center"/>
          </w:tcPr>
          <w:p w14:paraId="3276669B">
            <w:pPr>
              <w:pStyle w:val="24"/>
              <w:rPr>
                <w:sz w:val="16"/>
                <w:szCs w:val="16"/>
              </w:rPr>
            </w:pPr>
            <w:r>
              <w:rPr>
                <w:rFonts w:hint="eastAsia"/>
                <w:sz w:val="16"/>
                <w:szCs w:val="16"/>
              </w:rPr>
              <w:t>0.02</w:t>
            </w:r>
          </w:p>
        </w:tc>
        <w:tc>
          <w:tcPr>
            <w:tcW w:w="509" w:type="pct"/>
            <w:shd w:val="clear" w:color="auto" w:fill="auto"/>
            <w:noWrap/>
            <w:vAlign w:val="center"/>
          </w:tcPr>
          <w:p w14:paraId="57D29E1C">
            <w:pPr>
              <w:pStyle w:val="24"/>
              <w:rPr>
                <w:sz w:val="16"/>
                <w:szCs w:val="16"/>
              </w:rPr>
            </w:pPr>
            <w:r>
              <w:rPr>
                <w:rFonts w:hint="eastAsia"/>
                <w:sz w:val="16"/>
                <w:szCs w:val="16"/>
              </w:rPr>
              <w:t>0.02</w:t>
            </w:r>
          </w:p>
        </w:tc>
        <w:tc>
          <w:tcPr>
            <w:tcW w:w="512" w:type="pct"/>
            <w:shd w:val="clear" w:color="auto" w:fill="auto"/>
            <w:noWrap/>
            <w:vAlign w:val="center"/>
          </w:tcPr>
          <w:p w14:paraId="3E6102DD">
            <w:pPr>
              <w:pStyle w:val="24"/>
              <w:rPr>
                <w:sz w:val="16"/>
                <w:szCs w:val="16"/>
              </w:rPr>
            </w:pPr>
            <w:r>
              <w:rPr>
                <w:rFonts w:hint="eastAsia"/>
                <w:sz w:val="16"/>
                <w:szCs w:val="16"/>
              </w:rPr>
              <w:t>Beta</w:t>
            </w:r>
          </w:p>
        </w:tc>
        <w:tc>
          <w:tcPr>
            <w:tcW w:w="494" w:type="pct"/>
            <w:shd w:val="clear" w:color="auto" w:fill="auto"/>
            <w:noWrap/>
            <w:vAlign w:val="center"/>
          </w:tcPr>
          <w:p w14:paraId="726427F0">
            <w:pPr>
              <w:pStyle w:val="24"/>
              <w:rPr>
                <w:sz w:val="16"/>
                <w:szCs w:val="16"/>
              </w:rPr>
            </w:pPr>
            <w:r>
              <w:rPr>
                <w:sz w:val="16"/>
                <w:szCs w:val="16"/>
              </w:rPr>
              <w:fldChar w:fldCharType="begin"/>
            </w:r>
            <w:r>
              <w:rPr>
                <w:sz w:val="16"/>
                <w:szCs w:val="16"/>
              </w:rPr>
              <w:instrText xml:space="preserve"> ADDIN NE.Ref.{0077D0E9-CB59-4FA7-906B-009614B27F0D}</w:instrText>
            </w:r>
            <w:r>
              <w:rPr>
                <w:sz w:val="16"/>
                <w:szCs w:val="16"/>
              </w:rPr>
              <w:fldChar w:fldCharType="separate"/>
            </w:r>
            <w:r>
              <w:rPr>
                <w:rFonts w:eastAsia="宋体" w:cs="Times New Roman"/>
                <w:color w:val="080000"/>
                <w:kern w:val="0"/>
                <w:sz w:val="16"/>
                <w:szCs w:val="16"/>
              </w:rPr>
              <w:t>[17, 26]</w:t>
            </w:r>
            <w:r>
              <w:rPr>
                <w:sz w:val="16"/>
                <w:szCs w:val="16"/>
              </w:rPr>
              <w:fldChar w:fldCharType="end"/>
            </w:r>
          </w:p>
        </w:tc>
      </w:tr>
      <w:tr w14:paraId="2F955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038F216">
            <w:pPr>
              <w:pStyle w:val="24"/>
              <w:rPr>
                <w:sz w:val="16"/>
                <w:szCs w:val="16"/>
              </w:rPr>
            </w:pPr>
            <w:r>
              <w:rPr>
                <w:rFonts w:hint="eastAsia"/>
                <w:sz w:val="16"/>
                <w:szCs w:val="16"/>
              </w:rPr>
              <w:t>Adverse event rate for Regorafenib_Anorexia</w:t>
            </w:r>
          </w:p>
        </w:tc>
        <w:tc>
          <w:tcPr>
            <w:tcW w:w="506" w:type="pct"/>
            <w:shd w:val="clear" w:color="auto" w:fill="auto"/>
            <w:noWrap/>
            <w:vAlign w:val="center"/>
          </w:tcPr>
          <w:p w14:paraId="639D1BD4">
            <w:pPr>
              <w:pStyle w:val="24"/>
              <w:rPr>
                <w:sz w:val="16"/>
                <w:szCs w:val="16"/>
              </w:rPr>
            </w:pPr>
            <w:r>
              <w:rPr>
                <w:rFonts w:hint="eastAsia"/>
                <w:sz w:val="16"/>
                <w:szCs w:val="16"/>
              </w:rPr>
              <w:t>0.02</w:t>
            </w:r>
          </w:p>
        </w:tc>
        <w:tc>
          <w:tcPr>
            <w:tcW w:w="506" w:type="pct"/>
            <w:shd w:val="clear" w:color="auto" w:fill="auto"/>
            <w:noWrap/>
            <w:vAlign w:val="center"/>
          </w:tcPr>
          <w:p w14:paraId="61138EB7">
            <w:pPr>
              <w:pStyle w:val="24"/>
              <w:rPr>
                <w:sz w:val="16"/>
                <w:szCs w:val="16"/>
              </w:rPr>
            </w:pPr>
            <w:r>
              <w:rPr>
                <w:rFonts w:hint="eastAsia"/>
                <w:sz w:val="16"/>
                <w:szCs w:val="16"/>
              </w:rPr>
              <w:t>0.02</w:t>
            </w:r>
          </w:p>
        </w:tc>
        <w:tc>
          <w:tcPr>
            <w:tcW w:w="509" w:type="pct"/>
            <w:shd w:val="clear" w:color="auto" w:fill="auto"/>
            <w:noWrap/>
            <w:vAlign w:val="center"/>
          </w:tcPr>
          <w:p w14:paraId="5597B9B3">
            <w:pPr>
              <w:pStyle w:val="24"/>
              <w:rPr>
                <w:sz w:val="16"/>
                <w:szCs w:val="16"/>
              </w:rPr>
            </w:pPr>
            <w:r>
              <w:rPr>
                <w:rFonts w:hint="eastAsia"/>
                <w:sz w:val="16"/>
                <w:szCs w:val="16"/>
              </w:rPr>
              <w:t>0.03</w:t>
            </w:r>
          </w:p>
        </w:tc>
        <w:tc>
          <w:tcPr>
            <w:tcW w:w="512" w:type="pct"/>
            <w:shd w:val="clear" w:color="auto" w:fill="auto"/>
            <w:noWrap/>
            <w:vAlign w:val="center"/>
          </w:tcPr>
          <w:p w14:paraId="42C0D167">
            <w:pPr>
              <w:pStyle w:val="24"/>
              <w:rPr>
                <w:sz w:val="16"/>
                <w:szCs w:val="16"/>
              </w:rPr>
            </w:pPr>
            <w:r>
              <w:rPr>
                <w:rFonts w:hint="eastAsia"/>
                <w:sz w:val="16"/>
                <w:szCs w:val="16"/>
              </w:rPr>
              <w:t>Beta</w:t>
            </w:r>
          </w:p>
        </w:tc>
        <w:tc>
          <w:tcPr>
            <w:tcW w:w="494" w:type="pct"/>
            <w:shd w:val="clear" w:color="auto" w:fill="auto"/>
            <w:noWrap/>
            <w:vAlign w:val="center"/>
          </w:tcPr>
          <w:p w14:paraId="3C8A2815">
            <w:pPr>
              <w:pStyle w:val="24"/>
              <w:rPr>
                <w:sz w:val="16"/>
                <w:szCs w:val="16"/>
              </w:rPr>
            </w:pPr>
            <w:r>
              <w:rPr>
                <w:sz w:val="16"/>
                <w:szCs w:val="16"/>
              </w:rPr>
              <w:fldChar w:fldCharType="begin"/>
            </w:r>
            <w:r>
              <w:rPr>
                <w:sz w:val="16"/>
                <w:szCs w:val="16"/>
              </w:rPr>
              <w:instrText xml:space="preserve"> ADDIN NE.Ref.{8A5BA7FA-D963-4D97-AE72-A7D59E478D43}</w:instrText>
            </w:r>
            <w:r>
              <w:rPr>
                <w:sz w:val="16"/>
                <w:szCs w:val="16"/>
              </w:rPr>
              <w:fldChar w:fldCharType="separate"/>
            </w:r>
            <w:r>
              <w:rPr>
                <w:rFonts w:eastAsia="宋体" w:cs="Times New Roman"/>
                <w:color w:val="080000"/>
                <w:kern w:val="0"/>
                <w:sz w:val="16"/>
                <w:szCs w:val="16"/>
              </w:rPr>
              <w:t>[17, 26]</w:t>
            </w:r>
            <w:r>
              <w:rPr>
                <w:sz w:val="16"/>
                <w:szCs w:val="16"/>
              </w:rPr>
              <w:fldChar w:fldCharType="end"/>
            </w:r>
          </w:p>
        </w:tc>
      </w:tr>
      <w:tr w14:paraId="0D648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37975E5">
            <w:pPr>
              <w:pStyle w:val="24"/>
              <w:rPr>
                <w:sz w:val="16"/>
                <w:szCs w:val="16"/>
              </w:rPr>
            </w:pPr>
            <w:r>
              <w:rPr>
                <w:rFonts w:hint="eastAsia"/>
                <w:sz w:val="16"/>
                <w:szCs w:val="16"/>
              </w:rPr>
              <w:t>Adverse event rate for Regorafenib_Diarrhoea</w:t>
            </w:r>
          </w:p>
        </w:tc>
        <w:tc>
          <w:tcPr>
            <w:tcW w:w="506" w:type="pct"/>
            <w:shd w:val="clear" w:color="auto" w:fill="auto"/>
            <w:noWrap/>
            <w:vAlign w:val="center"/>
          </w:tcPr>
          <w:p w14:paraId="38991D95">
            <w:pPr>
              <w:pStyle w:val="24"/>
              <w:rPr>
                <w:sz w:val="16"/>
                <w:szCs w:val="16"/>
              </w:rPr>
            </w:pPr>
            <w:r>
              <w:rPr>
                <w:rFonts w:hint="eastAsia"/>
                <w:sz w:val="16"/>
                <w:szCs w:val="16"/>
              </w:rPr>
              <w:t>0.05</w:t>
            </w:r>
          </w:p>
        </w:tc>
        <w:tc>
          <w:tcPr>
            <w:tcW w:w="506" w:type="pct"/>
            <w:shd w:val="clear" w:color="auto" w:fill="auto"/>
            <w:noWrap/>
            <w:vAlign w:val="center"/>
          </w:tcPr>
          <w:p w14:paraId="4825CAE7">
            <w:pPr>
              <w:pStyle w:val="24"/>
              <w:rPr>
                <w:sz w:val="16"/>
                <w:szCs w:val="16"/>
              </w:rPr>
            </w:pPr>
            <w:r>
              <w:rPr>
                <w:rFonts w:hint="eastAsia"/>
                <w:sz w:val="16"/>
                <w:szCs w:val="16"/>
              </w:rPr>
              <w:t>0.04</w:t>
            </w:r>
          </w:p>
        </w:tc>
        <w:tc>
          <w:tcPr>
            <w:tcW w:w="509" w:type="pct"/>
            <w:shd w:val="clear" w:color="auto" w:fill="auto"/>
            <w:noWrap/>
            <w:vAlign w:val="center"/>
          </w:tcPr>
          <w:p w14:paraId="6BB92B13">
            <w:pPr>
              <w:pStyle w:val="24"/>
              <w:rPr>
                <w:sz w:val="16"/>
                <w:szCs w:val="16"/>
              </w:rPr>
            </w:pPr>
            <w:r>
              <w:rPr>
                <w:rFonts w:hint="eastAsia"/>
                <w:sz w:val="16"/>
                <w:szCs w:val="16"/>
              </w:rPr>
              <w:t>0.07</w:t>
            </w:r>
          </w:p>
        </w:tc>
        <w:tc>
          <w:tcPr>
            <w:tcW w:w="512" w:type="pct"/>
            <w:shd w:val="clear" w:color="auto" w:fill="auto"/>
            <w:noWrap/>
            <w:vAlign w:val="center"/>
          </w:tcPr>
          <w:p w14:paraId="09E5C83B">
            <w:pPr>
              <w:pStyle w:val="24"/>
              <w:rPr>
                <w:sz w:val="16"/>
                <w:szCs w:val="16"/>
              </w:rPr>
            </w:pPr>
            <w:r>
              <w:rPr>
                <w:rFonts w:hint="eastAsia"/>
                <w:sz w:val="16"/>
                <w:szCs w:val="16"/>
              </w:rPr>
              <w:t>Beta</w:t>
            </w:r>
          </w:p>
        </w:tc>
        <w:tc>
          <w:tcPr>
            <w:tcW w:w="494" w:type="pct"/>
            <w:shd w:val="clear" w:color="auto" w:fill="auto"/>
            <w:noWrap/>
            <w:vAlign w:val="center"/>
          </w:tcPr>
          <w:p w14:paraId="19B239CC">
            <w:pPr>
              <w:pStyle w:val="24"/>
              <w:rPr>
                <w:sz w:val="16"/>
                <w:szCs w:val="16"/>
              </w:rPr>
            </w:pPr>
            <w:r>
              <w:rPr>
                <w:sz w:val="16"/>
                <w:szCs w:val="16"/>
              </w:rPr>
              <w:fldChar w:fldCharType="begin"/>
            </w:r>
            <w:r>
              <w:rPr>
                <w:sz w:val="16"/>
                <w:szCs w:val="16"/>
              </w:rPr>
              <w:instrText xml:space="preserve"> ADDIN NE.Ref.{ECA2F8CA-B147-4EA9-9362-D6B1645608AF}</w:instrText>
            </w:r>
            <w:r>
              <w:rPr>
                <w:sz w:val="16"/>
                <w:szCs w:val="16"/>
              </w:rPr>
              <w:fldChar w:fldCharType="separate"/>
            </w:r>
            <w:r>
              <w:rPr>
                <w:rFonts w:eastAsia="宋体" w:cs="Times New Roman"/>
                <w:color w:val="080000"/>
                <w:kern w:val="0"/>
                <w:sz w:val="16"/>
                <w:szCs w:val="16"/>
              </w:rPr>
              <w:t>[17, 26]</w:t>
            </w:r>
            <w:r>
              <w:rPr>
                <w:sz w:val="16"/>
                <w:szCs w:val="16"/>
              </w:rPr>
              <w:fldChar w:fldCharType="end"/>
            </w:r>
          </w:p>
        </w:tc>
      </w:tr>
      <w:tr w14:paraId="79DB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EB0A518">
            <w:pPr>
              <w:pStyle w:val="24"/>
              <w:rPr>
                <w:sz w:val="16"/>
                <w:szCs w:val="16"/>
              </w:rPr>
            </w:pPr>
            <w:r>
              <w:rPr>
                <w:rFonts w:hint="eastAsia"/>
                <w:sz w:val="16"/>
                <w:szCs w:val="16"/>
              </w:rPr>
              <w:t>Adverse event rate for Regorafenib_Fatigue</w:t>
            </w:r>
          </w:p>
        </w:tc>
        <w:tc>
          <w:tcPr>
            <w:tcW w:w="506" w:type="pct"/>
            <w:shd w:val="clear" w:color="auto" w:fill="auto"/>
            <w:noWrap/>
            <w:vAlign w:val="center"/>
          </w:tcPr>
          <w:p w14:paraId="24AEB9A9">
            <w:pPr>
              <w:pStyle w:val="24"/>
              <w:rPr>
                <w:sz w:val="16"/>
                <w:szCs w:val="16"/>
              </w:rPr>
            </w:pPr>
            <w:r>
              <w:rPr>
                <w:rFonts w:hint="eastAsia"/>
                <w:sz w:val="16"/>
                <w:szCs w:val="16"/>
              </w:rPr>
              <w:t>0.09</w:t>
            </w:r>
          </w:p>
        </w:tc>
        <w:tc>
          <w:tcPr>
            <w:tcW w:w="506" w:type="pct"/>
            <w:shd w:val="clear" w:color="auto" w:fill="auto"/>
            <w:noWrap/>
            <w:vAlign w:val="center"/>
          </w:tcPr>
          <w:p w14:paraId="02685D0D">
            <w:pPr>
              <w:pStyle w:val="24"/>
              <w:rPr>
                <w:sz w:val="16"/>
                <w:szCs w:val="16"/>
              </w:rPr>
            </w:pPr>
            <w:r>
              <w:rPr>
                <w:rFonts w:hint="eastAsia"/>
                <w:sz w:val="16"/>
                <w:szCs w:val="16"/>
              </w:rPr>
              <w:t>0.07</w:t>
            </w:r>
          </w:p>
        </w:tc>
        <w:tc>
          <w:tcPr>
            <w:tcW w:w="509" w:type="pct"/>
            <w:shd w:val="clear" w:color="auto" w:fill="auto"/>
            <w:noWrap/>
            <w:vAlign w:val="center"/>
          </w:tcPr>
          <w:p w14:paraId="1EC4EA8A">
            <w:pPr>
              <w:pStyle w:val="24"/>
              <w:rPr>
                <w:sz w:val="16"/>
                <w:szCs w:val="16"/>
              </w:rPr>
            </w:pPr>
            <w:r>
              <w:rPr>
                <w:rFonts w:hint="eastAsia"/>
                <w:sz w:val="16"/>
                <w:szCs w:val="16"/>
              </w:rPr>
              <w:t>0.11</w:t>
            </w:r>
          </w:p>
        </w:tc>
        <w:tc>
          <w:tcPr>
            <w:tcW w:w="512" w:type="pct"/>
            <w:shd w:val="clear" w:color="auto" w:fill="auto"/>
            <w:noWrap/>
            <w:vAlign w:val="center"/>
          </w:tcPr>
          <w:p w14:paraId="2A77B226">
            <w:pPr>
              <w:pStyle w:val="24"/>
              <w:rPr>
                <w:sz w:val="16"/>
                <w:szCs w:val="16"/>
              </w:rPr>
            </w:pPr>
            <w:r>
              <w:rPr>
                <w:rFonts w:hint="eastAsia"/>
                <w:sz w:val="16"/>
                <w:szCs w:val="16"/>
              </w:rPr>
              <w:t>Beta</w:t>
            </w:r>
          </w:p>
        </w:tc>
        <w:tc>
          <w:tcPr>
            <w:tcW w:w="494" w:type="pct"/>
            <w:shd w:val="clear" w:color="auto" w:fill="auto"/>
            <w:noWrap/>
            <w:vAlign w:val="center"/>
          </w:tcPr>
          <w:p w14:paraId="6D4D95E8">
            <w:pPr>
              <w:pStyle w:val="24"/>
              <w:rPr>
                <w:sz w:val="16"/>
                <w:szCs w:val="16"/>
              </w:rPr>
            </w:pPr>
            <w:r>
              <w:rPr>
                <w:sz w:val="16"/>
                <w:szCs w:val="16"/>
              </w:rPr>
              <w:fldChar w:fldCharType="begin"/>
            </w:r>
            <w:r>
              <w:rPr>
                <w:sz w:val="16"/>
                <w:szCs w:val="16"/>
              </w:rPr>
              <w:instrText xml:space="preserve"> ADDIN NE.Ref.{7561BC8A-DDA6-42E2-B581-DF4CE18D705E}</w:instrText>
            </w:r>
            <w:r>
              <w:rPr>
                <w:sz w:val="16"/>
                <w:szCs w:val="16"/>
              </w:rPr>
              <w:fldChar w:fldCharType="separate"/>
            </w:r>
            <w:r>
              <w:rPr>
                <w:rFonts w:eastAsia="宋体" w:cs="Times New Roman"/>
                <w:color w:val="080000"/>
                <w:kern w:val="0"/>
                <w:sz w:val="16"/>
                <w:szCs w:val="16"/>
              </w:rPr>
              <w:t>[17, 26]</w:t>
            </w:r>
            <w:r>
              <w:rPr>
                <w:sz w:val="16"/>
                <w:szCs w:val="16"/>
              </w:rPr>
              <w:fldChar w:fldCharType="end"/>
            </w:r>
          </w:p>
        </w:tc>
      </w:tr>
      <w:tr w14:paraId="1CD81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57CFA52">
            <w:pPr>
              <w:pStyle w:val="24"/>
              <w:rPr>
                <w:sz w:val="16"/>
                <w:szCs w:val="16"/>
              </w:rPr>
            </w:pPr>
            <w:r>
              <w:rPr>
                <w:rFonts w:hint="eastAsia"/>
                <w:sz w:val="16"/>
                <w:szCs w:val="16"/>
              </w:rPr>
              <w:t>Adverse event rate for Regorafenib_Hand-foot skin reaction</w:t>
            </w:r>
          </w:p>
        </w:tc>
        <w:tc>
          <w:tcPr>
            <w:tcW w:w="506" w:type="pct"/>
            <w:shd w:val="clear" w:color="auto" w:fill="auto"/>
            <w:noWrap/>
            <w:vAlign w:val="center"/>
          </w:tcPr>
          <w:p w14:paraId="33E0C154">
            <w:pPr>
              <w:pStyle w:val="24"/>
              <w:rPr>
                <w:sz w:val="16"/>
                <w:szCs w:val="16"/>
              </w:rPr>
            </w:pPr>
            <w:r>
              <w:rPr>
                <w:rFonts w:hint="eastAsia"/>
                <w:sz w:val="16"/>
                <w:szCs w:val="16"/>
              </w:rPr>
              <w:t>0.16</w:t>
            </w:r>
          </w:p>
        </w:tc>
        <w:tc>
          <w:tcPr>
            <w:tcW w:w="506" w:type="pct"/>
            <w:shd w:val="clear" w:color="auto" w:fill="auto"/>
            <w:noWrap/>
            <w:vAlign w:val="center"/>
          </w:tcPr>
          <w:p w14:paraId="545495E9">
            <w:pPr>
              <w:pStyle w:val="24"/>
              <w:rPr>
                <w:sz w:val="16"/>
                <w:szCs w:val="16"/>
              </w:rPr>
            </w:pPr>
            <w:r>
              <w:rPr>
                <w:rFonts w:hint="eastAsia"/>
                <w:sz w:val="16"/>
                <w:szCs w:val="16"/>
              </w:rPr>
              <w:t>0.13</w:t>
            </w:r>
          </w:p>
        </w:tc>
        <w:tc>
          <w:tcPr>
            <w:tcW w:w="509" w:type="pct"/>
            <w:shd w:val="clear" w:color="auto" w:fill="auto"/>
            <w:noWrap/>
            <w:vAlign w:val="center"/>
          </w:tcPr>
          <w:p w14:paraId="0C53D74E">
            <w:pPr>
              <w:pStyle w:val="24"/>
              <w:rPr>
                <w:sz w:val="16"/>
                <w:szCs w:val="16"/>
              </w:rPr>
            </w:pPr>
            <w:r>
              <w:rPr>
                <w:rFonts w:hint="eastAsia"/>
                <w:sz w:val="16"/>
                <w:szCs w:val="16"/>
              </w:rPr>
              <w:t>0.20</w:t>
            </w:r>
          </w:p>
        </w:tc>
        <w:tc>
          <w:tcPr>
            <w:tcW w:w="512" w:type="pct"/>
            <w:shd w:val="clear" w:color="auto" w:fill="auto"/>
            <w:noWrap/>
            <w:vAlign w:val="center"/>
          </w:tcPr>
          <w:p w14:paraId="6322BD11">
            <w:pPr>
              <w:pStyle w:val="24"/>
              <w:rPr>
                <w:sz w:val="16"/>
                <w:szCs w:val="16"/>
              </w:rPr>
            </w:pPr>
            <w:r>
              <w:rPr>
                <w:rFonts w:hint="eastAsia"/>
                <w:sz w:val="16"/>
                <w:szCs w:val="16"/>
              </w:rPr>
              <w:t>Beta</w:t>
            </w:r>
          </w:p>
        </w:tc>
        <w:tc>
          <w:tcPr>
            <w:tcW w:w="494" w:type="pct"/>
            <w:shd w:val="clear" w:color="auto" w:fill="auto"/>
            <w:noWrap/>
            <w:vAlign w:val="center"/>
          </w:tcPr>
          <w:p w14:paraId="0FFE3F0B">
            <w:pPr>
              <w:pStyle w:val="24"/>
              <w:rPr>
                <w:sz w:val="16"/>
                <w:szCs w:val="16"/>
              </w:rPr>
            </w:pPr>
            <w:r>
              <w:rPr>
                <w:sz w:val="16"/>
                <w:szCs w:val="16"/>
              </w:rPr>
              <w:fldChar w:fldCharType="begin"/>
            </w:r>
            <w:r>
              <w:rPr>
                <w:sz w:val="16"/>
                <w:szCs w:val="16"/>
              </w:rPr>
              <w:instrText xml:space="preserve"> ADDIN NE.Ref.{9C0ACB5C-84CE-4F53-81CD-66AF081C8CD6}</w:instrText>
            </w:r>
            <w:r>
              <w:rPr>
                <w:sz w:val="16"/>
                <w:szCs w:val="16"/>
              </w:rPr>
              <w:fldChar w:fldCharType="separate"/>
            </w:r>
            <w:r>
              <w:rPr>
                <w:rFonts w:eastAsia="宋体" w:cs="Times New Roman"/>
                <w:color w:val="080000"/>
                <w:kern w:val="0"/>
                <w:sz w:val="16"/>
                <w:szCs w:val="16"/>
              </w:rPr>
              <w:t>[17, 26]</w:t>
            </w:r>
            <w:r>
              <w:rPr>
                <w:sz w:val="16"/>
                <w:szCs w:val="16"/>
              </w:rPr>
              <w:fldChar w:fldCharType="end"/>
            </w:r>
          </w:p>
        </w:tc>
      </w:tr>
      <w:tr w14:paraId="71A5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B65432C">
            <w:pPr>
              <w:pStyle w:val="24"/>
              <w:rPr>
                <w:sz w:val="16"/>
                <w:szCs w:val="16"/>
              </w:rPr>
            </w:pPr>
            <w:r>
              <w:rPr>
                <w:rFonts w:hint="eastAsia"/>
                <w:sz w:val="16"/>
                <w:szCs w:val="16"/>
              </w:rPr>
              <w:t>Adverse event rate for Regorafenib_Hyperbilirubinaemia</w:t>
            </w:r>
          </w:p>
        </w:tc>
        <w:tc>
          <w:tcPr>
            <w:tcW w:w="506" w:type="pct"/>
            <w:shd w:val="clear" w:color="auto" w:fill="auto"/>
            <w:noWrap/>
            <w:vAlign w:val="center"/>
          </w:tcPr>
          <w:p w14:paraId="69D9BAFA">
            <w:pPr>
              <w:pStyle w:val="24"/>
              <w:rPr>
                <w:sz w:val="16"/>
                <w:szCs w:val="16"/>
              </w:rPr>
            </w:pPr>
            <w:r>
              <w:rPr>
                <w:rFonts w:hint="eastAsia"/>
                <w:sz w:val="16"/>
                <w:szCs w:val="16"/>
              </w:rPr>
              <w:t>0.03</w:t>
            </w:r>
          </w:p>
        </w:tc>
        <w:tc>
          <w:tcPr>
            <w:tcW w:w="506" w:type="pct"/>
            <w:shd w:val="clear" w:color="auto" w:fill="auto"/>
            <w:noWrap/>
            <w:vAlign w:val="center"/>
          </w:tcPr>
          <w:p w14:paraId="59B99205">
            <w:pPr>
              <w:pStyle w:val="24"/>
              <w:rPr>
                <w:sz w:val="16"/>
                <w:szCs w:val="16"/>
              </w:rPr>
            </w:pPr>
            <w:r>
              <w:rPr>
                <w:rFonts w:hint="eastAsia"/>
                <w:sz w:val="16"/>
                <w:szCs w:val="16"/>
              </w:rPr>
              <w:t>0.02</w:t>
            </w:r>
          </w:p>
        </w:tc>
        <w:tc>
          <w:tcPr>
            <w:tcW w:w="509" w:type="pct"/>
            <w:shd w:val="clear" w:color="auto" w:fill="auto"/>
            <w:noWrap/>
            <w:vAlign w:val="center"/>
          </w:tcPr>
          <w:p w14:paraId="1FB024E5">
            <w:pPr>
              <w:pStyle w:val="24"/>
              <w:rPr>
                <w:sz w:val="16"/>
                <w:szCs w:val="16"/>
              </w:rPr>
            </w:pPr>
            <w:r>
              <w:rPr>
                <w:rFonts w:hint="eastAsia"/>
                <w:sz w:val="16"/>
                <w:szCs w:val="16"/>
              </w:rPr>
              <w:t>0.03</w:t>
            </w:r>
          </w:p>
        </w:tc>
        <w:tc>
          <w:tcPr>
            <w:tcW w:w="512" w:type="pct"/>
            <w:shd w:val="clear" w:color="auto" w:fill="auto"/>
            <w:noWrap/>
            <w:vAlign w:val="center"/>
          </w:tcPr>
          <w:p w14:paraId="7E6E5E02">
            <w:pPr>
              <w:pStyle w:val="24"/>
              <w:rPr>
                <w:sz w:val="16"/>
                <w:szCs w:val="16"/>
              </w:rPr>
            </w:pPr>
            <w:r>
              <w:rPr>
                <w:rFonts w:hint="eastAsia"/>
                <w:sz w:val="16"/>
                <w:szCs w:val="16"/>
              </w:rPr>
              <w:t>Beta</w:t>
            </w:r>
          </w:p>
        </w:tc>
        <w:tc>
          <w:tcPr>
            <w:tcW w:w="494" w:type="pct"/>
            <w:shd w:val="clear" w:color="auto" w:fill="auto"/>
            <w:noWrap/>
            <w:vAlign w:val="center"/>
          </w:tcPr>
          <w:p w14:paraId="4343234A">
            <w:pPr>
              <w:pStyle w:val="24"/>
              <w:rPr>
                <w:sz w:val="16"/>
                <w:szCs w:val="16"/>
              </w:rPr>
            </w:pPr>
            <w:r>
              <w:rPr>
                <w:sz w:val="16"/>
                <w:szCs w:val="16"/>
              </w:rPr>
              <w:fldChar w:fldCharType="begin"/>
            </w:r>
            <w:r>
              <w:rPr>
                <w:sz w:val="16"/>
                <w:szCs w:val="16"/>
              </w:rPr>
              <w:instrText xml:space="preserve"> ADDIN NE.Ref.{2E19FF3B-A07A-460D-B0E3-50B026BBFCA3}</w:instrText>
            </w:r>
            <w:r>
              <w:rPr>
                <w:sz w:val="16"/>
                <w:szCs w:val="16"/>
              </w:rPr>
              <w:fldChar w:fldCharType="separate"/>
            </w:r>
            <w:r>
              <w:rPr>
                <w:rFonts w:eastAsia="宋体" w:cs="Times New Roman"/>
                <w:color w:val="080000"/>
                <w:kern w:val="0"/>
                <w:sz w:val="16"/>
                <w:szCs w:val="16"/>
              </w:rPr>
              <w:t>[17, 26]</w:t>
            </w:r>
            <w:r>
              <w:rPr>
                <w:sz w:val="16"/>
                <w:szCs w:val="16"/>
              </w:rPr>
              <w:fldChar w:fldCharType="end"/>
            </w:r>
          </w:p>
        </w:tc>
      </w:tr>
      <w:tr w14:paraId="00E7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ABB90E0">
            <w:pPr>
              <w:pStyle w:val="24"/>
              <w:rPr>
                <w:sz w:val="16"/>
                <w:szCs w:val="16"/>
              </w:rPr>
            </w:pPr>
            <w:r>
              <w:rPr>
                <w:rFonts w:hint="eastAsia"/>
                <w:sz w:val="16"/>
                <w:szCs w:val="16"/>
              </w:rPr>
              <w:t>Adverse event rate for Regorafenib_Hypertension</w:t>
            </w:r>
          </w:p>
        </w:tc>
        <w:tc>
          <w:tcPr>
            <w:tcW w:w="506" w:type="pct"/>
            <w:shd w:val="clear" w:color="auto" w:fill="auto"/>
            <w:noWrap/>
            <w:vAlign w:val="center"/>
          </w:tcPr>
          <w:p w14:paraId="7CF7CAA4">
            <w:pPr>
              <w:pStyle w:val="24"/>
              <w:rPr>
                <w:sz w:val="16"/>
                <w:szCs w:val="16"/>
              </w:rPr>
            </w:pPr>
            <w:r>
              <w:rPr>
                <w:rFonts w:hint="eastAsia"/>
                <w:sz w:val="16"/>
                <w:szCs w:val="16"/>
              </w:rPr>
              <w:t>0.09</w:t>
            </w:r>
          </w:p>
        </w:tc>
        <w:tc>
          <w:tcPr>
            <w:tcW w:w="506" w:type="pct"/>
            <w:shd w:val="clear" w:color="auto" w:fill="auto"/>
            <w:noWrap/>
            <w:vAlign w:val="center"/>
          </w:tcPr>
          <w:p w14:paraId="3D4C4B01">
            <w:pPr>
              <w:pStyle w:val="24"/>
              <w:rPr>
                <w:sz w:val="16"/>
                <w:szCs w:val="16"/>
              </w:rPr>
            </w:pPr>
            <w:r>
              <w:rPr>
                <w:rFonts w:hint="eastAsia"/>
                <w:sz w:val="16"/>
                <w:szCs w:val="16"/>
              </w:rPr>
              <w:t>0.07</w:t>
            </w:r>
          </w:p>
        </w:tc>
        <w:tc>
          <w:tcPr>
            <w:tcW w:w="509" w:type="pct"/>
            <w:shd w:val="clear" w:color="auto" w:fill="auto"/>
            <w:noWrap/>
            <w:vAlign w:val="center"/>
          </w:tcPr>
          <w:p w14:paraId="65A609CB">
            <w:pPr>
              <w:pStyle w:val="24"/>
              <w:rPr>
                <w:sz w:val="16"/>
                <w:szCs w:val="16"/>
              </w:rPr>
            </w:pPr>
            <w:r>
              <w:rPr>
                <w:rFonts w:hint="eastAsia"/>
                <w:sz w:val="16"/>
                <w:szCs w:val="16"/>
              </w:rPr>
              <w:t>0.10</w:t>
            </w:r>
          </w:p>
        </w:tc>
        <w:tc>
          <w:tcPr>
            <w:tcW w:w="512" w:type="pct"/>
            <w:shd w:val="clear" w:color="auto" w:fill="auto"/>
            <w:noWrap/>
            <w:vAlign w:val="center"/>
          </w:tcPr>
          <w:p w14:paraId="1E97F28C">
            <w:pPr>
              <w:pStyle w:val="24"/>
              <w:rPr>
                <w:sz w:val="16"/>
                <w:szCs w:val="16"/>
              </w:rPr>
            </w:pPr>
            <w:r>
              <w:rPr>
                <w:rFonts w:hint="eastAsia"/>
                <w:sz w:val="16"/>
                <w:szCs w:val="16"/>
              </w:rPr>
              <w:t>Beta</w:t>
            </w:r>
          </w:p>
        </w:tc>
        <w:tc>
          <w:tcPr>
            <w:tcW w:w="494" w:type="pct"/>
            <w:shd w:val="clear" w:color="auto" w:fill="auto"/>
            <w:noWrap/>
            <w:vAlign w:val="center"/>
          </w:tcPr>
          <w:p w14:paraId="4EFB97EE">
            <w:pPr>
              <w:pStyle w:val="24"/>
              <w:rPr>
                <w:sz w:val="16"/>
                <w:szCs w:val="16"/>
              </w:rPr>
            </w:pPr>
            <w:r>
              <w:rPr>
                <w:sz w:val="16"/>
                <w:szCs w:val="16"/>
              </w:rPr>
              <w:fldChar w:fldCharType="begin"/>
            </w:r>
            <w:r>
              <w:rPr>
                <w:sz w:val="16"/>
                <w:szCs w:val="16"/>
              </w:rPr>
              <w:instrText xml:space="preserve"> ADDIN NE.Ref.{4D513E98-C1BE-447D-BB58-31E0EE552CEA}</w:instrText>
            </w:r>
            <w:r>
              <w:rPr>
                <w:sz w:val="16"/>
                <w:szCs w:val="16"/>
              </w:rPr>
              <w:fldChar w:fldCharType="separate"/>
            </w:r>
            <w:r>
              <w:rPr>
                <w:rFonts w:eastAsia="宋体" w:cs="Times New Roman"/>
                <w:color w:val="080000"/>
                <w:kern w:val="0"/>
                <w:sz w:val="16"/>
                <w:szCs w:val="16"/>
              </w:rPr>
              <w:t>[17, 26]</w:t>
            </w:r>
            <w:r>
              <w:rPr>
                <w:sz w:val="16"/>
                <w:szCs w:val="16"/>
              </w:rPr>
              <w:fldChar w:fldCharType="end"/>
            </w:r>
          </w:p>
        </w:tc>
      </w:tr>
      <w:tr w14:paraId="1FE7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EAB5052">
            <w:pPr>
              <w:pStyle w:val="24"/>
              <w:rPr>
                <w:sz w:val="16"/>
                <w:szCs w:val="16"/>
              </w:rPr>
            </w:pPr>
            <w:r>
              <w:rPr>
                <w:rFonts w:hint="eastAsia"/>
                <w:sz w:val="16"/>
                <w:szCs w:val="16"/>
              </w:rPr>
              <w:t>Adverse event rate for Regorafenib_Hypophosphataemia</w:t>
            </w:r>
          </w:p>
        </w:tc>
        <w:tc>
          <w:tcPr>
            <w:tcW w:w="506" w:type="pct"/>
            <w:shd w:val="clear" w:color="auto" w:fill="auto"/>
            <w:noWrap/>
            <w:vAlign w:val="center"/>
          </w:tcPr>
          <w:p w14:paraId="3F50BFAC">
            <w:pPr>
              <w:pStyle w:val="24"/>
              <w:rPr>
                <w:sz w:val="16"/>
                <w:szCs w:val="16"/>
              </w:rPr>
            </w:pPr>
            <w:r>
              <w:rPr>
                <w:rFonts w:hint="eastAsia"/>
                <w:sz w:val="16"/>
                <w:szCs w:val="16"/>
              </w:rPr>
              <w:t>0.04</w:t>
            </w:r>
          </w:p>
        </w:tc>
        <w:tc>
          <w:tcPr>
            <w:tcW w:w="506" w:type="pct"/>
            <w:shd w:val="clear" w:color="auto" w:fill="auto"/>
            <w:noWrap/>
            <w:vAlign w:val="center"/>
          </w:tcPr>
          <w:p w14:paraId="6AD86AB7">
            <w:pPr>
              <w:pStyle w:val="24"/>
              <w:rPr>
                <w:sz w:val="16"/>
                <w:szCs w:val="16"/>
              </w:rPr>
            </w:pPr>
            <w:r>
              <w:rPr>
                <w:rFonts w:hint="eastAsia"/>
                <w:sz w:val="16"/>
                <w:szCs w:val="16"/>
              </w:rPr>
              <w:t>0.03</w:t>
            </w:r>
          </w:p>
        </w:tc>
        <w:tc>
          <w:tcPr>
            <w:tcW w:w="509" w:type="pct"/>
            <w:shd w:val="clear" w:color="auto" w:fill="auto"/>
            <w:noWrap/>
            <w:vAlign w:val="center"/>
          </w:tcPr>
          <w:p w14:paraId="226E77C7">
            <w:pPr>
              <w:pStyle w:val="24"/>
              <w:rPr>
                <w:sz w:val="16"/>
                <w:szCs w:val="16"/>
              </w:rPr>
            </w:pPr>
            <w:r>
              <w:rPr>
                <w:rFonts w:hint="eastAsia"/>
                <w:sz w:val="16"/>
                <w:szCs w:val="16"/>
              </w:rPr>
              <w:t>0.05</w:t>
            </w:r>
          </w:p>
        </w:tc>
        <w:tc>
          <w:tcPr>
            <w:tcW w:w="512" w:type="pct"/>
            <w:shd w:val="clear" w:color="auto" w:fill="auto"/>
            <w:noWrap/>
            <w:vAlign w:val="center"/>
          </w:tcPr>
          <w:p w14:paraId="74F08C16">
            <w:pPr>
              <w:pStyle w:val="24"/>
              <w:rPr>
                <w:sz w:val="16"/>
                <w:szCs w:val="16"/>
              </w:rPr>
            </w:pPr>
            <w:r>
              <w:rPr>
                <w:rFonts w:hint="eastAsia"/>
                <w:sz w:val="16"/>
                <w:szCs w:val="16"/>
              </w:rPr>
              <w:t>Beta</w:t>
            </w:r>
          </w:p>
        </w:tc>
        <w:tc>
          <w:tcPr>
            <w:tcW w:w="494" w:type="pct"/>
            <w:shd w:val="clear" w:color="auto" w:fill="auto"/>
            <w:noWrap/>
            <w:vAlign w:val="center"/>
          </w:tcPr>
          <w:p w14:paraId="0AA48495">
            <w:pPr>
              <w:pStyle w:val="24"/>
              <w:rPr>
                <w:sz w:val="16"/>
                <w:szCs w:val="16"/>
              </w:rPr>
            </w:pPr>
            <w:r>
              <w:rPr>
                <w:sz w:val="16"/>
                <w:szCs w:val="16"/>
              </w:rPr>
              <w:fldChar w:fldCharType="begin"/>
            </w:r>
            <w:r>
              <w:rPr>
                <w:sz w:val="16"/>
                <w:szCs w:val="16"/>
              </w:rPr>
              <w:instrText xml:space="preserve"> ADDIN NE.Ref.{D447EE9B-2E84-40BE-8143-DE8BE98ED170}</w:instrText>
            </w:r>
            <w:r>
              <w:rPr>
                <w:sz w:val="16"/>
                <w:szCs w:val="16"/>
              </w:rPr>
              <w:fldChar w:fldCharType="separate"/>
            </w:r>
            <w:r>
              <w:rPr>
                <w:rFonts w:eastAsia="宋体" w:cs="Times New Roman"/>
                <w:color w:val="080000"/>
                <w:kern w:val="0"/>
                <w:sz w:val="16"/>
                <w:szCs w:val="16"/>
              </w:rPr>
              <w:t>[17, 26]</w:t>
            </w:r>
            <w:r>
              <w:rPr>
                <w:sz w:val="16"/>
                <w:szCs w:val="16"/>
              </w:rPr>
              <w:fldChar w:fldCharType="end"/>
            </w:r>
          </w:p>
        </w:tc>
      </w:tr>
      <w:tr w14:paraId="37115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FFEF57B">
            <w:pPr>
              <w:pStyle w:val="24"/>
              <w:rPr>
                <w:sz w:val="16"/>
                <w:szCs w:val="16"/>
              </w:rPr>
            </w:pPr>
            <w:r>
              <w:rPr>
                <w:rFonts w:hint="eastAsia"/>
                <w:sz w:val="16"/>
                <w:szCs w:val="16"/>
              </w:rPr>
              <w:t>Adverse event rate for Regorafenib_Oral mucositis</w:t>
            </w:r>
          </w:p>
        </w:tc>
        <w:tc>
          <w:tcPr>
            <w:tcW w:w="506" w:type="pct"/>
            <w:shd w:val="clear" w:color="auto" w:fill="auto"/>
            <w:noWrap/>
            <w:vAlign w:val="center"/>
          </w:tcPr>
          <w:p w14:paraId="3AEF7BBB">
            <w:pPr>
              <w:pStyle w:val="24"/>
              <w:rPr>
                <w:sz w:val="16"/>
                <w:szCs w:val="16"/>
              </w:rPr>
            </w:pPr>
            <w:r>
              <w:rPr>
                <w:rFonts w:hint="eastAsia"/>
                <w:sz w:val="16"/>
                <w:szCs w:val="16"/>
              </w:rPr>
              <w:t>0.02</w:t>
            </w:r>
          </w:p>
        </w:tc>
        <w:tc>
          <w:tcPr>
            <w:tcW w:w="506" w:type="pct"/>
            <w:shd w:val="clear" w:color="auto" w:fill="auto"/>
            <w:noWrap/>
            <w:vAlign w:val="center"/>
          </w:tcPr>
          <w:p w14:paraId="70A66654">
            <w:pPr>
              <w:pStyle w:val="24"/>
              <w:rPr>
                <w:sz w:val="16"/>
                <w:szCs w:val="16"/>
              </w:rPr>
            </w:pPr>
            <w:r>
              <w:rPr>
                <w:rFonts w:hint="eastAsia"/>
                <w:sz w:val="16"/>
                <w:szCs w:val="16"/>
              </w:rPr>
              <w:t>0.02</w:t>
            </w:r>
          </w:p>
        </w:tc>
        <w:tc>
          <w:tcPr>
            <w:tcW w:w="509" w:type="pct"/>
            <w:shd w:val="clear" w:color="auto" w:fill="auto"/>
            <w:noWrap/>
            <w:vAlign w:val="center"/>
          </w:tcPr>
          <w:p w14:paraId="7A3947D3">
            <w:pPr>
              <w:pStyle w:val="24"/>
              <w:rPr>
                <w:sz w:val="16"/>
                <w:szCs w:val="16"/>
              </w:rPr>
            </w:pPr>
            <w:r>
              <w:rPr>
                <w:rFonts w:hint="eastAsia"/>
                <w:sz w:val="16"/>
                <w:szCs w:val="16"/>
              </w:rPr>
              <w:t>0.03</w:t>
            </w:r>
          </w:p>
        </w:tc>
        <w:tc>
          <w:tcPr>
            <w:tcW w:w="512" w:type="pct"/>
            <w:shd w:val="clear" w:color="auto" w:fill="auto"/>
            <w:noWrap/>
            <w:vAlign w:val="center"/>
          </w:tcPr>
          <w:p w14:paraId="669BAC5F">
            <w:pPr>
              <w:pStyle w:val="24"/>
              <w:rPr>
                <w:sz w:val="16"/>
                <w:szCs w:val="16"/>
              </w:rPr>
            </w:pPr>
            <w:r>
              <w:rPr>
                <w:rFonts w:hint="eastAsia"/>
                <w:sz w:val="16"/>
                <w:szCs w:val="16"/>
              </w:rPr>
              <w:t>Beta</w:t>
            </w:r>
          </w:p>
        </w:tc>
        <w:tc>
          <w:tcPr>
            <w:tcW w:w="494" w:type="pct"/>
            <w:shd w:val="clear" w:color="auto" w:fill="auto"/>
            <w:noWrap/>
            <w:vAlign w:val="center"/>
          </w:tcPr>
          <w:p w14:paraId="0B8ADEE6">
            <w:pPr>
              <w:pStyle w:val="24"/>
              <w:rPr>
                <w:sz w:val="16"/>
                <w:szCs w:val="16"/>
              </w:rPr>
            </w:pPr>
            <w:r>
              <w:rPr>
                <w:sz w:val="16"/>
                <w:szCs w:val="16"/>
              </w:rPr>
              <w:fldChar w:fldCharType="begin"/>
            </w:r>
            <w:r>
              <w:rPr>
                <w:sz w:val="16"/>
                <w:szCs w:val="16"/>
              </w:rPr>
              <w:instrText xml:space="preserve"> ADDIN NE.Ref.{88CCDEE7-DCF8-4E45-9781-0BF31D1DA56C}</w:instrText>
            </w:r>
            <w:r>
              <w:rPr>
                <w:sz w:val="16"/>
                <w:szCs w:val="16"/>
              </w:rPr>
              <w:fldChar w:fldCharType="separate"/>
            </w:r>
            <w:r>
              <w:rPr>
                <w:rFonts w:eastAsia="宋体" w:cs="Times New Roman"/>
                <w:color w:val="080000"/>
                <w:kern w:val="0"/>
                <w:sz w:val="16"/>
                <w:szCs w:val="16"/>
              </w:rPr>
              <w:t>[17, 26]</w:t>
            </w:r>
            <w:r>
              <w:rPr>
                <w:sz w:val="16"/>
                <w:szCs w:val="16"/>
              </w:rPr>
              <w:fldChar w:fldCharType="end"/>
            </w:r>
          </w:p>
        </w:tc>
      </w:tr>
      <w:tr w14:paraId="400F7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9DC64F7">
            <w:pPr>
              <w:pStyle w:val="24"/>
              <w:rPr>
                <w:sz w:val="16"/>
                <w:szCs w:val="16"/>
              </w:rPr>
            </w:pPr>
            <w:r>
              <w:rPr>
                <w:rFonts w:hint="eastAsia"/>
                <w:sz w:val="16"/>
                <w:szCs w:val="16"/>
              </w:rPr>
              <w:t>Adverse event rate for Regorafenib_Rash or desquamation</w:t>
            </w:r>
          </w:p>
        </w:tc>
        <w:tc>
          <w:tcPr>
            <w:tcW w:w="506" w:type="pct"/>
            <w:shd w:val="clear" w:color="auto" w:fill="auto"/>
            <w:noWrap/>
            <w:vAlign w:val="center"/>
          </w:tcPr>
          <w:p w14:paraId="67601BD4">
            <w:pPr>
              <w:pStyle w:val="24"/>
              <w:rPr>
                <w:sz w:val="16"/>
                <w:szCs w:val="16"/>
              </w:rPr>
            </w:pPr>
            <w:r>
              <w:rPr>
                <w:rFonts w:hint="eastAsia"/>
                <w:sz w:val="16"/>
                <w:szCs w:val="16"/>
              </w:rPr>
              <w:t>0.05</w:t>
            </w:r>
          </w:p>
        </w:tc>
        <w:tc>
          <w:tcPr>
            <w:tcW w:w="506" w:type="pct"/>
            <w:shd w:val="clear" w:color="auto" w:fill="auto"/>
            <w:noWrap/>
            <w:vAlign w:val="center"/>
          </w:tcPr>
          <w:p w14:paraId="1330ABD8">
            <w:pPr>
              <w:pStyle w:val="24"/>
              <w:rPr>
                <w:sz w:val="16"/>
                <w:szCs w:val="16"/>
              </w:rPr>
            </w:pPr>
            <w:r>
              <w:rPr>
                <w:rFonts w:hint="eastAsia"/>
                <w:sz w:val="16"/>
                <w:szCs w:val="16"/>
              </w:rPr>
              <w:t>0.04</w:t>
            </w:r>
          </w:p>
        </w:tc>
        <w:tc>
          <w:tcPr>
            <w:tcW w:w="509" w:type="pct"/>
            <w:shd w:val="clear" w:color="auto" w:fill="auto"/>
            <w:noWrap/>
            <w:vAlign w:val="center"/>
          </w:tcPr>
          <w:p w14:paraId="44EA37DB">
            <w:pPr>
              <w:pStyle w:val="24"/>
              <w:rPr>
                <w:sz w:val="16"/>
                <w:szCs w:val="16"/>
              </w:rPr>
            </w:pPr>
            <w:r>
              <w:rPr>
                <w:rFonts w:hint="eastAsia"/>
                <w:sz w:val="16"/>
                <w:szCs w:val="16"/>
              </w:rPr>
              <w:t>0.06</w:t>
            </w:r>
          </w:p>
        </w:tc>
        <w:tc>
          <w:tcPr>
            <w:tcW w:w="512" w:type="pct"/>
            <w:shd w:val="clear" w:color="auto" w:fill="auto"/>
            <w:noWrap/>
            <w:vAlign w:val="center"/>
          </w:tcPr>
          <w:p w14:paraId="6E85A89D">
            <w:pPr>
              <w:pStyle w:val="24"/>
              <w:rPr>
                <w:sz w:val="16"/>
                <w:szCs w:val="16"/>
              </w:rPr>
            </w:pPr>
            <w:r>
              <w:rPr>
                <w:rFonts w:hint="eastAsia"/>
                <w:sz w:val="16"/>
                <w:szCs w:val="16"/>
              </w:rPr>
              <w:t>Beta</w:t>
            </w:r>
          </w:p>
        </w:tc>
        <w:tc>
          <w:tcPr>
            <w:tcW w:w="494" w:type="pct"/>
            <w:shd w:val="clear" w:color="auto" w:fill="auto"/>
            <w:noWrap/>
            <w:vAlign w:val="center"/>
          </w:tcPr>
          <w:p w14:paraId="4C7ACD48">
            <w:pPr>
              <w:pStyle w:val="24"/>
              <w:rPr>
                <w:sz w:val="16"/>
                <w:szCs w:val="16"/>
              </w:rPr>
            </w:pPr>
            <w:r>
              <w:rPr>
                <w:sz w:val="16"/>
                <w:szCs w:val="16"/>
              </w:rPr>
              <w:fldChar w:fldCharType="begin"/>
            </w:r>
            <w:r>
              <w:rPr>
                <w:sz w:val="16"/>
                <w:szCs w:val="16"/>
              </w:rPr>
              <w:instrText xml:space="preserve"> ADDIN NE.Ref.{121A6874-7C84-4DDD-8BE8-33B8A856F5B7}</w:instrText>
            </w:r>
            <w:r>
              <w:rPr>
                <w:sz w:val="16"/>
                <w:szCs w:val="16"/>
              </w:rPr>
              <w:fldChar w:fldCharType="separate"/>
            </w:r>
            <w:r>
              <w:rPr>
                <w:rFonts w:eastAsia="宋体" w:cs="Times New Roman"/>
                <w:color w:val="080000"/>
                <w:kern w:val="0"/>
                <w:sz w:val="16"/>
                <w:szCs w:val="16"/>
              </w:rPr>
              <w:t>[17, 26]</w:t>
            </w:r>
            <w:r>
              <w:rPr>
                <w:sz w:val="16"/>
                <w:szCs w:val="16"/>
              </w:rPr>
              <w:fldChar w:fldCharType="end"/>
            </w:r>
          </w:p>
        </w:tc>
      </w:tr>
      <w:tr w14:paraId="3BA30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EC58BEE">
            <w:pPr>
              <w:pStyle w:val="24"/>
              <w:rPr>
                <w:sz w:val="16"/>
                <w:szCs w:val="16"/>
              </w:rPr>
            </w:pPr>
            <w:r>
              <w:rPr>
                <w:rFonts w:hint="eastAsia"/>
                <w:sz w:val="16"/>
                <w:szCs w:val="16"/>
              </w:rPr>
              <w:t>Adverse event rate for Regorafenib_Thrombocytopenia</w:t>
            </w:r>
          </w:p>
        </w:tc>
        <w:tc>
          <w:tcPr>
            <w:tcW w:w="506" w:type="pct"/>
            <w:shd w:val="clear" w:color="auto" w:fill="auto"/>
            <w:noWrap/>
            <w:vAlign w:val="center"/>
          </w:tcPr>
          <w:p w14:paraId="36F39061">
            <w:pPr>
              <w:pStyle w:val="24"/>
              <w:rPr>
                <w:sz w:val="16"/>
                <w:szCs w:val="16"/>
              </w:rPr>
            </w:pPr>
            <w:r>
              <w:rPr>
                <w:rFonts w:hint="eastAsia"/>
                <w:sz w:val="16"/>
                <w:szCs w:val="16"/>
              </w:rPr>
              <w:t>0.03</w:t>
            </w:r>
          </w:p>
        </w:tc>
        <w:tc>
          <w:tcPr>
            <w:tcW w:w="506" w:type="pct"/>
            <w:shd w:val="clear" w:color="auto" w:fill="auto"/>
            <w:noWrap/>
            <w:vAlign w:val="center"/>
          </w:tcPr>
          <w:p w14:paraId="4FED9D43">
            <w:pPr>
              <w:pStyle w:val="24"/>
              <w:rPr>
                <w:sz w:val="16"/>
                <w:szCs w:val="16"/>
              </w:rPr>
            </w:pPr>
            <w:r>
              <w:rPr>
                <w:rFonts w:hint="eastAsia"/>
                <w:sz w:val="16"/>
                <w:szCs w:val="16"/>
              </w:rPr>
              <w:t>0.02</w:t>
            </w:r>
          </w:p>
        </w:tc>
        <w:tc>
          <w:tcPr>
            <w:tcW w:w="509" w:type="pct"/>
            <w:shd w:val="clear" w:color="auto" w:fill="auto"/>
            <w:noWrap/>
            <w:vAlign w:val="center"/>
          </w:tcPr>
          <w:p w14:paraId="39A67E7C">
            <w:pPr>
              <w:pStyle w:val="24"/>
              <w:rPr>
                <w:sz w:val="16"/>
                <w:szCs w:val="16"/>
              </w:rPr>
            </w:pPr>
            <w:r>
              <w:rPr>
                <w:rFonts w:hint="eastAsia"/>
                <w:sz w:val="16"/>
                <w:szCs w:val="16"/>
              </w:rPr>
              <w:t>0.03</w:t>
            </w:r>
          </w:p>
        </w:tc>
        <w:tc>
          <w:tcPr>
            <w:tcW w:w="512" w:type="pct"/>
            <w:shd w:val="clear" w:color="auto" w:fill="auto"/>
            <w:noWrap/>
            <w:vAlign w:val="center"/>
          </w:tcPr>
          <w:p w14:paraId="0E2A8EE0">
            <w:pPr>
              <w:pStyle w:val="24"/>
              <w:rPr>
                <w:sz w:val="16"/>
                <w:szCs w:val="16"/>
              </w:rPr>
            </w:pPr>
            <w:r>
              <w:rPr>
                <w:rFonts w:hint="eastAsia"/>
                <w:sz w:val="16"/>
                <w:szCs w:val="16"/>
              </w:rPr>
              <w:t>Beta</w:t>
            </w:r>
          </w:p>
        </w:tc>
        <w:tc>
          <w:tcPr>
            <w:tcW w:w="494" w:type="pct"/>
            <w:shd w:val="clear" w:color="auto" w:fill="auto"/>
            <w:noWrap/>
            <w:vAlign w:val="center"/>
          </w:tcPr>
          <w:p w14:paraId="50A9E0EA">
            <w:pPr>
              <w:pStyle w:val="24"/>
              <w:rPr>
                <w:sz w:val="16"/>
                <w:szCs w:val="16"/>
              </w:rPr>
            </w:pPr>
            <w:r>
              <w:rPr>
                <w:sz w:val="16"/>
                <w:szCs w:val="16"/>
              </w:rPr>
              <w:fldChar w:fldCharType="begin"/>
            </w:r>
            <w:r>
              <w:rPr>
                <w:sz w:val="16"/>
                <w:szCs w:val="16"/>
              </w:rPr>
              <w:instrText xml:space="preserve"> ADDIN NE.Ref.{8B664821-849E-4CE2-A7DE-5FAD0E09C463}</w:instrText>
            </w:r>
            <w:r>
              <w:rPr>
                <w:sz w:val="16"/>
                <w:szCs w:val="16"/>
              </w:rPr>
              <w:fldChar w:fldCharType="separate"/>
            </w:r>
            <w:r>
              <w:rPr>
                <w:rFonts w:eastAsia="宋体" w:cs="Times New Roman"/>
                <w:color w:val="080000"/>
                <w:kern w:val="0"/>
                <w:sz w:val="16"/>
                <w:szCs w:val="16"/>
              </w:rPr>
              <w:t>[17, 26]</w:t>
            </w:r>
            <w:r>
              <w:rPr>
                <w:sz w:val="16"/>
                <w:szCs w:val="16"/>
              </w:rPr>
              <w:fldChar w:fldCharType="end"/>
            </w:r>
          </w:p>
        </w:tc>
      </w:tr>
      <w:tr w14:paraId="3E13C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699D3B9">
            <w:pPr>
              <w:pStyle w:val="24"/>
              <w:rPr>
                <w:rFonts w:eastAsiaTheme="minorEastAsia"/>
                <w:sz w:val="16"/>
                <w:szCs w:val="16"/>
              </w:rPr>
            </w:pPr>
            <w:r>
              <w:rPr>
                <w:rFonts w:hint="eastAsia"/>
                <w:sz w:val="16"/>
                <w:szCs w:val="16"/>
              </w:rPr>
              <w:t>Adverse event rate for Regorafenib_Increase in ALT leve</w:t>
            </w:r>
            <w:r>
              <w:rPr>
                <w:rFonts w:hint="eastAsia" w:eastAsiaTheme="minorEastAsia"/>
                <w:sz w:val="16"/>
                <w:szCs w:val="16"/>
              </w:rPr>
              <w:t>l</w:t>
            </w:r>
          </w:p>
        </w:tc>
        <w:tc>
          <w:tcPr>
            <w:tcW w:w="506" w:type="pct"/>
            <w:shd w:val="clear" w:color="auto" w:fill="auto"/>
            <w:noWrap/>
            <w:vAlign w:val="center"/>
          </w:tcPr>
          <w:p w14:paraId="0EB5E087">
            <w:pPr>
              <w:pStyle w:val="24"/>
              <w:rPr>
                <w:sz w:val="16"/>
                <w:szCs w:val="16"/>
              </w:rPr>
            </w:pPr>
            <w:r>
              <w:rPr>
                <w:rFonts w:hint="eastAsia"/>
                <w:sz w:val="16"/>
                <w:szCs w:val="16"/>
              </w:rPr>
              <w:t>0.01</w:t>
            </w:r>
          </w:p>
        </w:tc>
        <w:tc>
          <w:tcPr>
            <w:tcW w:w="506" w:type="pct"/>
            <w:shd w:val="clear" w:color="auto" w:fill="auto"/>
            <w:noWrap/>
            <w:vAlign w:val="center"/>
          </w:tcPr>
          <w:p w14:paraId="14BCBC53">
            <w:pPr>
              <w:pStyle w:val="24"/>
              <w:rPr>
                <w:sz w:val="16"/>
                <w:szCs w:val="16"/>
              </w:rPr>
            </w:pPr>
            <w:r>
              <w:rPr>
                <w:rFonts w:hint="eastAsia"/>
                <w:sz w:val="16"/>
                <w:szCs w:val="16"/>
              </w:rPr>
              <w:t>0.01</w:t>
            </w:r>
          </w:p>
        </w:tc>
        <w:tc>
          <w:tcPr>
            <w:tcW w:w="509" w:type="pct"/>
            <w:shd w:val="clear" w:color="auto" w:fill="auto"/>
            <w:noWrap/>
            <w:vAlign w:val="center"/>
          </w:tcPr>
          <w:p w14:paraId="702D08CC">
            <w:pPr>
              <w:pStyle w:val="24"/>
              <w:rPr>
                <w:sz w:val="16"/>
                <w:szCs w:val="16"/>
              </w:rPr>
            </w:pPr>
            <w:r>
              <w:rPr>
                <w:rFonts w:hint="eastAsia"/>
                <w:sz w:val="16"/>
                <w:szCs w:val="16"/>
              </w:rPr>
              <w:t>0.02</w:t>
            </w:r>
          </w:p>
        </w:tc>
        <w:tc>
          <w:tcPr>
            <w:tcW w:w="512" w:type="pct"/>
            <w:shd w:val="clear" w:color="auto" w:fill="auto"/>
            <w:noWrap/>
            <w:vAlign w:val="center"/>
          </w:tcPr>
          <w:p w14:paraId="4B39B213">
            <w:pPr>
              <w:pStyle w:val="24"/>
              <w:rPr>
                <w:sz w:val="16"/>
                <w:szCs w:val="16"/>
              </w:rPr>
            </w:pPr>
            <w:r>
              <w:rPr>
                <w:rFonts w:hint="eastAsia"/>
                <w:sz w:val="16"/>
                <w:szCs w:val="16"/>
              </w:rPr>
              <w:t>Beta</w:t>
            </w:r>
          </w:p>
        </w:tc>
        <w:tc>
          <w:tcPr>
            <w:tcW w:w="494" w:type="pct"/>
            <w:shd w:val="clear" w:color="auto" w:fill="auto"/>
            <w:noWrap/>
            <w:vAlign w:val="center"/>
          </w:tcPr>
          <w:p w14:paraId="130E9953">
            <w:pPr>
              <w:pStyle w:val="24"/>
              <w:rPr>
                <w:sz w:val="16"/>
                <w:szCs w:val="16"/>
              </w:rPr>
            </w:pPr>
            <w:r>
              <w:rPr>
                <w:sz w:val="16"/>
                <w:szCs w:val="16"/>
              </w:rPr>
              <w:fldChar w:fldCharType="begin"/>
            </w:r>
            <w:r>
              <w:rPr>
                <w:sz w:val="16"/>
                <w:szCs w:val="16"/>
              </w:rPr>
              <w:instrText xml:space="preserve"> ADDIN NE.Ref.{1031FB84-3738-438F-A5FD-24E7D52A746A}</w:instrText>
            </w:r>
            <w:r>
              <w:rPr>
                <w:sz w:val="16"/>
                <w:szCs w:val="16"/>
              </w:rPr>
              <w:fldChar w:fldCharType="separate"/>
            </w:r>
            <w:r>
              <w:rPr>
                <w:rFonts w:eastAsia="宋体" w:cs="Times New Roman"/>
                <w:color w:val="080000"/>
                <w:kern w:val="0"/>
                <w:sz w:val="16"/>
                <w:szCs w:val="16"/>
              </w:rPr>
              <w:t>[17, 26]</w:t>
            </w:r>
            <w:r>
              <w:rPr>
                <w:sz w:val="16"/>
                <w:szCs w:val="16"/>
              </w:rPr>
              <w:fldChar w:fldCharType="end"/>
            </w:r>
          </w:p>
        </w:tc>
      </w:tr>
      <w:tr w14:paraId="5A4FB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84760B1">
            <w:pPr>
              <w:pStyle w:val="24"/>
              <w:rPr>
                <w:rFonts w:eastAsiaTheme="minorEastAsia"/>
                <w:sz w:val="16"/>
                <w:szCs w:val="16"/>
              </w:rPr>
            </w:pPr>
            <w:r>
              <w:rPr>
                <w:rFonts w:hint="eastAsia"/>
                <w:sz w:val="16"/>
                <w:szCs w:val="16"/>
              </w:rPr>
              <w:t>Adverse event rate for Regorafenib_Increase in AST leve</w:t>
            </w:r>
            <w:r>
              <w:rPr>
                <w:rFonts w:hint="eastAsia" w:eastAsiaTheme="minorEastAsia"/>
                <w:sz w:val="16"/>
                <w:szCs w:val="16"/>
              </w:rPr>
              <w:t>l</w:t>
            </w:r>
          </w:p>
        </w:tc>
        <w:tc>
          <w:tcPr>
            <w:tcW w:w="506" w:type="pct"/>
            <w:shd w:val="clear" w:color="auto" w:fill="auto"/>
            <w:noWrap/>
            <w:vAlign w:val="center"/>
          </w:tcPr>
          <w:p w14:paraId="4235F559">
            <w:pPr>
              <w:pStyle w:val="24"/>
              <w:rPr>
                <w:sz w:val="16"/>
                <w:szCs w:val="16"/>
              </w:rPr>
            </w:pPr>
            <w:r>
              <w:rPr>
                <w:rFonts w:hint="eastAsia"/>
                <w:sz w:val="16"/>
                <w:szCs w:val="16"/>
              </w:rPr>
              <w:t>0.01</w:t>
            </w:r>
          </w:p>
        </w:tc>
        <w:tc>
          <w:tcPr>
            <w:tcW w:w="506" w:type="pct"/>
            <w:shd w:val="clear" w:color="auto" w:fill="auto"/>
            <w:noWrap/>
            <w:vAlign w:val="center"/>
          </w:tcPr>
          <w:p w14:paraId="037E0D2E">
            <w:pPr>
              <w:pStyle w:val="24"/>
              <w:rPr>
                <w:sz w:val="16"/>
                <w:szCs w:val="16"/>
              </w:rPr>
            </w:pPr>
            <w:r>
              <w:rPr>
                <w:rFonts w:hint="eastAsia"/>
                <w:sz w:val="16"/>
                <w:szCs w:val="16"/>
              </w:rPr>
              <w:t>0.01</w:t>
            </w:r>
          </w:p>
        </w:tc>
        <w:tc>
          <w:tcPr>
            <w:tcW w:w="509" w:type="pct"/>
            <w:shd w:val="clear" w:color="auto" w:fill="auto"/>
            <w:noWrap/>
            <w:vAlign w:val="center"/>
          </w:tcPr>
          <w:p w14:paraId="7E0DDE7F">
            <w:pPr>
              <w:pStyle w:val="24"/>
              <w:rPr>
                <w:sz w:val="16"/>
                <w:szCs w:val="16"/>
              </w:rPr>
            </w:pPr>
            <w:r>
              <w:rPr>
                <w:rFonts w:hint="eastAsia"/>
                <w:sz w:val="16"/>
                <w:szCs w:val="16"/>
              </w:rPr>
              <w:t>0.01</w:t>
            </w:r>
          </w:p>
        </w:tc>
        <w:tc>
          <w:tcPr>
            <w:tcW w:w="512" w:type="pct"/>
            <w:shd w:val="clear" w:color="auto" w:fill="auto"/>
            <w:noWrap/>
            <w:vAlign w:val="center"/>
          </w:tcPr>
          <w:p w14:paraId="757A4E6D">
            <w:pPr>
              <w:pStyle w:val="24"/>
              <w:rPr>
                <w:sz w:val="16"/>
                <w:szCs w:val="16"/>
              </w:rPr>
            </w:pPr>
            <w:r>
              <w:rPr>
                <w:rFonts w:hint="eastAsia"/>
                <w:sz w:val="16"/>
                <w:szCs w:val="16"/>
              </w:rPr>
              <w:t>Beta</w:t>
            </w:r>
          </w:p>
        </w:tc>
        <w:tc>
          <w:tcPr>
            <w:tcW w:w="494" w:type="pct"/>
            <w:shd w:val="clear" w:color="auto" w:fill="auto"/>
            <w:noWrap/>
            <w:vAlign w:val="center"/>
          </w:tcPr>
          <w:p w14:paraId="4738CF25">
            <w:pPr>
              <w:pStyle w:val="24"/>
              <w:rPr>
                <w:sz w:val="16"/>
                <w:szCs w:val="16"/>
              </w:rPr>
            </w:pPr>
            <w:r>
              <w:rPr>
                <w:sz w:val="16"/>
                <w:szCs w:val="16"/>
              </w:rPr>
              <w:fldChar w:fldCharType="begin"/>
            </w:r>
            <w:r>
              <w:rPr>
                <w:sz w:val="16"/>
                <w:szCs w:val="16"/>
              </w:rPr>
              <w:instrText xml:space="preserve"> ADDIN NE.Ref.{23063FB3-394A-46AA-B26B-93642D573507}</w:instrText>
            </w:r>
            <w:r>
              <w:rPr>
                <w:sz w:val="16"/>
                <w:szCs w:val="16"/>
              </w:rPr>
              <w:fldChar w:fldCharType="separate"/>
            </w:r>
            <w:r>
              <w:rPr>
                <w:rFonts w:eastAsia="宋体" w:cs="Times New Roman"/>
                <w:color w:val="080000"/>
                <w:kern w:val="0"/>
                <w:sz w:val="16"/>
                <w:szCs w:val="16"/>
              </w:rPr>
              <w:t>[17, 26]</w:t>
            </w:r>
            <w:r>
              <w:rPr>
                <w:sz w:val="16"/>
                <w:szCs w:val="16"/>
              </w:rPr>
              <w:fldChar w:fldCharType="end"/>
            </w:r>
          </w:p>
        </w:tc>
      </w:tr>
      <w:tr w14:paraId="79CBB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CAB7998">
            <w:pPr>
              <w:pStyle w:val="24"/>
              <w:rPr>
                <w:sz w:val="16"/>
                <w:szCs w:val="16"/>
              </w:rPr>
            </w:pPr>
            <w:r>
              <w:rPr>
                <w:rFonts w:hint="eastAsia"/>
                <w:sz w:val="16"/>
                <w:szCs w:val="16"/>
              </w:rPr>
              <w:t>Adverse event rate for BSC_Hypertension</w:t>
            </w:r>
          </w:p>
        </w:tc>
        <w:tc>
          <w:tcPr>
            <w:tcW w:w="506" w:type="pct"/>
            <w:shd w:val="clear" w:color="auto" w:fill="auto"/>
            <w:noWrap/>
            <w:vAlign w:val="center"/>
          </w:tcPr>
          <w:p w14:paraId="00B4198D">
            <w:pPr>
              <w:pStyle w:val="24"/>
              <w:rPr>
                <w:sz w:val="16"/>
                <w:szCs w:val="16"/>
              </w:rPr>
            </w:pPr>
            <w:r>
              <w:rPr>
                <w:rFonts w:hint="eastAsia"/>
                <w:sz w:val="16"/>
                <w:szCs w:val="16"/>
              </w:rPr>
              <w:t>0.01</w:t>
            </w:r>
          </w:p>
        </w:tc>
        <w:tc>
          <w:tcPr>
            <w:tcW w:w="506" w:type="pct"/>
            <w:shd w:val="clear" w:color="auto" w:fill="auto"/>
            <w:noWrap/>
            <w:vAlign w:val="center"/>
          </w:tcPr>
          <w:p w14:paraId="6E1FF507">
            <w:pPr>
              <w:pStyle w:val="24"/>
              <w:rPr>
                <w:sz w:val="16"/>
                <w:szCs w:val="16"/>
              </w:rPr>
            </w:pPr>
            <w:r>
              <w:rPr>
                <w:rFonts w:hint="eastAsia"/>
                <w:sz w:val="16"/>
                <w:szCs w:val="16"/>
              </w:rPr>
              <w:t>0.01</w:t>
            </w:r>
          </w:p>
        </w:tc>
        <w:tc>
          <w:tcPr>
            <w:tcW w:w="509" w:type="pct"/>
            <w:shd w:val="clear" w:color="auto" w:fill="auto"/>
            <w:noWrap/>
            <w:vAlign w:val="center"/>
          </w:tcPr>
          <w:p w14:paraId="5A5D07EE">
            <w:pPr>
              <w:pStyle w:val="24"/>
              <w:rPr>
                <w:sz w:val="16"/>
                <w:szCs w:val="16"/>
              </w:rPr>
            </w:pPr>
            <w:r>
              <w:rPr>
                <w:rFonts w:hint="eastAsia"/>
                <w:sz w:val="16"/>
                <w:szCs w:val="16"/>
              </w:rPr>
              <w:t>0.01</w:t>
            </w:r>
          </w:p>
        </w:tc>
        <w:tc>
          <w:tcPr>
            <w:tcW w:w="512" w:type="pct"/>
            <w:shd w:val="clear" w:color="auto" w:fill="auto"/>
            <w:noWrap/>
            <w:vAlign w:val="center"/>
          </w:tcPr>
          <w:p w14:paraId="00C7D171">
            <w:pPr>
              <w:pStyle w:val="24"/>
              <w:rPr>
                <w:sz w:val="16"/>
                <w:szCs w:val="16"/>
              </w:rPr>
            </w:pPr>
            <w:r>
              <w:rPr>
                <w:rFonts w:hint="eastAsia"/>
                <w:sz w:val="16"/>
                <w:szCs w:val="16"/>
              </w:rPr>
              <w:t>Beta</w:t>
            </w:r>
          </w:p>
        </w:tc>
        <w:tc>
          <w:tcPr>
            <w:tcW w:w="494" w:type="pct"/>
            <w:shd w:val="clear" w:color="auto" w:fill="auto"/>
            <w:noWrap/>
            <w:vAlign w:val="center"/>
          </w:tcPr>
          <w:p w14:paraId="1016458A">
            <w:pPr>
              <w:pStyle w:val="24"/>
              <w:rPr>
                <w:sz w:val="16"/>
                <w:szCs w:val="16"/>
              </w:rPr>
            </w:pPr>
            <w:r>
              <w:rPr>
                <w:sz w:val="16"/>
                <w:szCs w:val="16"/>
              </w:rPr>
              <w:fldChar w:fldCharType="begin"/>
            </w:r>
            <w:r>
              <w:rPr>
                <w:sz w:val="16"/>
                <w:szCs w:val="16"/>
              </w:rPr>
              <w:instrText xml:space="preserve"> ADDIN NE.Ref.{85B83D2D-3551-426D-866C-5FF34A785285}</w:instrText>
            </w:r>
            <w:r>
              <w:rPr>
                <w:sz w:val="16"/>
                <w:szCs w:val="16"/>
              </w:rPr>
              <w:fldChar w:fldCharType="separate"/>
            </w:r>
            <w:r>
              <w:rPr>
                <w:rFonts w:eastAsia="宋体" w:cs="Times New Roman"/>
                <w:color w:val="080000"/>
                <w:kern w:val="0"/>
                <w:sz w:val="16"/>
                <w:szCs w:val="16"/>
              </w:rPr>
              <w:t>[15-18]</w:t>
            </w:r>
            <w:r>
              <w:rPr>
                <w:sz w:val="16"/>
                <w:szCs w:val="16"/>
              </w:rPr>
              <w:fldChar w:fldCharType="end"/>
            </w:r>
          </w:p>
        </w:tc>
      </w:tr>
      <w:tr w14:paraId="24266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75682C8">
            <w:pPr>
              <w:pStyle w:val="24"/>
              <w:rPr>
                <w:sz w:val="16"/>
                <w:szCs w:val="16"/>
              </w:rPr>
            </w:pPr>
            <w:r>
              <w:rPr>
                <w:rFonts w:hint="eastAsia"/>
                <w:sz w:val="16"/>
                <w:szCs w:val="16"/>
              </w:rPr>
              <w:t>Adverse event rate for BSC_Fatigue</w:t>
            </w:r>
          </w:p>
        </w:tc>
        <w:tc>
          <w:tcPr>
            <w:tcW w:w="506" w:type="pct"/>
            <w:shd w:val="clear" w:color="auto" w:fill="auto"/>
            <w:noWrap/>
            <w:vAlign w:val="center"/>
          </w:tcPr>
          <w:p w14:paraId="665AEF36">
            <w:pPr>
              <w:pStyle w:val="24"/>
              <w:rPr>
                <w:sz w:val="16"/>
                <w:szCs w:val="16"/>
              </w:rPr>
            </w:pPr>
            <w:r>
              <w:rPr>
                <w:rFonts w:hint="eastAsia"/>
                <w:sz w:val="16"/>
                <w:szCs w:val="16"/>
              </w:rPr>
              <w:t>0.02</w:t>
            </w:r>
          </w:p>
        </w:tc>
        <w:tc>
          <w:tcPr>
            <w:tcW w:w="506" w:type="pct"/>
            <w:shd w:val="clear" w:color="auto" w:fill="auto"/>
            <w:noWrap/>
            <w:vAlign w:val="center"/>
          </w:tcPr>
          <w:p w14:paraId="23BF366A">
            <w:pPr>
              <w:pStyle w:val="24"/>
              <w:rPr>
                <w:sz w:val="16"/>
                <w:szCs w:val="16"/>
              </w:rPr>
            </w:pPr>
            <w:r>
              <w:rPr>
                <w:rFonts w:hint="eastAsia"/>
                <w:sz w:val="16"/>
                <w:szCs w:val="16"/>
              </w:rPr>
              <w:t>0.02</w:t>
            </w:r>
          </w:p>
        </w:tc>
        <w:tc>
          <w:tcPr>
            <w:tcW w:w="509" w:type="pct"/>
            <w:shd w:val="clear" w:color="auto" w:fill="auto"/>
            <w:noWrap/>
            <w:vAlign w:val="center"/>
          </w:tcPr>
          <w:p w14:paraId="653EE8BF">
            <w:pPr>
              <w:pStyle w:val="24"/>
              <w:rPr>
                <w:sz w:val="16"/>
                <w:szCs w:val="16"/>
              </w:rPr>
            </w:pPr>
            <w:r>
              <w:rPr>
                <w:rFonts w:hint="eastAsia"/>
                <w:sz w:val="16"/>
                <w:szCs w:val="16"/>
              </w:rPr>
              <w:t>0.03</w:t>
            </w:r>
          </w:p>
        </w:tc>
        <w:tc>
          <w:tcPr>
            <w:tcW w:w="512" w:type="pct"/>
            <w:shd w:val="clear" w:color="auto" w:fill="auto"/>
            <w:noWrap/>
            <w:vAlign w:val="center"/>
          </w:tcPr>
          <w:p w14:paraId="011B7DDA">
            <w:pPr>
              <w:pStyle w:val="24"/>
              <w:rPr>
                <w:sz w:val="16"/>
                <w:szCs w:val="16"/>
              </w:rPr>
            </w:pPr>
            <w:r>
              <w:rPr>
                <w:rFonts w:hint="eastAsia"/>
                <w:sz w:val="16"/>
                <w:szCs w:val="16"/>
              </w:rPr>
              <w:t>Beta</w:t>
            </w:r>
          </w:p>
        </w:tc>
        <w:tc>
          <w:tcPr>
            <w:tcW w:w="494" w:type="pct"/>
            <w:shd w:val="clear" w:color="auto" w:fill="auto"/>
            <w:noWrap/>
            <w:vAlign w:val="center"/>
          </w:tcPr>
          <w:p w14:paraId="04440572">
            <w:pPr>
              <w:pStyle w:val="24"/>
              <w:rPr>
                <w:sz w:val="16"/>
                <w:szCs w:val="16"/>
              </w:rPr>
            </w:pPr>
            <w:r>
              <w:rPr>
                <w:sz w:val="16"/>
                <w:szCs w:val="16"/>
              </w:rPr>
              <w:fldChar w:fldCharType="begin"/>
            </w:r>
            <w:r>
              <w:rPr>
                <w:sz w:val="16"/>
                <w:szCs w:val="16"/>
              </w:rPr>
              <w:instrText xml:space="preserve"> ADDIN NE.Ref.{0BAF90DE-BDCD-4E51-9507-64D93143C456}</w:instrText>
            </w:r>
            <w:r>
              <w:rPr>
                <w:sz w:val="16"/>
                <w:szCs w:val="16"/>
              </w:rPr>
              <w:fldChar w:fldCharType="separate"/>
            </w:r>
            <w:r>
              <w:rPr>
                <w:rFonts w:eastAsia="宋体" w:cs="Times New Roman"/>
                <w:color w:val="080000"/>
                <w:kern w:val="0"/>
                <w:sz w:val="16"/>
                <w:szCs w:val="16"/>
              </w:rPr>
              <w:t>[15-18]</w:t>
            </w:r>
            <w:r>
              <w:rPr>
                <w:sz w:val="16"/>
                <w:szCs w:val="16"/>
              </w:rPr>
              <w:fldChar w:fldCharType="end"/>
            </w:r>
          </w:p>
        </w:tc>
      </w:tr>
      <w:tr w14:paraId="61C4E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1C7B0C6">
            <w:pPr>
              <w:pStyle w:val="24"/>
              <w:rPr>
                <w:sz w:val="16"/>
                <w:szCs w:val="16"/>
              </w:rPr>
            </w:pPr>
            <w:r>
              <w:rPr>
                <w:rFonts w:hint="eastAsia"/>
                <w:sz w:val="16"/>
                <w:szCs w:val="16"/>
              </w:rPr>
              <w:t>Adverse event rate for BSC_Anorexia</w:t>
            </w:r>
          </w:p>
        </w:tc>
        <w:tc>
          <w:tcPr>
            <w:tcW w:w="506" w:type="pct"/>
            <w:shd w:val="clear" w:color="auto" w:fill="auto"/>
            <w:noWrap/>
            <w:vAlign w:val="center"/>
          </w:tcPr>
          <w:p w14:paraId="2F9D10D1">
            <w:pPr>
              <w:pStyle w:val="24"/>
              <w:rPr>
                <w:sz w:val="16"/>
                <w:szCs w:val="16"/>
              </w:rPr>
            </w:pPr>
            <w:r>
              <w:rPr>
                <w:rFonts w:hint="eastAsia"/>
                <w:sz w:val="16"/>
                <w:szCs w:val="16"/>
              </w:rPr>
              <w:t>0.01</w:t>
            </w:r>
          </w:p>
        </w:tc>
        <w:tc>
          <w:tcPr>
            <w:tcW w:w="506" w:type="pct"/>
            <w:shd w:val="clear" w:color="auto" w:fill="auto"/>
            <w:noWrap/>
            <w:vAlign w:val="center"/>
          </w:tcPr>
          <w:p w14:paraId="65C0BB02">
            <w:pPr>
              <w:pStyle w:val="24"/>
              <w:rPr>
                <w:sz w:val="16"/>
                <w:szCs w:val="16"/>
              </w:rPr>
            </w:pPr>
            <w:r>
              <w:rPr>
                <w:rFonts w:hint="eastAsia"/>
                <w:sz w:val="16"/>
                <w:szCs w:val="16"/>
              </w:rPr>
              <w:t>0.01</w:t>
            </w:r>
          </w:p>
        </w:tc>
        <w:tc>
          <w:tcPr>
            <w:tcW w:w="509" w:type="pct"/>
            <w:shd w:val="clear" w:color="auto" w:fill="auto"/>
            <w:noWrap/>
            <w:vAlign w:val="center"/>
          </w:tcPr>
          <w:p w14:paraId="1C499829">
            <w:pPr>
              <w:pStyle w:val="24"/>
              <w:rPr>
                <w:sz w:val="16"/>
                <w:szCs w:val="16"/>
              </w:rPr>
            </w:pPr>
            <w:r>
              <w:rPr>
                <w:rFonts w:hint="eastAsia"/>
                <w:sz w:val="16"/>
                <w:szCs w:val="16"/>
              </w:rPr>
              <w:t>0.01</w:t>
            </w:r>
          </w:p>
        </w:tc>
        <w:tc>
          <w:tcPr>
            <w:tcW w:w="512" w:type="pct"/>
            <w:shd w:val="clear" w:color="auto" w:fill="auto"/>
            <w:noWrap/>
            <w:vAlign w:val="center"/>
          </w:tcPr>
          <w:p w14:paraId="2C87909E">
            <w:pPr>
              <w:pStyle w:val="24"/>
              <w:rPr>
                <w:sz w:val="16"/>
                <w:szCs w:val="16"/>
              </w:rPr>
            </w:pPr>
            <w:r>
              <w:rPr>
                <w:rFonts w:hint="eastAsia"/>
                <w:sz w:val="16"/>
                <w:szCs w:val="16"/>
              </w:rPr>
              <w:t>Beta</w:t>
            </w:r>
          </w:p>
        </w:tc>
        <w:tc>
          <w:tcPr>
            <w:tcW w:w="494" w:type="pct"/>
            <w:shd w:val="clear" w:color="auto" w:fill="auto"/>
            <w:noWrap/>
            <w:vAlign w:val="center"/>
          </w:tcPr>
          <w:p w14:paraId="3ED4451A">
            <w:pPr>
              <w:pStyle w:val="24"/>
              <w:rPr>
                <w:sz w:val="16"/>
                <w:szCs w:val="16"/>
              </w:rPr>
            </w:pPr>
            <w:r>
              <w:rPr>
                <w:sz w:val="16"/>
                <w:szCs w:val="16"/>
              </w:rPr>
              <w:fldChar w:fldCharType="begin"/>
            </w:r>
            <w:r>
              <w:rPr>
                <w:sz w:val="16"/>
                <w:szCs w:val="16"/>
              </w:rPr>
              <w:instrText xml:space="preserve"> ADDIN NE.Ref.{78691C68-6E6B-49E8-A1CE-AE428C9CDF47}</w:instrText>
            </w:r>
            <w:r>
              <w:rPr>
                <w:sz w:val="16"/>
                <w:szCs w:val="16"/>
              </w:rPr>
              <w:fldChar w:fldCharType="separate"/>
            </w:r>
            <w:r>
              <w:rPr>
                <w:rFonts w:eastAsia="宋体" w:cs="Times New Roman"/>
                <w:color w:val="080000"/>
                <w:kern w:val="0"/>
                <w:sz w:val="16"/>
                <w:szCs w:val="16"/>
              </w:rPr>
              <w:t>[15-18]</w:t>
            </w:r>
            <w:r>
              <w:rPr>
                <w:sz w:val="16"/>
                <w:szCs w:val="16"/>
              </w:rPr>
              <w:fldChar w:fldCharType="end"/>
            </w:r>
          </w:p>
        </w:tc>
      </w:tr>
      <w:tr w14:paraId="54F3D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2FF1AB9">
            <w:pPr>
              <w:pStyle w:val="24"/>
              <w:rPr>
                <w:sz w:val="16"/>
                <w:szCs w:val="16"/>
              </w:rPr>
            </w:pPr>
            <w:r>
              <w:rPr>
                <w:rFonts w:hint="eastAsia"/>
                <w:sz w:val="16"/>
                <w:szCs w:val="16"/>
              </w:rPr>
              <w:t>Adverse event rate for BSC_Increase in total bilirubin level</w:t>
            </w:r>
          </w:p>
        </w:tc>
        <w:tc>
          <w:tcPr>
            <w:tcW w:w="506" w:type="pct"/>
            <w:shd w:val="clear" w:color="auto" w:fill="auto"/>
            <w:noWrap/>
            <w:vAlign w:val="center"/>
          </w:tcPr>
          <w:p w14:paraId="63FF2A79">
            <w:pPr>
              <w:pStyle w:val="24"/>
              <w:rPr>
                <w:sz w:val="16"/>
                <w:szCs w:val="16"/>
              </w:rPr>
            </w:pPr>
            <w:r>
              <w:rPr>
                <w:rFonts w:hint="eastAsia"/>
                <w:sz w:val="16"/>
                <w:szCs w:val="16"/>
              </w:rPr>
              <w:t>0.02</w:t>
            </w:r>
          </w:p>
        </w:tc>
        <w:tc>
          <w:tcPr>
            <w:tcW w:w="506" w:type="pct"/>
            <w:shd w:val="clear" w:color="auto" w:fill="auto"/>
            <w:noWrap/>
            <w:vAlign w:val="center"/>
          </w:tcPr>
          <w:p w14:paraId="6742C338">
            <w:pPr>
              <w:pStyle w:val="24"/>
              <w:rPr>
                <w:sz w:val="16"/>
                <w:szCs w:val="16"/>
              </w:rPr>
            </w:pPr>
            <w:r>
              <w:rPr>
                <w:rFonts w:hint="eastAsia"/>
                <w:sz w:val="16"/>
                <w:szCs w:val="16"/>
              </w:rPr>
              <w:t>0.013</w:t>
            </w:r>
          </w:p>
        </w:tc>
        <w:tc>
          <w:tcPr>
            <w:tcW w:w="509" w:type="pct"/>
            <w:shd w:val="clear" w:color="auto" w:fill="auto"/>
            <w:noWrap/>
            <w:vAlign w:val="center"/>
          </w:tcPr>
          <w:p w14:paraId="57A3E5E3">
            <w:pPr>
              <w:pStyle w:val="24"/>
              <w:rPr>
                <w:sz w:val="16"/>
                <w:szCs w:val="16"/>
              </w:rPr>
            </w:pPr>
            <w:r>
              <w:rPr>
                <w:rFonts w:hint="eastAsia"/>
                <w:sz w:val="16"/>
                <w:szCs w:val="16"/>
              </w:rPr>
              <w:t>0.020</w:t>
            </w:r>
          </w:p>
        </w:tc>
        <w:tc>
          <w:tcPr>
            <w:tcW w:w="512" w:type="pct"/>
            <w:shd w:val="clear" w:color="auto" w:fill="auto"/>
            <w:noWrap/>
            <w:vAlign w:val="center"/>
          </w:tcPr>
          <w:p w14:paraId="7E01A6E0">
            <w:pPr>
              <w:pStyle w:val="24"/>
              <w:rPr>
                <w:sz w:val="16"/>
                <w:szCs w:val="16"/>
              </w:rPr>
            </w:pPr>
            <w:r>
              <w:rPr>
                <w:rFonts w:hint="eastAsia"/>
                <w:sz w:val="16"/>
                <w:szCs w:val="16"/>
              </w:rPr>
              <w:t>Beta</w:t>
            </w:r>
          </w:p>
        </w:tc>
        <w:tc>
          <w:tcPr>
            <w:tcW w:w="494" w:type="pct"/>
            <w:shd w:val="clear" w:color="auto" w:fill="auto"/>
            <w:noWrap/>
            <w:vAlign w:val="center"/>
          </w:tcPr>
          <w:p w14:paraId="4CEBC265">
            <w:pPr>
              <w:pStyle w:val="24"/>
              <w:rPr>
                <w:sz w:val="16"/>
                <w:szCs w:val="16"/>
              </w:rPr>
            </w:pPr>
            <w:r>
              <w:rPr>
                <w:sz w:val="16"/>
                <w:szCs w:val="16"/>
              </w:rPr>
              <w:fldChar w:fldCharType="begin"/>
            </w:r>
            <w:r>
              <w:rPr>
                <w:sz w:val="16"/>
                <w:szCs w:val="16"/>
              </w:rPr>
              <w:instrText xml:space="preserve"> ADDIN NE.Ref.{2D83D2B8-0624-4A93-8B93-3F8852A41E0C}</w:instrText>
            </w:r>
            <w:r>
              <w:rPr>
                <w:sz w:val="16"/>
                <w:szCs w:val="16"/>
              </w:rPr>
              <w:fldChar w:fldCharType="separate"/>
            </w:r>
            <w:r>
              <w:rPr>
                <w:rFonts w:eastAsia="宋体" w:cs="Times New Roman"/>
                <w:color w:val="080000"/>
                <w:kern w:val="0"/>
                <w:sz w:val="16"/>
                <w:szCs w:val="16"/>
              </w:rPr>
              <w:t>[15-18]</w:t>
            </w:r>
            <w:r>
              <w:rPr>
                <w:sz w:val="16"/>
                <w:szCs w:val="16"/>
              </w:rPr>
              <w:fldChar w:fldCharType="end"/>
            </w:r>
          </w:p>
        </w:tc>
      </w:tr>
      <w:tr w14:paraId="3D9C8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E586F96">
            <w:pPr>
              <w:pStyle w:val="24"/>
              <w:rPr>
                <w:sz w:val="16"/>
                <w:szCs w:val="16"/>
              </w:rPr>
            </w:pPr>
            <w:r>
              <w:rPr>
                <w:rFonts w:hint="eastAsia"/>
                <w:sz w:val="16"/>
                <w:szCs w:val="16"/>
              </w:rPr>
              <w:t>Adverse event rate for BSC_Hyponatremia</w:t>
            </w:r>
          </w:p>
        </w:tc>
        <w:tc>
          <w:tcPr>
            <w:tcW w:w="506" w:type="pct"/>
            <w:shd w:val="clear" w:color="auto" w:fill="auto"/>
            <w:noWrap/>
            <w:vAlign w:val="center"/>
          </w:tcPr>
          <w:p w14:paraId="37FEE9E4">
            <w:pPr>
              <w:pStyle w:val="24"/>
              <w:rPr>
                <w:sz w:val="16"/>
                <w:szCs w:val="16"/>
              </w:rPr>
            </w:pPr>
            <w:r>
              <w:rPr>
                <w:rFonts w:hint="eastAsia"/>
                <w:sz w:val="16"/>
                <w:szCs w:val="16"/>
              </w:rPr>
              <w:t>0.01</w:t>
            </w:r>
          </w:p>
        </w:tc>
        <w:tc>
          <w:tcPr>
            <w:tcW w:w="506" w:type="pct"/>
            <w:shd w:val="clear" w:color="auto" w:fill="auto"/>
            <w:noWrap/>
            <w:vAlign w:val="center"/>
          </w:tcPr>
          <w:p w14:paraId="06C24CC7">
            <w:pPr>
              <w:pStyle w:val="24"/>
              <w:rPr>
                <w:sz w:val="16"/>
                <w:szCs w:val="16"/>
              </w:rPr>
            </w:pPr>
            <w:r>
              <w:rPr>
                <w:rFonts w:hint="eastAsia"/>
                <w:sz w:val="16"/>
                <w:szCs w:val="16"/>
              </w:rPr>
              <w:t>0.008</w:t>
            </w:r>
          </w:p>
        </w:tc>
        <w:tc>
          <w:tcPr>
            <w:tcW w:w="509" w:type="pct"/>
            <w:shd w:val="clear" w:color="auto" w:fill="auto"/>
            <w:noWrap/>
            <w:vAlign w:val="center"/>
          </w:tcPr>
          <w:p w14:paraId="07A3F0FF">
            <w:pPr>
              <w:pStyle w:val="24"/>
              <w:rPr>
                <w:sz w:val="16"/>
                <w:szCs w:val="16"/>
              </w:rPr>
            </w:pPr>
            <w:r>
              <w:rPr>
                <w:rFonts w:hint="eastAsia"/>
                <w:sz w:val="16"/>
                <w:szCs w:val="16"/>
              </w:rPr>
              <w:t>0.012</w:t>
            </w:r>
          </w:p>
        </w:tc>
        <w:tc>
          <w:tcPr>
            <w:tcW w:w="512" w:type="pct"/>
            <w:shd w:val="clear" w:color="auto" w:fill="auto"/>
            <w:noWrap/>
            <w:vAlign w:val="center"/>
          </w:tcPr>
          <w:p w14:paraId="634D2BCD">
            <w:pPr>
              <w:pStyle w:val="24"/>
              <w:rPr>
                <w:sz w:val="16"/>
                <w:szCs w:val="16"/>
              </w:rPr>
            </w:pPr>
            <w:r>
              <w:rPr>
                <w:rFonts w:hint="eastAsia"/>
                <w:sz w:val="16"/>
                <w:szCs w:val="16"/>
              </w:rPr>
              <w:t>Beta</w:t>
            </w:r>
          </w:p>
        </w:tc>
        <w:tc>
          <w:tcPr>
            <w:tcW w:w="494" w:type="pct"/>
            <w:shd w:val="clear" w:color="auto" w:fill="auto"/>
            <w:noWrap/>
            <w:vAlign w:val="center"/>
          </w:tcPr>
          <w:p w14:paraId="70B012B9">
            <w:pPr>
              <w:pStyle w:val="24"/>
              <w:rPr>
                <w:sz w:val="16"/>
                <w:szCs w:val="16"/>
              </w:rPr>
            </w:pPr>
            <w:r>
              <w:rPr>
                <w:sz w:val="16"/>
                <w:szCs w:val="16"/>
              </w:rPr>
              <w:fldChar w:fldCharType="begin"/>
            </w:r>
            <w:r>
              <w:rPr>
                <w:sz w:val="16"/>
                <w:szCs w:val="16"/>
              </w:rPr>
              <w:instrText xml:space="preserve"> ADDIN NE.Ref.{4453767A-2D41-4D44-B8B2-5C6D82820027}</w:instrText>
            </w:r>
            <w:r>
              <w:rPr>
                <w:sz w:val="16"/>
                <w:szCs w:val="16"/>
              </w:rPr>
              <w:fldChar w:fldCharType="separate"/>
            </w:r>
            <w:r>
              <w:rPr>
                <w:rFonts w:eastAsia="宋体" w:cs="Times New Roman"/>
                <w:color w:val="080000"/>
                <w:kern w:val="0"/>
                <w:sz w:val="16"/>
                <w:szCs w:val="16"/>
              </w:rPr>
              <w:t>[15-18]</w:t>
            </w:r>
            <w:r>
              <w:rPr>
                <w:sz w:val="16"/>
                <w:szCs w:val="16"/>
              </w:rPr>
              <w:fldChar w:fldCharType="end"/>
            </w:r>
          </w:p>
        </w:tc>
      </w:tr>
      <w:tr w14:paraId="49FA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AE0086C">
            <w:pPr>
              <w:pStyle w:val="24"/>
              <w:rPr>
                <w:rFonts w:eastAsiaTheme="minorEastAsia"/>
                <w:sz w:val="16"/>
                <w:szCs w:val="16"/>
              </w:rPr>
            </w:pPr>
            <w:r>
              <w:rPr>
                <w:rFonts w:hint="eastAsia"/>
                <w:sz w:val="16"/>
                <w:szCs w:val="16"/>
              </w:rPr>
              <w:t>Adverse event rate for BSC_Increase in AST leve</w:t>
            </w:r>
            <w:r>
              <w:rPr>
                <w:rFonts w:hint="eastAsia" w:eastAsiaTheme="minorEastAsia"/>
                <w:sz w:val="16"/>
                <w:szCs w:val="16"/>
              </w:rPr>
              <w:t>l</w:t>
            </w:r>
          </w:p>
        </w:tc>
        <w:tc>
          <w:tcPr>
            <w:tcW w:w="506" w:type="pct"/>
            <w:shd w:val="clear" w:color="auto" w:fill="auto"/>
            <w:noWrap/>
            <w:vAlign w:val="center"/>
          </w:tcPr>
          <w:p w14:paraId="4BCD866B">
            <w:pPr>
              <w:pStyle w:val="24"/>
              <w:rPr>
                <w:sz w:val="16"/>
                <w:szCs w:val="16"/>
              </w:rPr>
            </w:pPr>
            <w:r>
              <w:rPr>
                <w:rFonts w:hint="eastAsia"/>
                <w:sz w:val="16"/>
                <w:szCs w:val="16"/>
              </w:rPr>
              <w:t>0.01</w:t>
            </w:r>
          </w:p>
        </w:tc>
        <w:tc>
          <w:tcPr>
            <w:tcW w:w="506" w:type="pct"/>
            <w:shd w:val="clear" w:color="auto" w:fill="auto"/>
            <w:noWrap/>
            <w:vAlign w:val="center"/>
          </w:tcPr>
          <w:p w14:paraId="1E934906">
            <w:pPr>
              <w:pStyle w:val="24"/>
              <w:rPr>
                <w:sz w:val="16"/>
                <w:szCs w:val="16"/>
              </w:rPr>
            </w:pPr>
            <w:r>
              <w:rPr>
                <w:rFonts w:hint="eastAsia"/>
                <w:sz w:val="16"/>
                <w:szCs w:val="16"/>
              </w:rPr>
              <w:t>0.009</w:t>
            </w:r>
          </w:p>
        </w:tc>
        <w:tc>
          <w:tcPr>
            <w:tcW w:w="509" w:type="pct"/>
            <w:shd w:val="clear" w:color="auto" w:fill="auto"/>
            <w:noWrap/>
            <w:vAlign w:val="center"/>
          </w:tcPr>
          <w:p w14:paraId="33CA0DAE">
            <w:pPr>
              <w:pStyle w:val="24"/>
              <w:rPr>
                <w:sz w:val="16"/>
                <w:szCs w:val="16"/>
              </w:rPr>
            </w:pPr>
            <w:r>
              <w:rPr>
                <w:rFonts w:hint="eastAsia"/>
                <w:sz w:val="16"/>
                <w:szCs w:val="16"/>
              </w:rPr>
              <w:t>0.014</w:t>
            </w:r>
          </w:p>
        </w:tc>
        <w:tc>
          <w:tcPr>
            <w:tcW w:w="512" w:type="pct"/>
            <w:shd w:val="clear" w:color="auto" w:fill="auto"/>
            <w:noWrap/>
            <w:vAlign w:val="center"/>
          </w:tcPr>
          <w:p w14:paraId="0E04F793">
            <w:pPr>
              <w:pStyle w:val="24"/>
              <w:rPr>
                <w:sz w:val="16"/>
                <w:szCs w:val="16"/>
              </w:rPr>
            </w:pPr>
            <w:r>
              <w:rPr>
                <w:rFonts w:hint="eastAsia"/>
                <w:sz w:val="16"/>
                <w:szCs w:val="16"/>
              </w:rPr>
              <w:t>Beta</w:t>
            </w:r>
          </w:p>
        </w:tc>
        <w:tc>
          <w:tcPr>
            <w:tcW w:w="494" w:type="pct"/>
            <w:shd w:val="clear" w:color="auto" w:fill="auto"/>
            <w:noWrap/>
            <w:vAlign w:val="center"/>
          </w:tcPr>
          <w:p w14:paraId="6E275CBD">
            <w:pPr>
              <w:pStyle w:val="24"/>
              <w:rPr>
                <w:sz w:val="16"/>
                <w:szCs w:val="16"/>
              </w:rPr>
            </w:pPr>
            <w:r>
              <w:rPr>
                <w:sz w:val="16"/>
                <w:szCs w:val="16"/>
              </w:rPr>
              <w:fldChar w:fldCharType="begin"/>
            </w:r>
            <w:r>
              <w:rPr>
                <w:sz w:val="16"/>
                <w:szCs w:val="16"/>
              </w:rPr>
              <w:instrText xml:space="preserve"> ADDIN NE.Ref.{7D2E796A-8687-41AC-8FF8-B8ABF8C46737}</w:instrText>
            </w:r>
            <w:r>
              <w:rPr>
                <w:sz w:val="16"/>
                <w:szCs w:val="16"/>
              </w:rPr>
              <w:fldChar w:fldCharType="separate"/>
            </w:r>
            <w:r>
              <w:rPr>
                <w:rFonts w:eastAsia="宋体" w:cs="Times New Roman"/>
                <w:color w:val="080000"/>
                <w:kern w:val="0"/>
                <w:sz w:val="16"/>
                <w:szCs w:val="16"/>
              </w:rPr>
              <w:t>[15-18]</w:t>
            </w:r>
            <w:r>
              <w:rPr>
                <w:sz w:val="16"/>
                <w:szCs w:val="16"/>
              </w:rPr>
              <w:fldChar w:fldCharType="end"/>
            </w:r>
          </w:p>
        </w:tc>
      </w:tr>
      <w:tr w14:paraId="45F67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7ACF15E">
            <w:pPr>
              <w:pStyle w:val="24"/>
              <w:rPr>
                <w:sz w:val="16"/>
                <w:szCs w:val="16"/>
              </w:rPr>
            </w:pPr>
            <w:r>
              <w:rPr>
                <w:rFonts w:hint="eastAsia"/>
                <w:sz w:val="16"/>
                <w:szCs w:val="16"/>
              </w:rPr>
              <w:t>Duration of Adverse events, days</w:t>
            </w:r>
          </w:p>
        </w:tc>
        <w:tc>
          <w:tcPr>
            <w:tcW w:w="506" w:type="pct"/>
            <w:shd w:val="clear" w:color="auto" w:fill="auto"/>
            <w:noWrap/>
            <w:vAlign w:val="center"/>
          </w:tcPr>
          <w:p w14:paraId="7C9C811F">
            <w:pPr>
              <w:pStyle w:val="24"/>
              <w:rPr>
                <w:sz w:val="16"/>
                <w:szCs w:val="16"/>
              </w:rPr>
            </w:pPr>
            <w:r>
              <w:rPr>
                <w:rFonts w:hint="eastAsia"/>
                <w:sz w:val="16"/>
                <w:szCs w:val="16"/>
              </w:rPr>
              <w:t>30.00</w:t>
            </w:r>
          </w:p>
        </w:tc>
        <w:tc>
          <w:tcPr>
            <w:tcW w:w="506" w:type="pct"/>
            <w:shd w:val="clear" w:color="auto" w:fill="auto"/>
            <w:noWrap/>
            <w:vAlign w:val="center"/>
          </w:tcPr>
          <w:p w14:paraId="2F7D2501">
            <w:pPr>
              <w:pStyle w:val="24"/>
              <w:rPr>
                <w:sz w:val="16"/>
                <w:szCs w:val="16"/>
              </w:rPr>
            </w:pPr>
            <w:r>
              <w:rPr>
                <w:rFonts w:hint="eastAsia"/>
                <w:sz w:val="16"/>
                <w:szCs w:val="16"/>
              </w:rPr>
              <w:t>15.00</w:t>
            </w:r>
          </w:p>
        </w:tc>
        <w:tc>
          <w:tcPr>
            <w:tcW w:w="509" w:type="pct"/>
            <w:shd w:val="clear" w:color="auto" w:fill="auto"/>
            <w:noWrap/>
            <w:vAlign w:val="center"/>
          </w:tcPr>
          <w:p w14:paraId="379F68CE">
            <w:pPr>
              <w:pStyle w:val="24"/>
              <w:rPr>
                <w:sz w:val="16"/>
                <w:szCs w:val="16"/>
              </w:rPr>
            </w:pPr>
            <w:r>
              <w:rPr>
                <w:rFonts w:hint="eastAsia"/>
                <w:sz w:val="16"/>
                <w:szCs w:val="16"/>
              </w:rPr>
              <w:t>45.00</w:t>
            </w:r>
          </w:p>
        </w:tc>
        <w:tc>
          <w:tcPr>
            <w:tcW w:w="512" w:type="pct"/>
            <w:shd w:val="clear" w:color="auto" w:fill="auto"/>
            <w:noWrap/>
            <w:vAlign w:val="center"/>
          </w:tcPr>
          <w:p w14:paraId="3AB65803">
            <w:pPr>
              <w:pStyle w:val="24"/>
              <w:rPr>
                <w:sz w:val="16"/>
                <w:szCs w:val="16"/>
              </w:rPr>
            </w:pPr>
            <w:r>
              <w:rPr>
                <w:rFonts w:hint="eastAsia"/>
                <w:sz w:val="16"/>
                <w:szCs w:val="16"/>
              </w:rPr>
              <w:t>Gamma</w:t>
            </w:r>
          </w:p>
        </w:tc>
        <w:tc>
          <w:tcPr>
            <w:tcW w:w="494" w:type="pct"/>
            <w:shd w:val="clear" w:color="auto" w:fill="auto"/>
            <w:noWrap/>
            <w:vAlign w:val="center"/>
          </w:tcPr>
          <w:p w14:paraId="320F26EA">
            <w:pPr>
              <w:pStyle w:val="24"/>
              <w:rPr>
                <w:sz w:val="16"/>
                <w:szCs w:val="16"/>
              </w:rPr>
            </w:pPr>
            <w:r>
              <w:rPr>
                <w:sz w:val="16"/>
                <w:szCs w:val="16"/>
              </w:rPr>
              <w:fldChar w:fldCharType="begin"/>
            </w:r>
            <w:r>
              <w:rPr>
                <w:sz w:val="16"/>
                <w:szCs w:val="16"/>
              </w:rPr>
              <w:instrText xml:space="preserve"> ADDIN NE.Ref.{C546C4BC-887D-4974-8D5A-3A413D197BCD}</w:instrText>
            </w:r>
            <w:r>
              <w:rPr>
                <w:sz w:val="16"/>
                <w:szCs w:val="16"/>
              </w:rPr>
              <w:fldChar w:fldCharType="separate"/>
            </w:r>
            <w:r>
              <w:rPr>
                <w:rFonts w:eastAsia="宋体" w:cs="Times New Roman"/>
                <w:color w:val="080000"/>
                <w:kern w:val="0"/>
                <w:sz w:val="16"/>
                <w:szCs w:val="16"/>
              </w:rPr>
              <w:t>[28]</w:t>
            </w:r>
            <w:r>
              <w:rPr>
                <w:sz w:val="16"/>
                <w:szCs w:val="16"/>
              </w:rPr>
              <w:fldChar w:fldCharType="end"/>
            </w:r>
            <w:r>
              <w:rPr>
                <w:rFonts w:hint="eastAsia"/>
                <w:sz w:val="16"/>
                <w:szCs w:val="16"/>
              </w:rPr>
              <w:t>　</w:t>
            </w:r>
          </w:p>
        </w:tc>
      </w:tr>
      <w:tr w14:paraId="1E9E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01845B8">
            <w:pPr>
              <w:pStyle w:val="24"/>
              <w:rPr>
                <w:sz w:val="16"/>
                <w:szCs w:val="16"/>
              </w:rPr>
            </w:pPr>
            <w:r>
              <w:rPr>
                <w:rFonts w:hint="eastAsia"/>
                <w:sz w:val="16"/>
                <w:szCs w:val="16"/>
              </w:rPr>
              <w:t>Effectiveness Parameters</w:t>
            </w:r>
          </w:p>
        </w:tc>
        <w:tc>
          <w:tcPr>
            <w:tcW w:w="506" w:type="pct"/>
            <w:shd w:val="clear" w:color="auto" w:fill="auto"/>
            <w:noWrap/>
            <w:vAlign w:val="center"/>
          </w:tcPr>
          <w:p w14:paraId="1F292036">
            <w:pPr>
              <w:pStyle w:val="24"/>
              <w:rPr>
                <w:sz w:val="16"/>
                <w:szCs w:val="16"/>
              </w:rPr>
            </w:pPr>
            <w:r>
              <w:rPr>
                <w:rFonts w:hint="eastAsia"/>
                <w:sz w:val="16"/>
                <w:szCs w:val="16"/>
              </w:rPr>
              <w:t>　</w:t>
            </w:r>
          </w:p>
        </w:tc>
        <w:tc>
          <w:tcPr>
            <w:tcW w:w="506" w:type="pct"/>
            <w:shd w:val="clear" w:color="auto" w:fill="auto"/>
            <w:noWrap/>
            <w:vAlign w:val="center"/>
          </w:tcPr>
          <w:p w14:paraId="46FA6E71">
            <w:pPr>
              <w:pStyle w:val="24"/>
              <w:rPr>
                <w:sz w:val="16"/>
                <w:szCs w:val="16"/>
              </w:rPr>
            </w:pPr>
            <w:r>
              <w:rPr>
                <w:rFonts w:hint="eastAsia"/>
                <w:sz w:val="16"/>
                <w:szCs w:val="16"/>
              </w:rPr>
              <w:t>　</w:t>
            </w:r>
          </w:p>
        </w:tc>
        <w:tc>
          <w:tcPr>
            <w:tcW w:w="509" w:type="pct"/>
            <w:shd w:val="clear" w:color="auto" w:fill="auto"/>
            <w:noWrap/>
            <w:vAlign w:val="center"/>
          </w:tcPr>
          <w:p w14:paraId="5458CBB1">
            <w:pPr>
              <w:pStyle w:val="24"/>
              <w:rPr>
                <w:sz w:val="16"/>
                <w:szCs w:val="16"/>
              </w:rPr>
            </w:pPr>
            <w:r>
              <w:rPr>
                <w:rFonts w:hint="eastAsia"/>
                <w:sz w:val="16"/>
                <w:szCs w:val="16"/>
              </w:rPr>
              <w:t>　</w:t>
            </w:r>
          </w:p>
        </w:tc>
        <w:tc>
          <w:tcPr>
            <w:tcW w:w="512" w:type="pct"/>
            <w:shd w:val="clear" w:color="auto" w:fill="auto"/>
            <w:noWrap/>
            <w:vAlign w:val="center"/>
          </w:tcPr>
          <w:p w14:paraId="5F5B7464">
            <w:pPr>
              <w:pStyle w:val="24"/>
              <w:rPr>
                <w:sz w:val="16"/>
                <w:szCs w:val="16"/>
              </w:rPr>
            </w:pPr>
            <w:r>
              <w:rPr>
                <w:rFonts w:hint="eastAsia"/>
                <w:sz w:val="16"/>
                <w:szCs w:val="16"/>
              </w:rPr>
              <w:t>　</w:t>
            </w:r>
          </w:p>
        </w:tc>
        <w:tc>
          <w:tcPr>
            <w:tcW w:w="494" w:type="pct"/>
            <w:shd w:val="clear" w:color="auto" w:fill="auto"/>
            <w:noWrap/>
            <w:vAlign w:val="center"/>
          </w:tcPr>
          <w:p w14:paraId="34F387BF">
            <w:pPr>
              <w:pStyle w:val="24"/>
              <w:rPr>
                <w:sz w:val="16"/>
                <w:szCs w:val="16"/>
              </w:rPr>
            </w:pPr>
            <w:r>
              <w:rPr>
                <w:rFonts w:hint="eastAsia"/>
                <w:sz w:val="16"/>
                <w:szCs w:val="16"/>
              </w:rPr>
              <w:t>　</w:t>
            </w:r>
          </w:p>
        </w:tc>
      </w:tr>
      <w:tr w14:paraId="1F204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D71930F">
            <w:pPr>
              <w:pStyle w:val="24"/>
              <w:rPr>
                <w:sz w:val="16"/>
                <w:szCs w:val="16"/>
              </w:rPr>
            </w:pPr>
            <w:r>
              <w:rPr>
                <w:rFonts w:hint="eastAsia"/>
                <w:sz w:val="16"/>
                <w:szCs w:val="16"/>
              </w:rPr>
              <w:t>Scale (Fruquintinib)</w:t>
            </w:r>
          </w:p>
        </w:tc>
        <w:tc>
          <w:tcPr>
            <w:tcW w:w="506" w:type="pct"/>
            <w:shd w:val="clear" w:color="auto" w:fill="auto"/>
            <w:noWrap/>
            <w:vAlign w:val="center"/>
          </w:tcPr>
          <w:p w14:paraId="4E380D2C">
            <w:pPr>
              <w:pStyle w:val="24"/>
              <w:rPr>
                <w:sz w:val="16"/>
                <w:szCs w:val="16"/>
              </w:rPr>
            </w:pPr>
            <w:r>
              <w:rPr>
                <w:rFonts w:hint="eastAsia"/>
                <w:sz w:val="16"/>
                <w:szCs w:val="16"/>
              </w:rPr>
              <w:t>2.241</w:t>
            </w:r>
          </w:p>
        </w:tc>
        <w:tc>
          <w:tcPr>
            <w:tcW w:w="506" w:type="pct"/>
            <w:shd w:val="clear" w:color="auto" w:fill="auto"/>
            <w:noWrap/>
            <w:vAlign w:val="center"/>
          </w:tcPr>
          <w:p w14:paraId="01EA99AE">
            <w:pPr>
              <w:pStyle w:val="24"/>
              <w:rPr>
                <w:sz w:val="16"/>
                <w:szCs w:val="16"/>
              </w:rPr>
            </w:pPr>
            <w:r>
              <w:rPr>
                <w:rFonts w:hint="eastAsia"/>
                <w:sz w:val="16"/>
                <w:szCs w:val="16"/>
              </w:rPr>
              <w:t>0.573</w:t>
            </w:r>
          </w:p>
        </w:tc>
        <w:tc>
          <w:tcPr>
            <w:tcW w:w="509" w:type="pct"/>
            <w:shd w:val="clear" w:color="auto" w:fill="auto"/>
            <w:noWrap/>
            <w:vAlign w:val="center"/>
          </w:tcPr>
          <w:p w14:paraId="1B7FA349">
            <w:pPr>
              <w:pStyle w:val="24"/>
              <w:rPr>
                <w:sz w:val="16"/>
                <w:szCs w:val="16"/>
              </w:rPr>
            </w:pPr>
            <w:r>
              <w:rPr>
                <w:rFonts w:hint="eastAsia"/>
                <w:sz w:val="16"/>
                <w:szCs w:val="16"/>
              </w:rPr>
              <w:t>3.913</w:t>
            </w:r>
          </w:p>
        </w:tc>
        <w:tc>
          <w:tcPr>
            <w:tcW w:w="512" w:type="pct"/>
            <w:shd w:val="clear" w:color="auto" w:fill="auto"/>
            <w:noWrap/>
            <w:vAlign w:val="center"/>
          </w:tcPr>
          <w:p w14:paraId="2303B4E3">
            <w:pPr>
              <w:pStyle w:val="24"/>
              <w:rPr>
                <w:sz w:val="16"/>
                <w:szCs w:val="16"/>
              </w:rPr>
            </w:pPr>
            <w:r>
              <w:rPr>
                <w:rFonts w:hint="eastAsia"/>
                <w:sz w:val="16"/>
                <w:szCs w:val="16"/>
              </w:rPr>
              <w:t>Fixed</w:t>
            </w:r>
          </w:p>
        </w:tc>
        <w:tc>
          <w:tcPr>
            <w:tcW w:w="494" w:type="pct"/>
            <w:vMerge w:val="restart"/>
            <w:shd w:val="clear" w:color="auto" w:fill="auto"/>
            <w:vAlign w:val="center"/>
          </w:tcPr>
          <w:p w14:paraId="4E7A30D8">
            <w:pPr>
              <w:pStyle w:val="24"/>
              <w:rPr>
                <w:sz w:val="16"/>
                <w:szCs w:val="16"/>
              </w:rPr>
            </w:pPr>
            <w:r>
              <w:rPr>
                <w:rFonts w:hint="eastAsia"/>
                <w:sz w:val="16"/>
                <w:szCs w:val="16"/>
              </w:rPr>
              <w:t>Bayesian First-Order Fractional Polynomial Network Meta-analysis Model for PFS</w:t>
            </w:r>
          </w:p>
        </w:tc>
      </w:tr>
      <w:tr w14:paraId="1167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1EF103C">
            <w:pPr>
              <w:pStyle w:val="24"/>
              <w:rPr>
                <w:sz w:val="16"/>
                <w:szCs w:val="16"/>
              </w:rPr>
            </w:pPr>
            <w:r>
              <w:rPr>
                <w:rFonts w:hint="eastAsia"/>
                <w:sz w:val="16"/>
                <w:szCs w:val="16"/>
              </w:rPr>
              <w:t>Scale (Regorafenib)</w:t>
            </w:r>
          </w:p>
        </w:tc>
        <w:tc>
          <w:tcPr>
            <w:tcW w:w="506" w:type="pct"/>
            <w:shd w:val="clear" w:color="auto" w:fill="auto"/>
            <w:noWrap/>
            <w:vAlign w:val="center"/>
          </w:tcPr>
          <w:p w14:paraId="46004D0F">
            <w:pPr>
              <w:pStyle w:val="24"/>
              <w:rPr>
                <w:sz w:val="16"/>
                <w:szCs w:val="16"/>
              </w:rPr>
            </w:pPr>
            <w:r>
              <w:rPr>
                <w:rFonts w:hint="eastAsia"/>
                <w:sz w:val="16"/>
                <w:szCs w:val="16"/>
              </w:rPr>
              <w:t>0.416</w:t>
            </w:r>
          </w:p>
        </w:tc>
        <w:tc>
          <w:tcPr>
            <w:tcW w:w="506" w:type="pct"/>
            <w:shd w:val="clear" w:color="auto" w:fill="auto"/>
            <w:noWrap/>
            <w:vAlign w:val="center"/>
          </w:tcPr>
          <w:p w14:paraId="1DF7B5D8">
            <w:pPr>
              <w:pStyle w:val="24"/>
              <w:rPr>
                <w:sz w:val="16"/>
                <w:szCs w:val="16"/>
              </w:rPr>
            </w:pPr>
            <w:r>
              <w:rPr>
                <w:rFonts w:hint="eastAsia"/>
                <w:sz w:val="16"/>
                <w:szCs w:val="16"/>
              </w:rPr>
              <w:t>-0.351</w:t>
            </w:r>
          </w:p>
        </w:tc>
        <w:tc>
          <w:tcPr>
            <w:tcW w:w="509" w:type="pct"/>
            <w:shd w:val="clear" w:color="auto" w:fill="auto"/>
            <w:noWrap/>
            <w:vAlign w:val="center"/>
          </w:tcPr>
          <w:p w14:paraId="7D955089">
            <w:pPr>
              <w:pStyle w:val="24"/>
              <w:rPr>
                <w:sz w:val="16"/>
                <w:szCs w:val="16"/>
              </w:rPr>
            </w:pPr>
            <w:r>
              <w:rPr>
                <w:rFonts w:hint="eastAsia"/>
                <w:sz w:val="16"/>
                <w:szCs w:val="16"/>
              </w:rPr>
              <w:t>1.183</w:t>
            </w:r>
          </w:p>
        </w:tc>
        <w:tc>
          <w:tcPr>
            <w:tcW w:w="512" w:type="pct"/>
            <w:shd w:val="clear" w:color="auto" w:fill="auto"/>
            <w:noWrap/>
            <w:vAlign w:val="center"/>
          </w:tcPr>
          <w:p w14:paraId="5A6C3428">
            <w:pPr>
              <w:pStyle w:val="24"/>
              <w:rPr>
                <w:sz w:val="16"/>
                <w:szCs w:val="16"/>
              </w:rPr>
            </w:pPr>
            <w:r>
              <w:rPr>
                <w:rFonts w:hint="eastAsia"/>
                <w:sz w:val="16"/>
                <w:szCs w:val="16"/>
              </w:rPr>
              <w:t>Fixed</w:t>
            </w:r>
          </w:p>
        </w:tc>
        <w:tc>
          <w:tcPr>
            <w:tcW w:w="494" w:type="pct"/>
            <w:vMerge w:val="continue"/>
            <w:shd w:val="clear" w:color="auto" w:fill="auto"/>
            <w:vAlign w:val="center"/>
          </w:tcPr>
          <w:p w14:paraId="2BBF4CC0">
            <w:pPr>
              <w:pStyle w:val="24"/>
              <w:rPr>
                <w:sz w:val="16"/>
                <w:szCs w:val="16"/>
              </w:rPr>
            </w:pPr>
          </w:p>
        </w:tc>
      </w:tr>
      <w:tr w14:paraId="20CC1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3D13F87">
            <w:pPr>
              <w:pStyle w:val="24"/>
              <w:rPr>
                <w:sz w:val="16"/>
                <w:szCs w:val="16"/>
              </w:rPr>
            </w:pPr>
            <w:r>
              <w:rPr>
                <w:rFonts w:hint="eastAsia"/>
                <w:sz w:val="16"/>
                <w:szCs w:val="16"/>
              </w:rPr>
              <w:t>Scale (REDos)</w:t>
            </w:r>
          </w:p>
        </w:tc>
        <w:tc>
          <w:tcPr>
            <w:tcW w:w="506" w:type="pct"/>
            <w:shd w:val="clear" w:color="auto" w:fill="auto"/>
            <w:noWrap/>
            <w:vAlign w:val="center"/>
          </w:tcPr>
          <w:p w14:paraId="66C5BEA0">
            <w:pPr>
              <w:pStyle w:val="24"/>
              <w:rPr>
                <w:sz w:val="16"/>
                <w:szCs w:val="16"/>
              </w:rPr>
            </w:pPr>
            <w:r>
              <w:rPr>
                <w:rFonts w:hint="eastAsia"/>
                <w:sz w:val="16"/>
                <w:szCs w:val="16"/>
              </w:rPr>
              <w:t>-0.114</w:t>
            </w:r>
          </w:p>
        </w:tc>
        <w:tc>
          <w:tcPr>
            <w:tcW w:w="506" w:type="pct"/>
            <w:shd w:val="clear" w:color="auto" w:fill="auto"/>
            <w:noWrap/>
            <w:vAlign w:val="center"/>
          </w:tcPr>
          <w:p w14:paraId="7F90510C">
            <w:pPr>
              <w:pStyle w:val="24"/>
              <w:rPr>
                <w:sz w:val="16"/>
                <w:szCs w:val="16"/>
              </w:rPr>
            </w:pPr>
            <w:r>
              <w:rPr>
                <w:rFonts w:hint="eastAsia"/>
                <w:sz w:val="16"/>
                <w:szCs w:val="16"/>
              </w:rPr>
              <w:t>-0.94</w:t>
            </w:r>
          </w:p>
        </w:tc>
        <w:tc>
          <w:tcPr>
            <w:tcW w:w="509" w:type="pct"/>
            <w:shd w:val="clear" w:color="auto" w:fill="auto"/>
            <w:noWrap/>
            <w:vAlign w:val="center"/>
          </w:tcPr>
          <w:p w14:paraId="4BF010AA">
            <w:pPr>
              <w:pStyle w:val="24"/>
              <w:rPr>
                <w:sz w:val="16"/>
                <w:szCs w:val="16"/>
              </w:rPr>
            </w:pPr>
            <w:r>
              <w:rPr>
                <w:rFonts w:hint="eastAsia"/>
                <w:sz w:val="16"/>
                <w:szCs w:val="16"/>
              </w:rPr>
              <w:t>0.753</w:t>
            </w:r>
          </w:p>
        </w:tc>
        <w:tc>
          <w:tcPr>
            <w:tcW w:w="512" w:type="pct"/>
            <w:shd w:val="clear" w:color="auto" w:fill="auto"/>
            <w:noWrap/>
            <w:vAlign w:val="center"/>
          </w:tcPr>
          <w:p w14:paraId="0BD262D5">
            <w:pPr>
              <w:pStyle w:val="24"/>
              <w:rPr>
                <w:sz w:val="16"/>
                <w:szCs w:val="16"/>
              </w:rPr>
            </w:pPr>
            <w:r>
              <w:rPr>
                <w:rFonts w:hint="eastAsia"/>
                <w:sz w:val="16"/>
                <w:szCs w:val="16"/>
              </w:rPr>
              <w:t>Fixed</w:t>
            </w:r>
          </w:p>
        </w:tc>
        <w:tc>
          <w:tcPr>
            <w:tcW w:w="494" w:type="pct"/>
            <w:vMerge w:val="continue"/>
            <w:shd w:val="clear" w:color="auto" w:fill="auto"/>
            <w:vAlign w:val="center"/>
          </w:tcPr>
          <w:p w14:paraId="454F6A0D">
            <w:pPr>
              <w:pStyle w:val="24"/>
              <w:rPr>
                <w:sz w:val="16"/>
                <w:szCs w:val="16"/>
              </w:rPr>
            </w:pPr>
          </w:p>
        </w:tc>
      </w:tr>
      <w:tr w14:paraId="6E22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8F7D478">
            <w:pPr>
              <w:pStyle w:val="24"/>
              <w:rPr>
                <w:sz w:val="16"/>
                <w:szCs w:val="16"/>
              </w:rPr>
            </w:pPr>
            <w:r>
              <w:rPr>
                <w:rFonts w:hint="eastAsia"/>
                <w:sz w:val="16"/>
                <w:szCs w:val="16"/>
              </w:rPr>
              <w:t>Scale (TAS-102)</w:t>
            </w:r>
          </w:p>
        </w:tc>
        <w:tc>
          <w:tcPr>
            <w:tcW w:w="506" w:type="pct"/>
            <w:shd w:val="clear" w:color="auto" w:fill="auto"/>
            <w:noWrap/>
            <w:vAlign w:val="center"/>
          </w:tcPr>
          <w:p w14:paraId="126E5763">
            <w:pPr>
              <w:pStyle w:val="24"/>
              <w:rPr>
                <w:sz w:val="16"/>
                <w:szCs w:val="16"/>
              </w:rPr>
            </w:pPr>
            <w:r>
              <w:rPr>
                <w:rFonts w:hint="eastAsia"/>
                <w:sz w:val="16"/>
                <w:szCs w:val="16"/>
              </w:rPr>
              <w:t>1.714</w:t>
            </w:r>
          </w:p>
        </w:tc>
        <w:tc>
          <w:tcPr>
            <w:tcW w:w="506" w:type="pct"/>
            <w:shd w:val="clear" w:color="auto" w:fill="auto"/>
            <w:noWrap/>
            <w:vAlign w:val="center"/>
          </w:tcPr>
          <w:p w14:paraId="3FA73DE0">
            <w:pPr>
              <w:pStyle w:val="24"/>
              <w:rPr>
                <w:sz w:val="16"/>
                <w:szCs w:val="16"/>
              </w:rPr>
            </w:pPr>
            <w:r>
              <w:rPr>
                <w:rFonts w:hint="eastAsia"/>
                <w:sz w:val="16"/>
                <w:szCs w:val="16"/>
              </w:rPr>
              <w:t>0.687</w:t>
            </w:r>
          </w:p>
        </w:tc>
        <w:tc>
          <w:tcPr>
            <w:tcW w:w="509" w:type="pct"/>
            <w:shd w:val="clear" w:color="auto" w:fill="auto"/>
            <w:noWrap/>
            <w:vAlign w:val="center"/>
          </w:tcPr>
          <w:p w14:paraId="20F6BC57">
            <w:pPr>
              <w:pStyle w:val="24"/>
              <w:rPr>
                <w:sz w:val="16"/>
                <w:szCs w:val="16"/>
              </w:rPr>
            </w:pPr>
            <w:r>
              <w:rPr>
                <w:rFonts w:hint="eastAsia"/>
                <w:sz w:val="16"/>
                <w:szCs w:val="16"/>
              </w:rPr>
              <w:t>2.82</w:t>
            </w:r>
          </w:p>
        </w:tc>
        <w:tc>
          <w:tcPr>
            <w:tcW w:w="512" w:type="pct"/>
            <w:shd w:val="clear" w:color="auto" w:fill="auto"/>
            <w:noWrap/>
            <w:vAlign w:val="center"/>
          </w:tcPr>
          <w:p w14:paraId="42688C38">
            <w:pPr>
              <w:pStyle w:val="24"/>
              <w:rPr>
                <w:sz w:val="16"/>
                <w:szCs w:val="16"/>
              </w:rPr>
            </w:pPr>
            <w:r>
              <w:rPr>
                <w:rFonts w:hint="eastAsia"/>
                <w:sz w:val="16"/>
                <w:szCs w:val="16"/>
              </w:rPr>
              <w:t>Fixed</w:t>
            </w:r>
          </w:p>
        </w:tc>
        <w:tc>
          <w:tcPr>
            <w:tcW w:w="494" w:type="pct"/>
            <w:vMerge w:val="continue"/>
            <w:shd w:val="clear" w:color="auto" w:fill="auto"/>
            <w:vAlign w:val="center"/>
          </w:tcPr>
          <w:p w14:paraId="71B6966F">
            <w:pPr>
              <w:pStyle w:val="24"/>
              <w:rPr>
                <w:sz w:val="16"/>
                <w:szCs w:val="16"/>
              </w:rPr>
            </w:pPr>
          </w:p>
        </w:tc>
      </w:tr>
      <w:tr w14:paraId="44A9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0B22981">
            <w:pPr>
              <w:pStyle w:val="24"/>
              <w:rPr>
                <w:sz w:val="16"/>
                <w:szCs w:val="16"/>
              </w:rPr>
            </w:pPr>
            <w:r>
              <w:rPr>
                <w:rFonts w:hint="eastAsia"/>
                <w:sz w:val="16"/>
                <w:szCs w:val="16"/>
              </w:rPr>
              <w:t>Scale (TAS-102+BEV)</w:t>
            </w:r>
          </w:p>
        </w:tc>
        <w:tc>
          <w:tcPr>
            <w:tcW w:w="506" w:type="pct"/>
            <w:shd w:val="clear" w:color="auto" w:fill="auto"/>
            <w:noWrap/>
            <w:vAlign w:val="center"/>
          </w:tcPr>
          <w:p w14:paraId="3A75BBC6">
            <w:pPr>
              <w:pStyle w:val="24"/>
              <w:rPr>
                <w:sz w:val="16"/>
                <w:szCs w:val="16"/>
              </w:rPr>
            </w:pPr>
            <w:r>
              <w:rPr>
                <w:rFonts w:hint="eastAsia"/>
                <w:sz w:val="16"/>
                <w:szCs w:val="16"/>
              </w:rPr>
              <w:t>-0.355</w:t>
            </w:r>
          </w:p>
        </w:tc>
        <w:tc>
          <w:tcPr>
            <w:tcW w:w="506" w:type="pct"/>
            <w:shd w:val="clear" w:color="auto" w:fill="auto"/>
            <w:noWrap/>
            <w:vAlign w:val="center"/>
          </w:tcPr>
          <w:p w14:paraId="10C54354">
            <w:pPr>
              <w:pStyle w:val="24"/>
              <w:rPr>
                <w:sz w:val="16"/>
                <w:szCs w:val="16"/>
              </w:rPr>
            </w:pPr>
            <w:r>
              <w:rPr>
                <w:rFonts w:hint="eastAsia"/>
                <w:sz w:val="16"/>
                <w:szCs w:val="16"/>
              </w:rPr>
              <w:t>-1.351</w:t>
            </w:r>
          </w:p>
        </w:tc>
        <w:tc>
          <w:tcPr>
            <w:tcW w:w="509" w:type="pct"/>
            <w:shd w:val="clear" w:color="auto" w:fill="auto"/>
            <w:noWrap/>
            <w:vAlign w:val="center"/>
          </w:tcPr>
          <w:p w14:paraId="1234EBD6">
            <w:pPr>
              <w:pStyle w:val="24"/>
              <w:rPr>
                <w:sz w:val="16"/>
                <w:szCs w:val="16"/>
              </w:rPr>
            </w:pPr>
            <w:r>
              <w:rPr>
                <w:rFonts w:hint="eastAsia"/>
                <w:sz w:val="16"/>
                <w:szCs w:val="16"/>
              </w:rPr>
              <w:t>0.671</w:t>
            </w:r>
          </w:p>
        </w:tc>
        <w:tc>
          <w:tcPr>
            <w:tcW w:w="512" w:type="pct"/>
            <w:shd w:val="clear" w:color="auto" w:fill="auto"/>
            <w:noWrap/>
            <w:vAlign w:val="center"/>
          </w:tcPr>
          <w:p w14:paraId="475146DD">
            <w:pPr>
              <w:pStyle w:val="24"/>
              <w:rPr>
                <w:sz w:val="16"/>
                <w:szCs w:val="16"/>
              </w:rPr>
            </w:pPr>
            <w:r>
              <w:rPr>
                <w:rFonts w:hint="eastAsia"/>
                <w:sz w:val="16"/>
                <w:szCs w:val="16"/>
              </w:rPr>
              <w:t>Fixed</w:t>
            </w:r>
          </w:p>
        </w:tc>
        <w:tc>
          <w:tcPr>
            <w:tcW w:w="494" w:type="pct"/>
            <w:vMerge w:val="continue"/>
            <w:shd w:val="clear" w:color="auto" w:fill="auto"/>
            <w:vAlign w:val="center"/>
          </w:tcPr>
          <w:p w14:paraId="60A76749">
            <w:pPr>
              <w:pStyle w:val="24"/>
              <w:rPr>
                <w:sz w:val="16"/>
                <w:szCs w:val="16"/>
              </w:rPr>
            </w:pPr>
          </w:p>
        </w:tc>
      </w:tr>
      <w:tr w14:paraId="3EF70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D2F5EC7">
            <w:pPr>
              <w:pStyle w:val="24"/>
              <w:rPr>
                <w:sz w:val="16"/>
                <w:szCs w:val="16"/>
              </w:rPr>
            </w:pPr>
            <w:r>
              <w:rPr>
                <w:rFonts w:hint="eastAsia"/>
                <w:sz w:val="16"/>
                <w:szCs w:val="16"/>
              </w:rPr>
              <w:t>Shape (Fruquintinib)</w:t>
            </w:r>
          </w:p>
        </w:tc>
        <w:tc>
          <w:tcPr>
            <w:tcW w:w="506" w:type="pct"/>
            <w:shd w:val="clear" w:color="auto" w:fill="auto"/>
            <w:noWrap/>
            <w:vAlign w:val="center"/>
          </w:tcPr>
          <w:p w14:paraId="6DC1A540">
            <w:pPr>
              <w:pStyle w:val="24"/>
              <w:rPr>
                <w:sz w:val="16"/>
                <w:szCs w:val="16"/>
              </w:rPr>
            </w:pPr>
            <w:r>
              <w:rPr>
                <w:rFonts w:hint="eastAsia"/>
                <w:sz w:val="16"/>
                <w:szCs w:val="16"/>
              </w:rPr>
              <w:t>11.338</w:t>
            </w:r>
          </w:p>
        </w:tc>
        <w:tc>
          <w:tcPr>
            <w:tcW w:w="506" w:type="pct"/>
            <w:shd w:val="clear" w:color="auto" w:fill="auto"/>
            <w:noWrap/>
            <w:vAlign w:val="center"/>
          </w:tcPr>
          <w:p w14:paraId="16B49452">
            <w:pPr>
              <w:pStyle w:val="24"/>
              <w:rPr>
                <w:sz w:val="16"/>
                <w:szCs w:val="16"/>
              </w:rPr>
            </w:pPr>
            <w:r>
              <w:rPr>
                <w:rFonts w:hint="eastAsia"/>
                <w:sz w:val="16"/>
                <w:szCs w:val="16"/>
              </w:rPr>
              <w:t>5.203</w:t>
            </w:r>
          </w:p>
        </w:tc>
        <w:tc>
          <w:tcPr>
            <w:tcW w:w="509" w:type="pct"/>
            <w:shd w:val="clear" w:color="auto" w:fill="auto"/>
            <w:noWrap/>
            <w:vAlign w:val="center"/>
          </w:tcPr>
          <w:p w14:paraId="55748B6A">
            <w:pPr>
              <w:pStyle w:val="24"/>
              <w:rPr>
                <w:sz w:val="16"/>
                <w:szCs w:val="16"/>
              </w:rPr>
            </w:pPr>
            <w:r>
              <w:rPr>
                <w:rFonts w:hint="eastAsia"/>
                <w:sz w:val="16"/>
                <w:szCs w:val="16"/>
              </w:rPr>
              <w:t>17.459</w:t>
            </w:r>
          </w:p>
        </w:tc>
        <w:tc>
          <w:tcPr>
            <w:tcW w:w="512" w:type="pct"/>
            <w:shd w:val="clear" w:color="auto" w:fill="auto"/>
            <w:noWrap/>
            <w:vAlign w:val="center"/>
          </w:tcPr>
          <w:p w14:paraId="738BEC08">
            <w:pPr>
              <w:pStyle w:val="24"/>
              <w:rPr>
                <w:sz w:val="16"/>
                <w:szCs w:val="16"/>
              </w:rPr>
            </w:pPr>
            <w:r>
              <w:rPr>
                <w:rFonts w:hint="eastAsia"/>
                <w:sz w:val="16"/>
                <w:szCs w:val="16"/>
              </w:rPr>
              <w:t>Fixed</w:t>
            </w:r>
          </w:p>
        </w:tc>
        <w:tc>
          <w:tcPr>
            <w:tcW w:w="494" w:type="pct"/>
            <w:vMerge w:val="continue"/>
            <w:shd w:val="clear" w:color="auto" w:fill="auto"/>
            <w:vAlign w:val="center"/>
          </w:tcPr>
          <w:p w14:paraId="30CAAD9A">
            <w:pPr>
              <w:pStyle w:val="24"/>
              <w:rPr>
                <w:sz w:val="16"/>
                <w:szCs w:val="16"/>
              </w:rPr>
            </w:pPr>
          </w:p>
        </w:tc>
      </w:tr>
      <w:tr w14:paraId="14E8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392DCEE">
            <w:pPr>
              <w:pStyle w:val="24"/>
              <w:rPr>
                <w:sz w:val="16"/>
                <w:szCs w:val="16"/>
              </w:rPr>
            </w:pPr>
            <w:r>
              <w:rPr>
                <w:rFonts w:hint="eastAsia"/>
                <w:sz w:val="16"/>
                <w:szCs w:val="16"/>
              </w:rPr>
              <w:t>Shape (Regorafenib)</w:t>
            </w:r>
          </w:p>
        </w:tc>
        <w:tc>
          <w:tcPr>
            <w:tcW w:w="506" w:type="pct"/>
            <w:shd w:val="clear" w:color="auto" w:fill="auto"/>
            <w:noWrap/>
            <w:vAlign w:val="center"/>
          </w:tcPr>
          <w:p w14:paraId="73038B74">
            <w:pPr>
              <w:pStyle w:val="24"/>
              <w:rPr>
                <w:sz w:val="16"/>
                <w:szCs w:val="16"/>
              </w:rPr>
            </w:pPr>
            <w:r>
              <w:rPr>
                <w:rFonts w:hint="eastAsia"/>
                <w:sz w:val="16"/>
                <w:szCs w:val="16"/>
              </w:rPr>
              <w:t>3.78</w:t>
            </w:r>
          </w:p>
        </w:tc>
        <w:tc>
          <w:tcPr>
            <w:tcW w:w="506" w:type="pct"/>
            <w:shd w:val="clear" w:color="auto" w:fill="auto"/>
            <w:noWrap/>
            <w:vAlign w:val="center"/>
          </w:tcPr>
          <w:p w14:paraId="7C77C7F3">
            <w:pPr>
              <w:pStyle w:val="24"/>
              <w:rPr>
                <w:sz w:val="16"/>
                <w:szCs w:val="16"/>
              </w:rPr>
            </w:pPr>
            <w:r>
              <w:rPr>
                <w:rFonts w:hint="eastAsia"/>
                <w:sz w:val="16"/>
                <w:szCs w:val="16"/>
              </w:rPr>
              <w:t>1.451</w:t>
            </w:r>
          </w:p>
        </w:tc>
        <w:tc>
          <w:tcPr>
            <w:tcW w:w="509" w:type="pct"/>
            <w:shd w:val="clear" w:color="auto" w:fill="auto"/>
            <w:noWrap/>
            <w:vAlign w:val="center"/>
          </w:tcPr>
          <w:p w14:paraId="0542582F">
            <w:pPr>
              <w:pStyle w:val="24"/>
              <w:rPr>
                <w:sz w:val="16"/>
                <w:szCs w:val="16"/>
              </w:rPr>
            </w:pPr>
            <w:r>
              <w:rPr>
                <w:rFonts w:hint="eastAsia"/>
                <w:sz w:val="16"/>
                <w:szCs w:val="16"/>
              </w:rPr>
              <w:t>6.066</w:t>
            </w:r>
          </w:p>
        </w:tc>
        <w:tc>
          <w:tcPr>
            <w:tcW w:w="512" w:type="pct"/>
            <w:shd w:val="clear" w:color="auto" w:fill="auto"/>
            <w:noWrap/>
            <w:vAlign w:val="center"/>
          </w:tcPr>
          <w:p w14:paraId="7504BFE9">
            <w:pPr>
              <w:pStyle w:val="24"/>
              <w:rPr>
                <w:sz w:val="16"/>
                <w:szCs w:val="16"/>
              </w:rPr>
            </w:pPr>
            <w:r>
              <w:rPr>
                <w:rFonts w:hint="eastAsia"/>
                <w:sz w:val="16"/>
                <w:szCs w:val="16"/>
              </w:rPr>
              <w:t>Fixed</w:t>
            </w:r>
          </w:p>
        </w:tc>
        <w:tc>
          <w:tcPr>
            <w:tcW w:w="494" w:type="pct"/>
            <w:vMerge w:val="continue"/>
            <w:shd w:val="clear" w:color="auto" w:fill="auto"/>
            <w:vAlign w:val="center"/>
          </w:tcPr>
          <w:p w14:paraId="16E8C9C5">
            <w:pPr>
              <w:pStyle w:val="24"/>
              <w:rPr>
                <w:sz w:val="16"/>
                <w:szCs w:val="16"/>
              </w:rPr>
            </w:pPr>
          </w:p>
        </w:tc>
      </w:tr>
      <w:tr w14:paraId="14EC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D77A33D">
            <w:pPr>
              <w:pStyle w:val="24"/>
              <w:rPr>
                <w:sz w:val="16"/>
                <w:szCs w:val="16"/>
              </w:rPr>
            </w:pPr>
            <w:r>
              <w:rPr>
                <w:rFonts w:hint="eastAsia"/>
                <w:sz w:val="16"/>
                <w:szCs w:val="16"/>
              </w:rPr>
              <w:t>Shape (REDos)</w:t>
            </w:r>
          </w:p>
        </w:tc>
        <w:tc>
          <w:tcPr>
            <w:tcW w:w="506" w:type="pct"/>
            <w:shd w:val="clear" w:color="auto" w:fill="auto"/>
            <w:noWrap/>
            <w:vAlign w:val="center"/>
          </w:tcPr>
          <w:p w14:paraId="54A4F80F">
            <w:pPr>
              <w:pStyle w:val="24"/>
              <w:rPr>
                <w:sz w:val="16"/>
                <w:szCs w:val="16"/>
              </w:rPr>
            </w:pPr>
            <w:r>
              <w:rPr>
                <w:rFonts w:hint="eastAsia"/>
                <w:sz w:val="16"/>
                <w:szCs w:val="16"/>
              </w:rPr>
              <w:t>1.288</w:t>
            </w:r>
          </w:p>
        </w:tc>
        <w:tc>
          <w:tcPr>
            <w:tcW w:w="506" w:type="pct"/>
            <w:shd w:val="clear" w:color="auto" w:fill="auto"/>
            <w:noWrap/>
            <w:vAlign w:val="center"/>
          </w:tcPr>
          <w:p w14:paraId="03340836">
            <w:pPr>
              <w:pStyle w:val="24"/>
              <w:rPr>
                <w:sz w:val="16"/>
                <w:szCs w:val="16"/>
              </w:rPr>
            </w:pPr>
            <w:r>
              <w:rPr>
                <w:rFonts w:hint="eastAsia"/>
                <w:sz w:val="16"/>
                <w:szCs w:val="16"/>
              </w:rPr>
              <w:t>-1.014</w:t>
            </w:r>
          </w:p>
        </w:tc>
        <w:tc>
          <w:tcPr>
            <w:tcW w:w="509" w:type="pct"/>
            <w:shd w:val="clear" w:color="auto" w:fill="auto"/>
            <w:noWrap/>
            <w:vAlign w:val="center"/>
          </w:tcPr>
          <w:p w14:paraId="7957CC0B">
            <w:pPr>
              <w:pStyle w:val="24"/>
              <w:rPr>
                <w:sz w:val="16"/>
                <w:szCs w:val="16"/>
              </w:rPr>
            </w:pPr>
            <w:r>
              <w:rPr>
                <w:rFonts w:hint="eastAsia"/>
                <w:sz w:val="16"/>
                <w:szCs w:val="16"/>
              </w:rPr>
              <w:t>3.73</w:t>
            </w:r>
          </w:p>
        </w:tc>
        <w:tc>
          <w:tcPr>
            <w:tcW w:w="512" w:type="pct"/>
            <w:shd w:val="clear" w:color="auto" w:fill="auto"/>
            <w:noWrap/>
            <w:vAlign w:val="center"/>
          </w:tcPr>
          <w:p w14:paraId="4FAA2307">
            <w:pPr>
              <w:pStyle w:val="24"/>
              <w:rPr>
                <w:sz w:val="16"/>
                <w:szCs w:val="16"/>
              </w:rPr>
            </w:pPr>
            <w:r>
              <w:rPr>
                <w:rFonts w:hint="eastAsia"/>
                <w:sz w:val="16"/>
                <w:szCs w:val="16"/>
              </w:rPr>
              <w:t>Fixed</w:t>
            </w:r>
          </w:p>
        </w:tc>
        <w:tc>
          <w:tcPr>
            <w:tcW w:w="494" w:type="pct"/>
            <w:vMerge w:val="continue"/>
            <w:shd w:val="clear" w:color="auto" w:fill="auto"/>
            <w:vAlign w:val="center"/>
          </w:tcPr>
          <w:p w14:paraId="3FFF507F">
            <w:pPr>
              <w:pStyle w:val="24"/>
              <w:rPr>
                <w:sz w:val="16"/>
                <w:szCs w:val="16"/>
              </w:rPr>
            </w:pPr>
          </w:p>
        </w:tc>
      </w:tr>
      <w:tr w14:paraId="51168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CA5A511">
            <w:pPr>
              <w:pStyle w:val="24"/>
              <w:rPr>
                <w:sz w:val="16"/>
                <w:szCs w:val="16"/>
              </w:rPr>
            </w:pPr>
            <w:r>
              <w:rPr>
                <w:rFonts w:hint="eastAsia"/>
                <w:sz w:val="16"/>
                <w:szCs w:val="16"/>
              </w:rPr>
              <w:t>Shape (TAS-102)</w:t>
            </w:r>
          </w:p>
        </w:tc>
        <w:tc>
          <w:tcPr>
            <w:tcW w:w="506" w:type="pct"/>
            <w:shd w:val="clear" w:color="auto" w:fill="auto"/>
            <w:noWrap/>
            <w:vAlign w:val="center"/>
          </w:tcPr>
          <w:p w14:paraId="1FEA75A8">
            <w:pPr>
              <w:pStyle w:val="24"/>
              <w:rPr>
                <w:sz w:val="16"/>
                <w:szCs w:val="16"/>
              </w:rPr>
            </w:pPr>
            <w:r>
              <w:rPr>
                <w:rFonts w:hint="eastAsia"/>
                <w:sz w:val="16"/>
                <w:szCs w:val="16"/>
              </w:rPr>
              <w:t>7.615</w:t>
            </w:r>
          </w:p>
        </w:tc>
        <w:tc>
          <w:tcPr>
            <w:tcW w:w="506" w:type="pct"/>
            <w:shd w:val="clear" w:color="auto" w:fill="auto"/>
            <w:noWrap/>
            <w:vAlign w:val="center"/>
          </w:tcPr>
          <w:p w14:paraId="36AAE0FB">
            <w:pPr>
              <w:pStyle w:val="24"/>
              <w:rPr>
                <w:sz w:val="16"/>
                <w:szCs w:val="16"/>
              </w:rPr>
            </w:pPr>
            <w:r>
              <w:rPr>
                <w:rFonts w:hint="eastAsia"/>
                <w:sz w:val="16"/>
                <w:szCs w:val="16"/>
              </w:rPr>
              <w:t>4.881</w:t>
            </w:r>
          </w:p>
        </w:tc>
        <w:tc>
          <w:tcPr>
            <w:tcW w:w="509" w:type="pct"/>
            <w:shd w:val="clear" w:color="auto" w:fill="auto"/>
            <w:noWrap/>
            <w:vAlign w:val="center"/>
          </w:tcPr>
          <w:p w14:paraId="1C609B87">
            <w:pPr>
              <w:pStyle w:val="24"/>
              <w:rPr>
                <w:sz w:val="16"/>
                <w:szCs w:val="16"/>
              </w:rPr>
            </w:pPr>
            <w:r>
              <w:rPr>
                <w:rFonts w:hint="eastAsia"/>
                <w:sz w:val="16"/>
                <w:szCs w:val="16"/>
              </w:rPr>
              <w:t>10.365</w:t>
            </w:r>
          </w:p>
        </w:tc>
        <w:tc>
          <w:tcPr>
            <w:tcW w:w="512" w:type="pct"/>
            <w:shd w:val="clear" w:color="auto" w:fill="auto"/>
            <w:noWrap/>
            <w:vAlign w:val="center"/>
          </w:tcPr>
          <w:p w14:paraId="6BB7ACE3">
            <w:pPr>
              <w:pStyle w:val="24"/>
              <w:rPr>
                <w:sz w:val="16"/>
                <w:szCs w:val="16"/>
              </w:rPr>
            </w:pPr>
            <w:r>
              <w:rPr>
                <w:rFonts w:hint="eastAsia"/>
                <w:sz w:val="16"/>
                <w:szCs w:val="16"/>
              </w:rPr>
              <w:t>Fixed</w:t>
            </w:r>
          </w:p>
        </w:tc>
        <w:tc>
          <w:tcPr>
            <w:tcW w:w="494" w:type="pct"/>
            <w:vMerge w:val="continue"/>
            <w:shd w:val="clear" w:color="auto" w:fill="auto"/>
            <w:vAlign w:val="center"/>
          </w:tcPr>
          <w:p w14:paraId="6332CD6E">
            <w:pPr>
              <w:pStyle w:val="24"/>
              <w:rPr>
                <w:sz w:val="16"/>
                <w:szCs w:val="16"/>
              </w:rPr>
            </w:pPr>
          </w:p>
        </w:tc>
      </w:tr>
      <w:tr w14:paraId="0FF81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7321324">
            <w:pPr>
              <w:pStyle w:val="24"/>
              <w:rPr>
                <w:sz w:val="16"/>
                <w:szCs w:val="16"/>
              </w:rPr>
            </w:pPr>
            <w:r>
              <w:rPr>
                <w:rFonts w:hint="eastAsia"/>
                <w:sz w:val="16"/>
                <w:szCs w:val="16"/>
              </w:rPr>
              <w:t>Shape (TAS-102+BEV)</w:t>
            </w:r>
          </w:p>
        </w:tc>
        <w:tc>
          <w:tcPr>
            <w:tcW w:w="506" w:type="pct"/>
            <w:shd w:val="clear" w:color="auto" w:fill="auto"/>
            <w:noWrap/>
            <w:vAlign w:val="center"/>
          </w:tcPr>
          <w:p w14:paraId="0D721BD0">
            <w:pPr>
              <w:pStyle w:val="24"/>
              <w:rPr>
                <w:sz w:val="16"/>
                <w:szCs w:val="16"/>
              </w:rPr>
            </w:pPr>
            <w:r>
              <w:rPr>
                <w:rFonts w:hint="eastAsia"/>
                <w:sz w:val="16"/>
                <w:szCs w:val="16"/>
              </w:rPr>
              <w:t>3.877</w:t>
            </w:r>
          </w:p>
        </w:tc>
        <w:tc>
          <w:tcPr>
            <w:tcW w:w="506" w:type="pct"/>
            <w:shd w:val="clear" w:color="auto" w:fill="auto"/>
            <w:noWrap/>
            <w:vAlign w:val="center"/>
          </w:tcPr>
          <w:p w14:paraId="1733100C">
            <w:pPr>
              <w:pStyle w:val="24"/>
              <w:rPr>
                <w:sz w:val="16"/>
                <w:szCs w:val="16"/>
              </w:rPr>
            </w:pPr>
            <w:r>
              <w:rPr>
                <w:rFonts w:hint="eastAsia"/>
                <w:sz w:val="16"/>
                <w:szCs w:val="16"/>
              </w:rPr>
              <w:t>0.306</w:t>
            </w:r>
          </w:p>
        </w:tc>
        <w:tc>
          <w:tcPr>
            <w:tcW w:w="509" w:type="pct"/>
            <w:shd w:val="clear" w:color="auto" w:fill="auto"/>
            <w:noWrap/>
            <w:vAlign w:val="center"/>
          </w:tcPr>
          <w:p w14:paraId="28651D67">
            <w:pPr>
              <w:pStyle w:val="24"/>
              <w:rPr>
                <w:sz w:val="16"/>
                <w:szCs w:val="16"/>
              </w:rPr>
            </w:pPr>
            <w:r>
              <w:rPr>
                <w:rFonts w:hint="eastAsia"/>
                <w:sz w:val="16"/>
                <w:szCs w:val="16"/>
              </w:rPr>
              <w:t>7.535</w:t>
            </w:r>
          </w:p>
        </w:tc>
        <w:tc>
          <w:tcPr>
            <w:tcW w:w="512" w:type="pct"/>
            <w:shd w:val="clear" w:color="auto" w:fill="auto"/>
            <w:noWrap/>
            <w:vAlign w:val="center"/>
          </w:tcPr>
          <w:p w14:paraId="1CE24DD6">
            <w:pPr>
              <w:pStyle w:val="24"/>
              <w:rPr>
                <w:sz w:val="16"/>
                <w:szCs w:val="16"/>
              </w:rPr>
            </w:pPr>
            <w:r>
              <w:rPr>
                <w:rFonts w:hint="eastAsia"/>
                <w:sz w:val="16"/>
                <w:szCs w:val="16"/>
              </w:rPr>
              <w:t>Fixed</w:t>
            </w:r>
          </w:p>
        </w:tc>
        <w:tc>
          <w:tcPr>
            <w:tcW w:w="494" w:type="pct"/>
            <w:vMerge w:val="continue"/>
            <w:shd w:val="clear" w:color="auto" w:fill="auto"/>
            <w:vAlign w:val="center"/>
          </w:tcPr>
          <w:p w14:paraId="3BBF907E">
            <w:pPr>
              <w:pStyle w:val="24"/>
              <w:rPr>
                <w:sz w:val="16"/>
                <w:szCs w:val="16"/>
              </w:rPr>
            </w:pPr>
          </w:p>
        </w:tc>
      </w:tr>
      <w:tr w14:paraId="54BEB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018CFA4">
            <w:pPr>
              <w:pStyle w:val="24"/>
              <w:rPr>
                <w:sz w:val="16"/>
                <w:szCs w:val="16"/>
              </w:rPr>
            </w:pPr>
            <w:r>
              <w:rPr>
                <w:rFonts w:hint="eastAsia"/>
                <w:sz w:val="16"/>
                <w:szCs w:val="16"/>
              </w:rPr>
              <w:t>Scale (Fruquintinib)</w:t>
            </w:r>
          </w:p>
        </w:tc>
        <w:tc>
          <w:tcPr>
            <w:tcW w:w="506" w:type="pct"/>
            <w:shd w:val="clear" w:color="auto" w:fill="auto"/>
            <w:noWrap/>
            <w:vAlign w:val="center"/>
          </w:tcPr>
          <w:p w14:paraId="0BA62CE8">
            <w:pPr>
              <w:pStyle w:val="24"/>
              <w:rPr>
                <w:sz w:val="16"/>
                <w:szCs w:val="16"/>
              </w:rPr>
            </w:pPr>
            <w:r>
              <w:rPr>
                <w:rFonts w:hint="eastAsia"/>
                <w:sz w:val="16"/>
                <w:szCs w:val="16"/>
              </w:rPr>
              <w:t>-13.32</w:t>
            </w:r>
          </w:p>
        </w:tc>
        <w:tc>
          <w:tcPr>
            <w:tcW w:w="506" w:type="pct"/>
            <w:shd w:val="clear" w:color="auto" w:fill="auto"/>
            <w:noWrap/>
            <w:vAlign w:val="center"/>
          </w:tcPr>
          <w:p w14:paraId="2459CAA3">
            <w:pPr>
              <w:pStyle w:val="24"/>
              <w:rPr>
                <w:sz w:val="16"/>
                <w:szCs w:val="16"/>
              </w:rPr>
            </w:pPr>
            <w:r>
              <w:rPr>
                <w:rFonts w:hint="eastAsia"/>
                <w:sz w:val="16"/>
                <w:szCs w:val="16"/>
              </w:rPr>
              <w:t>-20.138</w:t>
            </w:r>
          </w:p>
        </w:tc>
        <w:tc>
          <w:tcPr>
            <w:tcW w:w="509" w:type="pct"/>
            <w:shd w:val="clear" w:color="auto" w:fill="auto"/>
            <w:noWrap/>
            <w:vAlign w:val="center"/>
          </w:tcPr>
          <w:p w14:paraId="02499EF5">
            <w:pPr>
              <w:pStyle w:val="24"/>
              <w:rPr>
                <w:sz w:val="16"/>
                <w:szCs w:val="16"/>
              </w:rPr>
            </w:pPr>
            <w:r>
              <w:rPr>
                <w:rFonts w:hint="eastAsia"/>
                <w:sz w:val="16"/>
                <w:szCs w:val="16"/>
              </w:rPr>
              <w:t>-6.528</w:t>
            </w:r>
          </w:p>
        </w:tc>
        <w:tc>
          <w:tcPr>
            <w:tcW w:w="512" w:type="pct"/>
            <w:shd w:val="clear" w:color="auto" w:fill="auto"/>
            <w:noWrap/>
            <w:vAlign w:val="center"/>
          </w:tcPr>
          <w:p w14:paraId="6376D4DF">
            <w:pPr>
              <w:pStyle w:val="24"/>
              <w:rPr>
                <w:sz w:val="16"/>
                <w:szCs w:val="16"/>
              </w:rPr>
            </w:pPr>
            <w:r>
              <w:rPr>
                <w:rFonts w:hint="eastAsia"/>
                <w:sz w:val="16"/>
                <w:szCs w:val="16"/>
              </w:rPr>
              <w:t>Fixed</w:t>
            </w:r>
          </w:p>
        </w:tc>
        <w:tc>
          <w:tcPr>
            <w:tcW w:w="494" w:type="pct"/>
            <w:vMerge w:val="restart"/>
            <w:shd w:val="clear" w:color="auto" w:fill="auto"/>
            <w:vAlign w:val="center"/>
          </w:tcPr>
          <w:p w14:paraId="37FF5D1D">
            <w:pPr>
              <w:pStyle w:val="24"/>
              <w:rPr>
                <w:sz w:val="16"/>
                <w:szCs w:val="16"/>
              </w:rPr>
            </w:pPr>
            <w:r>
              <w:rPr>
                <w:rFonts w:hint="eastAsia"/>
                <w:sz w:val="16"/>
                <w:szCs w:val="16"/>
              </w:rPr>
              <w:t>Bayesian First-Order Fractional Polynomial Network Meta-analysis Model for OS</w:t>
            </w:r>
          </w:p>
        </w:tc>
      </w:tr>
      <w:tr w14:paraId="5CDB1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10BA32B">
            <w:pPr>
              <w:pStyle w:val="24"/>
              <w:rPr>
                <w:sz w:val="16"/>
                <w:szCs w:val="16"/>
              </w:rPr>
            </w:pPr>
            <w:r>
              <w:rPr>
                <w:rFonts w:hint="eastAsia"/>
                <w:sz w:val="16"/>
                <w:szCs w:val="16"/>
              </w:rPr>
              <w:t>Scale (Regorafenib)</w:t>
            </w:r>
          </w:p>
        </w:tc>
        <w:tc>
          <w:tcPr>
            <w:tcW w:w="506" w:type="pct"/>
            <w:shd w:val="clear" w:color="auto" w:fill="auto"/>
            <w:noWrap/>
            <w:vAlign w:val="center"/>
          </w:tcPr>
          <w:p w14:paraId="4A8E60D7">
            <w:pPr>
              <w:pStyle w:val="24"/>
              <w:rPr>
                <w:sz w:val="16"/>
                <w:szCs w:val="16"/>
              </w:rPr>
            </w:pPr>
            <w:r>
              <w:rPr>
                <w:rFonts w:hint="eastAsia"/>
                <w:sz w:val="16"/>
                <w:szCs w:val="16"/>
              </w:rPr>
              <w:t>-5.578</w:t>
            </w:r>
          </w:p>
        </w:tc>
        <w:tc>
          <w:tcPr>
            <w:tcW w:w="506" w:type="pct"/>
            <w:shd w:val="clear" w:color="auto" w:fill="auto"/>
            <w:noWrap/>
            <w:vAlign w:val="center"/>
          </w:tcPr>
          <w:p w14:paraId="17671495">
            <w:pPr>
              <w:pStyle w:val="24"/>
              <w:rPr>
                <w:sz w:val="16"/>
                <w:szCs w:val="16"/>
              </w:rPr>
            </w:pPr>
            <w:r>
              <w:rPr>
                <w:rFonts w:hint="eastAsia"/>
                <w:sz w:val="16"/>
                <w:szCs w:val="16"/>
              </w:rPr>
              <w:t>-8.392</w:t>
            </w:r>
          </w:p>
        </w:tc>
        <w:tc>
          <w:tcPr>
            <w:tcW w:w="509" w:type="pct"/>
            <w:shd w:val="clear" w:color="auto" w:fill="auto"/>
            <w:noWrap/>
            <w:vAlign w:val="center"/>
          </w:tcPr>
          <w:p w14:paraId="3BE64DC9">
            <w:pPr>
              <w:pStyle w:val="24"/>
              <w:rPr>
                <w:sz w:val="16"/>
                <w:szCs w:val="16"/>
              </w:rPr>
            </w:pPr>
            <w:r>
              <w:rPr>
                <w:rFonts w:hint="eastAsia"/>
                <w:sz w:val="16"/>
                <w:szCs w:val="16"/>
              </w:rPr>
              <w:t>-2.745</w:t>
            </w:r>
          </w:p>
        </w:tc>
        <w:tc>
          <w:tcPr>
            <w:tcW w:w="512" w:type="pct"/>
            <w:shd w:val="clear" w:color="auto" w:fill="auto"/>
            <w:noWrap/>
            <w:vAlign w:val="center"/>
          </w:tcPr>
          <w:p w14:paraId="0E98D123">
            <w:pPr>
              <w:pStyle w:val="24"/>
              <w:rPr>
                <w:sz w:val="16"/>
                <w:szCs w:val="16"/>
              </w:rPr>
            </w:pPr>
            <w:r>
              <w:rPr>
                <w:rFonts w:hint="eastAsia"/>
                <w:sz w:val="16"/>
                <w:szCs w:val="16"/>
              </w:rPr>
              <w:t>Fixed</w:t>
            </w:r>
          </w:p>
        </w:tc>
        <w:tc>
          <w:tcPr>
            <w:tcW w:w="494" w:type="pct"/>
            <w:vMerge w:val="continue"/>
            <w:shd w:val="clear" w:color="auto" w:fill="auto"/>
            <w:vAlign w:val="center"/>
          </w:tcPr>
          <w:p w14:paraId="2348E787">
            <w:pPr>
              <w:pStyle w:val="24"/>
              <w:rPr>
                <w:sz w:val="16"/>
                <w:szCs w:val="16"/>
              </w:rPr>
            </w:pPr>
          </w:p>
        </w:tc>
      </w:tr>
      <w:tr w14:paraId="319F7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515D677B">
            <w:pPr>
              <w:pStyle w:val="24"/>
              <w:rPr>
                <w:sz w:val="16"/>
                <w:szCs w:val="16"/>
              </w:rPr>
            </w:pPr>
            <w:r>
              <w:rPr>
                <w:rFonts w:hint="eastAsia"/>
                <w:sz w:val="16"/>
                <w:szCs w:val="16"/>
              </w:rPr>
              <w:t>Scale (REDos)</w:t>
            </w:r>
          </w:p>
        </w:tc>
        <w:tc>
          <w:tcPr>
            <w:tcW w:w="506" w:type="pct"/>
            <w:shd w:val="clear" w:color="auto" w:fill="auto"/>
            <w:noWrap/>
            <w:vAlign w:val="center"/>
          </w:tcPr>
          <w:p w14:paraId="361C6280">
            <w:pPr>
              <w:pStyle w:val="24"/>
              <w:rPr>
                <w:sz w:val="16"/>
                <w:szCs w:val="16"/>
              </w:rPr>
            </w:pPr>
            <w:r>
              <w:rPr>
                <w:rFonts w:hint="eastAsia"/>
                <w:sz w:val="16"/>
                <w:szCs w:val="16"/>
              </w:rPr>
              <w:t>-1.894</w:t>
            </w:r>
          </w:p>
        </w:tc>
        <w:tc>
          <w:tcPr>
            <w:tcW w:w="506" w:type="pct"/>
            <w:shd w:val="clear" w:color="auto" w:fill="auto"/>
            <w:noWrap/>
            <w:vAlign w:val="center"/>
          </w:tcPr>
          <w:p w14:paraId="094DABAE">
            <w:pPr>
              <w:pStyle w:val="24"/>
              <w:rPr>
                <w:sz w:val="16"/>
                <w:szCs w:val="16"/>
              </w:rPr>
            </w:pPr>
            <w:r>
              <w:rPr>
                <w:rFonts w:hint="eastAsia"/>
                <w:sz w:val="16"/>
                <w:szCs w:val="16"/>
              </w:rPr>
              <w:t>-4.917</w:t>
            </w:r>
          </w:p>
        </w:tc>
        <w:tc>
          <w:tcPr>
            <w:tcW w:w="509" w:type="pct"/>
            <w:shd w:val="clear" w:color="auto" w:fill="auto"/>
            <w:noWrap/>
            <w:vAlign w:val="center"/>
          </w:tcPr>
          <w:p w14:paraId="6ACAACF6">
            <w:pPr>
              <w:pStyle w:val="24"/>
              <w:rPr>
                <w:sz w:val="16"/>
                <w:szCs w:val="16"/>
              </w:rPr>
            </w:pPr>
            <w:r>
              <w:rPr>
                <w:rFonts w:hint="eastAsia"/>
                <w:sz w:val="16"/>
                <w:szCs w:val="16"/>
              </w:rPr>
              <w:t>1.009</w:t>
            </w:r>
          </w:p>
        </w:tc>
        <w:tc>
          <w:tcPr>
            <w:tcW w:w="512" w:type="pct"/>
            <w:shd w:val="clear" w:color="auto" w:fill="auto"/>
            <w:noWrap/>
            <w:vAlign w:val="center"/>
          </w:tcPr>
          <w:p w14:paraId="3673190D">
            <w:pPr>
              <w:pStyle w:val="24"/>
              <w:rPr>
                <w:sz w:val="16"/>
                <w:szCs w:val="16"/>
              </w:rPr>
            </w:pPr>
            <w:r>
              <w:rPr>
                <w:rFonts w:hint="eastAsia"/>
                <w:sz w:val="16"/>
                <w:szCs w:val="16"/>
              </w:rPr>
              <w:t>Fixed</w:t>
            </w:r>
          </w:p>
        </w:tc>
        <w:tc>
          <w:tcPr>
            <w:tcW w:w="494" w:type="pct"/>
            <w:vMerge w:val="continue"/>
            <w:shd w:val="clear" w:color="auto" w:fill="auto"/>
            <w:vAlign w:val="center"/>
          </w:tcPr>
          <w:p w14:paraId="698AAB82">
            <w:pPr>
              <w:pStyle w:val="24"/>
              <w:rPr>
                <w:sz w:val="16"/>
                <w:szCs w:val="16"/>
              </w:rPr>
            </w:pPr>
          </w:p>
        </w:tc>
      </w:tr>
      <w:tr w14:paraId="022CA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A3BD280">
            <w:pPr>
              <w:pStyle w:val="24"/>
              <w:rPr>
                <w:sz w:val="16"/>
                <w:szCs w:val="16"/>
              </w:rPr>
            </w:pPr>
            <w:r>
              <w:rPr>
                <w:rFonts w:hint="eastAsia"/>
                <w:sz w:val="16"/>
                <w:szCs w:val="16"/>
              </w:rPr>
              <w:t>Scale (TAS-102)</w:t>
            </w:r>
          </w:p>
        </w:tc>
        <w:tc>
          <w:tcPr>
            <w:tcW w:w="506" w:type="pct"/>
            <w:shd w:val="clear" w:color="auto" w:fill="auto"/>
            <w:noWrap/>
            <w:vAlign w:val="center"/>
          </w:tcPr>
          <w:p w14:paraId="6B9E87F1">
            <w:pPr>
              <w:pStyle w:val="24"/>
              <w:rPr>
                <w:sz w:val="16"/>
                <w:szCs w:val="16"/>
              </w:rPr>
            </w:pPr>
            <w:r>
              <w:rPr>
                <w:rFonts w:hint="eastAsia"/>
                <w:sz w:val="16"/>
                <w:szCs w:val="16"/>
              </w:rPr>
              <w:t>-9.531</w:t>
            </w:r>
          </w:p>
        </w:tc>
        <w:tc>
          <w:tcPr>
            <w:tcW w:w="506" w:type="pct"/>
            <w:shd w:val="clear" w:color="auto" w:fill="auto"/>
            <w:noWrap/>
            <w:vAlign w:val="center"/>
          </w:tcPr>
          <w:p w14:paraId="2CD8AF00">
            <w:pPr>
              <w:pStyle w:val="24"/>
              <w:rPr>
                <w:sz w:val="16"/>
                <w:szCs w:val="16"/>
              </w:rPr>
            </w:pPr>
            <w:r>
              <w:rPr>
                <w:rFonts w:hint="eastAsia"/>
                <w:sz w:val="16"/>
                <w:szCs w:val="16"/>
              </w:rPr>
              <w:t>-13.212</w:t>
            </w:r>
          </w:p>
        </w:tc>
        <w:tc>
          <w:tcPr>
            <w:tcW w:w="509" w:type="pct"/>
            <w:shd w:val="clear" w:color="auto" w:fill="auto"/>
            <w:noWrap/>
            <w:vAlign w:val="center"/>
          </w:tcPr>
          <w:p w14:paraId="6CCDA546">
            <w:pPr>
              <w:pStyle w:val="24"/>
              <w:rPr>
                <w:sz w:val="16"/>
                <w:szCs w:val="16"/>
              </w:rPr>
            </w:pPr>
            <w:r>
              <w:rPr>
                <w:rFonts w:hint="eastAsia"/>
                <w:sz w:val="16"/>
                <w:szCs w:val="16"/>
              </w:rPr>
              <w:t>-5.955</w:t>
            </w:r>
          </w:p>
        </w:tc>
        <w:tc>
          <w:tcPr>
            <w:tcW w:w="512" w:type="pct"/>
            <w:shd w:val="clear" w:color="auto" w:fill="auto"/>
            <w:noWrap/>
            <w:vAlign w:val="center"/>
          </w:tcPr>
          <w:p w14:paraId="40594A18">
            <w:pPr>
              <w:pStyle w:val="24"/>
              <w:rPr>
                <w:sz w:val="16"/>
                <w:szCs w:val="16"/>
              </w:rPr>
            </w:pPr>
            <w:r>
              <w:rPr>
                <w:rFonts w:hint="eastAsia"/>
                <w:sz w:val="16"/>
                <w:szCs w:val="16"/>
              </w:rPr>
              <w:t>Fixed</w:t>
            </w:r>
          </w:p>
        </w:tc>
        <w:tc>
          <w:tcPr>
            <w:tcW w:w="494" w:type="pct"/>
            <w:vMerge w:val="continue"/>
            <w:shd w:val="clear" w:color="auto" w:fill="auto"/>
            <w:vAlign w:val="center"/>
          </w:tcPr>
          <w:p w14:paraId="29CA293B">
            <w:pPr>
              <w:pStyle w:val="24"/>
              <w:rPr>
                <w:sz w:val="16"/>
                <w:szCs w:val="16"/>
              </w:rPr>
            </w:pPr>
          </w:p>
        </w:tc>
      </w:tr>
      <w:tr w14:paraId="3982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93E3D2D">
            <w:pPr>
              <w:pStyle w:val="24"/>
              <w:rPr>
                <w:sz w:val="16"/>
                <w:szCs w:val="16"/>
              </w:rPr>
            </w:pPr>
            <w:r>
              <w:rPr>
                <w:rFonts w:hint="eastAsia"/>
                <w:sz w:val="16"/>
                <w:szCs w:val="16"/>
              </w:rPr>
              <w:t>Scale (TAS-102+BEV)</w:t>
            </w:r>
          </w:p>
        </w:tc>
        <w:tc>
          <w:tcPr>
            <w:tcW w:w="506" w:type="pct"/>
            <w:shd w:val="clear" w:color="auto" w:fill="auto"/>
            <w:noWrap/>
            <w:vAlign w:val="center"/>
          </w:tcPr>
          <w:p w14:paraId="7E84D6D4">
            <w:pPr>
              <w:pStyle w:val="24"/>
              <w:rPr>
                <w:sz w:val="16"/>
                <w:szCs w:val="16"/>
              </w:rPr>
            </w:pPr>
            <w:r>
              <w:rPr>
                <w:rFonts w:hint="eastAsia"/>
                <w:sz w:val="16"/>
                <w:szCs w:val="16"/>
              </w:rPr>
              <w:t>-4.734</w:t>
            </w:r>
          </w:p>
        </w:tc>
        <w:tc>
          <w:tcPr>
            <w:tcW w:w="506" w:type="pct"/>
            <w:shd w:val="clear" w:color="auto" w:fill="auto"/>
            <w:noWrap/>
            <w:vAlign w:val="center"/>
          </w:tcPr>
          <w:p w14:paraId="5E181C06">
            <w:pPr>
              <w:pStyle w:val="24"/>
              <w:rPr>
                <w:sz w:val="16"/>
                <w:szCs w:val="16"/>
              </w:rPr>
            </w:pPr>
            <w:r>
              <w:rPr>
                <w:rFonts w:hint="eastAsia"/>
                <w:sz w:val="16"/>
                <w:szCs w:val="16"/>
              </w:rPr>
              <w:t>-8.802</w:t>
            </w:r>
          </w:p>
        </w:tc>
        <w:tc>
          <w:tcPr>
            <w:tcW w:w="509" w:type="pct"/>
            <w:shd w:val="clear" w:color="auto" w:fill="auto"/>
            <w:noWrap/>
            <w:vAlign w:val="center"/>
          </w:tcPr>
          <w:p w14:paraId="0D83FDB8">
            <w:pPr>
              <w:pStyle w:val="24"/>
              <w:rPr>
                <w:sz w:val="16"/>
                <w:szCs w:val="16"/>
              </w:rPr>
            </w:pPr>
            <w:r>
              <w:rPr>
                <w:rFonts w:hint="eastAsia"/>
                <w:sz w:val="16"/>
                <w:szCs w:val="16"/>
              </w:rPr>
              <w:t>-0.769</w:t>
            </w:r>
          </w:p>
        </w:tc>
        <w:tc>
          <w:tcPr>
            <w:tcW w:w="512" w:type="pct"/>
            <w:shd w:val="clear" w:color="auto" w:fill="auto"/>
            <w:noWrap/>
            <w:vAlign w:val="center"/>
          </w:tcPr>
          <w:p w14:paraId="6A56AA53">
            <w:pPr>
              <w:pStyle w:val="24"/>
              <w:rPr>
                <w:sz w:val="16"/>
                <w:szCs w:val="16"/>
              </w:rPr>
            </w:pPr>
            <w:r>
              <w:rPr>
                <w:rFonts w:hint="eastAsia"/>
                <w:sz w:val="16"/>
                <w:szCs w:val="16"/>
              </w:rPr>
              <w:t>Fixed</w:t>
            </w:r>
          </w:p>
        </w:tc>
        <w:tc>
          <w:tcPr>
            <w:tcW w:w="494" w:type="pct"/>
            <w:vMerge w:val="continue"/>
            <w:shd w:val="clear" w:color="auto" w:fill="auto"/>
            <w:vAlign w:val="center"/>
          </w:tcPr>
          <w:p w14:paraId="1507171A">
            <w:pPr>
              <w:pStyle w:val="24"/>
              <w:rPr>
                <w:sz w:val="16"/>
                <w:szCs w:val="16"/>
              </w:rPr>
            </w:pPr>
          </w:p>
        </w:tc>
      </w:tr>
      <w:tr w14:paraId="4D096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9555056">
            <w:pPr>
              <w:pStyle w:val="24"/>
              <w:rPr>
                <w:sz w:val="16"/>
                <w:szCs w:val="16"/>
              </w:rPr>
            </w:pPr>
            <w:r>
              <w:rPr>
                <w:rFonts w:hint="eastAsia"/>
                <w:sz w:val="16"/>
                <w:szCs w:val="16"/>
              </w:rPr>
              <w:t>Shape (Fruquintinib)</w:t>
            </w:r>
          </w:p>
        </w:tc>
        <w:tc>
          <w:tcPr>
            <w:tcW w:w="506" w:type="pct"/>
            <w:shd w:val="clear" w:color="auto" w:fill="auto"/>
            <w:noWrap/>
            <w:vAlign w:val="center"/>
          </w:tcPr>
          <w:p w14:paraId="4D2B6238">
            <w:pPr>
              <w:pStyle w:val="24"/>
              <w:rPr>
                <w:sz w:val="16"/>
                <w:szCs w:val="16"/>
              </w:rPr>
            </w:pPr>
            <w:r>
              <w:rPr>
                <w:rFonts w:hint="eastAsia"/>
                <w:sz w:val="16"/>
                <w:szCs w:val="16"/>
              </w:rPr>
              <w:t>-6.602</w:t>
            </w:r>
          </w:p>
        </w:tc>
        <w:tc>
          <w:tcPr>
            <w:tcW w:w="506" w:type="pct"/>
            <w:shd w:val="clear" w:color="auto" w:fill="auto"/>
            <w:noWrap/>
            <w:vAlign w:val="center"/>
          </w:tcPr>
          <w:p w14:paraId="42022A03">
            <w:pPr>
              <w:pStyle w:val="24"/>
              <w:rPr>
                <w:sz w:val="16"/>
                <w:szCs w:val="16"/>
              </w:rPr>
            </w:pPr>
            <w:r>
              <w:rPr>
                <w:rFonts w:hint="eastAsia"/>
                <w:sz w:val="16"/>
                <w:szCs w:val="16"/>
              </w:rPr>
              <w:t>-18.29</w:t>
            </w:r>
          </w:p>
        </w:tc>
        <w:tc>
          <w:tcPr>
            <w:tcW w:w="509" w:type="pct"/>
            <w:shd w:val="clear" w:color="auto" w:fill="auto"/>
            <w:noWrap/>
            <w:vAlign w:val="center"/>
          </w:tcPr>
          <w:p w14:paraId="3EE6C862">
            <w:pPr>
              <w:pStyle w:val="24"/>
              <w:rPr>
                <w:sz w:val="16"/>
                <w:szCs w:val="16"/>
              </w:rPr>
            </w:pPr>
            <w:r>
              <w:rPr>
                <w:rFonts w:hint="eastAsia"/>
                <w:sz w:val="16"/>
                <w:szCs w:val="16"/>
              </w:rPr>
              <w:t>5.45</w:t>
            </w:r>
          </w:p>
        </w:tc>
        <w:tc>
          <w:tcPr>
            <w:tcW w:w="512" w:type="pct"/>
            <w:shd w:val="clear" w:color="auto" w:fill="auto"/>
            <w:noWrap/>
            <w:vAlign w:val="center"/>
          </w:tcPr>
          <w:p w14:paraId="0FD20F3A">
            <w:pPr>
              <w:pStyle w:val="24"/>
              <w:rPr>
                <w:sz w:val="16"/>
                <w:szCs w:val="16"/>
              </w:rPr>
            </w:pPr>
            <w:r>
              <w:rPr>
                <w:rFonts w:hint="eastAsia"/>
                <w:sz w:val="16"/>
                <w:szCs w:val="16"/>
              </w:rPr>
              <w:t>Fixed</w:t>
            </w:r>
          </w:p>
        </w:tc>
        <w:tc>
          <w:tcPr>
            <w:tcW w:w="494" w:type="pct"/>
            <w:vMerge w:val="continue"/>
            <w:shd w:val="clear" w:color="auto" w:fill="auto"/>
            <w:vAlign w:val="center"/>
          </w:tcPr>
          <w:p w14:paraId="5E33A053">
            <w:pPr>
              <w:pStyle w:val="24"/>
              <w:rPr>
                <w:sz w:val="16"/>
                <w:szCs w:val="16"/>
              </w:rPr>
            </w:pPr>
          </w:p>
        </w:tc>
      </w:tr>
      <w:tr w14:paraId="3EA09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EB6AC05">
            <w:pPr>
              <w:pStyle w:val="24"/>
              <w:rPr>
                <w:sz w:val="16"/>
                <w:szCs w:val="16"/>
              </w:rPr>
            </w:pPr>
            <w:r>
              <w:rPr>
                <w:rFonts w:hint="eastAsia"/>
                <w:sz w:val="16"/>
                <w:szCs w:val="16"/>
              </w:rPr>
              <w:t>Shape (Regorafenib)</w:t>
            </w:r>
          </w:p>
        </w:tc>
        <w:tc>
          <w:tcPr>
            <w:tcW w:w="506" w:type="pct"/>
            <w:shd w:val="clear" w:color="auto" w:fill="auto"/>
            <w:noWrap/>
            <w:vAlign w:val="center"/>
          </w:tcPr>
          <w:p w14:paraId="7068E21B">
            <w:pPr>
              <w:pStyle w:val="24"/>
              <w:rPr>
                <w:sz w:val="16"/>
                <w:szCs w:val="16"/>
              </w:rPr>
            </w:pPr>
            <w:r>
              <w:rPr>
                <w:rFonts w:hint="eastAsia"/>
                <w:sz w:val="16"/>
                <w:szCs w:val="16"/>
              </w:rPr>
              <w:t>-3.304</w:t>
            </w:r>
          </w:p>
        </w:tc>
        <w:tc>
          <w:tcPr>
            <w:tcW w:w="506" w:type="pct"/>
            <w:shd w:val="clear" w:color="auto" w:fill="auto"/>
            <w:noWrap/>
            <w:vAlign w:val="center"/>
          </w:tcPr>
          <w:p w14:paraId="66133192">
            <w:pPr>
              <w:pStyle w:val="24"/>
              <w:rPr>
                <w:sz w:val="16"/>
                <w:szCs w:val="16"/>
              </w:rPr>
            </w:pPr>
            <w:r>
              <w:rPr>
                <w:rFonts w:hint="eastAsia"/>
                <w:sz w:val="16"/>
                <w:szCs w:val="16"/>
              </w:rPr>
              <w:t>-8.314</w:t>
            </w:r>
          </w:p>
        </w:tc>
        <w:tc>
          <w:tcPr>
            <w:tcW w:w="509" w:type="pct"/>
            <w:shd w:val="clear" w:color="auto" w:fill="auto"/>
            <w:noWrap/>
            <w:vAlign w:val="center"/>
          </w:tcPr>
          <w:p w14:paraId="56A5FB87">
            <w:pPr>
              <w:pStyle w:val="24"/>
              <w:rPr>
                <w:sz w:val="16"/>
                <w:szCs w:val="16"/>
              </w:rPr>
            </w:pPr>
            <w:r>
              <w:rPr>
                <w:rFonts w:hint="eastAsia"/>
                <w:sz w:val="16"/>
                <w:szCs w:val="16"/>
              </w:rPr>
              <w:t>1.594</w:t>
            </w:r>
          </w:p>
        </w:tc>
        <w:tc>
          <w:tcPr>
            <w:tcW w:w="512" w:type="pct"/>
            <w:shd w:val="clear" w:color="auto" w:fill="auto"/>
            <w:noWrap/>
            <w:vAlign w:val="center"/>
          </w:tcPr>
          <w:p w14:paraId="11C73AB9">
            <w:pPr>
              <w:pStyle w:val="24"/>
              <w:rPr>
                <w:sz w:val="16"/>
                <w:szCs w:val="16"/>
              </w:rPr>
            </w:pPr>
            <w:r>
              <w:rPr>
                <w:rFonts w:hint="eastAsia"/>
                <w:sz w:val="16"/>
                <w:szCs w:val="16"/>
              </w:rPr>
              <w:t>Fixed</w:t>
            </w:r>
          </w:p>
        </w:tc>
        <w:tc>
          <w:tcPr>
            <w:tcW w:w="494" w:type="pct"/>
            <w:vMerge w:val="continue"/>
            <w:shd w:val="clear" w:color="auto" w:fill="auto"/>
            <w:vAlign w:val="center"/>
          </w:tcPr>
          <w:p w14:paraId="7923E399">
            <w:pPr>
              <w:pStyle w:val="24"/>
              <w:rPr>
                <w:sz w:val="16"/>
                <w:szCs w:val="16"/>
              </w:rPr>
            </w:pPr>
          </w:p>
        </w:tc>
      </w:tr>
      <w:tr w14:paraId="053F6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3EDDD0E">
            <w:pPr>
              <w:pStyle w:val="24"/>
              <w:rPr>
                <w:sz w:val="16"/>
                <w:szCs w:val="16"/>
              </w:rPr>
            </w:pPr>
            <w:r>
              <w:rPr>
                <w:rFonts w:hint="eastAsia"/>
                <w:sz w:val="16"/>
                <w:szCs w:val="16"/>
              </w:rPr>
              <w:t>Shape (REDos)</w:t>
            </w:r>
          </w:p>
        </w:tc>
        <w:tc>
          <w:tcPr>
            <w:tcW w:w="506" w:type="pct"/>
            <w:shd w:val="clear" w:color="auto" w:fill="auto"/>
            <w:noWrap/>
            <w:vAlign w:val="center"/>
          </w:tcPr>
          <w:p w14:paraId="6E77DD2F">
            <w:pPr>
              <w:pStyle w:val="24"/>
              <w:rPr>
                <w:sz w:val="16"/>
                <w:szCs w:val="16"/>
              </w:rPr>
            </w:pPr>
            <w:r>
              <w:rPr>
                <w:rFonts w:hint="eastAsia"/>
                <w:sz w:val="16"/>
                <w:szCs w:val="16"/>
              </w:rPr>
              <w:t>-2.267</w:t>
            </w:r>
          </w:p>
        </w:tc>
        <w:tc>
          <w:tcPr>
            <w:tcW w:w="506" w:type="pct"/>
            <w:shd w:val="clear" w:color="auto" w:fill="auto"/>
            <w:noWrap/>
            <w:vAlign w:val="center"/>
          </w:tcPr>
          <w:p w14:paraId="47606EE8">
            <w:pPr>
              <w:pStyle w:val="24"/>
              <w:rPr>
                <w:sz w:val="16"/>
                <w:szCs w:val="16"/>
              </w:rPr>
            </w:pPr>
            <w:r>
              <w:rPr>
                <w:rFonts w:hint="eastAsia"/>
                <w:sz w:val="16"/>
                <w:szCs w:val="16"/>
              </w:rPr>
              <w:t>-6.517</w:t>
            </w:r>
          </w:p>
        </w:tc>
        <w:tc>
          <w:tcPr>
            <w:tcW w:w="509" w:type="pct"/>
            <w:shd w:val="clear" w:color="auto" w:fill="auto"/>
            <w:noWrap/>
            <w:vAlign w:val="center"/>
          </w:tcPr>
          <w:p w14:paraId="33D7AB65">
            <w:pPr>
              <w:pStyle w:val="24"/>
              <w:rPr>
                <w:sz w:val="16"/>
                <w:szCs w:val="16"/>
              </w:rPr>
            </w:pPr>
            <w:r>
              <w:rPr>
                <w:rFonts w:hint="eastAsia"/>
                <w:sz w:val="16"/>
                <w:szCs w:val="16"/>
              </w:rPr>
              <w:t>1.74</w:t>
            </w:r>
          </w:p>
        </w:tc>
        <w:tc>
          <w:tcPr>
            <w:tcW w:w="512" w:type="pct"/>
            <w:shd w:val="clear" w:color="auto" w:fill="auto"/>
            <w:noWrap/>
            <w:vAlign w:val="center"/>
          </w:tcPr>
          <w:p w14:paraId="43C933BB">
            <w:pPr>
              <w:pStyle w:val="24"/>
              <w:rPr>
                <w:sz w:val="16"/>
                <w:szCs w:val="16"/>
              </w:rPr>
            </w:pPr>
            <w:r>
              <w:rPr>
                <w:rFonts w:hint="eastAsia"/>
                <w:sz w:val="16"/>
                <w:szCs w:val="16"/>
              </w:rPr>
              <w:t>Fixed</w:t>
            </w:r>
          </w:p>
        </w:tc>
        <w:tc>
          <w:tcPr>
            <w:tcW w:w="494" w:type="pct"/>
            <w:vMerge w:val="continue"/>
            <w:shd w:val="clear" w:color="auto" w:fill="auto"/>
            <w:vAlign w:val="center"/>
          </w:tcPr>
          <w:p w14:paraId="08116226">
            <w:pPr>
              <w:pStyle w:val="24"/>
              <w:rPr>
                <w:sz w:val="16"/>
                <w:szCs w:val="16"/>
              </w:rPr>
            </w:pPr>
          </w:p>
        </w:tc>
      </w:tr>
      <w:tr w14:paraId="1A94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2A1C9DF">
            <w:pPr>
              <w:pStyle w:val="24"/>
              <w:rPr>
                <w:sz w:val="16"/>
                <w:szCs w:val="16"/>
              </w:rPr>
            </w:pPr>
            <w:r>
              <w:rPr>
                <w:rFonts w:hint="eastAsia"/>
                <w:sz w:val="16"/>
                <w:szCs w:val="16"/>
              </w:rPr>
              <w:t>Shape (TAS-102)</w:t>
            </w:r>
          </w:p>
        </w:tc>
        <w:tc>
          <w:tcPr>
            <w:tcW w:w="506" w:type="pct"/>
            <w:shd w:val="clear" w:color="auto" w:fill="auto"/>
            <w:noWrap/>
            <w:vAlign w:val="center"/>
          </w:tcPr>
          <w:p w14:paraId="20BA7856">
            <w:pPr>
              <w:pStyle w:val="24"/>
              <w:rPr>
                <w:sz w:val="16"/>
                <w:szCs w:val="16"/>
              </w:rPr>
            </w:pPr>
            <w:r>
              <w:rPr>
                <w:rFonts w:hint="eastAsia"/>
                <w:sz w:val="16"/>
                <w:szCs w:val="16"/>
              </w:rPr>
              <w:t>-1.737</w:t>
            </w:r>
          </w:p>
        </w:tc>
        <w:tc>
          <w:tcPr>
            <w:tcW w:w="506" w:type="pct"/>
            <w:shd w:val="clear" w:color="auto" w:fill="auto"/>
            <w:noWrap/>
            <w:vAlign w:val="center"/>
          </w:tcPr>
          <w:p w14:paraId="04469924">
            <w:pPr>
              <w:pStyle w:val="24"/>
              <w:rPr>
                <w:sz w:val="16"/>
                <w:szCs w:val="16"/>
              </w:rPr>
            </w:pPr>
            <w:r>
              <w:rPr>
                <w:rFonts w:hint="eastAsia"/>
                <w:sz w:val="16"/>
                <w:szCs w:val="16"/>
              </w:rPr>
              <w:t>-6.789</w:t>
            </w:r>
          </w:p>
        </w:tc>
        <w:tc>
          <w:tcPr>
            <w:tcW w:w="509" w:type="pct"/>
            <w:shd w:val="clear" w:color="auto" w:fill="auto"/>
            <w:noWrap/>
            <w:vAlign w:val="center"/>
          </w:tcPr>
          <w:p w14:paraId="3C4297B9">
            <w:pPr>
              <w:pStyle w:val="24"/>
              <w:rPr>
                <w:sz w:val="16"/>
                <w:szCs w:val="16"/>
              </w:rPr>
            </w:pPr>
            <w:r>
              <w:rPr>
                <w:rFonts w:hint="eastAsia"/>
                <w:sz w:val="16"/>
                <w:szCs w:val="16"/>
              </w:rPr>
              <w:t>3.117</w:t>
            </w:r>
          </w:p>
        </w:tc>
        <w:tc>
          <w:tcPr>
            <w:tcW w:w="512" w:type="pct"/>
            <w:shd w:val="clear" w:color="auto" w:fill="auto"/>
            <w:noWrap/>
            <w:vAlign w:val="center"/>
          </w:tcPr>
          <w:p w14:paraId="4D60247A">
            <w:pPr>
              <w:pStyle w:val="24"/>
              <w:rPr>
                <w:sz w:val="16"/>
                <w:szCs w:val="16"/>
              </w:rPr>
            </w:pPr>
            <w:r>
              <w:rPr>
                <w:rFonts w:hint="eastAsia"/>
                <w:sz w:val="16"/>
                <w:szCs w:val="16"/>
              </w:rPr>
              <w:t>Fixed</w:t>
            </w:r>
          </w:p>
        </w:tc>
        <w:tc>
          <w:tcPr>
            <w:tcW w:w="494" w:type="pct"/>
            <w:vMerge w:val="continue"/>
            <w:shd w:val="clear" w:color="auto" w:fill="auto"/>
            <w:vAlign w:val="center"/>
          </w:tcPr>
          <w:p w14:paraId="6C68CE09">
            <w:pPr>
              <w:pStyle w:val="24"/>
              <w:rPr>
                <w:sz w:val="16"/>
                <w:szCs w:val="16"/>
              </w:rPr>
            </w:pPr>
          </w:p>
        </w:tc>
      </w:tr>
      <w:tr w14:paraId="49FAA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D97617C">
            <w:pPr>
              <w:pStyle w:val="24"/>
              <w:rPr>
                <w:sz w:val="16"/>
                <w:szCs w:val="16"/>
              </w:rPr>
            </w:pPr>
            <w:r>
              <w:rPr>
                <w:rFonts w:hint="eastAsia"/>
                <w:sz w:val="16"/>
                <w:szCs w:val="16"/>
              </w:rPr>
              <w:t>Shape (TAS-102+BEV)</w:t>
            </w:r>
          </w:p>
        </w:tc>
        <w:tc>
          <w:tcPr>
            <w:tcW w:w="506" w:type="pct"/>
            <w:shd w:val="clear" w:color="auto" w:fill="auto"/>
            <w:noWrap/>
            <w:vAlign w:val="center"/>
          </w:tcPr>
          <w:p w14:paraId="7E8834C6">
            <w:pPr>
              <w:pStyle w:val="24"/>
              <w:rPr>
                <w:sz w:val="16"/>
                <w:szCs w:val="16"/>
              </w:rPr>
            </w:pPr>
            <w:r>
              <w:rPr>
                <w:rFonts w:hint="eastAsia"/>
                <w:sz w:val="16"/>
                <w:szCs w:val="16"/>
              </w:rPr>
              <w:t>-2.076</w:t>
            </w:r>
          </w:p>
        </w:tc>
        <w:tc>
          <w:tcPr>
            <w:tcW w:w="506" w:type="pct"/>
            <w:shd w:val="clear" w:color="auto" w:fill="auto"/>
            <w:noWrap/>
            <w:vAlign w:val="center"/>
          </w:tcPr>
          <w:p w14:paraId="741285C9">
            <w:pPr>
              <w:pStyle w:val="24"/>
              <w:rPr>
                <w:sz w:val="16"/>
                <w:szCs w:val="16"/>
              </w:rPr>
            </w:pPr>
            <w:r>
              <w:rPr>
                <w:rFonts w:hint="eastAsia"/>
                <w:sz w:val="16"/>
                <w:szCs w:val="16"/>
              </w:rPr>
              <w:t>-10.942</w:t>
            </w:r>
          </w:p>
        </w:tc>
        <w:tc>
          <w:tcPr>
            <w:tcW w:w="509" w:type="pct"/>
            <w:shd w:val="clear" w:color="auto" w:fill="auto"/>
            <w:noWrap/>
            <w:vAlign w:val="center"/>
          </w:tcPr>
          <w:p w14:paraId="5AB089E1">
            <w:pPr>
              <w:pStyle w:val="24"/>
              <w:rPr>
                <w:sz w:val="16"/>
                <w:szCs w:val="16"/>
              </w:rPr>
            </w:pPr>
            <w:r>
              <w:rPr>
                <w:rFonts w:hint="eastAsia"/>
                <w:sz w:val="16"/>
                <w:szCs w:val="16"/>
              </w:rPr>
              <w:t>6.896</w:t>
            </w:r>
          </w:p>
        </w:tc>
        <w:tc>
          <w:tcPr>
            <w:tcW w:w="512" w:type="pct"/>
            <w:shd w:val="clear" w:color="auto" w:fill="auto"/>
            <w:noWrap/>
            <w:vAlign w:val="center"/>
          </w:tcPr>
          <w:p w14:paraId="4044C9AD">
            <w:pPr>
              <w:pStyle w:val="24"/>
              <w:rPr>
                <w:sz w:val="16"/>
                <w:szCs w:val="16"/>
              </w:rPr>
            </w:pPr>
            <w:r>
              <w:rPr>
                <w:rFonts w:hint="eastAsia"/>
                <w:sz w:val="16"/>
                <w:szCs w:val="16"/>
              </w:rPr>
              <w:t>Fixed</w:t>
            </w:r>
          </w:p>
        </w:tc>
        <w:tc>
          <w:tcPr>
            <w:tcW w:w="494" w:type="pct"/>
            <w:vMerge w:val="continue"/>
            <w:shd w:val="clear" w:color="auto" w:fill="auto"/>
            <w:vAlign w:val="center"/>
          </w:tcPr>
          <w:p w14:paraId="13A633FB">
            <w:pPr>
              <w:pStyle w:val="24"/>
              <w:rPr>
                <w:sz w:val="16"/>
                <w:szCs w:val="16"/>
              </w:rPr>
            </w:pPr>
          </w:p>
        </w:tc>
      </w:tr>
      <w:tr w14:paraId="6F104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A9500B8">
            <w:pPr>
              <w:pStyle w:val="24"/>
              <w:rPr>
                <w:sz w:val="16"/>
                <w:szCs w:val="16"/>
              </w:rPr>
            </w:pPr>
            <w:r>
              <w:rPr>
                <w:rFonts w:hint="eastAsia"/>
                <w:sz w:val="16"/>
                <w:szCs w:val="16"/>
              </w:rPr>
              <w:t>Scale (Fruquintinib)</w:t>
            </w:r>
          </w:p>
        </w:tc>
        <w:tc>
          <w:tcPr>
            <w:tcW w:w="506" w:type="pct"/>
            <w:shd w:val="clear" w:color="auto" w:fill="auto"/>
            <w:noWrap/>
            <w:vAlign w:val="center"/>
          </w:tcPr>
          <w:p w14:paraId="5CF306D9">
            <w:pPr>
              <w:pStyle w:val="24"/>
              <w:rPr>
                <w:sz w:val="16"/>
                <w:szCs w:val="16"/>
              </w:rPr>
            </w:pPr>
            <w:r>
              <w:rPr>
                <w:rFonts w:hint="eastAsia"/>
                <w:sz w:val="16"/>
                <w:szCs w:val="16"/>
              </w:rPr>
              <w:t>5.421</w:t>
            </w:r>
          </w:p>
        </w:tc>
        <w:tc>
          <w:tcPr>
            <w:tcW w:w="506" w:type="pct"/>
            <w:shd w:val="clear" w:color="auto" w:fill="auto"/>
            <w:noWrap/>
            <w:vAlign w:val="center"/>
          </w:tcPr>
          <w:p w14:paraId="6CA470C0">
            <w:pPr>
              <w:pStyle w:val="24"/>
              <w:rPr>
                <w:sz w:val="16"/>
                <w:szCs w:val="16"/>
              </w:rPr>
            </w:pPr>
            <w:r>
              <w:rPr>
                <w:rFonts w:hint="eastAsia"/>
                <w:sz w:val="16"/>
                <w:szCs w:val="16"/>
              </w:rPr>
              <w:t>-8.425</w:t>
            </w:r>
          </w:p>
        </w:tc>
        <w:tc>
          <w:tcPr>
            <w:tcW w:w="509" w:type="pct"/>
            <w:shd w:val="clear" w:color="auto" w:fill="auto"/>
            <w:noWrap/>
            <w:vAlign w:val="center"/>
          </w:tcPr>
          <w:p w14:paraId="00708B9B">
            <w:pPr>
              <w:pStyle w:val="24"/>
              <w:rPr>
                <w:sz w:val="16"/>
                <w:szCs w:val="16"/>
              </w:rPr>
            </w:pPr>
            <w:r>
              <w:rPr>
                <w:rFonts w:hint="eastAsia"/>
                <w:sz w:val="16"/>
                <w:szCs w:val="16"/>
              </w:rPr>
              <w:t>18.778</w:t>
            </w:r>
          </w:p>
        </w:tc>
        <w:tc>
          <w:tcPr>
            <w:tcW w:w="512" w:type="pct"/>
            <w:shd w:val="clear" w:color="auto" w:fill="auto"/>
            <w:noWrap/>
            <w:vAlign w:val="center"/>
          </w:tcPr>
          <w:p w14:paraId="35239174">
            <w:pPr>
              <w:pStyle w:val="24"/>
              <w:rPr>
                <w:sz w:val="16"/>
                <w:szCs w:val="16"/>
              </w:rPr>
            </w:pPr>
            <w:r>
              <w:rPr>
                <w:rFonts w:hint="eastAsia"/>
                <w:sz w:val="16"/>
                <w:szCs w:val="16"/>
              </w:rPr>
              <w:t>Fixed</w:t>
            </w:r>
          </w:p>
        </w:tc>
        <w:tc>
          <w:tcPr>
            <w:tcW w:w="494" w:type="pct"/>
            <w:vMerge w:val="restart"/>
            <w:shd w:val="clear" w:color="auto" w:fill="auto"/>
            <w:vAlign w:val="center"/>
          </w:tcPr>
          <w:p w14:paraId="4919619F">
            <w:pPr>
              <w:pStyle w:val="24"/>
              <w:rPr>
                <w:sz w:val="16"/>
                <w:szCs w:val="16"/>
              </w:rPr>
            </w:pPr>
            <w:r>
              <w:rPr>
                <w:rFonts w:hint="eastAsia"/>
                <w:sz w:val="16"/>
                <w:szCs w:val="16"/>
              </w:rPr>
              <w:t>Bayesian Second-Order Fractional Polynomial Network Meta-analysis Model for PFS</w:t>
            </w:r>
          </w:p>
        </w:tc>
      </w:tr>
      <w:tr w14:paraId="2E50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A7975DF">
            <w:pPr>
              <w:pStyle w:val="24"/>
              <w:rPr>
                <w:sz w:val="16"/>
                <w:szCs w:val="16"/>
              </w:rPr>
            </w:pPr>
            <w:r>
              <w:rPr>
                <w:rFonts w:hint="eastAsia"/>
                <w:sz w:val="16"/>
                <w:szCs w:val="16"/>
              </w:rPr>
              <w:t>Scale (Regorafenib)</w:t>
            </w:r>
          </w:p>
        </w:tc>
        <w:tc>
          <w:tcPr>
            <w:tcW w:w="506" w:type="pct"/>
            <w:shd w:val="clear" w:color="auto" w:fill="auto"/>
            <w:noWrap/>
            <w:vAlign w:val="center"/>
          </w:tcPr>
          <w:p w14:paraId="3891C503">
            <w:pPr>
              <w:pStyle w:val="24"/>
              <w:rPr>
                <w:sz w:val="16"/>
                <w:szCs w:val="16"/>
              </w:rPr>
            </w:pPr>
            <w:r>
              <w:rPr>
                <w:rFonts w:hint="eastAsia"/>
                <w:sz w:val="16"/>
                <w:szCs w:val="16"/>
              </w:rPr>
              <w:t>2.303</w:t>
            </w:r>
          </w:p>
        </w:tc>
        <w:tc>
          <w:tcPr>
            <w:tcW w:w="506" w:type="pct"/>
            <w:shd w:val="clear" w:color="auto" w:fill="auto"/>
            <w:noWrap/>
            <w:vAlign w:val="center"/>
          </w:tcPr>
          <w:p w14:paraId="49A2A5D1">
            <w:pPr>
              <w:pStyle w:val="24"/>
              <w:rPr>
                <w:sz w:val="16"/>
                <w:szCs w:val="16"/>
              </w:rPr>
            </w:pPr>
            <w:r>
              <w:rPr>
                <w:rFonts w:hint="eastAsia"/>
                <w:sz w:val="16"/>
                <w:szCs w:val="16"/>
              </w:rPr>
              <w:t>-3.233</w:t>
            </w:r>
          </w:p>
        </w:tc>
        <w:tc>
          <w:tcPr>
            <w:tcW w:w="509" w:type="pct"/>
            <w:shd w:val="clear" w:color="auto" w:fill="auto"/>
            <w:noWrap/>
            <w:vAlign w:val="center"/>
          </w:tcPr>
          <w:p w14:paraId="14914CA4">
            <w:pPr>
              <w:pStyle w:val="24"/>
              <w:rPr>
                <w:sz w:val="16"/>
                <w:szCs w:val="16"/>
              </w:rPr>
            </w:pPr>
            <w:r>
              <w:rPr>
                <w:rFonts w:hint="eastAsia"/>
                <w:sz w:val="16"/>
                <w:szCs w:val="16"/>
              </w:rPr>
              <w:t>7.954</w:t>
            </w:r>
          </w:p>
        </w:tc>
        <w:tc>
          <w:tcPr>
            <w:tcW w:w="512" w:type="pct"/>
            <w:shd w:val="clear" w:color="auto" w:fill="auto"/>
            <w:noWrap/>
            <w:vAlign w:val="center"/>
          </w:tcPr>
          <w:p w14:paraId="0DA499FD">
            <w:pPr>
              <w:pStyle w:val="24"/>
              <w:rPr>
                <w:sz w:val="16"/>
                <w:szCs w:val="16"/>
              </w:rPr>
            </w:pPr>
            <w:r>
              <w:rPr>
                <w:rFonts w:hint="eastAsia"/>
                <w:sz w:val="16"/>
                <w:szCs w:val="16"/>
              </w:rPr>
              <w:t>Fixed</w:t>
            </w:r>
          </w:p>
        </w:tc>
        <w:tc>
          <w:tcPr>
            <w:tcW w:w="494" w:type="pct"/>
            <w:vMerge w:val="continue"/>
            <w:shd w:val="clear" w:color="auto" w:fill="auto"/>
            <w:vAlign w:val="center"/>
          </w:tcPr>
          <w:p w14:paraId="68A7BE2B">
            <w:pPr>
              <w:pStyle w:val="24"/>
              <w:rPr>
                <w:sz w:val="16"/>
                <w:szCs w:val="16"/>
              </w:rPr>
            </w:pPr>
          </w:p>
        </w:tc>
      </w:tr>
      <w:tr w14:paraId="5AE97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56EC5B9">
            <w:pPr>
              <w:pStyle w:val="24"/>
              <w:rPr>
                <w:sz w:val="16"/>
                <w:szCs w:val="16"/>
              </w:rPr>
            </w:pPr>
            <w:r>
              <w:rPr>
                <w:rFonts w:hint="eastAsia"/>
                <w:sz w:val="16"/>
                <w:szCs w:val="16"/>
              </w:rPr>
              <w:t>Scale (REDos)</w:t>
            </w:r>
          </w:p>
        </w:tc>
        <w:tc>
          <w:tcPr>
            <w:tcW w:w="506" w:type="pct"/>
            <w:shd w:val="clear" w:color="auto" w:fill="auto"/>
            <w:noWrap/>
            <w:vAlign w:val="center"/>
          </w:tcPr>
          <w:p w14:paraId="49A73A6F">
            <w:pPr>
              <w:pStyle w:val="24"/>
              <w:rPr>
                <w:sz w:val="16"/>
                <w:szCs w:val="16"/>
              </w:rPr>
            </w:pPr>
            <w:r>
              <w:rPr>
                <w:rFonts w:hint="eastAsia"/>
                <w:sz w:val="16"/>
                <w:szCs w:val="16"/>
              </w:rPr>
              <w:t>1.932</w:t>
            </w:r>
          </w:p>
        </w:tc>
        <w:tc>
          <w:tcPr>
            <w:tcW w:w="506" w:type="pct"/>
            <w:shd w:val="clear" w:color="auto" w:fill="auto"/>
            <w:noWrap/>
            <w:vAlign w:val="center"/>
          </w:tcPr>
          <w:p w14:paraId="43887075">
            <w:pPr>
              <w:pStyle w:val="24"/>
              <w:rPr>
                <w:sz w:val="16"/>
                <w:szCs w:val="16"/>
              </w:rPr>
            </w:pPr>
            <w:r>
              <w:rPr>
                <w:rFonts w:hint="eastAsia"/>
                <w:sz w:val="16"/>
                <w:szCs w:val="16"/>
              </w:rPr>
              <w:t>-2.717</w:t>
            </w:r>
          </w:p>
        </w:tc>
        <w:tc>
          <w:tcPr>
            <w:tcW w:w="509" w:type="pct"/>
            <w:shd w:val="clear" w:color="auto" w:fill="auto"/>
            <w:noWrap/>
            <w:vAlign w:val="center"/>
          </w:tcPr>
          <w:p w14:paraId="018E2518">
            <w:pPr>
              <w:pStyle w:val="24"/>
              <w:rPr>
                <w:sz w:val="16"/>
                <w:szCs w:val="16"/>
              </w:rPr>
            </w:pPr>
            <w:r>
              <w:rPr>
                <w:rFonts w:hint="eastAsia"/>
                <w:sz w:val="16"/>
                <w:szCs w:val="16"/>
              </w:rPr>
              <w:t>6.896</w:t>
            </w:r>
          </w:p>
        </w:tc>
        <w:tc>
          <w:tcPr>
            <w:tcW w:w="512" w:type="pct"/>
            <w:shd w:val="clear" w:color="auto" w:fill="auto"/>
            <w:noWrap/>
            <w:vAlign w:val="center"/>
          </w:tcPr>
          <w:p w14:paraId="59859360">
            <w:pPr>
              <w:pStyle w:val="24"/>
              <w:rPr>
                <w:sz w:val="16"/>
                <w:szCs w:val="16"/>
              </w:rPr>
            </w:pPr>
            <w:r>
              <w:rPr>
                <w:rFonts w:hint="eastAsia"/>
                <w:sz w:val="16"/>
                <w:szCs w:val="16"/>
              </w:rPr>
              <w:t>Fixed</w:t>
            </w:r>
          </w:p>
        </w:tc>
        <w:tc>
          <w:tcPr>
            <w:tcW w:w="494" w:type="pct"/>
            <w:vMerge w:val="continue"/>
            <w:shd w:val="clear" w:color="auto" w:fill="auto"/>
            <w:vAlign w:val="center"/>
          </w:tcPr>
          <w:p w14:paraId="3B20174F">
            <w:pPr>
              <w:pStyle w:val="24"/>
              <w:rPr>
                <w:sz w:val="16"/>
                <w:szCs w:val="16"/>
              </w:rPr>
            </w:pPr>
          </w:p>
        </w:tc>
      </w:tr>
      <w:tr w14:paraId="2CC3A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1658DD7">
            <w:pPr>
              <w:pStyle w:val="24"/>
              <w:rPr>
                <w:sz w:val="16"/>
                <w:szCs w:val="16"/>
              </w:rPr>
            </w:pPr>
            <w:r>
              <w:rPr>
                <w:rFonts w:hint="eastAsia"/>
                <w:sz w:val="16"/>
                <w:szCs w:val="16"/>
              </w:rPr>
              <w:t>Scale (TAS-102)</w:t>
            </w:r>
          </w:p>
        </w:tc>
        <w:tc>
          <w:tcPr>
            <w:tcW w:w="506" w:type="pct"/>
            <w:shd w:val="clear" w:color="auto" w:fill="auto"/>
            <w:noWrap/>
            <w:vAlign w:val="center"/>
          </w:tcPr>
          <w:p w14:paraId="1B1B6C55">
            <w:pPr>
              <w:pStyle w:val="24"/>
              <w:rPr>
                <w:sz w:val="16"/>
                <w:szCs w:val="16"/>
              </w:rPr>
            </w:pPr>
            <w:r>
              <w:rPr>
                <w:rFonts w:hint="eastAsia"/>
                <w:sz w:val="16"/>
                <w:szCs w:val="16"/>
              </w:rPr>
              <w:t>1.54</w:t>
            </w:r>
          </w:p>
        </w:tc>
        <w:tc>
          <w:tcPr>
            <w:tcW w:w="506" w:type="pct"/>
            <w:shd w:val="clear" w:color="auto" w:fill="auto"/>
            <w:noWrap/>
            <w:vAlign w:val="center"/>
          </w:tcPr>
          <w:p w14:paraId="5EE47C57">
            <w:pPr>
              <w:pStyle w:val="24"/>
              <w:rPr>
                <w:sz w:val="16"/>
                <w:szCs w:val="16"/>
              </w:rPr>
            </w:pPr>
            <w:r>
              <w:rPr>
                <w:rFonts w:hint="eastAsia"/>
                <w:sz w:val="16"/>
                <w:szCs w:val="16"/>
              </w:rPr>
              <w:t>-3.934</w:t>
            </w:r>
          </w:p>
        </w:tc>
        <w:tc>
          <w:tcPr>
            <w:tcW w:w="509" w:type="pct"/>
            <w:shd w:val="clear" w:color="auto" w:fill="auto"/>
            <w:noWrap/>
            <w:vAlign w:val="center"/>
          </w:tcPr>
          <w:p w14:paraId="16616D4C">
            <w:pPr>
              <w:pStyle w:val="24"/>
              <w:rPr>
                <w:sz w:val="16"/>
                <w:szCs w:val="16"/>
              </w:rPr>
            </w:pPr>
            <w:r>
              <w:rPr>
                <w:rFonts w:hint="eastAsia"/>
                <w:sz w:val="16"/>
                <w:szCs w:val="16"/>
              </w:rPr>
              <w:t>7.22</w:t>
            </w:r>
          </w:p>
        </w:tc>
        <w:tc>
          <w:tcPr>
            <w:tcW w:w="512" w:type="pct"/>
            <w:shd w:val="clear" w:color="auto" w:fill="auto"/>
            <w:noWrap/>
            <w:vAlign w:val="center"/>
          </w:tcPr>
          <w:p w14:paraId="51FE972C">
            <w:pPr>
              <w:pStyle w:val="24"/>
              <w:rPr>
                <w:sz w:val="16"/>
                <w:szCs w:val="16"/>
              </w:rPr>
            </w:pPr>
            <w:r>
              <w:rPr>
                <w:rFonts w:hint="eastAsia"/>
                <w:sz w:val="16"/>
                <w:szCs w:val="16"/>
              </w:rPr>
              <w:t>Fixed</w:t>
            </w:r>
          </w:p>
        </w:tc>
        <w:tc>
          <w:tcPr>
            <w:tcW w:w="494" w:type="pct"/>
            <w:vMerge w:val="continue"/>
            <w:shd w:val="clear" w:color="auto" w:fill="auto"/>
            <w:vAlign w:val="center"/>
          </w:tcPr>
          <w:p w14:paraId="4EE0154E">
            <w:pPr>
              <w:pStyle w:val="24"/>
              <w:rPr>
                <w:sz w:val="16"/>
                <w:szCs w:val="16"/>
              </w:rPr>
            </w:pPr>
          </w:p>
        </w:tc>
      </w:tr>
      <w:tr w14:paraId="27E7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C546109">
            <w:pPr>
              <w:pStyle w:val="24"/>
              <w:rPr>
                <w:sz w:val="16"/>
                <w:szCs w:val="16"/>
              </w:rPr>
            </w:pPr>
            <w:r>
              <w:rPr>
                <w:rFonts w:hint="eastAsia"/>
                <w:sz w:val="16"/>
                <w:szCs w:val="16"/>
              </w:rPr>
              <w:t>Scale (TAS-102+BEV)</w:t>
            </w:r>
          </w:p>
        </w:tc>
        <w:tc>
          <w:tcPr>
            <w:tcW w:w="506" w:type="pct"/>
            <w:shd w:val="clear" w:color="auto" w:fill="auto"/>
            <w:noWrap/>
            <w:vAlign w:val="center"/>
          </w:tcPr>
          <w:p w14:paraId="5B0DAE19">
            <w:pPr>
              <w:pStyle w:val="24"/>
              <w:rPr>
                <w:sz w:val="16"/>
                <w:szCs w:val="16"/>
              </w:rPr>
            </w:pPr>
            <w:r>
              <w:rPr>
                <w:rFonts w:hint="eastAsia"/>
                <w:sz w:val="16"/>
                <w:szCs w:val="16"/>
              </w:rPr>
              <w:t>0.126</w:t>
            </w:r>
          </w:p>
        </w:tc>
        <w:tc>
          <w:tcPr>
            <w:tcW w:w="506" w:type="pct"/>
            <w:shd w:val="clear" w:color="auto" w:fill="auto"/>
            <w:noWrap/>
            <w:vAlign w:val="center"/>
          </w:tcPr>
          <w:p w14:paraId="5215DDED">
            <w:pPr>
              <w:pStyle w:val="24"/>
              <w:rPr>
                <w:sz w:val="16"/>
                <w:szCs w:val="16"/>
              </w:rPr>
            </w:pPr>
            <w:r>
              <w:rPr>
                <w:rFonts w:hint="eastAsia"/>
                <w:sz w:val="16"/>
                <w:szCs w:val="16"/>
              </w:rPr>
              <w:t>-10.843</w:t>
            </w:r>
          </w:p>
        </w:tc>
        <w:tc>
          <w:tcPr>
            <w:tcW w:w="509" w:type="pct"/>
            <w:shd w:val="clear" w:color="auto" w:fill="auto"/>
            <w:noWrap/>
            <w:vAlign w:val="center"/>
          </w:tcPr>
          <w:p w14:paraId="258512DD">
            <w:pPr>
              <w:pStyle w:val="24"/>
              <w:rPr>
                <w:sz w:val="16"/>
                <w:szCs w:val="16"/>
              </w:rPr>
            </w:pPr>
            <w:r>
              <w:rPr>
                <w:rFonts w:hint="eastAsia"/>
                <w:sz w:val="16"/>
                <w:szCs w:val="16"/>
              </w:rPr>
              <w:t>10.789</w:t>
            </w:r>
          </w:p>
        </w:tc>
        <w:tc>
          <w:tcPr>
            <w:tcW w:w="512" w:type="pct"/>
            <w:shd w:val="clear" w:color="auto" w:fill="auto"/>
            <w:noWrap/>
            <w:vAlign w:val="center"/>
          </w:tcPr>
          <w:p w14:paraId="306ED2FC">
            <w:pPr>
              <w:pStyle w:val="24"/>
              <w:rPr>
                <w:sz w:val="16"/>
                <w:szCs w:val="16"/>
              </w:rPr>
            </w:pPr>
            <w:r>
              <w:rPr>
                <w:rFonts w:hint="eastAsia"/>
                <w:sz w:val="16"/>
                <w:szCs w:val="16"/>
              </w:rPr>
              <w:t>Fixed</w:t>
            </w:r>
          </w:p>
        </w:tc>
        <w:tc>
          <w:tcPr>
            <w:tcW w:w="494" w:type="pct"/>
            <w:vMerge w:val="continue"/>
            <w:shd w:val="clear" w:color="auto" w:fill="auto"/>
            <w:vAlign w:val="center"/>
          </w:tcPr>
          <w:p w14:paraId="4A1BE763">
            <w:pPr>
              <w:pStyle w:val="24"/>
              <w:rPr>
                <w:sz w:val="16"/>
                <w:szCs w:val="16"/>
              </w:rPr>
            </w:pPr>
          </w:p>
        </w:tc>
      </w:tr>
      <w:tr w14:paraId="08B92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B834F9B">
            <w:pPr>
              <w:pStyle w:val="24"/>
              <w:rPr>
                <w:sz w:val="16"/>
                <w:szCs w:val="16"/>
              </w:rPr>
            </w:pPr>
            <w:r>
              <w:rPr>
                <w:rFonts w:hint="eastAsia"/>
                <w:sz w:val="16"/>
                <w:szCs w:val="16"/>
              </w:rPr>
              <w:t>Shape 1 (Fruquintinib)</w:t>
            </w:r>
          </w:p>
        </w:tc>
        <w:tc>
          <w:tcPr>
            <w:tcW w:w="506" w:type="pct"/>
            <w:shd w:val="clear" w:color="auto" w:fill="auto"/>
            <w:noWrap/>
            <w:vAlign w:val="center"/>
          </w:tcPr>
          <w:p w14:paraId="1F8E8D8A">
            <w:pPr>
              <w:pStyle w:val="24"/>
              <w:rPr>
                <w:sz w:val="16"/>
                <w:szCs w:val="16"/>
              </w:rPr>
            </w:pPr>
            <w:r>
              <w:rPr>
                <w:rFonts w:hint="eastAsia"/>
                <w:sz w:val="16"/>
                <w:szCs w:val="16"/>
              </w:rPr>
              <w:t>2.023</w:t>
            </w:r>
          </w:p>
        </w:tc>
        <w:tc>
          <w:tcPr>
            <w:tcW w:w="506" w:type="pct"/>
            <w:shd w:val="clear" w:color="auto" w:fill="auto"/>
            <w:noWrap/>
            <w:vAlign w:val="center"/>
          </w:tcPr>
          <w:p w14:paraId="49554F15">
            <w:pPr>
              <w:pStyle w:val="24"/>
              <w:rPr>
                <w:sz w:val="16"/>
                <w:szCs w:val="16"/>
              </w:rPr>
            </w:pPr>
            <w:r>
              <w:rPr>
                <w:rFonts w:hint="eastAsia"/>
                <w:sz w:val="16"/>
                <w:szCs w:val="16"/>
              </w:rPr>
              <w:t>-1.444</w:t>
            </w:r>
          </w:p>
        </w:tc>
        <w:tc>
          <w:tcPr>
            <w:tcW w:w="509" w:type="pct"/>
            <w:shd w:val="clear" w:color="auto" w:fill="auto"/>
            <w:noWrap/>
            <w:vAlign w:val="center"/>
          </w:tcPr>
          <w:p w14:paraId="4C665781">
            <w:pPr>
              <w:pStyle w:val="24"/>
              <w:rPr>
                <w:sz w:val="16"/>
                <w:szCs w:val="16"/>
              </w:rPr>
            </w:pPr>
            <w:r>
              <w:rPr>
                <w:rFonts w:hint="eastAsia"/>
                <w:sz w:val="16"/>
                <w:szCs w:val="16"/>
              </w:rPr>
              <w:t>5.401</w:t>
            </w:r>
          </w:p>
        </w:tc>
        <w:tc>
          <w:tcPr>
            <w:tcW w:w="512" w:type="pct"/>
            <w:shd w:val="clear" w:color="auto" w:fill="auto"/>
            <w:noWrap/>
            <w:vAlign w:val="center"/>
          </w:tcPr>
          <w:p w14:paraId="660BD5A7">
            <w:pPr>
              <w:pStyle w:val="24"/>
              <w:rPr>
                <w:sz w:val="16"/>
                <w:szCs w:val="16"/>
              </w:rPr>
            </w:pPr>
            <w:r>
              <w:rPr>
                <w:rFonts w:hint="eastAsia"/>
                <w:sz w:val="16"/>
                <w:szCs w:val="16"/>
              </w:rPr>
              <w:t>Fixed</w:t>
            </w:r>
          </w:p>
        </w:tc>
        <w:tc>
          <w:tcPr>
            <w:tcW w:w="494" w:type="pct"/>
            <w:vMerge w:val="continue"/>
            <w:shd w:val="clear" w:color="auto" w:fill="auto"/>
            <w:vAlign w:val="center"/>
          </w:tcPr>
          <w:p w14:paraId="3EACD40C">
            <w:pPr>
              <w:pStyle w:val="24"/>
              <w:rPr>
                <w:sz w:val="16"/>
                <w:szCs w:val="16"/>
              </w:rPr>
            </w:pPr>
          </w:p>
        </w:tc>
      </w:tr>
      <w:tr w14:paraId="545E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FA27B67">
            <w:pPr>
              <w:pStyle w:val="24"/>
              <w:rPr>
                <w:sz w:val="16"/>
                <w:szCs w:val="16"/>
              </w:rPr>
            </w:pPr>
            <w:r>
              <w:rPr>
                <w:rFonts w:hint="eastAsia"/>
                <w:sz w:val="16"/>
                <w:szCs w:val="16"/>
              </w:rPr>
              <w:t>Shape 1 (Regorafenib)</w:t>
            </w:r>
          </w:p>
        </w:tc>
        <w:tc>
          <w:tcPr>
            <w:tcW w:w="506" w:type="pct"/>
            <w:shd w:val="clear" w:color="auto" w:fill="auto"/>
            <w:noWrap/>
            <w:vAlign w:val="center"/>
          </w:tcPr>
          <w:p w14:paraId="48E1EB20">
            <w:pPr>
              <w:pStyle w:val="24"/>
              <w:rPr>
                <w:sz w:val="16"/>
                <w:szCs w:val="16"/>
              </w:rPr>
            </w:pPr>
            <w:r>
              <w:rPr>
                <w:rFonts w:hint="eastAsia"/>
                <w:sz w:val="16"/>
                <w:szCs w:val="16"/>
              </w:rPr>
              <w:t>1.441</w:t>
            </w:r>
          </w:p>
        </w:tc>
        <w:tc>
          <w:tcPr>
            <w:tcW w:w="506" w:type="pct"/>
            <w:shd w:val="clear" w:color="auto" w:fill="auto"/>
            <w:noWrap/>
            <w:vAlign w:val="center"/>
          </w:tcPr>
          <w:p w14:paraId="7C63FFBE">
            <w:pPr>
              <w:pStyle w:val="24"/>
              <w:rPr>
                <w:sz w:val="16"/>
                <w:szCs w:val="16"/>
              </w:rPr>
            </w:pPr>
            <w:r>
              <w:rPr>
                <w:rFonts w:hint="eastAsia"/>
                <w:sz w:val="16"/>
                <w:szCs w:val="16"/>
              </w:rPr>
              <w:t>-0.026</w:t>
            </w:r>
          </w:p>
        </w:tc>
        <w:tc>
          <w:tcPr>
            <w:tcW w:w="509" w:type="pct"/>
            <w:shd w:val="clear" w:color="auto" w:fill="auto"/>
            <w:noWrap/>
            <w:vAlign w:val="center"/>
          </w:tcPr>
          <w:p w14:paraId="746D3EA1">
            <w:pPr>
              <w:pStyle w:val="24"/>
              <w:rPr>
                <w:sz w:val="16"/>
                <w:szCs w:val="16"/>
              </w:rPr>
            </w:pPr>
            <w:r>
              <w:rPr>
                <w:rFonts w:hint="eastAsia"/>
                <w:sz w:val="16"/>
                <w:szCs w:val="16"/>
              </w:rPr>
              <w:t>2.922</w:t>
            </w:r>
          </w:p>
        </w:tc>
        <w:tc>
          <w:tcPr>
            <w:tcW w:w="512" w:type="pct"/>
            <w:shd w:val="clear" w:color="auto" w:fill="auto"/>
            <w:noWrap/>
            <w:vAlign w:val="center"/>
          </w:tcPr>
          <w:p w14:paraId="313B68C5">
            <w:pPr>
              <w:pStyle w:val="24"/>
              <w:rPr>
                <w:sz w:val="16"/>
                <w:szCs w:val="16"/>
              </w:rPr>
            </w:pPr>
            <w:r>
              <w:rPr>
                <w:rFonts w:hint="eastAsia"/>
                <w:sz w:val="16"/>
                <w:szCs w:val="16"/>
              </w:rPr>
              <w:t>Fixed</w:t>
            </w:r>
          </w:p>
        </w:tc>
        <w:tc>
          <w:tcPr>
            <w:tcW w:w="494" w:type="pct"/>
            <w:vMerge w:val="continue"/>
            <w:shd w:val="clear" w:color="auto" w:fill="auto"/>
            <w:vAlign w:val="center"/>
          </w:tcPr>
          <w:p w14:paraId="2057BBCE">
            <w:pPr>
              <w:pStyle w:val="24"/>
              <w:rPr>
                <w:sz w:val="16"/>
                <w:szCs w:val="16"/>
              </w:rPr>
            </w:pPr>
          </w:p>
        </w:tc>
      </w:tr>
      <w:tr w14:paraId="5B246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74A6B8F">
            <w:pPr>
              <w:pStyle w:val="24"/>
              <w:rPr>
                <w:sz w:val="16"/>
                <w:szCs w:val="16"/>
              </w:rPr>
            </w:pPr>
            <w:r>
              <w:rPr>
                <w:rFonts w:hint="eastAsia"/>
                <w:sz w:val="16"/>
                <w:szCs w:val="16"/>
              </w:rPr>
              <w:t>Shape 1 (REDos)</w:t>
            </w:r>
          </w:p>
        </w:tc>
        <w:tc>
          <w:tcPr>
            <w:tcW w:w="506" w:type="pct"/>
            <w:shd w:val="clear" w:color="auto" w:fill="auto"/>
            <w:noWrap/>
            <w:vAlign w:val="center"/>
          </w:tcPr>
          <w:p w14:paraId="07B8256B">
            <w:pPr>
              <w:pStyle w:val="24"/>
              <w:rPr>
                <w:sz w:val="16"/>
                <w:szCs w:val="16"/>
              </w:rPr>
            </w:pPr>
            <w:r>
              <w:rPr>
                <w:rFonts w:hint="eastAsia"/>
                <w:sz w:val="16"/>
                <w:szCs w:val="16"/>
              </w:rPr>
              <w:t>0.64</w:t>
            </w:r>
          </w:p>
        </w:tc>
        <w:tc>
          <w:tcPr>
            <w:tcW w:w="506" w:type="pct"/>
            <w:shd w:val="clear" w:color="auto" w:fill="auto"/>
            <w:noWrap/>
            <w:vAlign w:val="center"/>
          </w:tcPr>
          <w:p w14:paraId="11CAB426">
            <w:pPr>
              <w:pStyle w:val="24"/>
              <w:rPr>
                <w:sz w:val="16"/>
                <w:szCs w:val="16"/>
              </w:rPr>
            </w:pPr>
            <w:r>
              <w:rPr>
                <w:rFonts w:hint="eastAsia"/>
                <w:sz w:val="16"/>
                <w:szCs w:val="16"/>
              </w:rPr>
              <w:t>-0.522</w:t>
            </w:r>
          </w:p>
        </w:tc>
        <w:tc>
          <w:tcPr>
            <w:tcW w:w="509" w:type="pct"/>
            <w:shd w:val="clear" w:color="auto" w:fill="auto"/>
            <w:noWrap/>
            <w:vAlign w:val="center"/>
          </w:tcPr>
          <w:p w14:paraId="5401EC45">
            <w:pPr>
              <w:pStyle w:val="24"/>
              <w:rPr>
                <w:sz w:val="16"/>
                <w:szCs w:val="16"/>
              </w:rPr>
            </w:pPr>
            <w:r>
              <w:rPr>
                <w:rFonts w:hint="eastAsia"/>
                <w:sz w:val="16"/>
                <w:szCs w:val="16"/>
              </w:rPr>
              <w:t>1.855</w:t>
            </w:r>
          </w:p>
        </w:tc>
        <w:tc>
          <w:tcPr>
            <w:tcW w:w="512" w:type="pct"/>
            <w:shd w:val="clear" w:color="auto" w:fill="auto"/>
            <w:noWrap/>
            <w:vAlign w:val="center"/>
          </w:tcPr>
          <w:p w14:paraId="1A0A24DA">
            <w:pPr>
              <w:pStyle w:val="24"/>
              <w:rPr>
                <w:sz w:val="16"/>
                <w:szCs w:val="16"/>
              </w:rPr>
            </w:pPr>
            <w:r>
              <w:rPr>
                <w:rFonts w:hint="eastAsia"/>
                <w:sz w:val="16"/>
                <w:szCs w:val="16"/>
              </w:rPr>
              <w:t>Fixed</w:t>
            </w:r>
          </w:p>
        </w:tc>
        <w:tc>
          <w:tcPr>
            <w:tcW w:w="494" w:type="pct"/>
            <w:vMerge w:val="continue"/>
            <w:shd w:val="clear" w:color="auto" w:fill="auto"/>
            <w:vAlign w:val="center"/>
          </w:tcPr>
          <w:p w14:paraId="0D543411">
            <w:pPr>
              <w:pStyle w:val="24"/>
              <w:rPr>
                <w:sz w:val="16"/>
                <w:szCs w:val="16"/>
              </w:rPr>
            </w:pPr>
          </w:p>
        </w:tc>
      </w:tr>
      <w:tr w14:paraId="7452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A66CFB6">
            <w:pPr>
              <w:pStyle w:val="24"/>
              <w:rPr>
                <w:sz w:val="16"/>
                <w:szCs w:val="16"/>
              </w:rPr>
            </w:pPr>
            <w:r>
              <w:rPr>
                <w:rFonts w:hint="eastAsia"/>
                <w:sz w:val="16"/>
                <w:szCs w:val="16"/>
              </w:rPr>
              <w:t>Shape 1 (TAS-102)</w:t>
            </w:r>
          </w:p>
        </w:tc>
        <w:tc>
          <w:tcPr>
            <w:tcW w:w="506" w:type="pct"/>
            <w:shd w:val="clear" w:color="auto" w:fill="auto"/>
            <w:noWrap/>
            <w:vAlign w:val="center"/>
          </w:tcPr>
          <w:p w14:paraId="69B6F39F">
            <w:pPr>
              <w:pStyle w:val="24"/>
              <w:rPr>
                <w:sz w:val="16"/>
                <w:szCs w:val="16"/>
              </w:rPr>
            </w:pPr>
            <w:r>
              <w:rPr>
                <w:rFonts w:hint="eastAsia"/>
                <w:sz w:val="16"/>
                <w:szCs w:val="16"/>
              </w:rPr>
              <w:t>0.396</w:t>
            </w:r>
          </w:p>
        </w:tc>
        <w:tc>
          <w:tcPr>
            <w:tcW w:w="506" w:type="pct"/>
            <w:shd w:val="clear" w:color="auto" w:fill="auto"/>
            <w:noWrap/>
            <w:vAlign w:val="center"/>
          </w:tcPr>
          <w:p w14:paraId="16353A0C">
            <w:pPr>
              <w:pStyle w:val="24"/>
              <w:rPr>
                <w:sz w:val="16"/>
                <w:szCs w:val="16"/>
              </w:rPr>
            </w:pPr>
            <w:r>
              <w:rPr>
                <w:rFonts w:hint="eastAsia"/>
                <w:sz w:val="16"/>
                <w:szCs w:val="16"/>
              </w:rPr>
              <w:t>-1.068</w:t>
            </w:r>
          </w:p>
        </w:tc>
        <w:tc>
          <w:tcPr>
            <w:tcW w:w="509" w:type="pct"/>
            <w:shd w:val="clear" w:color="auto" w:fill="auto"/>
            <w:noWrap/>
            <w:vAlign w:val="center"/>
          </w:tcPr>
          <w:p w14:paraId="01D5B23A">
            <w:pPr>
              <w:pStyle w:val="24"/>
              <w:rPr>
                <w:sz w:val="16"/>
                <w:szCs w:val="16"/>
              </w:rPr>
            </w:pPr>
            <w:r>
              <w:rPr>
                <w:rFonts w:hint="eastAsia"/>
                <w:sz w:val="16"/>
                <w:szCs w:val="16"/>
              </w:rPr>
              <w:t>1.923</w:t>
            </w:r>
          </w:p>
        </w:tc>
        <w:tc>
          <w:tcPr>
            <w:tcW w:w="512" w:type="pct"/>
            <w:shd w:val="clear" w:color="auto" w:fill="auto"/>
            <w:noWrap/>
            <w:vAlign w:val="center"/>
          </w:tcPr>
          <w:p w14:paraId="61BC6F83">
            <w:pPr>
              <w:pStyle w:val="24"/>
              <w:rPr>
                <w:sz w:val="16"/>
                <w:szCs w:val="16"/>
              </w:rPr>
            </w:pPr>
            <w:r>
              <w:rPr>
                <w:rFonts w:hint="eastAsia"/>
                <w:sz w:val="16"/>
                <w:szCs w:val="16"/>
              </w:rPr>
              <w:t>Fixed</w:t>
            </w:r>
          </w:p>
        </w:tc>
        <w:tc>
          <w:tcPr>
            <w:tcW w:w="494" w:type="pct"/>
            <w:vMerge w:val="continue"/>
            <w:shd w:val="clear" w:color="auto" w:fill="auto"/>
            <w:vAlign w:val="center"/>
          </w:tcPr>
          <w:p w14:paraId="32683B42">
            <w:pPr>
              <w:pStyle w:val="24"/>
              <w:rPr>
                <w:sz w:val="16"/>
                <w:szCs w:val="16"/>
              </w:rPr>
            </w:pPr>
          </w:p>
        </w:tc>
      </w:tr>
      <w:tr w14:paraId="46603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trPr>
        <w:tc>
          <w:tcPr>
            <w:tcW w:w="2469" w:type="pct"/>
            <w:shd w:val="clear" w:color="auto" w:fill="auto"/>
            <w:noWrap/>
            <w:vAlign w:val="center"/>
          </w:tcPr>
          <w:p w14:paraId="63999B97">
            <w:pPr>
              <w:pStyle w:val="24"/>
              <w:rPr>
                <w:sz w:val="16"/>
                <w:szCs w:val="16"/>
              </w:rPr>
            </w:pPr>
            <w:r>
              <w:rPr>
                <w:rFonts w:hint="eastAsia"/>
                <w:sz w:val="16"/>
                <w:szCs w:val="16"/>
              </w:rPr>
              <w:t>Shape 1 (TAS-102+BEV)</w:t>
            </w:r>
          </w:p>
        </w:tc>
        <w:tc>
          <w:tcPr>
            <w:tcW w:w="506" w:type="pct"/>
            <w:shd w:val="clear" w:color="auto" w:fill="auto"/>
            <w:noWrap/>
            <w:vAlign w:val="center"/>
          </w:tcPr>
          <w:p w14:paraId="01EEDEBE">
            <w:pPr>
              <w:pStyle w:val="24"/>
              <w:rPr>
                <w:sz w:val="16"/>
                <w:szCs w:val="16"/>
              </w:rPr>
            </w:pPr>
            <w:r>
              <w:rPr>
                <w:rFonts w:hint="eastAsia"/>
                <w:sz w:val="16"/>
                <w:szCs w:val="16"/>
              </w:rPr>
              <w:t>0.676</w:t>
            </w:r>
          </w:p>
        </w:tc>
        <w:tc>
          <w:tcPr>
            <w:tcW w:w="506" w:type="pct"/>
            <w:shd w:val="clear" w:color="auto" w:fill="auto"/>
            <w:noWrap/>
            <w:vAlign w:val="center"/>
          </w:tcPr>
          <w:p w14:paraId="778E9618">
            <w:pPr>
              <w:pStyle w:val="24"/>
              <w:rPr>
                <w:sz w:val="16"/>
                <w:szCs w:val="16"/>
              </w:rPr>
            </w:pPr>
            <w:r>
              <w:rPr>
                <w:rFonts w:hint="eastAsia"/>
                <w:sz w:val="16"/>
                <w:szCs w:val="16"/>
              </w:rPr>
              <w:t>-1.754</w:t>
            </w:r>
          </w:p>
        </w:tc>
        <w:tc>
          <w:tcPr>
            <w:tcW w:w="509" w:type="pct"/>
            <w:shd w:val="clear" w:color="auto" w:fill="auto"/>
            <w:noWrap/>
            <w:vAlign w:val="center"/>
          </w:tcPr>
          <w:p w14:paraId="5E10F2AB">
            <w:pPr>
              <w:pStyle w:val="24"/>
              <w:rPr>
                <w:sz w:val="16"/>
                <w:szCs w:val="16"/>
              </w:rPr>
            </w:pPr>
            <w:r>
              <w:rPr>
                <w:rFonts w:hint="eastAsia"/>
                <w:sz w:val="16"/>
                <w:szCs w:val="16"/>
              </w:rPr>
              <w:t>3.104</w:t>
            </w:r>
          </w:p>
        </w:tc>
        <w:tc>
          <w:tcPr>
            <w:tcW w:w="512" w:type="pct"/>
            <w:shd w:val="clear" w:color="auto" w:fill="auto"/>
            <w:noWrap/>
            <w:vAlign w:val="center"/>
          </w:tcPr>
          <w:p w14:paraId="56357005">
            <w:pPr>
              <w:pStyle w:val="24"/>
              <w:rPr>
                <w:sz w:val="16"/>
                <w:szCs w:val="16"/>
              </w:rPr>
            </w:pPr>
            <w:r>
              <w:rPr>
                <w:rFonts w:hint="eastAsia"/>
                <w:sz w:val="16"/>
                <w:szCs w:val="16"/>
              </w:rPr>
              <w:t>Fixed</w:t>
            </w:r>
          </w:p>
        </w:tc>
        <w:tc>
          <w:tcPr>
            <w:tcW w:w="494" w:type="pct"/>
            <w:vMerge w:val="continue"/>
            <w:shd w:val="clear" w:color="auto" w:fill="auto"/>
            <w:vAlign w:val="center"/>
          </w:tcPr>
          <w:p w14:paraId="0F4DF07C">
            <w:pPr>
              <w:pStyle w:val="24"/>
              <w:rPr>
                <w:sz w:val="16"/>
                <w:szCs w:val="16"/>
              </w:rPr>
            </w:pPr>
          </w:p>
        </w:tc>
      </w:tr>
      <w:tr w14:paraId="74FB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E34F514">
            <w:pPr>
              <w:pStyle w:val="24"/>
              <w:rPr>
                <w:sz w:val="16"/>
                <w:szCs w:val="16"/>
              </w:rPr>
            </w:pPr>
            <w:r>
              <w:rPr>
                <w:rFonts w:hint="eastAsia"/>
                <w:sz w:val="16"/>
                <w:szCs w:val="16"/>
              </w:rPr>
              <w:t>Shape 2 (Fruquintinib)</w:t>
            </w:r>
          </w:p>
        </w:tc>
        <w:tc>
          <w:tcPr>
            <w:tcW w:w="506" w:type="pct"/>
            <w:shd w:val="clear" w:color="auto" w:fill="auto"/>
            <w:noWrap/>
            <w:vAlign w:val="center"/>
          </w:tcPr>
          <w:p w14:paraId="48B58DBA">
            <w:pPr>
              <w:pStyle w:val="24"/>
              <w:rPr>
                <w:sz w:val="16"/>
                <w:szCs w:val="16"/>
              </w:rPr>
            </w:pPr>
            <w:r>
              <w:rPr>
                <w:rFonts w:hint="eastAsia"/>
                <w:sz w:val="16"/>
                <w:szCs w:val="16"/>
              </w:rPr>
              <w:t>-1.518</w:t>
            </w:r>
          </w:p>
        </w:tc>
        <w:tc>
          <w:tcPr>
            <w:tcW w:w="506" w:type="pct"/>
            <w:shd w:val="clear" w:color="auto" w:fill="auto"/>
            <w:noWrap/>
            <w:vAlign w:val="center"/>
          </w:tcPr>
          <w:p w14:paraId="78A0C5B6">
            <w:pPr>
              <w:pStyle w:val="24"/>
              <w:rPr>
                <w:sz w:val="16"/>
                <w:szCs w:val="16"/>
              </w:rPr>
            </w:pPr>
            <w:r>
              <w:rPr>
                <w:rFonts w:hint="eastAsia"/>
                <w:sz w:val="16"/>
                <w:szCs w:val="16"/>
              </w:rPr>
              <w:t>-2.026</w:t>
            </w:r>
          </w:p>
        </w:tc>
        <w:tc>
          <w:tcPr>
            <w:tcW w:w="509" w:type="pct"/>
            <w:shd w:val="clear" w:color="auto" w:fill="auto"/>
            <w:noWrap/>
            <w:vAlign w:val="center"/>
          </w:tcPr>
          <w:p w14:paraId="4E8AD415">
            <w:pPr>
              <w:pStyle w:val="24"/>
              <w:rPr>
                <w:sz w:val="16"/>
                <w:szCs w:val="16"/>
              </w:rPr>
            </w:pPr>
            <w:r>
              <w:rPr>
                <w:rFonts w:hint="eastAsia"/>
                <w:sz w:val="16"/>
                <w:szCs w:val="16"/>
              </w:rPr>
              <w:t>-1.01</w:t>
            </w:r>
          </w:p>
        </w:tc>
        <w:tc>
          <w:tcPr>
            <w:tcW w:w="512" w:type="pct"/>
            <w:shd w:val="clear" w:color="auto" w:fill="auto"/>
            <w:noWrap/>
            <w:vAlign w:val="center"/>
          </w:tcPr>
          <w:p w14:paraId="2FB3874E">
            <w:pPr>
              <w:pStyle w:val="24"/>
              <w:rPr>
                <w:sz w:val="16"/>
                <w:szCs w:val="16"/>
              </w:rPr>
            </w:pPr>
            <w:r>
              <w:rPr>
                <w:rFonts w:hint="eastAsia"/>
                <w:sz w:val="16"/>
                <w:szCs w:val="16"/>
              </w:rPr>
              <w:t>Fixed</w:t>
            </w:r>
          </w:p>
        </w:tc>
        <w:tc>
          <w:tcPr>
            <w:tcW w:w="494" w:type="pct"/>
            <w:vMerge w:val="continue"/>
            <w:shd w:val="clear" w:color="auto" w:fill="auto"/>
            <w:vAlign w:val="center"/>
          </w:tcPr>
          <w:p w14:paraId="3E3BB497">
            <w:pPr>
              <w:pStyle w:val="24"/>
              <w:rPr>
                <w:sz w:val="16"/>
                <w:szCs w:val="16"/>
              </w:rPr>
            </w:pPr>
          </w:p>
        </w:tc>
      </w:tr>
      <w:tr w14:paraId="4920E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D730A54">
            <w:pPr>
              <w:pStyle w:val="24"/>
              <w:rPr>
                <w:sz w:val="16"/>
                <w:szCs w:val="16"/>
              </w:rPr>
            </w:pPr>
            <w:r>
              <w:rPr>
                <w:rFonts w:hint="eastAsia"/>
                <w:sz w:val="16"/>
                <w:szCs w:val="16"/>
              </w:rPr>
              <w:t>Shape 2 (Regorafenib)</w:t>
            </w:r>
          </w:p>
        </w:tc>
        <w:tc>
          <w:tcPr>
            <w:tcW w:w="506" w:type="pct"/>
            <w:shd w:val="clear" w:color="auto" w:fill="auto"/>
            <w:noWrap/>
            <w:vAlign w:val="center"/>
          </w:tcPr>
          <w:p w14:paraId="680FD37E">
            <w:pPr>
              <w:pStyle w:val="24"/>
              <w:rPr>
                <w:sz w:val="16"/>
                <w:szCs w:val="16"/>
              </w:rPr>
            </w:pPr>
            <w:r>
              <w:rPr>
                <w:rFonts w:hint="eastAsia"/>
                <w:sz w:val="16"/>
                <w:szCs w:val="16"/>
              </w:rPr>
              <w:t>-1.346</w:t>
            </w:r>
          </w:p>
        </w:tc>
        <w:tc>
          <w:tcPr>
            <w:tcW w:w="506" w:type="pct"/>
            <w:shd w:val="clear" w:color="auto" w:fill="auto"/>
            <w:noWrap/>
            <w:vAlign w:val="center"/>
          </w:tcPr>
          <w:p w14:paraId="1912039B">
            <w:pPr>
              <w:pStyle w:val="24"/>
              <w:rPr>
                <w:sz w:val="16"/>
                <w:szCs w:val="16"/>
              </w:rPr>
            </w:pPr>
            <w:r>
              <w:rPr>
                <w:rFonts w:hint="eastAsia"/>
                <w:sz w:val="16"/>
                <w:szCs w:val="16"/>
              </w:rPr>
              <w:t>-1.524</w:t>
            </w:r>
          </w:p>
        </w:tc>
        <w:tc>
          <w:tcPr>
            <w:tcW w:w="509" w:type="pct"/>
            <w:shd w:val="clear" w:color="auto" w:fill="auto"/>
            <w:noWrap/>
            <w:vAlign w:val="center"/>
          </w:tcPr>
          <w:p w14:paraId="626FA430">
            <w:pPr>
              <w:pStyle w:val="24"/>
              <w:rPr>
                <w:sz w:val="16"/>
                <w:szCs w:val="16"/>
              </w:rPr>
            </w:pPr>
            <w:r>
              <w:rPr>
                <w:rFonts w:hint="eastAsia"/>
                <w:sz w:val="16"/>
                <w:szCs w:val="16"/>
              </w:rPr>
              <w:t>-1.162</w:t>
            </w:r>
          </w:p>
        </w:tc>
        <w:tc>
          <w:tcPr>
            <w:tcW w:w="512" w:type="pct"/>
            <w:shd w:val="clear" w:color="auto" w:fill="auto"/>
            <w:noWrap/>
            <w:vAlign w:val="center"/>
          </w:tcPr>
          <w:p w14:paraId="360A2A02">
            <w:pPr>
              <w:pStyle w:val="24"/>
              <w:rPr>
                <w:sz w:val="16"/>
                <w:szCs w:val="16"/>
              </w:rPr>
            </w:pPr>
            <w:r>
              <w:rPr>
                <w:rFonts w:hint="eastAsia"/>
                <w:sz w:val="16"/>
                <w:szCs w:val="16"/>
              </w:rPr>
              <w:t>Fixed</w:t>
            </w:r>
          </w:p>
        </w:tc>
        <w:tc>
          <w:tcPr>
            <w:tcW w:w="494" w:type="pct"/>
            <w:vMerge w:val="continue"/>
            <w:shd w:val="clear" w:color="auto" w:fill="auto"/>
            <w:vAlign w:val="center"/>
          </w:tcPr>
          <w:p w14:paraId="618C3A19">
            <w:pPr>
              <w:pStyle w:val="24"/>
              <w:rPr>
                <w:sz w:val="16"/>
                <w:szCs w:val="16"/>
              </w:rPr>
            </w:pPr>
          </w:p>
        </w:tc>
      </w:tr>
      <w:tr w14:paraId="6ADF2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9775558">
            <w:pPr>
              <w:pStyle w:val="24"/>
              <w:rPr>
                <w:sz w:val="16"/>
                <w:szCs w:val="16"/>
              </w:rPr>
            </w:pPr>
            <w:r>
              <w:rPr>
                <w:rFonts w:hint="eastAsia"/>
                <w:sz w:val="16"/>
                <w:szCs w:val="16"/>
              </w:rPr>
              <w:t>Shape 2 (REDos)</w:t>
            </w:r>
          </w:p>
        </w:tc>
        <w:tc>
          <w:tcPr>
            <w:tcW w:w="506" w:type="pct"/>
            <w:shd w:val="clear" w:color="auto" w:fill="auto"/>
            <w:noWrap/>
            <w:vAlign w:val="center"/>
          </w:tcPr>
          <w:p w14:paraId="2969754B">
            <w:pPr>
              <w:pStyle w:val="24"/>
              <w:rPr>
                <w:sz w:val="16"/>
                <w:szCs w:val="16"/>
              </w:rPr>
            </w:pPr>
            <w:r>
              <w:rPr>
                <w:rFonts w:hint="eastAsia"/>
                <w:sz w:val="16"/>
                <w:szCs w:val="16"/>
              </w:rPr>
              <w:t>-1.117</w:t>
            </w:r>
          </w:p>
        </w:tc>
        <w:tc>
          <w:tcPr>
            <w:tcW w:w="506" w:type="pct"/>
            <w:shd w:val="clear" w:color="auto" w:fill="auto"/>
            <w:noWrap/>
            <w:vAlign w:val="center"/>
          </w:tcPr>
          <w:p w14:paraId="2EF9EE82">
            <w:pPr>
              <w:pStyle w:val="24"/>
              <w:rPr>
                <w:sz w:val="16"/>
                <w:szCs w:val="16"/>
              </w:rPr>
            </w:pPr>
            <w:r>
              <w:rPr>
                <w:rFonts w:hint="eastAsia"/>
                <w:sz w:val="16"/>
                <w:szCs w:val="16"/>
              </w:rPr>
              <w:t>-1.307</w:t>
            </w:r>
          </w:p>
        </w:tc>
        <w:tc>
          <w:tcPr>
            <w:tcW w:w="509" w:type="pct"/>
            <w:shd w:val="clear" w:color="auto" w:fill="auto"/>
            <w:noWrap/>
            <w:vAlign w:val="center"/>
          </w:tcPr>
          <w:p w14:paraId="23923725">
            <w:pPr>
              <w:pStyle w:val="24"/>
              <w:rPr>
                <w:sz w:val="16"/>
                <w:szCs w:val="16"/>
              </w:rPr>
            </w:pPr>
            <w:r>
              <w:rPr>
                <w:rFonts w:hint="eastAsia"/>
                <w:sz w:val="16"/>
                <w:szCs w:val="16"/>
              </w:rPr>
              <w:t>-0.928</w:t>
            </w:r>
          </w:p>
        </w:tc>
        <w:tc>
          <w:tcPr>
            <w:tcW w:w="512" w:type="pct"/>
            <w:shd w:val="clear" w:color="auto" w:fill="auto"/>
            <w:noWrap/>
            <w:vAlign w:val="center"/>
          </w:tcPr>
          <w:p w14:paraId="602ED662">
            <w:pPr>
              <w:pStyle w:val="24"/>
              <w:rPr>
                <w:sz w:val="16"/>
                <w:szCs w:val="16"/>
              </w:rPr>
            </w:pPr>
            <w:r>
              <w:rPr>
                <w:rFonts w:hint="eastAsia"/>
                <w:sz w:val="16"/>
                <w:szCs w:val="16"/>
              </w:rPr>
              <w:t>Fixed</w:t>
            </w:r>
          </w:p>
        </w:tc>
        <w:tc>
          <w:tcPr>
            <w:tcW w:w="494" w:type="pct"/>
            <w:vMerge w:val="continue"/>
            <w:shd w:val="clear" w:color="auto" w:fill="auto"/>
            <w:vAlign w:val="center"/>
          </w:tcPr>
          <w:p w14:paraId="7DFC981E">
            <w:pPr>
              <w:pStyle w:val="24"/>
              <w:rPr>
                <w:sz w:val="16"/>
                <w:szCs w:val="16"/>
              </w:rPr>
            </w:pPr>
          </w:p>
        </w:tc>
      </w:tr>
      <w:tr w14:paraId="505B9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6C161E5">
            <w:pPr>
              <w:pStyle w:val="24"/>
              <w:rPr>
                <w:sz w:val="16"/>
                <w:szCs w:val="16"/>
              </w:rPr>
            </w:pPr>
            <w:r>
              <w:rPr>
                <w:rFonts w:hint="eastAsia"/>
                <w:sz w:val="16"/>
                <w:szCs w:val="16"/>
              </w:rPr>
              <w:t>Shape 2 (TAS-102)</w:t>
            </w:r>
          </w:p>
        </w:tc>
        <w:tc>
          <w:tcPr>
            <w:tcW w:w="506" w:type="pct"/>
            <w:shd w:val="clear" w:color="auto" w:fill="auto"/>
            <w:noWrap/>
            <w:vAlign w:val="center"/>
          </w:tcPr>
          <w:p w14:paraId="4A120B44">
            <w:pPr>
              <w:pStyle w:val="24"/>
              <w:rPr>
                <w:sz w:val="16"/>
                <w:szCs w:val="16"/>
              </w:rPr>
            </w:pPr>
            <w:r>
              <w:rPr>
                <w:rFonts w:hint="eastAsia"/>
                <w:sz w:val="16"/>
                <w:szCs w:val="16"/>
              </w:rPr>
              <w:t>-1.299</w:t>
            </w:r>
          </w:p>
        </w:tc>
        <w:tc>
          <w:tcPr>
            <w:tcW w:w="506" w:type="pct"/>
            <w:shd w:val="clear" w:color="auto" w:fill="auto"/>
            <w:noWrap/>
            <w:vAlign w:val="center"/>
          </w:tcPr>
          <w:p w14:paraId="1AB1FD6A">
            <w:pPr>
              <w:pStyle w:val="24"/>
              <w:rPr>
                <w:sz w:val="16"/>
                <w:szCs w:val="16"/>
              </w:rPr>
            </w:pPr>
            <w:r>
              <w:rPr>
                <w:rFonts w:hint="eastAsia"/>
                <w:sz w:val="16"/>
                <w:szCs w:val="16"/>
              </w:rPr>
              <w:t>-1.494</w:t>
            </w:r>
          </w:p>
        </w:tc>
        <w:tc>
          <w:tcPr>
            <w:tcW w:w="509" w:type="pct"/>
            <w:shd w:val="clear" w:color="auto" w:fill="auto"/>
            <w:noWrap/>
            <w:vAlign w:val="center"/>
          </w:tcPr>
          <w:p w14:paraId="0ECE7F72">
            <w:pPr>
              <w:pStyle w:val="24"/>
              <w:rPr>
                <w:sz w:val="16"/>
                <w:szCs w:val="16"/>
              </w:rPr>
            </w:pPr>
            <w:r>
              <w:rPr>
                <w:rFonts w:hint="eastAsia"/>
                <w:sz w:val="16"/>
                <w:szCs w:val="16"/>
              </w:rPr>
              <w:t>-1.094</w:t>
            </w:r>
          </w:p>
        </w:tc>
        <w:tc>
          <w:tcPr>
            <w:tcW w:w="512" w:type="pct"/>
            <w:shd w:val="clear" w:color="auto" w:fill="auto"/>
            <w:noWrap/>
            <w:vAlign w:val="center"/>
          </w:tcPr>
          <w:p w14:paraId="62F406A8">
            <w:pPr>
              <w:pStyle w:val="24"/>
              <w:rPr>
                <w:sz w:val="16"/>
                <w:szCs w:val="16"/>
              </w:rPr>
            </w:pPr>
            <w:r>
              <w:rPr>
                <w:rFonts w:hint="eastAsia"/>
                <w:sz w:val="16"/>
                <w:szCs w:val="16"/>
              </w:rPr>
              <w:t>Fixed</w:t>
            </w:r>
          </w:p>
        </w:tc>
        <w:tc>
          <w:tcPr>
            <w:tcW w:w="494" w:type="pct"/>
            <w:vMerge w:val="continue"/>
            <w:shd w:val="clear" w:color="auto" w:fill="auto"/>
            <w:vAlign w:val="center"/>
          </w:tcPr>
          <w:p w14:paraId="0B6C9139">
            <w:pPr>
              <w:pStyle w:val="24"/>
              <w:rPr>
                <w:sz w:val="16"/>
                <w:szCs w:val="16"/>
              </w:rPr>
            </w:pPr>
          </w:p>
        </w:tc>
      </w:tr>
      <w:tr w14:paraId="48C5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2394A1E1">
            <w:pPr>
              <w:pStyle w:val="24"/>
              <w:rPr>
                <w:sz w:val="16"/>
                <w:szCs w:val="16"/>
              </w:rPr>
            </w:pPr>
            <w:r>
              <w:rPr>
                <w:rFonts w:hint="eastAsia"/>
                <w:sz w:val="16"/>
                <w:szCs w:val="16"/>
              </w:rPr>
              <w:t>Shape 2 (TAS-102+BEV)</w:t>
            </w:r>
          </w:p>
        </w:tc>
        <w:tc>
          <w:tcPr>
            <w:tcW w:w="506" w:type="pct"/>
            <w:shd w:val="clear" w:color="auto" w:fill="auto"/>
            <w:noWrap/>
            <w:vAlign w:val="center"/>
          </w:tcPr>
          <w:p w14:paraId="47741D7D">
            <w:pPr>
              <w:pStyle w:val="24"/>
              <w:rPr>
                <w:sz w:val="16"/>
                <w:szCs w:val="16"/>
              </w:rPr>
            </w:pPr>
            <w:r>
              <w:rPr>
                <w:rFonts w:hint="eastAsia"/>
                <w:sz w:val="16"/>
                <w:szCs w:val="16"/>
              </w:rPr>
              <w:t>-2.032</w:t>
            </w:r>
          </w:p>
        </w:tc>
        <w:tc>
          <w:tcPr>
            <w:tcW w:w="506" w:type="pct"/>
            <w:shd w:val="clear" w:color="auto" w:fill="auto"/>
            <w:noWrap/>
            <w:vAlign w:val="center"/>
          </w:tcPr>
          <w:p w14:paraId="45E39961">
            <w:pPr>
              <w:pStyle w:val="24"/>
              <w:rPr>
                <w:sz w:val="16"/>
                <w:szCs w:val="16"/>
              </w:rPr>
            </w:pPr>
            <w:r>
              <w:rPr>
                <w:rFonts w:hint="eastAsia"/>
                <w:sz w:val="16"/>
                <w:szCs w:val="16"/>
              </w:rPr>
              <w:t>-2.306</w:t>
            </w:r>
          </w:p>
        </w:tc>
        <w:tc>
          <w:tcPr>
            <w:tcW w:w="509" w:type="pct"/>
            <w:shd w:val="clear" w:color="auto" w:fill="auto"/>
            <w:noWrap/>
            <w:vAlign w:val="center"/>
          </w:tcPr>
          <w:p w14:paraId="1126623C">
            <w:pPr>
              <w:pStyle w:val="24"/>
              <w:rPr>
                <w:sz w:val="16"/>
                <w:szCs w:val="16"/>
              </w:rPr>
            </w:pPr>
            <w:r>
              <w:rPr>
                <w:rFonts w:hint="eastAsia"/>
                <w:sz w:val="16"/>
                <w:szCs w:val="16"/>
              </w:rPr>
              <w:t>-1.753</w:t>
            </w:r>
          </w:p>
        </w:tc>
        <w:tc>
          <w:tcPr>
            <w:tcW w:w="512" w:type="pct"/>
            <w:shd w:val="clear" w:color="auto" w:fill="auto"/>
            <w:noWrap/>
            <w:vAlign w:val="center"/>
          </w:tcPr>
          <w:p w14:paraId="51EBB8A7">
            <w:pPr>
              <w:pStyle w:val="24"/>
              <w:rPr>
                <w:sz w:val="16"/>
                <w:szCs w:val="16"/>
              </w:rPr>
            </w:pPr>
            <w:r>
              <w:rPr>
                <w:rFonts w:hint="eastAsia"/>
                <w:sz w:val="16"/>
                <w:szCs w:val="16"/>
              </w:rPr>
              <w:t>Fixed</w:t>
            </w:r>
          </w:p>
        </w:tc>
        <w:tc>
          <w:tcPr>
            <w:tcW w:w="494" w:type="pct"/>
            <w:vMerge w:val="continue"/>
            <w:shd w:val="clear" w:color="auto" w:fill="auto"/>
            <w:vAlign w:val="center"/>
          </w:tcPr>
          <w:p w14:paraId="4B27643F">
            <w:pPr>
              <w:pStyle w:val="24"/>
              <w:rPr>
                <w:sz w:val="16"/>
                <w:szCs w:val="16"/>
              </w:rPr>
            </w:pPr>
          </w:p>
        </w:tc>
      </w:tr>
      <w:tr w14:paraId="75CBE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F1D272F">
            <w:pPr>
              <w:pStyle w:val="24"/>
              <w:rPr>
                <w:sz w:val="16"/>
                <w:szCs w:val="16"/>
              </w:rPr>
            </w:pPr>
            <w:r>
              <w:rPr>
                <w:rFonts w:hint="eastAsia"/>
                <w:sz w:val="16"/>
                <w:szCs w:val="16"/>
              </w:rPr>
              <w:t>Scale (Fruquintinib)</w:t>
            </w:r>
          </w:p>
        </w:tc>
        <w:tc>
          <w:tcPr>
            <w:tcW w:w="506" w:type="pct"/>
            <w:shd w:val="clear" w:color="auto" w:fill="auto"/>
            <w:noWrap/>
            <w:vAlign w:val="center"/>
          </w:tcPr>
          <w:p w14:paraId="51C27449">
            <w:pPr>
              <w:pStyle w:val="24"/>
              <w:rPr>
                <w:sz w:val="16"/>
                <w:szCs w:val="16"/>
              </w:rPr>
            </w:pPr>
            <w:r>
              <w:rPr>
                <w:rFonts w:hint="eastAsia"/>
                <w:sz w:val="16"/>
                <w:szCs w:val="16"/>
              </w:rPr>
              <w:t>1.239</w:t>
            </w:r>
          </w:p>
        </w:tc>
        <w:tc>
          <w:tcPr>
            <w:tcW w:w="506" w:type="pct"/>
            <w:shd w:val="clear" w:color="auto" w:fill="auto"/>
            <w:noWrap/>
            <w:vAlign w:val="center"/>
          </w:tcPr>
          <w:p w14:paraId="41F86B2B">
            <w:pPr>
              <w:pStyle w:val="24"/>
              <w:rPr>
                <w:sz w:val="16"/>
                <w:szCs w:val="16"/>
              </w:rPr>
            </w:pPr>
            <w:r>
              <w:rPr>
                <w:rFonts w:hint="eastAsia"/>
                <w:sz w:val="16"/>
                <w:szCs w:val="16"/>
              </w:rPr>
              <w:t>-0.153</w:t>
            </w:r>
          </w:p>
        </w:tc>
        <w:tc>
          <w:tcPr>
            <w:tcW w:w="509" w:type="pct"/>
            <w:shd w:val="clear" w:color="auto" w:fill="auto"/>
            <w:noWrap/>
            <w:vAlign w:val="center"/>
          </w:tcPr>
          <w:p w14:paraId="0B0DCCBB">
            <w:pPr>
              <w:pStyle w:val="24"/>
              <w:rPr>
                <w:sz w:val="16"/>
                <w:szCs w:val="16"/>
              </w:rPr>
            </w:pPr>
            <w:r>
              <w:rPr>
                <w:rFonts w:hint="eastAsia"/>
                <w:sz w:val="16"/>
                <w:szCs w:val="16"/>
              </w:rPr>
              <w:t>2.636</w:t>
            </w:r>
          </w:p>
        </w:tc>
        <w:tc>
          <w:tcPr>
            <w:tcW w:w="512" w:type="pct"/>
            <w:shd w:val="clear" w:color="auto" w:fill="auto"/>
            <w:noWrap/>
            <w:vAlign w:val="center"/>
          </w:tcPr>
          <w:p w14:paraId="0E2CC5BA">
            <w:pPr>
              <w:pStyle w:val="24"/>
              <w:rPr>
                <w:sz w:val="16"/>
                <w:szCs w:val="16"/>
              </w:rPr>
            </w:pPr>
            <w:r>
              <w:rPr>
                <w:rFonts w:hint="eastAsia"/>
                <w:sz w:val="16"/>
                <w:szCs w:val="16"/>
              </w:rPr>
              <w:t>Fixed</w:t>
            </w:r>
          </w:p>
        </w:tc>
        <w:tc>
          <w:tcPr>
            <w:tcW w:w="494" w:type="pct"/>
            <w:vMerge w:val="restart"/>
            <w:shd w:val="clear" w:color="auto" w:fill="auto"/>
            <w:vAlign w:val="center"/>
          </w:tcPr>
          <w:p w14:paraId="06E6D8D4">
            <w:pPr>
              <w:pStyle w:val="24"/>
              <w:rPr>
                <w:sz w:val="16"/>
                <w:szCs w:val="16"/>
              </w:rPr>
            </w:pPr>
            <w:r>
              <w:rPr>
                <w:rFonts w:hint="eastAsia"/>
                <w:sz w:val="16"/>
                <w:szCs w:val="16"/>
              </w:rPr>
              <w:t>Bayesian Second-Order Fractional Polynomial Network Meta-analysis Model for OS</w:t>
            </w:r>
          </w:p>
        </w:tc>
      </w:tr>
      <w:tr w14:paraId="6F9D1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B7997A8">
            <w:pPr>
              <w:pStyle w:val="24"/>
              <w:rPr>
                <w:sz w:val="16"/>
                <w:szCs w:val="16"/>
              </w:rPr>
            </w:pPr>
            <w:r>
              <w:rPr>
                <w:rFonts w:hint="eastAsia"/>
                <w:sz w:val="16"/>
                <w:szCs w:val="16"/>
              </w:rPr>
              <w:t>Scale (Regorafenib)</w:t>
            </w:r>
          </w:p>
        </w:tc>
        <w:tc>
          <w:tcPr>
            <w:tcW w:w="506" w:type="pct"/>
            <w:shd w:val="clear" w:color="auto" w:fill="auto"/>
            <w:noWrap/>
            <w:vAlign w:val="center"/>
          </w:tcPr>
          <w:p w14:paraId="552C6921">
            <w:pPr>
              <w:pStyle w:val="24"/>
              <w:rPr>
                <w:sz w:val="16"/>
                <w:szCs w:val="16"/>
              </w:rPr>
            </w:pPr>
            <w:r>
              <w:rPr>
                <w:rFonts w:hint="eastAsia"/>
                <w:sz w:val="16"/>
                <w:szCs w:val="16"/>
              </w:rPr>
              <w:t>0.086</w:t>
            </w:r>
          </w:p>
        </w:tc>
        <w:tc>
          <w:tcPr>
            <w:tcW w:w="506" w:type="pct"/>
            <w:shd w:val="clear" w:color="auto" w:fill="auto"/>
            <w:noWrap/>
            <w:vAlign w:val="center"/>
          </w:tcPr>
          <w:p w14:paraId="36803895">
            <w:pPr>
              <w:pStyle w:val="24"/>
              <w:rPr>
                <w:sz w:val="16"/>
                <w:szCs w:val="16"/>
              </w:rPr>
            </w:pPr>
            <w:r>
              <w:rPr>
                <w:rFonts w:hint="eastAsia"/>
                <w:sz w:val="16"/>
                <w:szCs w:val="16"/>
              </w:rPr>
              <w:t>-0.407</w:t>
            </w:r>
          </w:p>
        </w:tc>
        <w:tc>
          <w:tcPr>
            <w:tcW w:w="509" w:type="pct"/>
            <w:shd w:val="clear" w:color="auto" w:fill="auto"/>
            <w:noWrap/>
            <w:vAlign w:val="center"/>
          </w:tcPr>
          <w:p w14:paraId="6AE4417B">
            <w:pPr>
              <w:pStyle w:val="24"/>
              <w:rPr>
                <w:sz w:val="16"/>
                <w:szCs w:val="16"/>
              </w:rPr>
            </w:pPr>
            <w:r>
              <w:rPr>
                <w:rFonts w:hint="eastAsia"/>
                <w:sz w:val="16"/>
                <w:szCs w:val="16"/>
              </w:rPr>
              <w:t>0.573</w:t>
            </w:r>
          </w:p>
        </w:tc>
        <w:tc>
          <w:tcPr>
            <w:tcW w:w="512" w:type="pct"/>
            <w:shd w:val="clear" w:color="auto" w:fill="auto"/>
            <w:noWrap/>
            <w:vAlign w:val="center"/>
          </w:tcPr>
          <w:p w14:paraId="2FBAF47C">
            <w:pPr>
              <w:pStyle w:val="24"/>
              <w:rPr>
                <w:sz w:val="16"/>
                <w:szCs w:val="16"/>
              </w:rPr>
            </w:pPr>
            <w:r>
              <w:rPr>
                <w:rFonts w:hint="eastAsia"/>
                <w:sz w:val="16"/>
                <w:szCs w:val="16"/>
              </w:rPr>
              <w:t>Fixed</w:t>
            </w:r>
          </w:p>
        </w:tc>
        <w:tc>
          <w:tcPr>
            <w:tcW w:w="494" w:type="pct"/>
            <w:vMerge w:val="continue"/>
            <w:shd w:val="clear" w:color="auto" w:fill="auto"/>
            <w:vAlign w:val="center"/>
          </w:tcPr>
          <w:p w14:paraId="1AD5ECEA">
            <w:pPr>
              <w:pStyle w:val="24"/>
              <w:rPr>
                <w:sz w:val="16"/>
                <w:szCs w:val="16"/>
              </w:rPr>
            </w:pPr>
          </w:p>
        </w:tc>
      </w:tr>
      <w:tr w14:paraId="53995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79DE010">
            <w:pPr>
              <w:pStyle w:val="24"/>
              <w:rPr>
                <w:sz w:val="16"/>
                <w:szCs w:val="16"/>
              </w:rPr>
            </w:pPr>
            <w:r>
              <w:rPr>
                <w:rFonts w:hint="eastAsia"/>
                <w:sz w:val="16"/>
                <w:szCs w:val="16"/>
              </w:rPr>
              <w:t>Scale (REDos)</w:t>
            </w:r>
          </w:p>
        </w:tc>
        <w:tc>
          <w:tcPr>
            <w:tcW w:w="506" w:type="pct"/>
            <w:shd w:val="clear" w:color="auto" w:fill="auto"/>
            <w:noWrap/>
            <w:vAlign w:val="center"/>
          </w:tcPr>
          <w:p w14:paraId="7A09F6A4">
            <w:pPr>
              <w:pStyle w:val="24"/>
              <w:rPr>
                <w:sz w:val="16"/>
                <w:szCs w:val="16"/>
              </w:rPr>
            </w:pPr>
            <w:r>
              <w:rPr>
                <w:rFonts w:hint="eastAsia"/>
                <w:sz w:val="16"/>
                <w:szCs w:val="16"/>
              </w:rPr>
              <w:t>0.72</w:t>
            </w:r>
          </w:p>
        </w:tc>
        <w:tc>
          <w:tcPr>
            <w:tcW w:w="506" w:type="pct"/>
            <w:shd w:val="clear" w:color="auto" w:fill="auto"/>
            <w:noWrap/>
            <w:vAlign w:val="center"/>
          </w:tcPr>
          <w:p w14:paraId="2C8502A1">
            <w:pPr>
              <w:pStyle w:val="24"/>
              <w:rPr>
                <w:sz w:val="16"/>
                <w:szCs w:val="16"/>
              </w:rPr>
            </w:pPr>
            <w:r>
              <w:rPr>
                <w:rFonts w:hint="eastAsia"/>
                <w:sz w:val="16"/>
                <w:szCs w:val="16"/>
              </w:rPr>
              <w:t>0.271</w:t>
            </w:r>
          </w:p>
        </w:tc>
        <w:tc>
          <w:tcPr>
            <w:tcW w:w="509" w:type="pct"/>
            <w:shd w:val="clear" w:color="auto" w:fill="auto"/>
            <w:noWrap/>
            <w:vAlign w:val="center"/>
          </w:tcPr>
          <w:p w14:paraId="0098ED8D">
            <w:pPr>
              <w:pStyle w:val="24"/>
              <w:rPr>
                <w:sz w:val="16"/>
                <w:szCs w:val="16"/>
              </w:rPr>
            </w:pPr>
            <w:r>
              <w:rPr>
                <w:rFonts w:hint="eastAsia"/>
                <w:sz w:val="16"/>
                <w:szCs w:val="16"/>
              </w:rPr>
              <w:t>1.186</w:t>
            </w:r>
          </w:p>
        </w:tc>
        <w:tc>
          <w:tcPr>
            <w:tcW w:w="512" w:type="pct"/>
            <w:shd w:val="clear" w:color="auto" w:fill="auto"/>
            <w:noWrap/>
            <w:vAlign w:val="center"/>
          </w:tcPr>
          <w:p w14:paraId="29FDF507">
            <w:pPr>
              <w:pStyle w:val="24"/>
              <w:rPr>
                <w:sz w:val="16"/>
                <w:szCs w:val="16"/>
              </w:rPr>
            </w:pPr>
            <w:r>
              <w:rPr>
                <w:rFonts w:hint="eastAsia"/>
                <w:sz w:val="16"/>
                <w:szCs w:val="16"/>
              </w:rPr>
              <w:t>Fixed</w:t>
            </w:r>
          </w:p>
        </w:tc>
        <w:tc>
          <w:tcPr>
            <w:tcW w:w="494" w:type="pct"/>
            <w:vMerge w:val="continue"/>
            <w:shd w:val="clear" w:color="auto" w:fill="auto"/>
            <w:vAlign w:val="center"/>
          </w:tcPr>
          <w:p w14:paraId="455865F9">
            <w:pPr>
              <w:pStyle w:val="24"/>
              <w:rPr>
                <w:sz w:val="16"/>
                <w:szCs w:val="16"/>
              </w:rPr>
            </w:pPr>
          </w:p>
        </w:tc>
      </w:tr>
      <w:tr w14:paraId="40ED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B81CEC7">
            <w:pPr>
              <w:pStyle w:val="24"/>
              <w:rPr>
                <w:sz w:val="16"/>
                <w:szCs w:val="16"/>
              </w:rPr>
            </w:pPr>
            <w:r>
              <w:rPr>
                <w:rFonts w:hint="eastAsia"/>
                <w:sz w:val="16"/>
                <w:szCs w:val="16"/>
              </w:rPr>
              <w:t>Scale (TAS-102)</w:t>
            </w:r>
          </w:p>
        </w:tc>
        <w:tc>
          <w:tcPr>
            <w:tcW w:w="506" w:type="pct"/>
            <w:shd w:val="clear" w:color="auto" w:fill="auto"/>
            <w:noWrap/>
            <w:vAlign w:val="center"/>
          </w:tcPr>
          <w:p w14:paraId="0101A219">
            <w:pPr>
              <w:pStyle w:val="24"/>
              <w:rPr>
                <w:sz w:val="16"/>
                <w:szCs w:val="16"/>
              </w:rPr>
            </w:pPr>
            <w:r>
              <w:rPr>
                <w:rFonts w:hint="eastAsia"/>
                <w:sz w:val="16"/>
                <w:szCs w:val="16"/>
              </w:rPr>
              <w:t>0.998</w:t>
            </w:r>
          </w:p>
        </w:tc>
        <w:tc>
          <w:tcPr>
            <w:tcW w:w="506" w:type="pct"/>
            <w:shd w:val="clear" w:color="auto" w:fill="auto"/>
            <w:noWrap/>
            <w:vAlign w:val="center"/>
          </w:tcPr>
          <w:p w14:paraId="6B8DE13C">
            <w:pPr>
              <w:pStyle w:val="24"/>
              <w:rPr>
                <w:sz w:val="16"/>
                <w:szCs w:val="16"/>
              </w:rPr>
            </w:pPr>
            <w:r>
              <w:rPr>
                <w:rFonts w:hint="eastAsia"/>
                <w:sz w:val="16"/>
                <w:szCs w:val="16"/>
              </w:rPr>
              <w:t>0.556</w:t>
            </w:r>
          </w:p>
        </w:tc>
        <w:tc>
          <w:tcPr>
            <w:tcW w:w="509" w:type="pct"/>
            <w:shd w:val="clear" w:color="auto" w:fill="auto"/>
            <w:noWrap/>
            <w:vAlign w:val="center"/>
          </w:tcPr>
          <w:p w14:paraId="4B1B0BDB">
            <w:pPr>
              <w:pStyle w:val="24"/>
              <w:rPr>
                <w:sz w:val="16"/>
                <w:szCs w:val="16"/>
              </w:rPr>
            </w:pPr>
            <w:r>
              <w:rPr>
                <w:rFonts w:hint="eastAsia"/>
                <w:sz w:val="16"/>
                <w:szCs w:val="16"/>
              </w:rPr>
              <w:t>1.452</w:t>
            </w:r>
          </w:p>
        </w:tc>
        <w:tc>
          <w:tcPr>
            <w:tcW w:w="512" w:type="pct"/>
            <w:shd w:val="clear" w:color="auto" w:fill="auto"/>
            <w:noWrap/>
            <w:vAlign w:val="center"/>
          </w:tcPr>
          <w:p w14:paraId="0AB3499A">
            <w:pPr>
              <w:pStyle w:val="24"/>
              <w:rPr>
                <w:sz w:val="16"/>
                <w:szCs w:val="16"/>
              </w:rPr>
            </w:pPr>
            <w:r>
              <w:rPr>
                <w:rFonts w:hint="eastAsia"/>
                <w:sz w:val="16"/>
                <w:szCs w:val="16"/>
              </w:rPr>
              <w:t>Fixed</w:t>
            </w:r>
          </w:p>
        </w:tc>
        <w:tc>
          <w:tcPr>
            <w:tcW w:w="494" w:type="pct"/>
            <w:vMerge w:val="continue"/>
            <w:shd w:val="clear" w:color="auto" w:fill="auto"/>
            <w:vAlign w:val="center"/>
          </w:tcPr>
          <w:p w14:paraId="6F9138F3">
            <w:pPr>
              <w:pStyle w:val="24"/>
              <w:rPr>
                <w:sz w:val="16"/>
                <w:szCs w:val="16"/>
              </w:rPr>
            </w:pPr>
          </w:p>
        </w:tc>
      </w:tr>
      <w:tr w14:paraId="52342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CA35EAE">
            <w:pPr>
              <w:pStyle w:val="24"/>
              <w:rPr>
                <w:sz w:val="16"/>
                <w:szCs w:val="16"/>
              </w:rPr>
            </w:pPr>
            <w:r>
              <w:rPr>
                <w:rFonts w:hint="eastAsia"/>
                <w:sz w:val="16"/>
                <w:szCs w:val="16"/>
              </w:rPr>
              <w:t>Scale (TAS-102+BEV)</w:t>
            </w:r>
          </w:p>
        </w:tc>
        <w:tc>
          <w:tcPr>
            <w:tcW w:w="506" w:type="pct"/>
            <w:shd w:val="clear" w:color="auto" w:fill="auto"/>
            <w:noWrap/>
            <w:vAlign w:val="center"/>
          </w:tcPr>
          <w:p w14:paraId="51725D13">
            <w:pPr>
              <w:pStyle w:val="24"/>
              <w:rPr>
                <w:sz w:val="16"/>
                <w:szCs w:val="16"/>
              </w:rPr>
            </w:pPr>
            <w:r>
              <w:rPr>
                <w:rFonts w:hint="eastAsia"/>
                <w:sz w:val="16"/>
                <w:szCs w:val="16"/>
              </w:rPr>
              <w:t>0.968</w:t>
            </w:r>
          </w:p>
        </w:tc>
        <w:tc>
          <w:tcPr>
            <w:tcW w:w="506" w:type="pct"/>
            <w:shd w:val="clear" w:color="auto" w:fill="auto"/>
            <w:noWrap/>
            <w:vAlign w:val="center"/>
          </w:tcPr>
          <w:p w14:paraId="766245D0">
            <w:pPr>
              <w:pStyle w:val="24"/>
              <w:rPr>
                <w:sz w:val="16"/>
                <w:szCs w:val="16"/>
              </w:rPr>
            </w:pPr>
            <w:r>
              <w:rPr>
                <w:rFonts w:hint="eastAsia"/>
                <w:sz w:val="16"/>
                <w:szCs w:val="16"/>
              </w:rPr>
              <w:t>0.044</w:t>
            </w:r>
          </w:p>
        </w:tc>
        <w:tc>
          <w:tcPr>
            <w:tcW w:w="509" w:type="pct"/>
            <w:shd w:val="clear" w:color="auto" w:fill="auto"/>
            <w:noWrap/>
            <w:vAlign w:val="center"/>
          </w:tcPr>
          <w:p w14:paraId="41F3648B">
            <w:pPr>
              <w:pStyle w:val="24"/>
              <w:rPr>
                <w:sz w:val="16"/>
                <w:szCs w:val="16"/>
              </w:rPr>
            </w:pPr>
            <w:r>
              <w:rPr>
                <w:rFonts w:hint="eastAsia"/>
                <w:sz w:val="16"/>
                <w:szCs w:val="16"/>
              </w:rPr>
              <w:t>1.865</w:t>
            </w:r>
          </w:p>
        </w:tc>
        <w:tc>
          <w:tcPr>
            <w:tcW w:w="512" w:type="pct"/>
            <w:shd w:val="clear" w:color="auto" w:fill="auto"/>
            <w:noWrap/>
            <w:vAlign w:val="center"/>
          </w:tcPr>
          <w:p w14:paraId="7F4CF910">
            <w:pPr>
              <w:pStyle w:val="24"/>
              <w:rPr>
                <w:sz w:val="16"/>
                <w:szCs w:val="16"/>
              </w:rPr>
            </w:pPr>
            <w:r>
              <w:rPr>
                <w:rFonts w:hint="eastAsia"/>
                <w:sz w:val="16"/>
                <w:szCs w:val="16"/>
              </w:rPr>
              <w:t>Fixed</w:t>
            </w:r>
          </w:p>
        </w:tc>
        <w:tc>
          <w:tcPr>
            <w:tcW w:w="494" w:type="pct"/>
            <w:vMerge w:val="continue"/>
            <w:shd w:val="clear" w:color="auto" w:fill="auto"/>
            <w:vAlign w:val="center"/>
          </w:tcPr>
          <w:p w14:paraId="69915D4B">
            <w:pPr>
              <w:pStyle w:val="24"/>
              <w:rPr>
                <w:sz w:val="16"/>
                <w:szCs w:val="16"/>
              </w:rPr>
            </w:pPr>
          </w:p>
        </w:tc>
      </w:tr>
      <w:tr w14:paraId="0105F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17ED4AC">
            <w:pPr>
              <w:pStyle w:val="24"/>
              <w:rPr>
                <w:sz w:val="16"/>
                <w:szCs w:val="16"/>
              </w:rPr>
            </w:pPr>
            <w:r>
              <w:rPr>
                <w:rFonts w:hint="eastAsia"/>
                <w:sz w:val="16"/>
                <w:szCs w:val="16"/>
              </w:rPr>
              <w:t>Shape 1 (Fruquintinib)</w:t>
            </w:r>
          </w:p>
        </w:tc>
        <w:tc>
          <w:tcPr>
            <w:tcW w:w="506" w:type="pct"/>
            <w:shd w:val="clear" w:color="auto" w:fill="auto"/>
            <w:noWrap/>
            <w:vAlign w:val="center"/>
          </w:tcPr>
          <w:p w14:paraId="069D9C49">
            <w:pPr>
              <w:pStyle w:val="24"/>
              <w:rPr>
                <w:sz w:val="16"/>
                <w:szCs w:val="16"/>
              </w:rPr>
            </w:pPr>
            <w:r>
              <w:rPr>
                <w:rFonts w:hint="eastAsia"/>
                <w:sz w:val="16"/>
                <w:szCs w:val="16"/>
              </w:rPr>
              <w:t>-0.599</w:t>
            </w:r>
          </w:p>
        </w:tc>
        <w:tc>
          <w:tcPr>
            <w:tcW w:w="506" w:type="pct"/>
            <w:shd w:val="clear" w:color="auto" w:fill="auto"/>
            <w:noWrap/>
            <w:vAlign w:val="center"/>
          </w:tcPr>
          <w:p w14:paraId="028DA83A">
            <w:pPr>
              <w:pStyle w:val="24"/>
              <w:rPr>
                <w:sz w:val="16"/>
                <w:szCs w:val="16"/>
              </w:rPr>
            </w:pPr>
            <w:r>
              <w:rPr>
                <w:rFonts w:hint="eastAsia"/>
                <w:sz w:val="16"/>
                <w:szCs w:val="16"/>
              </w:rPr>
              <w:t>-1.106</w:t>
            </w:r>
          </w:p>
        </w:tc>
        <w:tc>
          <w:tcPr>
            <w:tcW w:w="509" w:type="pct"/>
            <w:shd w:val="clear" w:color="auto" w:fill="auto"/>
            <w:noWrap/>
            <w:vAlign w:val="center"/>
          </w:tcPr>
          <w:p w14:paraId="31A2150A">
            <w:pPr>
              <w:pStyle w:val="24"/>
              <w:rPr>
                <w:sz w:val="16"/>
                <w:szCs w:val="16"/>
              </w:rPr>
            </w:pPr>
            <w:r>
              <w:rPr>
                <w:rFonts w:hint="eastAsia"/>
                <w:sz w:val="16"/>
                <w:szCs w:val="16"/>
              </w:rPr>
              <w:t>-0.078</w:t>
            </w:r>
          </w:p>
        </w:tc>
        <w:tc>
          <w:tcPr>
            <w:tcW w:w="512" w:type="pct"/>
            <w:shd w:val="clear" w:color="auto" w:fill="auto"/>
            <w:noWrap/>
            <w:vAlign w:val="center"/>
          </w:tcPr>
          <w:p w14:paraId="0B68AFBC">
            <w:pPr>
              <w:pStyle w:val="24"/>
              <w:rPr>
                <w:sz w:val="16"/>
                <w:szCs w:val="16"/>
              </w:rPr>
            </w:pPr>
            <w:r>
              <w:rPr>
                <w:rFonts w:hint="eastAsia"/>
                <w:sz w:val="16"/>
                <w:szCs w:val="16"/>
              </w:rPr>
              <w:t>Fixed</w:t>
            </w:r>
          </w:p>
        </w:tc>
        <w:tc>
          <w:tcPr>
            <w:tcW w:w="494" w:type="pct"/>
            <w:vMerge w:val="continue"/>
            <w:shd w:val="clear" w:color="auto" w:fill="auto"/>
            <w:vAlign w:val="center"/>
          </w:tcPr>
          <w:p w14:paraId="0F8647B6">
            <w:pPr>
              <w:pStyle w:val="24"/>
              <w:rPr>
                <w:sz w:val="16"/>
                <w:szCs w:val="16"/>
              </w:rPr>
            </w:pPr>
          </w:p>
        </w:tc>
      </w:tr>
      <w:tr w14:paraId="45A10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64EFA3C1">
            <w:pPr>
              <w:pStyle w:val="24"/>
              <w:rPr>
                <w:sz w:val="16"/>
                <w:szCs w:val="16"/>
              </w:rPr>
            </w:pPr>
            <w:r>
              <w:rPr>
                <w:rFonts w:hint="eastAsia"/>
                <w:sz w:val="16"/>
                <w:szCs w:val="16"/>
              </w:rPr>
              <w:t>Shape 1 (Regorafenib)</w:t>
            </w:r>
          </w:p>
        </w:tc>
        <w:tc>
          <w:tcPr>
            <w:tcW w:w="506" w:type="pct"/>
            <w:shd w:val="clear" w:color="auto" w:fill="auto"/>
            <w:noWrap/>
            <w:vAlign w:val="center"/>
          </w:tcPr>
          <w:p w14:paraId="77475A45">
            <w:pPr>
              <w:pStyle w:val="24"/>
              <w:rPr>
                <w:sz w:val="16"/>
                <w:szCs w:val="16"/>
              </w:rPr>
            </w:pPr>
            <w:r>
              <w:rPr>
                <w:rFonts w:hint="eastAsia"/>
                <w:sz w:val="16"/>
                <w:szCs w:val="16"/>
              </w:rPr>
              <w:t>0.244</w:t>
            </w:r>
          </w:p>
        </w:tc>
        <w:tc>
          <w:tcPr>
            <w:tcW w:w="506" w:type="pct"/>
            <w:shd w:val="clear" w:color="auto" w:fill="auto"/>
            <w:noWrap/>
            <w:vAlign w:val="center"/>
          </w:tcPr>
          <w:p w14:paraId="11330425">
            <w:pPr>
              <w:pStyle w:val="24"/>
              <w:rPr>
                <w:sz w:val="16"/>
                <w:szCs w:val="16"/>
              </w:rPr>
            </w:pPr>
            <w:r>
              <w:rPr>
                <w:rFonts w:hint="eastAsia"/>
                <w:sz w:val="16"/>
                <w:szCs w:val="16"/>
              </w:rPr>
              <w:t>0.048</w:t>
            </w:r>
          </w:p>
        </w:tc>
        <w:tc>
          <w:tcPr>
            <w:tcW w:w="509" w:type="pct"/>
            <w:shd w:val="clear" w:color="auto" w:fill="auto"/>
            <w:noWrap/>
            <w:vAlign w:val="center"/>
          </w:tcPr>
          <w:p w14:paraId="69C9AB89">
            <w:pPr>
              <w:pStyle w:val="24"/>
              <w:rPr>
                <w:sz w:val="16"/>
                <w:szCs w:val="16"/>
              </w:rPr>
            </w:pPr>
            <w:r>
              <w:rPr>
                <w:rFonts w:hint="eastAsia"/>
                <w:sz w:val="16"/>
                <w:szCs w:val="16"/>
              </w:rPr>
              <w:t>0.443</w:t>
            </w:r>
          </w:p>
        </w:tc>
        <w:tc>
          <w:tcPr>
            <w:tcW w:w="512" w:type="pct"/>
            <w:shd w:val="clear" w:color="auto" w:fill="auto"/>
            <w:noWrap/>
            <w:vAlign w:val="center"/>
          </w:tcPr>
          <w:p w14:paraId="06E44D1D">
            <w:pPr>
              <w:pStyle w:val="24"/>
              <w:rPr>
                <w:sz w:val="16"/>
                <w:szCs w:val="16"/>
              </w:rPr>
            </w:pPr>
            <w:r>
              <w:rPr>
                <w:rFonts w:hint="eastAsia"/>
                <w:sz w:val="16"/>
                <w:szCs w:val="16"/>
              </w:rPr>
              <w:t>Fixed</w:t>
            </w:r>
          </w:p>
        </w:tc>
        <w:tc>
          <w:tcPr>
            <w:tcW w:w="494" w:type="pct"/>
            <w:vMerge w:val="continue"/>
            <w:shd w:val="clear" w:color="auto" w:fill="auto"/>
            <w:vAlign w:val="center"/>
          </w:tcPr>
          <w:p w14:paraId="536B5252">
            <w:pPr>
              <w:pStyle w:val="24"/>
              <w:rPr>
                <w:sz w:val="16"/>
                <w:szCs w:val="16"/>
              </w:rPr>
            </w:pPr>
          </w:p>
        </w:tc>
      </w:tr>
      <w:tr w14:paraId="6FA2B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840D2C6">
            <w:pPr>
              <w:pStyle w:val="24"/>
              <w:rPr>
                <w:sz w:val="16"/>
                <w:szCs w:val="16"/>
              </w:rPr>
            </w:pPr>
            <w:r>
              <w:rPr>
                <w:rFonts w:hint="eastAsia"/>
                <w:sz w:val="16"/>
                <w:szCs w:val="16"/>
              </w:rPr>
              <w:t>Shape 1 (REDos)</w:t>
            </w:r>
          </w:p>
        </w:tc>
        <w:tc>
          <w:tcPr>
            <w:tcW w:w="506" w:type="pct"/>
            <w:shd w:val="clear" w:color="auto" w:fill="auto"/>
            <w:noWrap/>
            <w:vAlign w:val="center"/>
          </w:tcPr>
          <w:p w14:paraId="2453105E">
            <w:pPr>
              <w:pStyle w:val="24"/>
              <w:rPr>
                <w:sz w:val="16"/>
                <w:szCs w:val="16"/>
              </w:rPr>
            </w:pPr>
            <w:r>
              <w:rPr>
                <w:rFonts w:hint="eastAsia"/>
                <w:sz w:val="16"/>
                <w:szCs w:val="16"/>
              </w:rPr>
              <w:t>-0.324</w:t>
            </w:r>
          </w:p>
        </w:tc>
        <w:tc>
          <w:tcPr>
            <w:tcW w:w="506" w:type="pct"/>
            <w:shd w:val="clear" w:color="auto" w:fill="auto"/>
            <w:noWrap/>
            <w:vAlign w:val="center"/>
          </w:tcPr>
          <w:p w14:paraId="369B6F9A">
            <w:pPr>
              <w:pStyle w:val="24"/>
              <w:rPr>
                <w:sz w:val="16"/>
                <w:szCs w:val="16"/>
              </w:rPr>
            </w:pPr>
            <w:r>
              <w:rPr>
                <w:rFonts w:hint="eastAsia"/>
                <w:sz w:val="16"/>
                <w:szCs w:val="16"/>
              </w:rPr>
              <w:t>-0.479</w:t>
            </w:r>
          </w:p>
        </w:tc>
        <w:tc>
          <w:tcPr>
            <w:tcW w:w="509" w:type="pct"/>
            <w:shd w:val="clear" w:color="auto" w:fill="auto"/>
            <w:noWrap/>
            <w:vAlign w:val="center"/>
          </w:tcPr>
          <w:p w14:paraId="0828C090">
            <w:pPr>
              <w:pStyle w:val="24"/>
              <w:rPr>
                <w:sz w:val="16"/>
                <w:szCs w:val="16"/>
              </w:rPr>
            </w:pPr>
            <w:r>
              <w:rPr>
                <w:rFonts w:hint="eastAsia"/>
                <w:sz w:val="16"/>
                <w:szCs w:val="16"/>
              </w:rPr>
              <w:t>-0.164</w:t>
            </w:r>
          </w:p>
        </w:tc>
        <w:tc>
          <w:tcPr>
            <w:tcW w:w="512" w:type="pct"/>
            <w:shd w:val="clear" w:color="auto" w:fill="auto"/>
            <w:noWrap/>
            <w:vAlign w:val="center"/>
          </w:tcPr>
          <w:p w14:paraId="619E9961">
            <w:pPr>
              <w:pStyle w:val="24"/>
              <w:rPr>
                <w:sz w:val="16"/>
                <w:szCs w:val="16"/>
              </w:rPr>
            </w:pPr>
            <w:r>
              <w:rPr>
                <w:rFonts w:hint="eastAsia"/>
                <w:sz w:val="16"/>
                <w:szCs w:val="16"/>
              </w:rPr>
              <w:t>Fixed</w:t>
            </w:r>
          </w:p>
        </w:tc>
        <w:tc>
          <w:tcPr>
            <w:tcW w:w="494" w:type="pct"/>
            <w:vMerge w:val="continue"/>
            <w:shd w:val="clear" w:color="auto" w:fill="auto"/>
            <w:vAlign w:val="center"/>
          </w:tcPr>
          <w:p w14:paraId="2D89D8E9">
            <w:pPr>
              <w:pStyle w:val="24"/>
              <w:rPr>
                <w:sz w:val="16"/>
                <w:szCs w:val="16"/>
              </w:rPr>
            </w:pPr>
          </w:p>
        </w:tc>
      </w:tr>
      <w:tr w14:paraId="6E940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7D5BAE3C">
            <w:pPr>
              <w:pStyle w:val="24"/>
              <w:rPr>
                <w:sz w:val="16"/>
                <w:szCs w:val="16"/>
              </w:rPr>
            </w:pPr>
            <w:r>
              <w:rPr>
                <w:rFonts w:hint="eastAsia"/>
                <w:sz w:val="16"/>
                <w:szCs w:val="16"/>
              </w:rPr>
              <w:t>Shape 1 (TAS-102)</w:t>
            </w:r>
          </w:p>
        </w:tc>
        <w:tc>
          <w:tcPr>
            <w:tcW w:w="506" w:type="pct"/>
            <w:shd w:val="clear" w:color="auto" w:fill="auto"/>
            <w:noWrap/>
            <w:vAlign w:val="center"/>
          </w:tcPr>
          <w:p w14:paraId="03438454">
            <w:pPr>
              <w:pStyle w:val="24"/>
              <w:rPr>
                <w:sz w:val="16"/>
                <w:szCs w:val="16"/>
              </w:rPr>
            </w:pPr>
            <w:r>
              <w:rPr>
                <w:rFonts w:hint="eastAsia"/>
                <w:sz w:val="16"/>
                <w:szCs w:val="16"/>
              </w:rPr>
              <w:t>-0.416</w:t>
            </w:r>
          </w:p>
        </w:tc>
        <w:tc>
          <w:tcPr>
            <w:tcW w:w="506" w:type="pct"/>
            <w:shd w:val="clear" w:color="auto" w:fill="auto"/>
            <w:noWrap/>
            <w:vAlign w:val="center"/>
          </w:tcPr>
          <w:p w14:paraId="2E06ACD6">
            <w:pPr>
              <w:pStyle w:val="24"/>
              <w:rPr>
                <w:sz w:val="16"/>
                <w:szCs w:val="16"/>
              </w:rPr>
            </w:pPr>
            <w:r>
              <w:rPr>
                <w:rFonts w:hint="eastAsia"/>
                <w:sz w:val="16"/>
                <w:szCs w:val="16"/>
              </w:rPr>
              <w:t>-0.607</w:t>
            </w:r>
          </w:p>
        </w:tc>
        <w:tc>
          <w:tcPr>
            <w:tcW w:w="509" w:type="pct"/>
            <w:shd w:val="clear" w:color="auto" w:fill="auto"/>
            <w:noWrap/>
            <w:vAlign w:val="center"/>
          </w:tcPr>
          <w:p w14:paraId="6330608F">
            <w:pPr>
              <w:pStyle w:val="24"/>
              <w:rPr>
                <w:sz w:val="16"/>
                <w:szCs w:val="16"/>
              </w:rPr>
            </w:pPr>
            <w:r>
              <w:rPr>
                <w:rFonts w:hint="eastAsia"/>
                <w:sz w:val="16"/>
                <w:szCs w:val="16"/>
              </w:rPr>
              <w:t>-0.221</w:t>
            </w:r>
          </w:p>
        </w:tc>
        <w:tc>
          <w:tcPr>
            <w:tcW w:w="512" w:type="pct"/>
            <w:shd w:val="clear" w:color="auto" w:fill="auto"/>
            <w:noWrap/>
            <w:vAlign w:val="center"/>
          </w:tcPr>
          <w:p w14:paraId="2A60D1A0">
            <w:pPr>
              <w:pStyle w:val="24"/>
              <w:rPr>
                <w:sz w:val="16"/>
                <w:szCs w:val="16"/>
              </w:rPr>
            </w:pPr>
            <w:r>
              <w:rPr>
                <w:rFonts w:hint="eastAsia"/>
                <w:sz w:val="16"/>
                <w:szCs w:val="16"/>
              </w:rPr>
              <w:t>Fixed</w:t>
            </w:r>
          </w:p>
        </w:tc>
        <w:tc>
          <w:tcPr>
            <w:tcW w:w="494" w:type="pct"/>
            <w:vMerge w:val="continue"/>
            <w:shd w:val="clear" w:color="auto" w:fill="auto"/>
            <w:vAlign w:val="center"/>
          </w:tcPr>
          <w:p w14:paraId="646BA35D">
            <w:pPr>
              <w:pStyle w:val="24"/>
              <w:rPr>
                <w:sz w:val="16"/>
                <w:szCs w:val="16"/>
              </w:rPr>
            </w:pPr>
          </w:p>
        </w:tc>
      </w:tr>
      <w:tr w14:paraId="17B0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31BDCAD9">
            <w:pPr>
              <w:pStyle w:val="24"/>
              <w:rPr>
                <w:sz w:val="16"/>
                <w:szCs w:val="16"/>
              </w:rPr>
            </w:pPr>
            <w:r>
              <w:rPr>
                <w:rFonts w:hint="eastAsia"/>
                <w:sz w:val="16"/>
                <w:szCs w:val="16"/>
              </w:rPr>
              <w:t>Shape 1 (TAS-102+BEV)</w:t>
            </w:r>
          </w:p>
        </w:tc>
        <w:tc>
          <w:tcPr>
            <w:tcW w:w="506" w:type="pct"/>
            <w:shd w:val="clear" w:color="auto" w:fill="auto"/>
            <w:noWrap/>
            <w:vAlign w:val="center"/>
          </w:tcPr>
          <w:p w14:paraId="5B8AF48E">
            <w:pPr>
              <w:pStyle w:val="24"/>
              <w:rPr>
                <w:sz w:val="16"/>
                <w:szCs w:val="16"/>
              </w:rPr>
            </w:pPr>
            <w:r>
              <w:rPr>
                <w:rFonts w:hint="eastAsia"/>
                <w:sz w:val="16"/>
                <w:szCs w:val="16"/>
              </w:rPr>
              <w:t>-0.704</w:t>
            </w:r>
          </w:p>
        </w:tc>
        <w:tc>
          <w:tcPr>
            <w:tcW w:w="506" w:type="pct"/>
            <w:shd w:val="clear" w:color="auto" w:fill="auto"/>
            <w:noWrap/>
            <w:vAlign w:val="center"/>
          </w:tcPr>
          <w:p w14:paraId="463A9498">
            <w:pPr>
              <w:pStyle w:val="24"/>
              <w:rPr>
                <w:sz w:val="16"/>
                <w:szCs w:val="16"/>
              </w:rPr>
            </w:pPr>
            <w:r>
              <w:rPr>
                <w:rFonts w:hint="eastAsia"/>
                <w:sz w:val="16"/>
                <w:szCs w:val="16"/>
              </w:rPr>
              <w:t>-0.987</w:t>
            </w:r>
          </w:p>
        </w:tc>
        <w:tc>
          <w:tcPr>
            <w:tcW w:w="509" w:type="pct"/>
            <w:shd w:val="clear" w:color="auto" w:fill="auto"/>
            <w:noWrap/>
            <w:vAlign w:val="center"/>
          </w:tcPr>
          <w:p w14:paraId="67D540A1">
            <w:pPr>
              <w:pStyle w:val="24"/>
              <w:rPr>
                <w:sz w:val="16"/>
                <w:szCs w:val="16"/>
              </w:rPr>
            </w:pPr>
            <w:r>
              <w:rPr>
                <w:rFonts w:hint="eastAsia"/>
                <w:sz w:val="16"/>
                <w:szCs w:val="16"/>
              </w:rPr>
              <w:t>-0.422</w:t>
            </w:r>
          </w:p>
        </w:tc>
        <w:tc>
          <w:tcPr>
            <w:tcW w:w="512" w:type="pct"/>
            <w:shd w:val="clear" w:color="auto" w:fill="auto"/>
            <w:noWrap/>
            <w:vAlign w:val="center"/>
          </w:tcPr>
          <w:p w14:paraId="5E525565">
            <w:pPr>
              <w:pStyle w:val="24"/>
              <w:rPr>
                <w:sz w:val="16"/>
                <w:szCs w:val="16"/>
              </w:rPr>
            </w:pPr>
            <w:r>
              <w:rPr>
                <w:rFonts w:hint="eastAsia"/>
                <w:sz w:val="16"/>
                <w:szCs w:val="16"/>
              </w:rPr>
              <w:t>Fixed</w:t>
            </w:r>
          </w:p>
        </w:tc>
        <w:tc>
          <w:tcPr>
            <w:tcW w:w="494" w:type="pct"/>
            <w:vMerge w:val="continue"/>
            <w:shd w:val="clear" w:color="auto" w:fill="auto"/>
            <w:vAlign w:val="center"/>
          </w:tcPr>
          <w:p w14:paraId="71E2E914">
            <w:pPr>
              <w:pStyle w:val="24"/>
              <w:rPr>
                <w:sz w:val="16"/>
                <w:szCs w:val="16"/>
              </w:rPr>
            </w:pPr>
          </w:p>
        </w:tc>
      </w:tr>
      <w:tr w14:paraId="5DBB6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0BA5FBC9">
            <w:pPr>
              <w:pStyle w:val="24"/>
              <w:rPr>
                <w:sz w:val="16"/>
                <w:szCs w:val="16"/>
              </w:rPr>
            </w:pPr>
            <w:r>
              <w:rPr>
                <w:rFonts w:hint="eastAsia"/>
                <w:sz w:val="16"/>
                <w:szCs w:val="16"/>
              </w:rPr>
              <w:t>Shape 2 (Fruquintinib)</w:t>
            </w:r>
          </w:p>
        </w:tc>
        <w:tc>
          <w:tcPr>
            <w:tcW w:w="506" w:type="pct"/>
            <w:shd w:val="clear" w:color="auto" w:fill="auto"/>
            <w:noWrap/>
            <w:vAlign w:val="center"/>
          </w:tcPr>
          <w:p w14:paraId="31C1E24D">
            <w:pPr>
              <w:pStyle w:val="24"/>
              <w:rPr>
                <w:sz w:val="16"/>
                <w:szCs w:val="16"/>
              </w:rPr>
            </w:pPr>
            <w:r>
              <w:rPr>
                <w:rFonts w:hint="eastAsia"/>
                <w:sz w:val="16"/>
                <w:szCs w:val="16"/>
              </w:rPr>
              <w:t>-1.178</w:t>
            </w:r>
          </w:p>
        </w:tc>
        <w:tc>
          <w:tcPr>
            <w:tcW w:w="506" w:type="pct"/>
            <w:shd w:val="clear" w:color="auto" w:fill="auto"/>
            <w:noWrap/>
            <w:vAlign w:val="center"/>
          </w:tcPr>
          <w:p w14:paraId="72211E29">
            <w:pPr>
              <w:pStyle w:val="24"/>
              <w:rPr>
                <w:sz w:val="16"/>
                <w:szCs w:val="16"/>
              </w:rPr>
            </w:pPr>
            <w:r>
              <w:rPr>
                <w:rFonts w:hint="eastAsia"/>
                <w:sz w:val="16"/>
                <w:szCs w:val="16"/>
              </w:rPr>
              <w:t>-4.699</w:t>
            </w:r>
          </w:p>
        </w:tc>
        <w:tc>
          <w:tcPr>
            <w:tcW w:w="509" w:type="pct"/>
            <w:shd w:val="clear" w:color="auto" w:fill="auto"/>
            <w:noWrap/>
            <w:vAlign w:val="center"/>
          </w:tcPr>
          <w:p w14:paraId="28B20761">
            <w:pPr>
              <w:pStyle w:val="24"/>
              <w:rPr>
                <w:sz w:val="16"/>
                <w:szCs w:val="16"/>
              </w:rPr>
            </w:pPr>
            <w:r>
              <w:rPr>
                <w:rFonts w:hint="eastAsia"/>
                <w:sz w:val="16"/>
                <w:szCs w:val="16"/>
              </w:rPr>
              <w:t>1.6</w:t>
            </w:r>
          </w:p>
        </w:tc>
        <w:tc>
          <w:tcPr>
            <w:tcW w:w="512" w:type="pct"/>
            <w:shd w:val="clear" w:color="auto" w:fill="auto"/>
            <w:noWrap/>
            <w:vAlign w:val="center"/>
          </w:tcPr>
          <w:p w14:paraId="4152F737">
            <w:pPr>
              <w:pStyle w:val="24"/>
              <w:rPr>
                <w:sz w:val="16"/>
                <w:szCs w:val="16"/>
              </w:rPr>
            </w:pPr>
            <w:r>
              <w:rPr>
                <w:rFonts w:hint="eastAsia"/>
                <w:sz w:val="16"/>
                <w:szCs w:val="16"/>
              </w:rPr>
              <w:t>Fixed</w:t>
            </w:r>
          </w:p>
        </w:tc>
        <w:tc>
          <w:tcPr>
            <w:tcW w:w="494" w:type="pct"/>
            <w:vMerge w:val="continue"/>
            <w:shd w:val="clear" w:color="auto" w:fill="auto"/>
            <w:vAlign w:val="center"/>
          </w:tcPr>
          <w:p w14:paraId="22D2BD8B">
            <w:pPr>
              <w:pStyle w:val="24"/>
              <w:rPr>
                <w:sz w:val="16"/>
                <w:szCs w:val="16"/>
              </w:rPr>
            </w:pPr>
          </w:p>
        </w:tc>
      </w:tr>
      <w:tr w14:paraId="416DB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4C80776">
            <w:pPr>
              <w:pStyle w:val="24"/>
              <w:rPr>
                <w:sz w:val="16"/>
                <w:szCs w:val="16"/>
              </w:rPr>
            </w:pPr>
            <w:r>
              <w:rPr>
                <w:rFonts w:hint="eastAsia"/>
                <w:sz w:val="16"/>
                <w:szCs w:val="16"/>
              </w:rPr>
              <w:t>Shape 2 (Regorafenib)</w:t>
            </w:r>
          </w:p>
        </w:tc>
        <w:tc>
          <w:tcPr>
            <w:tcW w:w="506" w:type="pct"/>
            <w:shd w:val="clear" w:color="auto" w:fill="auto"/>
            <w:noWrap/>
            <w:vAlign w:val="center"/>
          </w:tcPr>
          <w:p w14:paraId="179B2AB4">
            <w:pPr>
              <w:pStyle w:val="24"/>
              <w:rPr>
                <w:sz w:val="16"/>
                <w:szCs w:val="16"/>
              </w:rPr>
            </w:pPr>
            <w:r>
              <w:rPr>
                <w:rFonts w:hint="eastAsia"/>
                <w:sz w:val="16"/>
                <w:szCs w:val="16"/>
              </w:rPr>
              <w:t>-1.839</w:t>
            </w:r>
          </w:p>
        </w:tc>
        <w:tc>
          <w:tcPr>
            <w:tcW w:w="506" w:type="pct"/>
            <w:shd w:val="clear" w:color="auto" w:fill="auto"/>
            <w:noWrap/>
            <w:vAlign w:val="center"/>
          </w:tcPr>
          <w:p w14:paraId="72172C3E">
            <w:pPr>
              <w:pStyle w:val="24"/>
              <w:rPr>
                <w:sz w:val="16"/>
                <w:szCs w:val="16"/>
              </w:rPr>
            </w:pPr>
            <w:r>
              <w:rPr>
                <w:rFonts w:hint="eastAsia"/>
                <w:sz w:val="16"/>
                <w:szCs w:val="16"/>
              </w:rPr>
              <w:t>-2.887</w:t>
            </w:r>
          </w:p>
        </w:tc>
        <w:tc>
          <w:tcPr>
            <w:tcW w:w="509" w:type="pct"/>
            <w:shd w:val="clear" w:color="auto" w:fill="auto"/>
            <w:noWrap/>
            <w:vAlign w:val="center"/>
          </w:tcPr>
          <w:p w14:paraId="689EF9C3">
            <w:pPr>
              <w:pStyle w:val="24"/>
              <w:rPr>
                <w:sz w:val="16"/>
                <w:szCs w:val="16"/>
              </w:rPr>
            </w:pPr>
            <w:r>
              <w:rPr>
                <w:rFonts w:hint="eastAsia"/>
                <w:sz w:val="16"/>
                <w:szCs w:val="16"/>
              </w:rPr>
              <w:t>-0.855</w:t>
            </w:r>
          </w:p>
        </w:tc>
        <w:tc>
          <w:tcPr>
            <w:tcW w:w="512" w:type="pct"/>
            <w:shd w:val="clear" w:color="auto" w:fill="auto"/>
            <w:noWrap/>
            <w:vAlign w:val="center"/>
          </w:tcPr>
          <w:p w14:paraId="4A11FFD1">
            <w:pPr>
              <w:pStyle w:val="24"/>
              <w:rPr>
                <w:sz w:val="16"/>
                <w:szCs w:val="16"/>
              </w:rPr>
            </w:pPr>
            <w:r>
              <w:rPr>
                <w:rFonts w:hint="eastAsia"/>
                <w:sz w:val="16"/>
                <w:szCs w:val="16"/>
              </w:rPr>
              <w:t>Fixed</w:t>
            </w:r>
          </w:p>
        </w:tc>
        <w:tc>
          <w:tcPr>
            <w:tcW w:w="494" w:type="pct"/>
            <w:vMerge w:val="continue"/>
            <w:shd w:val="clear" w:color="auto" w:fill="auto"/>
            <w:vAlign w:val="center"/>
          </w:tcPr>
          <w:p w14:paraId="2F10210C">
            <w:pPr>
              <w:pStyle w:val="24"/>
              <w:rPr>
                <w:sz w:val="16"/>
                <w:szCs w:val="16"/>
              </w:rPr>
            </w:pPr>
          </w:p>
        </w:tc>
      </w:tr>
      <w:tr w14:paraId="0E50C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BEE0528">
            <w:pPr>
              <w:pStyle w:val="24"/>
              <w:rPr>
                <w:sz w:val="16"/>
                <w:szCs w:val="16"/>
              </w:rPr>
            </w:pPr>
            <w:r>
              <w:rPr>
                <w:rFonts w:hint="eastAsia"/>
                <w:sz w:val="16"/>
                <w:szCs w:val="16"/>
              </w:rPr>
              <w:t>Shape 2 (REDos)</w:t>
            </w:r>
          </w:p>
        </w:tc>
        <w:tc>
          <w:tcPr>
            <w:tcW w:w="506" w:type="pct"/>
            <w:shd w:val="clear" w:color="auto" w:fill="auto"/>
            <w:noWrap/>
            <w:vAlign w:val="center"/>
          </w:tcPr>
          <w:p w14:paraId="2B816C54">
            <w:pPr>
              <w:pStyle w:val="24"/>
              <w:rPr>
                <w:sz w:val="16"/>
                <w:szCs w:val="16"/>
              </w:rPr>
            </w:pPr>
            <w:r>
              <w:rPr>
                <w:rFonts w:hint="eastAsia"/>
                <w:sz w:val="16"/>
                <w:szCs w:val="16"/>
              </w:rPr>
              <w:t>-0.164</w:t>
            </w:r>
          </w:p>
        </w:tc>
        <w:tc>
          <w:tcPr>
            <w:tcW w:w="506" w:type="pct"/>
            <w:shd w:val="clear" w:color="auto" w:fill="auto"/>
            <w:noWrap/>
            <w:vAlign w:val="center"/>
          </w:tcPr>
          <w:p w14:paraId="65E8047A">
            <w:pPr>
              <w:pStyle w:val="24"/>
              <w:rPr>
                <w:sz w:val="16"/>
                <w:szCs w:val="16"/>
              </w:rPr>
            </w:pPr>
            <w:r>
              <w:rPr>
                <w:rFonts w:hint="eastAsia"/>
                <w:sz w:val="16"/>
                <w:szCs w:val="16"/>
              </w:rPr>
              <w:t>-1.186</w:t>
            </w:r>
          </w:p>
        </w:tc>
        <w:tc>
          <w:tcPr>
            <w:tcW w:w="509" w:type="pct"/>
            <w:shd w:val="clear" w:color="auto" w:fill="auto"/>
            <w:noWrap/>
            <w:vAlign w:val="center"/>
          </w:tcPr>
          <w:p w14:paraId="779575F9">
            <w:pPr>
              <w:pStyle w:val="24"/>
              <w:rPr>
                <w:sz w:val="16"/>
                <w:szCs w:val="16"/>
              </w:rPr>
            </w:pPr>
            <w:r>
              <w:rPr>
                <w:rFonts w:hint="eastAsia"/>
                <w:sz w:val="16"/>
                <w:szCs w:val="16"/>
              </w:rPr>
              <w:t>0.863</w:t>
            </w:r>
          </w:p>
        </w:tc>
        <w:tc>
          <w:tcPr>
            <w:tcW w:w="512" w:type="pct"/>
            <w:shd w:val="clear" w:color="auto" w:fill="auto"/>
            <w:noWrap/>
            <w:vAlign w:val="center"/>
          </w:tcPr>
          <w:p w14:paraId="4625F515">
            <w:pPr>
              <w:pStyle w:val="24"/>
              <w:rPr>
                <w:sz w:val="16"/>
                <w:szCs w:val="16"/>
              </w:rPr>
            </w:pPr>
            <w:r>
              <w:rPr>
                <w:rFonts w:hint="eastAsia"/>
                <w:sz w:val="16"/>
                <w:szCs w:val="16"/>
              </w:rPr>
              <w:t>Fixed</w:t>
            </w:r>
          </w:p>
        </w:tc>
        <w:tc>
          <w:tcPr>
            <w:tcW w:w="494" w:type="pct"/>
            <w:vMerge w:val="continue"/>
            <w:shd w:val="clear" w:color="auto" w:fill="auto"/>
            <w:vAlign w:val="center"/>
          </w:tcPr>
          <w:p w14:paraId="15999BD4">
            <w:pPr>
              <w:pStyle w:val="24"/>
              <w:rPr>
                <w:sz w:val="16"/>
                <w:szCs w:val="16"/>
              </w:rPr>
            </w:pPr>
          </w:p>
        </w:tc>
      </w:tr>
      <w:tr w14:paraId="47A9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40D706D3">
            <w:pPr>
              <w:pStyle w:val="24"/>
              <w:rPr>
                <w:sz w:val="16"/>
                <w:szCs w:val="16"/>
              </w:rPr>
            </w:pPr>
            <w:r>
              <w:rPr>
                <w:rFonts w:hint="eastAsia"/>
                <w:sz w:val="16"/>
                <w:szCs w:val="16"/>
              </w:rPr>
              <w:t>Shape 2 (TAS-102)</w:t>
            </w:r>
          </w:p>
        </w:tc>
        <w:tc>
          <w:tcPr>
            <w:tcW w:w="506" w:type="pct"/>
            <w:shd w:val="clear" w:color="auto" w:fill="auto"/>
            <w:noWrap/>
            <w:vAlign w:val="center"/>
          </w:tcPr>
          <w:p w14:paraId="4D60783B">
            <w:pPr>
              <w:pStyle w:val="24"/>
              <w:rPr>
                <w:sz w:val="16"/>
                <w:szCs w:val="16"/>
              </w:rPr>
            </w:pPr>
            <w:r>
              <w:rPr>
                <w:rFonts w:hint="eastAsia"/>
                <w:sz w:val="16"/>
                <w:szCs w:val="16"/>
              </w:rPr>
              <w:t>0.32</w:t>
            </w:r>
          </w:p>
        </w:tc>
        <w:tc>
          <w:tcPr>
            <w:tcW w:w="506" w:type="pct"/>
            <w:shd w:val="clear" w:color="auto" w:fill="auto"/>
            <w:noWrap/>
            <w:vAlign w:val="center"/>
          </w:tcPr>
          <w:p w14:paraId="1F2D23E1">
            <w:pPr>
              <w:pStyle w:val="24"/>
              <w:rPr>
                <w:sz w:val="16"/>
                <w:szCs w:val="16"/>
              </w:rPr>
            </w:pPr>
            <w:r>
              <w:rPr>
                <w:rFonts w:hint="eastAsia"/>
                <w:sz w:val="16"/>
                <w:szCs w:val="16"/>
              </w:rPr>
              <w:t>-0.578</w:t>
            </w:r>
          </w:p>
        </w:tc>
        <w:tc>
          <w:tcPr>
            <w:tcW w:w="509" w:type="pct"/>
            <w:shd w:val="clear" w:color="auto" w:fill="auto"/>
            <w:noWrap/>
            <w:vAlign w:val="center"/>
          </w:tcPr>
          <w:p w14:paraId="2C369681">
            <w:pPr>
              <w:pStyle w:val="24"/>
              <w:rPr>
                <w:sz w:val="16"/>
                <w:szCs w:val="16"/>
              </w:rPr>
            </w:pPr>
            <w:r>
              <w:rPr>
                <w:rFonts w:hint="eastAsia"/>
                <w:sz w:val="16"/>
                <w:szCs w:val="16"/>
              </w:rPr>
              <w:t>1.283</w:t>
            </w:r>
          </w:p>
        </w:tc>
        <w:tc>
          <w:tcPr>
            <w:tcW w:w="512" w:type="pct"/>
            <w:shd w:val="clear" w:color="auto" w:fill="auto"/>
            <w:noWrap/>
            <w:vAlign w:val="center"/>
          </w:tcPr>
          <w:p w14:paraId="32BDD1B3">
            <w:pPr>
              <w:pStyle w:val="24"/>
              <w:rPr>
                <w:sz w:val="16"/>
                <w:szCs w:val="16"/>
              </w:rPr>
            </w:pPr>
            <w:r>
              <w:rPr>
                <w:rFonts w:hint="eastAsia"/>
                <w:sz w:val="16"/>
                <w:szCs w:val="16"/>
              </w:rPr>
              <w:t>Fixed</w:t>
            </w:r>
          </w:p>
        </w:tc>
        <w:tc>
          <w:tcPr>
            <w:tcW w:w="494" w:type="pct"/>
            <w:vMerge w:val="continue"/>
            <w:shd w:val="clear" w:color="auto" w:fill="auto"/>
            <w:vAlign w:val="center"/>
          </w:tcPr>
          <w:p w14:paraId="78748F51">
            <w:pPr>
              <w:pStyle w:val="24"/>
              <w:rPr>
                <w:sz w:val="16"/>
                <w:szCs w:val="16"/>
              </w:rPr>
            </w:pPr>
          </w:p>
        </w:tc>
      </w:tr>
      <w:tr w14:paraId="5E93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69" w:type="pct"/>
            <w:shd w:val="clear" w:color="auto" w:fill="auto"/>
            <w:noWrap/>
            <w:vAlign w:val="center"/>
          </w:tcPr>
          <w:p w14:paraId="1124FC58">
            <w:pPr>
              <w:pStyle w:val="24"/>
              <w:rPr>
                <w:sz w:val="16"/>
                <w:szCs w:val="16"/>
              </w:rPr>
            </w:pPr>
            <w:r>
              <w:rPr>
                <w:rFonts w:hint="eastAsia"/>
                <w:sz w:val="16"/>
                <w:szCs w:val="16"/>
              </w:rPr>
              <w:t>Shape 2 (TAS-102+BEV)</w:t>
            </w:r>
          </w:p>
        </w:tc>
        <w:tc>
          <w:tcPr>
            <w:tcW w:w="506" w:type="pct"/>
            <w:shd w:val="clear" w:color="auto" w:fill="auto"/>
            <w:noWrap/>
            <w:vAlign w:val="center"/>
          </w:tcPr>
          <w:p w14:paraId="120DFE26">
            <w:pPr>
              <w:pStyle w:val="24"/>
              <w:rPr>
                <w:sz w:val="16"/>
                <w:szCs w:val="16"/>
              </w:rPr>
            </w:pPr>
            <w:r>
              <w:rPr>
                <w:rFonts w:hint="eastAsia"/>
                <w:sz w:val="16"/>
                <w:szCs w:val="16"/>
              </w:rPr>
              <w:t>-2.625</w:t>
            </w:r>
          </w:p>
        </w:tc>
        <w:tc>
          <w:tcPr>
            <w:tcW w:w="506" w:type="pct"/>
            <w:shd w:val="clear" w:color="auto" w:fill="auto"/>
            <w:noWrap/>
            <w:vAlign w:val="center"/>
          </w:tcPr>
          <w:p w14:paraId="5D3282A0">
            <w:pPr>
              <w:pStyle w:val="24"/>
              <w:rPr>
                <w:sz w:val="16"/>
                <w:szCs w:val="16"/>
              </w:rPr>
            </w:pPr>
            <w:r>
              <w:rPr>
                <w:rFonts w:hint="eastAsia"/>
                <w:sz w:val="16"/>
                <w:szCs w:val="16"/>
              </w:rPr>
              <w:t>-5.89</w:t>
            </w:r>
          </w:p>
        </w:tc>
        <w:tc>
          <w:tcPr>
            <w:tcW w:w="509" w:type="pct"/>
            <w:shd w:val="clear" w:color="auto" w:fill="auto"/>
            <w:noWrap/>
            <w:vAlign w:val="center"/>
          </w:tcPr>
          <w:p w14:paraId="77422749">
            <w:pPr>
              <w:pStyle w:val="24"/>
              <w:rPr>
                <w:sz w:val="16"/>
                <w:szCs w:val="16"/>
              </w:rPr>
            </w:pPr>
            <w:r>
              <w:rPr>
                <w:rFonts w:hint="eastAsia"/>
                <w:sz w:val="16"/>
                <w:szCs w:val="16"/>
              </w:rPr>
              <w:t>0.263</w:t>
            </w:r>
          </w:p>
        </w:tc>
        <w:tc>
          <w:tcPr>
            <w:tcW w:w="512" w:type="pct"/>
            <w:shd w:val="clear" w:color="auto" w:fill="auto"/>
            <w:noWrap/>
            <w:vAlign w:val="center"/>
          </w:tcPr>
          <w:p w14:paraId="6BFEC882">
            <w:pPr>
              <w:pStyle w:val="24"/>
              <w:rPr>
                <w:sz w:val="16"/>
                <w:szCs w:val="16"/>
              </w:rPr>
            </w:pPr>
            <w:r>
              <w:rPr>
                <w:rFonts w:hint="eastAsia"/>
                <w:sz w:val="16"/>
                <w:szCs w:val="16"/>
              </w:rPr>
              <w:t>Fixed</w:t>
            </w:r>
          </w:p>
        </w:tc>
        <w:tc>
          <w:tcPr>
            <w:tcW w:w="494" w:type="pct"/>
            <w:vMerge w:val="continue"/>
            <w:shd w:val="clear" w:color="auto" w:fill="auto"/>
            <w:vAlign w:val="center"/>
          </w:tcPr>
          <w:p w14:paraId="2C80537E">
            <w:pPr>
              <w:pStyle w:val="24"/>
              <w:rPr>
                <w:sz w:val="16"/>
                <w:szCs w:val="16"/>
              </w:rPr>
            </w:pPr>
          </w:p>
        </w:tc>
      </w:tr>
    </w:tbl>
    <w:p w14:paraId="551698FC">
      <w:pPr>
        <w:rPr>
          <w:rFonts w:eastAsia="宋体"/>
        </w:rPr>
        <w:sectPr>
          <w:headerReference r:id="rId4" w:type="first"/>
          <w:footerReference r:id="rId6" w:type="first"/>
          <w:headerReference r:id="rId3" w:type="default"/>
          <w:footerReference r:id="rId5" w:type="default"/>
          <w:pgSz w:w="11906" w:h="16838"/>
          <w:pgMar w:top="1440" w:right="1800" w:bottom="1440" w:left="1800" w:header="851" w:footer="992" w:gutter="0"/>
          <w:cols w:space="425" w:num="1"/>
          <w:titlePg/>
          <w:docGrid w:type="lines" w:linePitch="326" w:charSpace="0"/>
        </w:sectPr>
      </w:pPr>
    </w:p>
    <w:p w14:paraId="2FD2422D">
      <w:pPr>
        <w:pStyle w:val="2"/>
        <w:bidi w:val="0"/>
        <w:sectPr>
          <w:headerReference r:id="rId7" w:type="default"/>
          <w:footerReference r:id="rId8" w:type="default"/>
          <w:pgSz w:w="11906" w:h="16838"/>
          <w:pgMar w:top="1440" w:right="1800" w:bottom="1440" w:left="1800" w:header="851" w:footer="992" w:gutter="0"/>
          <w:cols w:space="425" w:num="1"/>
          <w:titlePg/>
          <w:docGrid w:type="lines" w:linePitch="326" w:charSpace="0"/>
        </w:sectPr>
      </w:pPr>
      <w:bookmarkStart w:id="4" w:name="_Toc32766"/>
      <w:r>
        <mc:AlternateContent>
          <mc:Choice Requires="wpg">
            <w:drawing>
              <wp:anchor distT="0" distB="0" distL="114300" distR="114300" simplePos="0" relativeHeight="251659264" behindDoc="0" locked="0" layoutInCell="1" allowOverlap="1">
                <wp:simplePos x="0" y="0"/>
                <wp:positionH relativeFrom="column">
                  <wp:posOffset>-399415</wp:posOffset>
                </wp:positionH>
                <wp:positionV relativeFrom="paragraph">
                  <wp:posOffset>57150</wp:posOffset>
                </wp:positionV>
                <wp:extent cx="6191250" cy="8451215"/>
                <wp:effectExtent l="6350" t="4445" r="5080" b="17780"/>
                <wp:wrapTopAndBottom/>
                <wp:docPr id="32" name="组合 1"/>
                <wp:cNvGraphicFramePr/>
                <a:graphic xmlns:a="http://schemas.openxmlformats.org/drawingml/2006/main">
                  <a:graphicData uri="http://schemas.microsoft.com/office/word/2010/wordprocessingGroup">
                    <wpg:wgp>
                      <wpg:cNvGrpSpPr/>
                      <wpg:grpSpPr>
                        <a:xfrm>
                          <a:off x="0" y="0"/>
                          <a:ext cx="6191250" cy="8451215"/>
                          <a:chOff x="0" y="-185"/>
                          <a:chExt cx="56265" cy="68704"/>
                        </a:xfrm>
                      </wpg:grpSpPr>
                      <wpg:grpSp>
                        <wpg:cNvPr id="33" name="组合 13"/>
                        <wpg:cNvGrpSpPr/>
                        <wpg:grpSpPr>
                          <a:xfrm>
                            <a:off x="5034" y="-185"/>
                            <a:ext cx="51231" cy="68704"/>
                            <a:chOff x="-240" y="-185"/>
                            <a:chExt cx="51231" cy="68704"/>
                          </a:xfrm>
                        </wpg:grpSpPr>
                        <wps:wsp>
                          <wps:cNvPr id="34" name="直接箭头连接符 15"/>
                          <wps:cNvCnPr/>
                          <wps:spPr>
                            <a:xfrm>
                              <a:off x="13494" y="10514"/>
                              <a:ext cx="5620" cy="6"/>
                            </a:xfrm>
                            <a:prstGeom prst="straightConnector1">
                              <a:avLst/>
                            </a:prstGeom>
                            <a:ln w="6350" cap="flat" cmpd="sng">
                              <a:solidFill>
                                <a:srgbClr val="000000"/>
                              </a:solidFill>
                              <a:prstDash val="solid"/>
                              <a:miter/>
                              <a:headEnd type="none" w="med" len="med"/>
                              <a:tailEnd type="arrow" w="med" len="med"/>
                            </a:ln>
                          </wps:spPr>
                          <wps:bodyPr/>
                        </wps:wsp>
                        <wps:wsp>
                          <wps:cNvPr id="35" name="文本框 2"/>
                          <wps:cNvSpPr txBox="1"/>
                          <wps:spPr>
                            <a:xfrm>
                              <a:off x="70" y="-185"/>
                              <a:ext cx="28924" cy="7536"/>
                            </a:xfrm>
                            <a:prstGeom prst="rect">
                              <a:avLst/>
                            </a:prstGeom>
                            <a:noFill/>
                            <a:ln w="9525" cap="flat" cmpd="sng">
                              <a:solidFill>
                                <a:srgbClr val="000000"/>
                              </a:solidFill>
                              <a:prstDash val="solid"/>
                              <a:miter/>
                              <a:headEnd type="none" w="med" len="med"/>
                              <a:tailEnd type="none" w="med" len="med"/>
                            </a:ln>
                          </wps:spPr>
                          <wps:txbx>
                            <w:txbxContent>
                              <w:p w14:paraId="5E275249">
                                <w:pPr>
                                  <w:pStyle w:val="15"/>
                                  <w:spacing w:beforeAutospacing="0" w:afterAutospacing="0"/>
                                  <w:ind w:firstLine="420"/>
                                  <w:jc w:val="center"/>
                                  <w:rPr>
                                    <w:color w:val="000000"/>
                                    <w:sz w:val="21"/>
                                    <w:szCs w:val="21"/>
                                  </w:rPr>
                                </w:pPr>
                                <w:r>
                                  <w:rPr>
                                    <w:rFonts w:hint="eastAsia"/>
                                    <w:color w:val="000000"/>
                                    <w:sz w:val="21"/>
                                    <w:szCs w:val="21"/>
                                  </w:rPr>
                                  <w:t>Studies identified through database searching registers,international conferences</w:t>
                                </w:r>
                              </w:p>
                              <w:p w14:paraId="3D427595">
                                <w:pPr>
                                  <w:pStyle w:val="15"/>
                                  <w:spacing w:beforeAutospacing="0" w:afterAutospacing="0"/>
                                  <w:ind w:firstLine="420"/>
                                  <w:jc w:val="center"/>
                                </w:pPr>
                                <w:r>
                                  <w:rPr>
                                    <w:color w:val="000000"/>
                                    <w:sz w:val="21"/>
                                    <w:szCs w:val="21"/>
                                  </w:rPr>
                                  <w:t>(n =</w:t>
                                </w:r>
                                <w:r>
                                  <w:rPr>
                                    <w:rFonts w:hint="eastAsia"/>
                                    <w:color w:val="000000"/>
                                    <w:sz w:val="21"/>
                                    <w:szCs w:val="21"/>
                                  </w:rPr>
                                  <w:t>3979</w:t>
                                </w:r>
                                <w:r>
                                  <w:rPr>
                                    <w:color w:val="000000"/>
                                    <w:sz w:val="21"/>
                                    <w:szCs w:val="21"/>
                                  </w:rPr>
                                  <w:t>)</w:t>
                                </w:r>
                              </w:p>
                            </w:txbxContent>
                          </wps:txbx>
                          <wps:bodyPr wrap="square" anchor="ctr" anchorCtr="0" upright="1"/>
                        </wps:wsp>
                        <wps:wsp>
                          <wps:cNvPr id="36" name="文本框 2"/>
                          <wps:cNvSpPr txBox="1"/>
                          <wps:spPr>
                            <a:xfrm>
                              <a:off x="19151" y="8045"/>
                              <a:ext cx="31794" cy="4914"/>
                            </a:xfrm>
                            <a:prstGeom prst="rect">
                              <a:avLst/>
                            </a:prstGeom>
                            <a:noFill/>
                            <a:ln w="9525" cap="flat" cmpd="sng">
                              <a:solidFill>
                                <a:srgbClr val="000000"/>
                              </a:solidFill>
                              <a:prstDash val="solid"/>
                              <a:miter/>
                              <a:headEnd type="none" w="med" len="med"/>
                              <a:tailEnd type="none" w="med" len="med"/>
                            </a:ln>
                          </wps:spPr>
                          <wps:txbx>
                            <w:txbxContent>
                              <w:p w14:paraId="0E0DF64E">
                                <w:pPr>
                                  <w:pStyle w:val="15"/>
                                  <w:spacing w:beforeAutospacing="0" w:afterAutospacing="0"/>
                                  <w:ind w:firstLine="420"/>
                                  <w:jc w:val="center"/>
                                  <w:rPr>
                                    <w:rFonts w:eastAsiaTheme="minorEastAsia"/>
                                  </w:rPr>
                                </w:pPr>
                                <w:r>
                                  <w:rPr>
                                    <w:color w:val="000000"/>
                                    <w:sz w:val="21"/>
                                    <w:szCs w:val="21"/>
                                  </w:rPr>
                                  <w:t>Excluded for duplicates</w:t>
                                </w:r>
                                <w:r>
                                  <w:rPr>
                                    <w:rFonts w:hint="eastAsia"/>
                                    <w:color w:val="000000"/>
                                    <w:sz w:val="21"/>
                                    <w:szCs w:val="21"/>
                                  </w:rPr>
                                  <w:t xml:space="preserve"> or blank records</w:t>
                                </w:r>
                              </w:p>
                              <w:p w14:paraId="027851D2">
                                <w:pPr>
                                  <w:pStyle w:val="15"/>
                                  <w:spacing w:beforeAutospacing="0" w:afterAutospacing="0"/>
                                  <w:ind w:firstLine="420"/>
                                  <w:jc w:val="center"/>
                                </w:pPr>
                                <w:r>
                                  <w:rPr>
                                    <w:color w:val="000000"/>
                                    <w:sz w:val="21"/>
                                    <w:szCs w:val="21"/>
                                  </w:rPr>
                                  <w:t>(n =</w:t>
                                </w:r>
                                <w:r>
                                  <w:rPr>
                                    <w:rFonts w:hint="eastAsia"/>
                                    <w:color w:val="000000"/>
                                    <w:sz w:val="21"/>
                                    <w:szCs w:val="21"/>
                                  </w:rPr>
                                  <w:t>407</w:t>
                                </w:r>
                                <w:r>
                                  <w:rPr>
                                    <w:color w:val="000000"/>
                                    <w:sz w:val="21"/>
                                    <w:szCs w:val="21"/>
                                  </w:rPr>
                                  <w:t>)</w:t>
                                </w:r>
                              </w:p>
                            </w:txbxContent>
                          </wps:txbx>
                          <wps:bodyPr wrap="square" anchor="ctr" anchorCtr="0" upright="1"/>
                        </wps:wsp>
                        <wps:wsp>
                          <wps:cNvPr id="37" name="文本框 2"/>
                          <wps:cNvSpPr txBox="1"/>
                          <wps:spPr>
                            <a:xfrm>
                              <a:off x="11" y="14551"/>
                              <a:ext cx="27051" cy="5010"/>
                            </a:xfrm>
                            <a:prstGeom prst="rect">
                              <a:avLst/>
                            </a:prstGeom>
                            <a:noFill/>
                            <a:ln w="9525" cap="flat" cmpd="sng">
                              <a:solidFill>
                                <a:srgbClr val="000000"/>
                              </a:solidFill>
                              <a:prstDash val="solid"/>
                              <a:miter/>
                              <a:headEnd type="none" w="med" len="med"/>
                              <a:tailEnd type="none" w="med" len="med"/>
                            </a:ln>
                          </wps:spPr>
                          <wps:txbx>
                            <w:txbxContent>
                              <w:p w14:paraId="01450CCD">
                                <w:pPr>
                                  <w:pStyle w:val="15"/>
                                  <w:spacing w:beforeAutospacing="0" w:afterAutospacing="0"/>
                                  <w:ind w:firstLine="420"/>
                                  <w:jc w:val="center"/>
                                </w:pPr>
                                <w:r>
                                  <w:rPr>
                                    <w:color w:val="000000"/>
                                    <w:sz w:val="21"/>
                                    <w:szCs w:val="21"/>
                                  </w:rPr>
                                  <w:t>Titles and abstracts screening</w:t>
                                </w:r>
                              </w:p>
                              <w:p w14:paraId="518E1251">
                                <w:pPr>
                                  <w:pStyle w:val="15"/>
                                  <w:spacing w:beforeAutospacing="0" w:afterAutospacing="0"/>
                                  <w:ind w:firstLine="420"/>
                                  <w:jc w:val="center"/>
                                </w:pPr>
                                <w:r>
                                  <w:rPr>
                                    <w:color w:val="000000"/>
                                    <w:sz w:val="21"/>
                                    <w:szCs w:val="21"/>
                                  </w:rPr>
                                  <w:t>(n =</w:t>
                                </w:r>
                                <w:r>
                                  <w:rPr>
                                    <w:rFonts w:hint="eastAsia"/>
                                    <w:color w:val="000000"/>
                                    <w:sz w:val="21"/>
                                    <w:szCs w:val="21"/>
                                  </w:rPr>
                                  <w:t>3572</w:t>
                                </w:r>
                                <w:r>
                                  <w:rPr>
                                    <w:color w:val="000000"/>
                                    <w:sz w:val="21"/>
                                    <w:szCs w:val="21"/>
                                  </w:rPr>
                                  <w:t>)</w:t>
                                </w:r>
                              </w:p>
                            </w:txbxContent>
                          </wps:txbx>
                          <wps:bodyPr wrap="square" anchor="ctr" anchorCtr="0" upright="1"/>
                        </wps:wsp>
                        <wps:wsp>
                          <wps:cNvPr id="38" name="文本框 2"/>
                          <wps:cNvSpPr txBox="1"/>
                          <wps:spPr>
                            <a:xfrm>
                              <a:off x="19031" y="47032"/>
                              <a:ext cx="31934" cy="12319"/>
                            </a:xfrm>
                            <a:prstGeom prst="rect">
                              <a:avLst/>
                            </a:prstGeom>
                            <a:noFill/>
                            <a:ln w="9525" cap="flat" cmpd="sng">
                              <a:solidFill>
                                <a:srgbClr val="000000"/>
                              </a:solidFill>
                              <a:prstDash val="solid"/>
                              <a:miter/>
                              <a:headEnd type="none" w="med" len="med"/>
                              <a:tailEnd type="none" w="med" len="med"/>
                            </a:ln>
                          </wps:spPr>
                          <wps:txbx>
                            <w:txbxContent>
                              <w:p w14:paraId="0B0ACD3A">
                                <w:pPr>
                                  <w:pStyle w:val="15"/>
                                  <w:spacing w:beforeAutospacing="0" w:afterAutospacing="0"/>
                                  <w:ind w:firstLine="420"/>
                                  <w:jc w:val="center"/>
                                </w:pPr>
                                <w:r>
                                  <w:rPr>
                                    <w:color w:val="000000"/>
                                    <w:sz w:val="21"/>
                                    <w:szCs w:val="21"/>
                                  </w:rPr>
                                  <w:t>Reasons for excluded full-text articles</w:t>
                                </w:r>
                              </w:p>
                              <w:p w14:paraId="6E3ACF64">
                                <w:pPr>
                                  <w:pStyle w:val="15"/>
                                  <w:spacing w:beforeAutospacing="0" w:afterAutospacing="0"/>
                                  <w:ind w:firstLine="420"/>
                                  <w:jc w:val="center"/>
                                </w:pPr>
                                <w:r>
                                  <w:rPr>
                                    <w:color w:val="000000"/>
                                    <w:sz w:val="21"/>
                                    <w:szCs w:val="21"/>
                                  </w:rPr>
                                  <w:t>(n =</w:t>
                                </w:r>
                                <w:r>
                                  <w:rPr>
                                    <w:rFonts w:hint="eastAsia"/>
                                    <w:color w:val="000000"/>
                                    <w:sz w:val="21"/>
                                    <w:szCs w:val="21"/>
                                  </w:rPr>
                                  <w:t>356</w:t>
                                </w:r>
                                <w:r>
                                  <w:rPr>
                                    <w:color w:val="000000"/>
                                    <w:sz w:val="21"/>
                                    <w:szCs w:val="21"/>
                                  </w:rPr>
                                  <w:t>)</w:t>
                                </w:r>
                              </w:p>
                              <w:p w14:paraId="17BFB8AC">
                                <w:pPr>
                                  <w:pStyle w:val="15"/>
                                  <w:spacing w:beforeAutospacing="0" w:afterAutospacing="0"/>
                                  <w:ind w:firstLine="440"/>
                                  <w:rPr>
                                    <w:color w:val="000000" w:themeColor="text1"/>
                                    <w14:textFill>
                                      <w14:solidFill>
                                        <w14:schemeClr w14:val="tx1"/>
                                      </w14:solidFill>
                                    </w14:textFill>
                                  </w:rPr>
                                </w:pPr>
                                <w:r>
                                  <w:rPr>
                                    <w:color w:val="000000" w:themeColor="text1"/>
                                    <w:sz w:val="22"/>
                                    <w14:textFill>
                                      <w14:solidFill>
                                        <w14:schemeClr w14:val="tx1"/>
                                      </w14:solidFill>
                                    </w14:textFill>
                                  </w:rPr>
                                  <w:t>-</w:t>
                                </w:r>
                                <w:r>
                                  <w:rPr>
                                    <w:rFonts w:hint="eastAsia"/>
                                    <w:color w:val="000000" w:themeColor="text1"/>
                                    <w:sz w:val="22"/>
                                    <w14:textFill>
                                      <w14:solidFill>
                                        <w14:schemeClr w14:val="tx1"/>
                                      </w14:solidFill>
                                    </w14:textFill>
                                  </w:rPr>
                                  <w:t xml:space="preserve"> Non-target population (n=105)</w:t>
                                </w:r>
                              </w:p>
                              <w:p w14:paraId="65A52E52">
                                <w:pPr>
                                  <w:pStyle w:val="15"/>
                                  <w:spacing w:beforeAutospacing="0" w:afterAutospacing="0"/>
                                  <w:ind w:firstLine="440"/>
                                </w:pPr>
                                <w:r>
                                  <w:rPr>
                                    <w:color w:val="000000" w:themeColor="text1"/>
                                    <w:sz w:val="22"/>
                                    <w14:textFill>
                                      <w14:solidFill>
                                        <w14:schemeClr w14:val="tx1"/>
                                      </w14:solidFill>
                                    </w14:textFill>
                                  </w:rPr>
                                  <w:t>-</w:t>
                                </w:r>
                                <w:r>
                                  <w:rPr>
                                    <w:color w:val="000000" w:themeColor="text1"/>
                                    <w14:textFill>
                                      <w14:solidFill>
                                        <w14:schemeClr w14:val="tx1"/>
                                      </w14:solidFill>
                                    </w14:textFill>
                                  </w:rPr>
                                  <w:t xml:space="preserve"> </w:t>
                                </w:r>
                                <w:r>
                                  <w:rPr>
                                    <w:rFonts w:hint="eastAsia"/>
                                    <w:color w:val="000000" w:themeColor="text1"/>
                                    <w:sz w:val="22"/>
                                    <w14:textFill>
                                      <w14:solidFill>
                                        <w14:schemeClr w14:val="tx1"/>
                                      </w14:solidFill>
                                    </w14:textFill>
                                  </w:rPr>
                                  <w:t xml:space="preserve">No target results </w:t>
                                </w:r>
                                <w:r>
                                  <w:rPr>
                                    <w:color w:val="000000" w:themeColor="text1"/>
                                    <w:sz w:val="22"/>
                                    <w14:textFill>
                                      <w14:solidFill>
                                        <w14:schemeClr w14:val="tx1"/>
                                      </w14:solidFill>
                                    </w14:textFill>
                                  </w:rPr>
                                  <w:t>(n =</w:t>
                                </w:r>
                                <w:r>
                                  <w:rPr>
                                    <w:rFonts w:hint="eastAsia"/>
                                    <w:color w:val="000000" w:themeColor="text1"/>
                                    <w:sz w:val="22"/>
                                    <w14:textFill>
                                      <w14:solidFill>
                                        <w14:schemeClr w14:val="tx1"/>
                                      </w14:solidFill>
                                    </w14:textFill>
                                  </w:rPr>
                                  <w:t>251</w:t>
                                </w:r>
                                <w:r>
                                  <w:rPr>
                                    <w:color w:val="000000" w:themeColor="text1"/>
                                    <w:sz w:val="22"/>
                                    <w14:textFill>
                                      <w14:solidFill>
                                        <w14:schemeClr w14:val="tx1"/>
                                      </w14:solidFill>
                                    </w14:textFill>
                                  </w:rPr>
                                  <w:t>)</w:t>
                                </w:r>
                              </w:p>
                            </w:txbxContent>
                          </wps:txbx>
                          <wps:bodyPr wrap="square" anchor="ctr" anchorCtr="0" upright="1"/>
                        </wps:wsp>
                        <wps:wsp>
                          <wps:cNvPr id="39" name="文本框 2"/>
                          <wps:cNvSpPr txBox="1"/>
                          <wps:spPr>
                            <a:xfrm>
                              <a:off x="0" y="37982"/>
                              <a:ext cx="27146" cy="5010"/>
                            </a:xfrm>
                            <a:prstGeom prst="rect">
                              <a:avLst/>
                            </a:prstGeom>
                            <a:noFill/>
                            <a:ln w="9525" cap="flat" cmpd="sng">
                              <a:solidFill>
                                <a:srgbClr val="000000"/>
                              </a:solidFill>
                              <a:prstDash val="solid"/>
                              <a:miter/>
                              <a:headEnd type="none" w="med" len="med"/>
                              <a:tailEnd type="none" w="med" len="med"/>
                            </a:ln>
                          </wps:spPr>
                          <wps:txbx>
                            <w:txbxContent>
                              <w:p w14:paraId="6007A84C">
                                <w:pPr>
                                  <w:pStyle w:val="15"/>
                                  <w:spacing w:beforeAutospacing="0" w:afterAutospacing="0"/>
                                  <w:ind w:firstLine="420"/>
                                  <w:jc w:val="center"/>
                                </w:pPr>
                                <w:r>
                                  <w:rPr>
                                    <w:color w:val="000000"/>
                                    <w:sz w:val="21"/>
                                    <w:szCs w:val="21"/>
                                  </w:rPr>
                                  <w:t>Full-text articles screening</w:t>
                                </w:r>
                              </w:p>
                              <w:p w14:paraId="62BF5DD1">
                                <w:pPr>
                                  <w:pStyle w:val="15"/>
                                  <w:spacing w:beforeAutospacing="0" w:afterAutospacing="0"/>
                                  <w:ind w:firstLine="420"/>
                                  <w:jc w:val="center"/>
                                </w:pPr>
                                <w:r>
                                  <w:rPr>
                                    <w:color w:val="000000"/>
                                    <w:sz w:val="21"/>
                                    <w:szCs w:val="21"/>
                                  </w:rPr>
                                  <w:t>(n =</w:t>
                                </w:r>
                                <w:r>
                                  <w:rPr>
                                    <w:rFonts w:hint="eastAsia"/>
                                    <w:color w:val="000000"/>
                                    <w:sz w:val="21"/>
                                    <w:szCs w:val="21"/>
                                  </w:rPr>
                                  <w:t>365</w:t>
                                </w:r>
                                <w:r>
                                  <w:rPr>
                                    <w:color w:val="000000"/>
                                    <w:sz w:val="21"/>
                                    <w:szCs w:val="21"/>
                                  </w:rPr>
                                  <w:t>)</w:t>
                                </w:r>
                              </w:p>
                            </w:txbxContent>
                          </wps:txbx>
                          <wps:bodyPr wrap="square" anchor="ctr" anchorCtr="0" upright="1"/>
                        </wps:wsp>
                        <wps:wsp>
                          <wps:cNvPr id="40" name="文本框 2"/>
                          <wps:cNvSpPr txBox="1"/>
                          <wps:spPr>
                            <a:xfrm>
                              <a:off x="19189" y="20712"/>
                              <a:ext cx="31801" cy="16173"/>
                            </a:xfrm>
                            <a:prstGeom prst="rect">
                              <a:avLst/>
                            </a:prstGeom>
                            <a:noFill/>
                            <a:ln w="9525" cap="flat" cmpd="sng">
                              <a:solidFill>
                                <a:srgbClr val="000000"/>
                              </a:solidFill>
                              <a:prstDash val="solid"/>
                              <a:miter/>
                              <a:headEnd type="none" w="med" len="med"/>
                              <a:tailEnd type="none" w="med" len="med"/>
                            </a:ln>
                          </wps:spPr>
                          <wps:txbx>
                            <w:txbxContent>
                              <w:p w14:paraId="2ABAB4E0">
                                <w:pPr>
                                  <w:pStyle w:val="15"/>
                                  <w:spacing w:beforeAutospacing="0" w:afterAutospacing="0"/>
                                  <w:ind w:firstLine="420"/>
                                  <w:jc w:val="center"/>
                                  <w:rPr>
                                    <w:rFonts w:eastAsiaTheme="minorEastAsia"/>
                                    <w:color w:val="000000"/>
                                    <w:sz w:val="21"/>
                                    <w:szCs w:val="21"/>
                                  </w:rPr>
                                </w:pPr>
                                <w:r>
                                  <w:rPr>
                                    <w:color w:val="000000"/>
                                    <w:sz w:val="21"/>
                                    <w:szCs w:val="21"/>
                                  </w:rPr>
                                  <w:t>Reasons for excluded titles and abstracts</w:t>
                                </w:r>
                                <w:r>
                                  <w:rPr>
                                    <w:rFonts w:hint="eastAsia"/>
                                    <w:color w:val="000000"/>
                                    <w:sz w:val="21"/>
                                    <w:szCs w:val="21"/>
                                  </w:rPr>
                                  <w:t xml:space="preserve"> (n=3207)</w:t>
                                </w:r>
                              </w:p>
                              <w:p w14:paraId="32D37CE0">
                                <w:pPr>
                                  <w:pStyle w:val="15"/>
                                  <w:spacing w:beforeAutospacing="0" w:afterAutospacing="0"/>
                                  <w:ind w:firstLine="440"/>
                                  <w:rPr>
                                    <w:color w:val="000000" w:themeColor="text1"/>
                                    <w:sz w:val="22"/>
                                    <w14:textFill>
                                      <w14:solidFill>
                                        <w14:schemeClr w14:val="tx1"/>
                                      </w14:solidFill>
                                    </w14:textFill>
                                  </w:rPr>
                                </w:pPr>
                                <w:r>
                                  <w:rPr>
                                    <w:rFonts w:hint="eastAsia"/>
                                    <w:color w:val="000000" w:themeColor="text1"/>
                                    <w:sz w:val="22"/>
                                    <w14:textFill>
                                      <w14:solidFill>
                                        <w14:schemeClr w14:val="tx1"/>
                                      </w14:solidFill>
                                    </w14:textFill>
                                  </w:rPr>
                                  <w:t xml:space="preserve">- Single arm trial </w:t>
                                </w:r>
                                <w:r>
                                  <w:rPr>
                                    <w:color w:val="000000" w:themeColor="text1"/>
                                    <w:sz w:val="22"/>
                                    <w14:textFill>
                                      <w14:solidFill>
                                        <w14:schemeClr w14:val="tx1"/>
                                      </w14:solidFill>
                                    </w14:textFill>
                                  </w:rPr>
                                  <w:t>(n =</w:t>
                                </w:r>
                                <w:r>
                                  <w:rPr>
                                    <w:rFonts w:hint="eastAsia"/>
                                    <w:color w:val="000000" w:themeColor="text1"/>
                                    <w:sz w:val="22"/>
                                    <w14:textFill>
                                      <w14:solidFill>
                                        <w14:schemeClr w14:val="tx1"/>
                                      </w14:solidFill>
                                    </w14:textFill>
                                  </w:rPr>
                                  <w:t>794</w:t>
                                </w:r>
                                <w:r>
                                  <w:rPr>
                                    <w:color w:val="000000" w:themeColor="text1"/>
                                    <w:sz w:val="22"/>
                                    <w14:textFill>
                                      <w14:solidFill>
                                        <w14:schemeClr w14:val="tx1"/>
                                      </w14:solidFill>
                                    </w14:textFill>
                                  </w:rPr>
                                  <w:t>)</w:t>
                                </w:r>
                              </w:p>
                              <w:p w14:paraId="60C127F0">
                                <w:pPr>
                                  <w:pStyle w:val="15"/>
                                  <w:spacing w:beforeAutospacing="0" w:afterAutospacing="0"/>
                                  <w:ind w:firstLine="440"/>
                                  <w:rPr>
                                    <w:color w:val="000000"/>
                                    <w:sz w:val="21"/>
                                    <w:szCs w:val="21"/>
                                  </w:rPr>
                                </w:pPr>
                                <w:r>
                                  <w:rPr>
                                    <w:rFonts w:hint="eastAsia"/>
                                    <w:color w:val="000000" w:themeColor="text1"/>
                                    <w:sz w:val="22"/>
                                    <w14:textFill>
                                      <w14:solidFill>
                                        <w14:schemeClr w14:val="tx1"/>
                                      </w14:solidFill>
                                    </w14:textFill>
                                  </w:rPr>
                                  <w:t>- No corresponding topics (n=1385)</w:t>
                                </w:r>
                              </w:p>
                              <w:p w14:paraId="65076B69">
                                <w:pPr>
                                  <w:pStyle w:val="15"/>
                                  <w:spacing w:beforeAutospacing="0" w:afterAutospacing="0"/>
                                  <w:ind w:firstLine="440"/>
                                  <w:rPr>
                                    <w:color w:val="000000" w:themeColor="text1"/>
                                    <w14:textFill>
                                      <w14:solidFill>
                                        <w14:schemeClr w14:val="tx1"/>
                                      </w14:solidFill>
                                    </w14:textFill>
                                  </w:rPr>
                                </w:pPr>
                                <w:r>
                                  <w:rPr>
                                    <w:color w:val="000000" w:themeColor="text1"/>
                                    <w:sz w:val="22"/>
                                    <w14:textFill>
                                      <w14:solidFill>
                                        <w14:schemeClr w14:val="tx1"/>
                                      </w14:solidFill>
                                    </w14:textFill>
                                  </w:rPr>
                                  <w:t xml:space="preserve">- </w:t>
                                </w:r>
                                <w:r>
                                  <w:rPr>
                                    <w:rFonts w:hint="eastAsia"/>
                                    <w:color w:val="000000" w:themeColor="text1"/>
                                    <w:sz w:val="22"/>
                                    <w14:textFill>
                                      <w14:solidFill>
                                        <w14:schemeClr w14:val="tx1"/>
                                      </w14:solidFill>
                                    </w14:textFill>
                                  </w:rPr>
                                  <w:t>Observational study or case reports</w:t>
                                </w:r>
                                <w:r>
                                  <w:rPr>
                                    <w:color w:val="000000" w:themeColor="text1"/>
                                    <w:sz w:val="22"/>
                                    <w14:textFill>
                                      <w14:solidFill>
                                        <w14:schemeClr w14:val="tx1"/>
                                      </w14:solidFill>
                                    </w14:textFill>
                                  </w:rPr>
                                  <w:t xml:space="preserve"> </w:t>
                                </w:r>
                                <w:r>
                                  <w:rPr>
                                    <w:rFonts w:hint="eastAsia"/>
                                    <w:color w:val="000000" w:themeColor="text1"/>
                                    <w:sz w:val="22"/>
                                    <w14:textFill>
                                      <w14:solidFill>
                                        <w14:schemeClr w14:val="tx1"/>
                                      </w14:solidFill>
                                    </w14:textFill>
                                  </w:rPr>
                                  <w:t>(</w:t>
                                </w:r>
                                <w:r>
                                  <w:rPr>
                                    <w:color w:val="000000" w:themeColor="text1"/>
                                    <w:sz w:val="22"/>
                                    <w14:textFill>
                                      <w14:solidFill>
                                        <w14:schemeClr w14:val="tx1"/>
                                      </w14:solidFill>
                                    </w14:textFill>
                                  </w:rPr>
                                  <w:t>n</w:t>
                                </w:r>
                                <w:r>
                                  <w:rPr>
                                    <w:rFonts w:hint="eastAsia"/>
                                    <w:color w:val="000000" w:themeColor="text1"/>
                                    <w:sz w:val="22"/>
                                    <w14:textFill>
                                      <w14:solidFill>
                                        <w14:schemeClr w14:val="tx1"/>
                                      </w14:solidFill>
                                    </w14:textFill>
                                  </w:rPr>
                                  <w:t xml:space="preserve"> </w:t>
                                </w:r>
                                <w:r>
                                  <w:rPr>
                                    <w:color w:val="000000" w:themeColor="text1"/>
                                    <w:sz w:val="22"/>
                                    <w14:textFill>
                                      <w14:solidFill>
                                        <w14:schemeClr w14:val="tx1"/>
                                      </w14:solidFill>
                                    </w14:textFill>
                                  </w:rPr>
                                  <w:t>=</w:t>
                                </w:r>
                                <w:r>
                                  <w:rPr>
                                    <w:rFonts w:hint="eastAsia"/>
                                    <w:color w:val="000000" w:themeColor="text1"/>
                                    <w:sz w:val="22"/>
                                    <w14:textFill>
                                      <w14:solidFill>
                                        <w14:schemeClr w14:val="tx1"/>
                                      </w14:solidFill>
                                    </w14:textFill>
                                  </w:rPr>
                                  <w:t>746</w:t>
                                </w:r>
                                <w:r>
                                  <w:rPr>
                                    <w:color w:val="000000" w:themeColor="text1"/>
                                    <w:sz w:val="22"/>
                                    <w14:textFill>
                                      <w14:solidFill>
                                        <w14:schemeClr w14:val="tx1"/>
                                      </w14:solidFill>
                                    </w14:textFill>
                                  </w:rPr>
                                  <w:t>)</w:t>
                                </w:r>
                              </w:p>
                              <w:p w14:paraId="78DB3D59">
                                <w:pPr>
                                  <w:pStyle w:val="15"/>
                                  <w:spacing w:beforeAutospacing="0" w:afterAutospacing="0"/>
                                  <w:ind w:firstLine="440"/>
                                  <w:rPr>
                                    <w:rFonts w:eastAsiaTheme="minorEastAsia"/>
                                    <w:color w:val="000000" w:themeColor="text1"/>
                                    <w:sz w:val="22"/>
                                    <w14:textFill>
                                      <w14:solidFill>
                                        <w14:schemeClr w14:val="tx1"/>
                                      </w14:solidFill>
                                    </w14:textFill>
                                  </w:rPr>
                                </w:pPr>
                                <w:r>
                                  <w:rPr>
                                    <w:color w:val="000000" w:themeColor="text1"/>
                                    <w:sz w:val="22"/>
                                    <w14:textFill>
                                      <w14:solidFill>
                                        <w14:schemeClr w14:val="tx1"/>
                                      </w14:solidFill>
                                    </w14:textFill>
                                  </w:rPr>
                                  <w:t>-</w:t>
                                </w:r>
                                <w:r>
                                  <w:rPr>
                                    <w:rFonts w:hint="eastAsia"/>
                                    <w:color w:val="000000" w:themeColor="text1"/>
                                    <w:sz w:val="22"/>
                                    <w14:textFill>
                                      <w14:solidFill>
                                        <w14:schemeClr w14:val="tx1"/>
                                      </w14:solidFill>
                                    </w14:textFill>
                                  </w:rPr>
                                  <w:t xml:space="preserve"> Secondary analysis or study protocol (</w:t>
                                </w:r>
                                <w:r>
                                  <w:rPr>
                                    <w:color w:val="000000" w:themeColor="text1"/>
                                    <w:sz w:val="22"/>
                                    <w14:textFill>
                                      <w14:solidFill>
                                        <w14:schemeClr w14:val="tx1"/>
                                      </w14:solidFill>
                                    </w14:textFill>
                                  </w:rPr>
                                  <w:t>n</w:t>
                                </w:r>
                                <w:r>
                                  <w:rPr>
                                    <w:rFonts w:hint="eastAsia"/>
                                    <w:color w:val="000000" w:themeColor="text1"/>
                                    <w:sz w:val="22"/>
                                    <w14:textFill>
                                      <w14:solidFill>
                                        <w14:schemeClr w14:val="tx1"/>
                                      </w14:solidFill>
                                    </w14:textFill>
                                  </w:rPr>
                                  <w:t xml:space="preserve"> </w:t>
                                </w:r>
                                <w:r>
                                  <w:rPr>
                                    <w:color w:val="000000" w:themeColor="text1"/>
                                    <w:sz w:val="22"/>
                                    <w14:textFill>
                                      <w14:solidFill>
                                        <w14:schemeClr w14:val="tx1"/>
                                      </w14:solidFill>
                                    </w14:textFill>
                                  </w:rPr>
                                  <w:t>=</w:t>
                                </w:r>
                                <w:r>
                                  <w:rPr>
                                    <w:rFonts w:hint="eastAsia"/>
                                    <w:color w:val="000000" w:themeColor="text1"/>
                                    <w:sz w:val="22"/>
                                    <w14:textFill>
                                      <w14:solidFill>
                                        <w14:schemeClr w14:val="tx1"/>
                                      </w14:solidFill>
                                    </w14:textFill>
                                  </w:rPr>
                                  <w:t xml:space="preserve">282 </w:t>
                                </w:r>
                                <w:r>
                                  <w:rPr>
                                    <w:color w:val="000000" w:themeColor="text1"/>
                                    <w:sz w:val="22"/>
                                    <w14:textFill>
                                      <w14:solidFill>
                                        <w14:schemeClr w14:val="tx1"/>
                                      </w14:solidFill>
                                    </w14:textFill>
                                  </w:rPr>
                                  <w:t>)</w:t>
                                </w:r>
                              </w:p>
                            </w:txbxContent>
                          </wps:txbx>
                          <wps:bodyPr wrap="square" anchor="ctr" anchorCtr="0" upright="1"/>
                        </wps:wsp>
                        <wps:wsp>
                          <wps:cNvPr id="41" name="AutoShape 10"/>
                          <wps:cNvCnPr/>
                          <wps:spPr>
                            <a:xfrm>
                              <a:off x="13646" y="28890"/>
                              <a:ext cx="5626" cy="6"/>
                            </a:xfrm>
                            <a:prstGeom prst="straightConnector1">
                              <a:avLst/>
                            </a:prstGeom>
                            <a:ln w="6350" cap="flat" cmpd="sng">
                              <a:solidFill>
                                <a:srgbClr val="000000"/>
                              </a:solidFill>
                              <a:prstDash val="solid"/>
                              <a:miter/>
                              <a:headEnd type="none" w="med" len="med"/>
                              <a:tailEnd type="arrow" w="med" len="med"/>
                            </a:ln>
                          </wps:spPr>
                          <wps:bodyPr/>
                        </wps:wsp>
                        <wps:wsp>
                          <wps:cNvPr id="42" name="直接箭头连接符 21"/>
                          <wps:cNvCnPr/>
                          <wps:spPr>
                            <a:xfrm>
                              <a:off x="13462" y="7349"/>
                              <a:ext cx="52" cy="7197"/>
                            </a:xfrm>
                            <a:prstGeom prst="straightConnector1">
                              <a:avLst/>
                            </a:prstGeom>
                            <a:ln w="6350" cap="flat" cmpd="sng">
                              <a:solidFill>
                                <a:srgbClr val="000000"/>
                              </a:solidFill>
                              <a:prstDash val="solid"/>
                              <a:miter/>
                              <a:headEnd type="none" w="med" len="med"/>
                              <a:tailEnd type="arrow" w="med" len="med"/>
                            </a:ln>
                          </wps:spPr>
                          <wps:bodyPr/>
                        </wps:wsp>
                        <wps:wsp>
                          <wps:cNvPr id="43" name="直接箭头连接符 29"/>
                          <wps:cNvCnPr/>
                          <wps:spPr>
                            <a:xfrm>
                              <a:off x="13515" y="19525"/>
                              <a:ext cx="25" cy="18472"/>
                            </a:xfrm>
                            <a:prstGeom prst="straightConnector1">
                              <a:avLst/>
                            </a:prstGeom>
                            <a:ln w="6350" cap="flat" cmpd="sng">
                              <a:solidFill>
                                <a:srgbClr val="000000"/>
                              </a:solidFill>
                              <a:prstDash val="solid"/>
                              <a:miter/>
                              <a:headEnd type="none" w="med" len="med"/>
                              <a:tailEnd type="arrow" w="med" len="med"/>
                            </a:ln>
                          </wps:spPr>
                          <wps:bodyPr/>
                        </wps:wsp>
                        <wps:wsp>
                          <wps:cNvPr id="44" name="文本框 2"/>
                          <wps:cNvSpPr txBox="1"/>
                          <wps:spPr>
                            <a:xfrm>
                              <a:off x="-240" y="62647"/>
                              <a:ext cx="29454" cy="5872"/>
                            </a:xfrm>
                            <a:prstGeom prst="rect">
                              <a:avLst/>
                            </a:prstGeom>
                            <a:noFill/>
                            <a:ln w="9525" cap="flat" cmpd="sng">
                              <a:solidFill>
                                <a:srgbClr val="000000"/>
                              </a:solidFill>
                              <a:prstDash val="solid"/>
                              <a:miter/>
                              <a:headEnd type="none" w="med" len="med"/>
                              <a:tailEnd type="none" w="med" len="med"/>
                            </a:ln>
                          </wps:spPr>
                          <wps:txbx>
                            <w:txbxContent>
                              <w:p w14:paraId="5C37DF25">
                                <w:pPr>
                                  <w:pStyle w:val="15"/>
                                  <w:spacing w:beforeAutospacing="0" w:afterAutospacing="0"/>
                                  <w:ind w:firstLine="420"/>
                                  <w:jc w:val="center"/>
                                  <w:rPr>
                                    <w:color w:val="000000"/>
                                    <w:sz w:val="21"/>
                                    <w:szCs w:val="21"/>
                                  </w:rPr>
                                </w:pPr>
                                <w:r>
                                  <w:rPr>
                                    <w:color w:val="000000"/>
                                    <w:sz w:val="21"/>
                                    <w:szCs w:val="21"/>
                                  </w:rPr>
                                  <w:t xml:space="preserve">Total </w:t>
                                </w:r>
                                <w:r>
                                  <w:rPr>
                                    <w:rFonts w:hint="eastAsia"/>
                                    <w:color w:val="000000"/>
                                    <w:sz w:val="21"/>
                                    <w:szCs w:val="21"/>
                                  </w:rPr>
                                  <w:t>articles u</w:t>
                                </w:r>
                                <w:r>
                                  <w:rPr>
                                    <w:color w:val="000000"/>
                                    <w:sz w:val="21"/>
                                    <w:szCs w:val="21"/>
                                  </w:rPr>
                                  <w:t>sed for data extraction</w:t>
                                </w:r>
                              </w:p>
                              <w:p w14:paraId="52E0379D">
                                <w:pPr>
                                  <w:pStyle w:val="15"/>
                                  <w:spacing w:beforeAutospacing="0" w:afterAutospacing="0"/>
                                  <w:ind w:firstLine="420"/>
                                  <w:jc w:val="center"/>
                                  <w:rPr>
                                    <w:color w:val="000000"/>
                                    <w:sz w:val="21"/>
                                    <w:szCs w:val="21"/>
                                  </w:rPr>
                                </w:pPr>
                                <w:r>
                                  <w:rPr>
                                    <w:color w:val="000000"/>
                                    <w:sz w:val="21"/>
                                    <w:szCs w:val="21"/>
                                  </w:rPr>
                                  <w:t xml:space="preserve"> (n =</w:t>
                                </w:r>
                                <w:r>
                                  <w:rPr>
                                    <w:rFonts w:hint="eastAsia"/>
                                    <w:color w:val="000000"/>
                                    <w:sz w:val="21"/>
                                    <w:szCs w:val="21"/>
                                  </w:rPr>
                                  <w:t>9</w:t>
                                </w:r>
                                <w:r>
                                  <w:rPr>
                                    <w:color w:val="000000"/>
                                    <w:sz w:val="21"/>
                                    <w:szCs w:val="21"/>
                                  </w:rPr>
                                  <w:t>)</w:t>
                                </w:r>
                              </w:p>
                            </w:txbxContent>
                          </wps:txbx>
                          <wps:bodyPr wrap="square" anchor="ctr" anchorCtr="0" upright="1"/>
                        </wps:wsp>
                        <wps:wsp>
                          <wps:cNvPr id="45" name="直接箭头连接符 36"/>
                          <wps:cNvCnPr/>
                          <wps:spPr>
                            <a:xfrm flipH="1">
                              <a:off x="13416" y="43044"/>
                              <a:ext cx="124" cy="19661"/>
                            </a:xfrm>
                            <a:prstGeom prst="straightConnector1">
                              <a:avLst/>
                            </a:prstGeom>
                            <a:ln w="6350" cap="flat" cmpd="sng">
                              <a:solidFill>
                                <a:srgbClr val="000000"/>
                              </a:solidFill>
                              <a:prstDash val="solid"/>
                              <a:miter/>
                              <a:headEnd type="none" w="med" len="med"/>
                              <a:tailEnd type="arrow" w="med" len="med"/>
                            </a:ln>
                          </wps:spPr>
                          <wps:bodyPr/>
                        </wps:wsp>
                        <wps:wsp>
                          <wps:cNvPr id="46" name="直接箭头连接符 38"/>
                          <wps:cNvCnPr/>
                          <wps:spPr>
                            <a:xfrm>
                              <a:off x="13489" y="53118"/>
                              <a:ext cx="5550" cy="64"/>
                            </a:xfrm>
                            <a:prstGeom prst="straightConnector1">
                              <a:avLst/>
                            </a:prstGeom>
                            <a:ln w="6350" cap="flat" cmpd="sng">
                              <a:solidFill>
                                <a:srgbClr val="000000"/>
                              </a:solidFill>
                              <a:prstDash val="solid"/>
                              <a:miter/>
                              <a:headEnd type="none" w="med" len="med"/>
                              <a:tailEnd type="arrow" w="med" len="med"/>
                            </a:ln>
                          </wps:spPr>
                          <wps:bodyPr/>
                        </wps:wsp>
                      </wpg:grpSp>
                      <wpg:grpSp>
                        <wpg:cNvPr id="47" name="组合 19"/>
                        <wpg:cNvGrpSpPr/>
                        <wpg:grpSpPr>
                          <a:xfrm>
                            <a:off x="0" y="0"/>
                            <a:ext cx="4132" cy="68450"/>
                            <a:chOff x="0" y="0"/>
                            <a:chExt cx="4132" cy="68450"/>
                          </a:xfrm>
                        </wpg:grpSpPr>
                        <wps:wsp>
                          <wps:cNvPr id="48" name="矩形 15"/>
                          <wps:cNvSpPr/>
                          <wps:spPr>
                            <a:xfrm>
                              <a:off x="0" y="0"/>
                              <a:ext cx="4132" cy="12716"/>
                            </a:xfrm>
                            <a:prstGeom prst="rect">
                              <a:avLst/>
                            </a:prstGeom>
                            <a:solidFill>
                              <a:srgbClr val="DEEBF7"/>
                            </a:solidFill>
                            <a:ln w="12700" cap="flat" cmpd="sng">
                              <a:solidFill>
                                <a:srgbClr val="000000"/>
                              </a:solidFill>
                              <a:prstDash val="solid"/>
                              <a:miter/>
                              <a:headEnd type="none" w="med" len="med"/>
                              <a:tailEnd type="none" w="med" len="med"/>
                            </a:ln>
                          </wps:spPr>
                          <wps:txbx>
                            <w:txbxContent>
                              <w:p w14:paraId="3FC4D925">
                                <w:pPr>
                                  <w:ind w:firstLine="482"/>
                                  <w:jc w:val="center"/>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Identification</w:t>
                                </w:r>
                              </w:p>
                            </w:txbxContent>
                          </wps:txbx>
                          <wps:bodyPr vert="vert270" wrap="square" anchor="ctr" anchorCtr="0" upright="1"/>
                        </wps:wsp>
                        <wps:wsp>
                          <wps:cNvPr id="49" name="矩形 16"/>
                          <wps:cNvSpPr/>
                          <wps:spPr>
                            <a:xfrm>
                              <a:off x="0" y="14243"/>
                              <a:ext cx="4132" cy="21893"/>
                            </a:xfrm>
                            <a:prstGeom prst="rect">
                              <a:avLst/>
                            </a:prstGeom>
                            <a:solidFill>
                              <a:srgbClr val="DEEBF7"/>
                            </a:solidFill>
                            <a:ln w="12700" cap="flat" cmpd="sng">
                              <a:solidFill>
                                <a:srgbClr val="000000"/>
                              </a:solidFill>
                              <a:prstDash val="solid"/>
                              <a:miter/>
                              <a:headEnd type="none" w="med" len="med"/>
                              <a:tailEnd type="none" w="med" len="med"/>
                            </a:ln>
                          </wps:spPr>
                          <wps:txbx>
                            <w:txbxContent>
                              <w:p w14:paraId="1B7CD66A">
                                <w:pPr>
                                  <w:ind w:firstLine="482"/>
                                  <w:jc w:val="center"/>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Screening</w:t>
                                </w:r>
                              </w:p>
                            </w:txbxContent>
                          </wps:txbx>
                          <wps:bodyPr vert="vert270" wrap="square" anchor="ctr" anchorCtr="0" upright="1"/>
                        </wps:wsp>
                        <wps:wsp>
                          <wps:cNvPr id="50" name="矩形 17"/>
                          <wps:cNvSpPr/>
                          <wps:spPr>
                            <a:xfrm>
                              <a:off x="0" y="37717"/>
                              <a:ext cx="4132" cy="13893"/>
                            </a:xfrm>
                            <a:prstGeom prst="rect">
                              <a:avLst/>
                            </a:prstGeom>
                            <a:solidFill>
                              <a:srgbClr val="DEEBF7"/>
                            </a:solidFill>
                            <a:ln w="12700" cap="flat" cmpd="sng">
                              <a:solidFill>
                                <a:srgbClr val="000000"/>
                              </a:solidFill>
                              <a:prstDash val="solid"/>
                              <a:miter/>
                              <a:headEnd type="none" w="med" len="med"/>
                              <a:tailEnd type="none" w="med" len="med"/>
                            </a:ln>
                          </wps:spPr>
                          <wps:txbx>
                            <w:txbxContent>
                              <w:p w14:paraId="058E5B6F">
                                <w:pPr>
                                  <w:ind w:firstLine="482"/>
                                  <w:jc w:val="center"/>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E</w:t>
                                </w:r>
                                <w:r>
                                  <w:rPr>
                                    <w:rFonts w:hint="eastAsia" w:cs="Times New Roman"/>
                                    <w:b/>
                                    <w:bCs/>
                                    <w:color w:val="000000" w:themeColor="text1"/>
                                    <w14:textFill>
                                      <w14:solidFill>
                                        <w14:schemeClr w14:val="tx1"/>
                                      </w14:solidFill>
                                    </w14:textFill>
                                  </w:rPr>
                                  <w:t>ligibility</w:t>
                                </w:r>
                              </w:p>
                              <w:p w14:paraId="37154715">
                                <w:pPr>
                                  <w:jc w:val="center"/>
                                  <w:rPr>
                                    <w:rFonts w:cs="Times New Roman"/>
                                    <w:color w:val="000000" w:themeColor="text1"/>
                                    <w14:textFill>
                                      <w14:solidFill>
                                        <w14:schemeClr w14:val="tx1"/>
                                      </w14:solidFill>
                                    </w14:textFill>
                                  </w:rPr>
                                </w:pPr>
                              </w:p>
                            </w:txbxContent>
                          </wps:txbx>
                          <wps:bodyPr vert="vert270" wrap="square" anchor="ctr" anchorCtr="0" upright="1"/>
                        </wps:wsp>
                        <wps:wsp>
                          <wps:cNvPr id="51" name="矩形 18"/>
                          <wps:cNvSpPr/>
                          <wps:spPr>
                            <a:xfrm>
                              <a:off x="0" y="53221"/>
                              <a:ext cx="4132" cy="15229"/>
                            </a:xfrm>
                            <a:prstGeom prst="rect">
                              <a:avLst/>
                            </a:prstGeom>
                            <a:solidFill>
                              <a:srgbClr val="DEEBF7"/>
                            </a:solidFill>
                            <a:ln w="12700" cap="flat" cmpd="sng">
                              <a:solidFill>
                                <a:srgbClr val="000000"/>
                              </a:solidFill>
                              <a:prstDash val="solid"/>
                              <a:miter/>
                              <a:headEnd type="none" w="med" len="med"/>
                              <a:tailEnd type="none" w="med" len="med"/>
                            </a:ln>
                          </wps:spPr>
                          <wps:txbx>
                            <w:txbxContent>
                              <w:p w14:paraId="18B97D16">
                                <w:pPr>
                                  <w:ind w:firstLine="482"/>
                                  <w:jc w:val="center"/>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Inclusion</w:t>
                                </w:r>
                              </w:p>
                            </w:txbxContent>
                          </wps:txbx>
                          <wps:bodyPr vert="vert270" wrap="square" anchor="ctr" anchorCtr="0" upright="1"/>
                        </wps:wsp>
                      </wpg:grpSp>
                    </wpg:wgp>
                  </a:graphicData>
                </a:graphic>
              </wp:anchor>
            </w:drawing>
          </mc:Choice>
          <mc:Fallback>
            <w:pict>
              <v:group id="组合 1" o:spid="_x0000_s1026" o:spt="203" style="position:absolute;left:0pt;margin-left:-31.45pt;margin-top:4.5pt;height:665.45pt;width:487.5pt;mso-wrap-distance-bottom:0pt;mso-wrap-distance-top:0pt;z-index:251659264;mso-width-relative:page;mso-height-relative:page;" coordorigin="0,-185" coordsize="56265,68704" o:gfxdata="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">
                <o:lock v:ext="edit" aspectratio="f"/>
                <v:group id="组合 13" o:spid="_x0000_s1026" o:spt="203" style="position:absolute;left:5034;top:-185;height:68704;width:51231;" coordorigin="-240,-185" coordsize="51231,68704" o:gfxdata="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lpUwK+AAAA2wAAAA8AAAAAAAAAAQAgAAAAIgAAAGRycy9kb3ducmV2Lnht&#10;bFBLAQIUABQAAAAIAIdO4kAzLwWeOwAAADkAAAAVAAAAAAAAAAEAIAAAAA0BAABkcnMvZ3JvdXBz&#10;aGFwZXhtbC54bWxQSwUGAAAAAAYABgBgAQAAygMAAAAA&#10;">
                  <o:lock v:ext="edit" aspectratio="f"/>
                  <v:shape id="直接箭头连接符 15" o:spid="_x0000_s1026" o:spt="32" type="#_x0000_t32" style="position:absolute;left:13494;top:10514;height:6;width:5620;" filled="f" stroked="t" coordsize="21600,21600" o:gfxdata="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QCt5G8AAAA&#10;2w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shape>
                  <v:shape id="文本框 2" o:spid="_x0000_s1026" o:spt="202" type="#_x0000_t202" style="position:absolute;left:70;top:-185;height:7536;width:28924;v-text-anchor:middle;" filled="f" stroked="t" coordsize="21600,21600" o:gfxdata="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DfZEa5AAAA2w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w:txbxContent>
                        <w:p w14:paraId="5E275249">
                          <w:pPr>
                            <w:pStyle w:val="15"/>
                            <w:spacing w:beforeAutospacing="0" w:afterAutospacing="0"/>
                            <w:ind w:firstLine="420"/>
                            <w:jc w:val="center"/>
                            <w:rPr>
                              <w:color w:val="000000"/>
                              <w:sz w:val="21"/>
                              <w:szCs w:val="21"/>
                            </w:rPr>
                          </w:pPr>
                          <w:r>
                            <w:rPr>
                              <w:rFonts w:hint="eastAsia"/>
                              <w:color w:val="000000"/>
                              <w:sz w:val="21"/>
                              <w:szCs w:val="21"/>
                            </w:rPr>
                            <w:t>Studies identified through database searching registers,international conferences</w:t>
                          </w:r>
                        </w:p>
                        <w:p w14:paraId="3D427595">
                          <w:pPr>
                            <w:pStyle w:val="15"/>
                            <w:spacing w:beforeAutospacing="0" w:afterAutospacing="0"/>
                            <w:ind w:firstLine="420"/>
                            <w:jc w:val="center"/>
                          </w:pPr>
                          <w:r>
                            <w:rPr>
                              <w:color w:val="000000"/>
                              <w:sz w:val="21"/>
                              <w:szCs w:val="21"/>
                            </w:rPr>
                            <w:t>(n =</w:t>
                          </w:r>
                          <w:r>
                            <w:rPr>
                              <w:rFonts w:hint="eastAsia"/>
                              <w:color w:val="000000"/>
                              <w:sz w:val="21"/>
                              <w:szCs w:val="21"/>
                            </w:rPr>
                            <w:t>3979</w:t>
                          </w:r>
                          <w:r>
                            <w:rPr>
                              <w:color w:val="000000"/>
                              <w:sz w:val="21"/>
                              <w:szCs w:val="21"/>
                            </w:rPr>
                            <w:t>)</w:t>
                          </w:r>
                        </w:p>
                      </w:txbxContent>
                    </v:textbox>
                  </v:shape>
                  <v:shape id="文本框 2" o:spid="_x0000_s1026" o:spt="202" type="#_x0000_t202" style="position:absolute;left:19151;top:8045;height:4914;width:31794;v-text-anchor:middle;" filled="f" stroked="t" coordsize="21600,21600" o:gfxdata="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AN+jG5AAAA2w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w:txbxContent>
                        <w:p w14:paraId="0E0DF64E">
                          <w:pPr>
                            <w:pStyle w:val="15"/>
                            <w:spacing w:beforeAutospacing="0" w:afterAutospacing="0"/>
                            <w:ind w:firstLine="420"/>
                            <w:jc w:val="center"/>
                            <w:rPr>
                              <w:rFonts w:eastAsiaTheme="minorEastAsia"/>
                            </w:rPr>
                          </w:pPr>
                          <w:r>
                            <w:rPr>
                              <w:color w:val="000000"/>
                              <w:sz w:val="21"/>
                              <w:szCs w:val="21"/>
                            </w:rPr>
                            <w:t>Excluded for duplicates</w:t>
                          </w:r>
                          <w:r>
                            <w:rPr>
                              <w:rFonts w:hint="eastAsia"/>
                              <w:color w:val="000000"/>
                              <w:sz w:val="21"/>
                              <w:szCs w:val="21"/>
                            </w:rPr>
                            <w:t xml:space="preserve"> or blank records</w:t>
                          </w:r>
                        </w:p>
                        <w:p w14:paraId="027851D2">
                          <w:pPr>
                            <w:pStyle w:val="15"/>
                            <w:spacing w:beforeAutospacing="0" w:afterAutospacing="0"/>
                            <w:ind w:firstLine="420"/>
                            <w:jc w:val="center"/>
                          </w:pPr>
                          <w:r>
                            <w:rPr>
                              <w:color w:val="000000"/>
                              <w:sz w:val="21"/>
                              <w:szCs w:val="21"/>
                            </w:rPr>
                            <w:t>(n =</w:t>
                          </w:r>
                          <w:r>
                            <w:rPr>
                              <w:rFonts w:hint="eastAsia"/>
                              <w:color w:val="000000"/>
                              <w:sz w:val="21"/>
                              <w:szCs w:val="21"/>
                            </w:rPr>
                            <w:t>407</w:t>
                          </w:r>
                          <w:r>
                            <w:rPr>
                              <w:color w:val="000000"/>
                              <w:sz w:val="21"/>
                              <w:szCs w:val="21"/>
                            </w:rPr>
                            <w:t>)</w:t>
                          </w:r>
                        </w:p>
                      </w:txbxContent>
                    </v:textbox>
                  </v:shape>
                  <v:shape id="文本框 2" o:spid="_x0000_s1026" o:spt="202" type="#_x0000_t202" style="position:absolute;left:11;top:14551;height:5010;width:27051;v-text-anchor:middle;" filled="f" stroked="t" coordsize="21600,21600" o:gfxdata="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9BX6q5AAAA2w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w:txbxContent>
                        <w:p w14:paraId="01450CCD">
                          <w:pPr>
                            <w:pStyle w:val="15"/>
                            <w:spacing w:beforeAutospacing="0" w:afterAutospacing="0"/>
                            <w:ind w:firstLine="420"/>
                            <w:jc w:val="center"/>
                          </w:pPr>
                          <w:r>
                            <w:rPr>
                              <w:color w:val="000000"/>
                              <w:sz w:val="21"/>
                              <w:szCs w:val="21"/>
                            </w:rPr>
                            <w:t>Titles and abstracts screening</w:t>
                          </w:r>
                        </w:p>
                        <w:p w14:paraId="518E1251">
                          <w:pPr>
                            <w:pStyle w:val="15"/>
                            <w:spacing w:beforeAutospacing="0" w:afterAutospacing="0"/>
                            <w:ind w:firstLine="420"/>
                            <w:jc w:val="center"/>
                          </w:pPr>
                          <w:r>
                            <w:rPr>
                              <w:color w:val="000000"/>
                              <w:sz w:val="21"/>
                              <w:szCs w:val="21"/>
                            </w:rPr>
                            <w:t>(n =</w:t>
                          </w:r>
                          <w:r>
                            <w:rPr>
                              <w:rFonts w:hint="eastAsia"/>
                              <w:color w:val="000000"/>
                              <w:sz w:val="21"/>
                              <w:szCs w:val="21"/>
                            </w:rPr>
                            <w:t>3572</w:t>
                          </w:r>
                          <w:r>
                            <w:rPr>
                              <w:color w:val="000000"/>
                              <w:sz w:val="21"/>
                              <w:szCs w:val="21"/>
                            </w:rPr>
                            <w:t>)</w:t>
                          </w:r>
                        </w:p>
                      </w:txbxContent>
                    </v:textbox>
                  </v:shape>
                  <v:shape id="文本框 2" o:spid="_x0000_s1026" o:spt="202" type="#_x0000_t202" style="position:absolute;left:19031;top:47032;height:12319;width:31934;v-text-anchor:middle;" filled="f" stroked="t" coordsize="21600,21600" o:gfxdata="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7ey9i2AAAA2wAAAA8A&#10;AAAAAAAAAQAgAAAAIgAAAGRycy9kb3ducmV2LnhtbFBLAQIUABQAAAAIAIdO4kAzLwWeOwAAADkA&#10;AAAQAAAAAAAAAAEAIAAAAAUBAABkcnMvc2hhcGV4bWwueG1sUEsFBgAAAAAGAAYAWwEAAK8DAAAA&#10;AA==&#10;">
                    <v:fill on="f" focussize="0,0"/>
                    <v:stroke color="#000000" joinstyle="miter"/>
                    <v:imagedata o:title=""/>
                    <o:lock v:ext="edit" aspectratio="f"/>
                    <v:textbox>
                      <w:txbxContent>
                        <w:p w14:paraId="0B0ACD3A">
                          <w:pPr>
                            <w:pStyle w:val="15"/>
                            <w:spacing w:beforeAutospacing="0" w:afterAutospacing="0"/>
                            <w:ind w:firstLine="420"/>
                            <w:jc w:val="center"/>
                          </w:pPr>
                          <w:r>
                            <w:rPr>
                              <w:color w:val="000000"/>
                              <w:sz w:val="21"/>
                              <w:szCs w:val="21"/>
                            </w:rPr>
                            <w:t>Reasons for excluded full-text articles</w:t>
                          </w:r>
                        </w:p>
                        <w:p w14:paraId="6E3ACF64">
                          <w:pPr>
                            <w:pStyle w:val="15"/>
                            <w:spacing w:beforeAutospacing="0" w:afterAutospacing="0"/>
                            <w:ind w:firstLine="420"/>
                            <w:jc w:val="center"/>
                          </w:pPr>
                          <w:r>
                            <w:rPr>
                              <w:color w:val="000000"/>
                              <w:sz w:val="21"/>
                              <w:szCs w:val="21"/>
                            </w:rPr>
                            <w:t>(n =</w:t>
                          </w:r>
                          <w:r>
                            <w:rPr>
                              <w:rFonts w:hint="eastAsia"/>
                              <w:color w:val="000000"/>
                              <w:sz w:val="21"/>
                              <w:szCs w:val="21"/>
                            </w:rPr>
                            <w:t>356</w:t>
                          </w:r>
                          <w:r>
                            <w:rPr>
                              <w:color w:val="000000"/>
                              <w:sz w:val="21"/>
                              <w:szCs w:val="21"/>
                            </w:rPr>
                            <w:t>)</w:t>
                          </w:r>
                        </w:p>
                        <w:p w14:paraId="17BFB8AC">
                          <w:pPr>
                            <w:pStyle w:val="15"/>
                            <w:spacing w:beforeAutospacing="0" w:afterAutospacing="0"/>
                            <w:ind w:firstLine="440"/>
                            <w:rPr>
                              <w:color w:val="000000" w:themeColor="text1"/>
                              <w14:textFill>
                                <w14:solidFill>
                                  <w14:schemeClr w14:val="tx1"/>
                                </w14:solidFill>
                              </w14:textFill>
                            </w:rPr>
                          </w:pPr>
                          <w:r>
                            <w:rPr>
                              <w:color w:val="000000" w:themeColor="text1"/>
                              <w:sz w:val="22"/>
                              <w14:textFill>
                                <w14:solidFill>
                                  <w14:schemeClr w14:val="tx1"/>
                                </w14:solidFill>
                              </w14:textFill>
                            </w:rPr>
                            <w:t>-</w:t>
                          </w:r>
                          <w:r>
                            <w:rPr>
                              <w:rFonts w:hint="eastAsia"/>
                              <w:color w:val="000000" w:themeColor="text1"/>
                              <w:sz w:val="22"/>
                              <w14:textFill>
                                <w14:solidFill>
                                  <w14:schemeClr w14:val="tx1"/>
                                </w14:solidFill>
                              </w14:textFill>
                            </w:rPr>
                            <w:t xml:space="preserve"> Non-target population (n=105)</w:t>
                          </w:r>
                        </w:p>
                        <w:p w14:paraId="65A52E52">
                          <w:pPr>
                            <w:pStyle w:val="15"/>
                            <w:spacing w:beforeAutospacing="0" w:afterAutospacing="0"/>
                            <w:ind w:firstLine="440"/>
                          </w:pPr>
                          <w:r>
                            <w:rPr>
                              <w:color w:val="000000" w:themeColor="text1"/>
                              <w:sz w:val="22"/>
                              <w14:textFill>
                                <w14:solidFill>
                                  <w14:schemeClr w14:val="tx1"/>
                                </w14:solidFill>
                              </w14:textFill>
                            </w:rPr>
                            <w:t>-</w:t>
                          </w:r>
                          <w:r>
                            <w:rPr>
                              <w:color w:val="000000" w:themeColor="text1"/>
                              <w14:textFill>
                                <w14:solidFill>
                                  <w14:schemeClr w14:val="tx1"/>
                                </w14:solidFill>
                              </w14:textFill>
                            </w:rPr>
                            <w:t xml:space="preserve"> </w:t>
                          </w:r>
                          <w:r>
                            <w:rPr>
                              <w:rFonts w:hint="eastAsia"/>
                              <w:color w:val="000000" w:themeColor="text1"/>
                              <w:sz w:val="22"/>
                              <w14:textFill>
                                <w14:solidFill>
                                  <w14:schemeClr w14:val="tx1"/>
                                </w14:solidFill>
                              </w14:textFill>
                            </w:rPr>
                            <w:t xml:space="preserve">No target results </w:t>
                          </w:r>
                          <w:r>
                            <w:rPr>
                              <w:color w:val="000000" w:themeColor="text1"/>
                              <w:sz w:val="22"/>
                              <w14:textFill>
                                <w14:solidFill>
                                  <w14:schemeClr w14:val="tx1"/>
                                </w14:solidFill>
                              </w14:textFill>
                            </w:rPr>
                            <w:t>(n =</w:t>
                          </w:r>
                          <w:r>
                            <w:rPr>
                              <w:rFonts w:hint="eastAsia"/>
                              <w:color w:val="000000" w:themeColor="text1"/>
                              <w:sz w:val="22"/>
                              <w14:textFill>
                                <w14:solidFill>
                                  <w14:schemeClr w14:val="tx1"/>
                                </w14:solidFill>
                              </w14:textFill>
                            </w:rPr>
                            <w:t>251</w:t>
                          </w:r>
                          <w:r>
                            <w:rPr>
                              <w:color w:val="000000" w:themeColor="text1"/>
                              <w:sz w:val="22"/>
                              <w14:textFill>
                                <w14:solidFill>
                                  <w14:schemeClr w14:val="tx1"/>
                                </w14:solidFill>
                              </w14:textFill>
                            </w:rPr>
                            <w:t>)</w:t>
                          </w:r>
                        </w:p>
                      </w:txbxContent>
                    </v:textbox>
                  </v:shape>
                  <v:shape id="文本框 2" o:spid="_x0000_s1026" o:spt="202" type="#_x0000_t202" style="position:absolute;left:0;top:37982;height:5010;width:27146;v-text-anchor:middle;" filled="f" stroked="t" coordsize="21600,21600" o:gfxdata="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GSbkO5AAAA2w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w:txbxContent>
                        <w:p w14:paraId="6007A84C">
                          <w:pPr>
                            <w:pStyle w:val="15"/>
                            <w:spacing w:beforeAutospacing="0" w:afterAutospacing="0"/>
                            <w:ind w:firstLine="420"/>
                            <w:jc w:val="center"/>
                          </w:pPr>
                          <w:r>
                            <w:rPr>
                              <w:color w:val="000000"/>
                              <w:sz w:val="21"/>
                              <w:szCs w:val="21"/>
                            </w:rPr>
                            <w:t>Full-text articles screening</w:t>
                          </w:r>
                        </w:p>
                        <w:p w14:paraId="62BF5DD1">
                          <w:pPr>
                            <w:pStyle w:val="15"/>
                            <w:spacing w:beforeAutospacing="0" w:afterAutospacing="0"/>
                            <w:ind w:firstLine="420"/>
                            <w:jc w:val="center"/>
                          </w:pPr>
                          <w:r>
                            <w:rPr>
                              <w:color w:val="000000"/>
                              <w:sz w:val="21"/>
                              <w:szCs w:val="21"/>
                            </w:rPr>
                            <w:t>(n =</w:t>
                          </w:r>
                          <w:r>
                            <w:rPr>
                              <w:rFonts w:hint="eastAsia"/>
                              <w:color w:val="000000"/>
                              <w:sz w:val="21"/>
                              <w:szCs w:val="21"/>
                            </w:rPr>
                            <w:t>365</w:t>
                          </w:r>
                          <w:r>
                            <w:rPr>
                              <w:color w:val="000000"/>
                              <w:sz w:val="21"/>
                              <w:szCs w:val="21"/>
                            </w:rPr>
                            <w:t>)</w:t>
                          </w:r>
                        </w:p>
                      </w:txbxContent>
                    </v:textbox>
                  </v:shape>
                  <v:shape id="文本框 2" o:spid="_x0000_s1026" o:spt="202" type="#_x0000_t202" style="position:absolute;left:19189;top:20712;height:16173;width:31801;v-text-anchor:middle;" filled="f" stroked="t" coordsize="21600,21600" o:gfxdata="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GiutKO2AAAA2wAAAA8A&#10;AAAAAAAAAQAgAAAAIgAAAGRycy9kb3ducmV2LnhtbFBLAQIUABQAAAAIAIdO4kAzLwWeOwAAADkA&#10;AAAQAAAAAAAAAAEAIAAAAAUBAABkcnMvc2hhcGV4bWwueG1sUEsFBgAAAAAGAAYAWwEAAK8DAAAA&#10;AA==&#10;">
                    <v:fill on="f" focussize="0,0"/>
                    <v:stroke color="#000000" joinstyle="miter"/>
                    <v:imagedata o:title=""/>
                    <o:lock v:ext="edit" aspectratio="f"/>
                    <v:textbox>
                      <w:txbxContent>
                        <w:p w14:paraId="2ABAB4E0">
                          <w:pPr>
                            <w:pStyle w:val="15"/>
                            <w:spacing w:beforeAutospacing="0" w:afterAutospacing="0"/>
                            <w:ind w:firstLine="420"/>
                            <w:jc w:val="center"/>
                            <w:rPr>
                              <w:rFonts w:eastAsiaTheme="minorEastAsia"/>
                              <w:color w:val="000000"/>
                              <w:sz w:val="21"/>
                              <w:szCs w:val="21"/>
                            </w:rPr>
                          </w:pPr>
                          <w:r>
                            <w:rPr>
                              <w:color w:val="000000"/>
                              <w:sz w:val="21"/>
                              <w:szCs w:val="21"/>
                            </w:rPr>
                            <w:t>Reasons for excluded titles and abstracts</w:t>
                          </w:r>
                          <w:r>
                            <w:rPr>
                              <w:rFonts w:hint="eastAsia"/>
                              <w:color w:val="000000"/>
                              <w:sz w:val="21"/>
                              <w:szCs w:val="21"/>
                            </w:rPr>
                            <w:t xml:space="preserve"> (n=3207)</w:t>
                          </w:r>
                        </w:p>
                        <w:p w14:paraId="32D37CE0">
                          <w:pPr>
                            <w:pStyle w:val="15"/>
                            <w:spacing w:beforeAutospacing="0" w:afterAutospacing="0"/>
                            <w:ind w:firstLine="440"/>
                            <w:rPr>
                              <w:color w:val="000000" w:themeColor="text1"/>
                              <w:sz w:val="22"/>
                              <w14:textFill>
                                <w14:solidFill>
                                  <w14:schemeClr w14:val="tx1"/>
                                </w14:solidFill>
                              </w14:textFill>
                            </w:rPr>
                          </w:pPr>
                          <w:r>
                            <w:rPr>
                              <w:rFonts w:hint="eastAsia"/>
                              <w:color w:val="000000" w:themeColor="text1"/>
                              <w:sz w:val="22"/>
                              <w14:textFill>
                                <w14:solidFill>
                                  <w14:schemeClr w14:val="tx1"/>
                                </w14:solidFill>
                              </w14:textFill>
                            </w:rPr>
                            <w:t xml:space="preserve">- Single arm trial </w:t>
                          </w:r>
                          <w:r>
                            <w:rPr>
                              <w:color w:val="000000" w:themeColor="text1"/>
                              <w:sz w:val="22"/>
                              <w14:textFill>
                                <w14:solidFill>
                                  <w14:schemeClr w14:val="tx1"/>
                                </w14:solidFill>
                              </w14:textFill>
                            </w:rPr>
                            <w:t>(n =</w:t>
                          </w:r>
                          <w:r>
                            <w:rPr>
                              <w:rFonts w:hint="eastAsia"/>
                              <w:color w:val="000000" w:themeColor="text1"/>
                              <w:sz w:val="22"/>
                              <w14:textFill>
                                <w14:solidFill>
                                  <w14:schemeClr w14:val="tx1"/>
                                </w14:solidFill>
                              </w14:textFill>
                            </w:rPr>
                            <w:t>794</w:t>
                          </w:r>
                          <w:r>
                            <w:rPr>
                              <w:color w:val="000000" w:themeColor="text1"/>
                              <w:sz w:val="22"/>
                              <w14:textFill>
                                <w14:solidFill>
                                  <w14:schemeClr w14:val="tx1"/>
                                </w14:solidFill>
                              </w14:textFill>
                            </w:rPr>
                            <w:t>)</w:t>
                          </w:r>
                        </w:p>
                        <w:p w14:paraId="60C127F0">
                          <w:pPr>
                            <w:pStyle w:val="15"/>
                            <w:spacing w:beforeAutospacing="0" w:afterAutospacing="0"/>
                            <w:ind w:firstLine="440"/>
                            <w:rPr>
                              <w:color w:val="000000"/>
                              <w:sz w:val="21"/>
                              <w:szCs w:val="21"/>
                            </w:rPr>
                          </w:pPr>
                          <w:r>
                            <w:rPr>
                              <w:rFonts w:hint="eastAsia"/>
                              <w:color w:val="000000" w:themeColor="text1"/>
                              <w:sz w:val="22"/>
                              <w14:textFill>
                                <w14:solidFill>
                                  <w14:schemeClr w14:val="tx1"/>
                                </w14:solidFill>
                              </w14:textFill>
                            </w:rPr>
                            <w:t>- No corresponding topics (n=1385)</w:t>
                          </w:r>
                        </w:p>
                        <w:p w14:paraId="65076B69">
                          <w:pPr>
                            <w:pStyle w:val="15"/>
                            <w:spacing w:beforeAutospacing="0" w:afterAutospacing="0"/>
                            <w:ind w:firstLine="440"/>
                            <w:rPr>
                              <w:color w:val="000000" w:themeColor="text1"/>
                              <w14:textFill>
                                <w14:solidFill>
                                  <w14:schemeClr w14:val="tx1"/>
                                </w14:solidFill>
                              </w14:textFill>
                            </w:rPr>
                          </w:pPr>
                          <w:r>
                            <w:rPr>
                              <w:color w:val="000000" w:themeColor="text1"/>
                              <w:sz w:val="22"/>
                              <w14:textFill>
                                <w14:solidFill>
                                  <w14:schemeClr w14:val="tx1"/>
                                </w14:solidFill>
                              </w14:textFill>
                            </w:rPr>
                            <w:t xml:space="preserve">- </w:t>
                          </w:r>
                          <w:r>
                            <w:rPr>
                              <w:rFonts w:hint="eastAsia"/>
                              <w:color w:val="000000" w:themeColor="text1"/>
                              <w:sz w:val="22"/>
                              <w14:textFill>
                                <w14:solidFill>
                                  <w14:schemeClr w14:val="tx1"/>
                                </w14:solidFill>
                              </w14:textFill>
                            </w:rPr>
                            <w:t>Observational study or case reports</w:t>
                          </w:r>
                          <w:r>
                            <w:rPr>
                              <w:color w:val="000000" w:themeColor="text1"/>
                              <w:sz w:val="22"/>
                              <w14:textFill>
                                <w14:solidFill>
                                  <w14:schemeClr w14:val="tx1"/>
                                </w14:solidFill>
                              </w14:textFill>
                            </w:rPr>
                            <w:t xml:space="preserve"> </w:t>
                          </w:r>
                          <w:r>
                            <w:rPr>
                              <w:rFonts w:hint="eastAsia"/>
                              <w:color w:val="000000" w:themeColor="text1"/>
                              <w:sz w:val="22"/>
                              <w14:textFill>
                                <w14:solidFill>
                                  <w14:schemeClr w14:val="tx1"/>
                                </w14:solidFill>
                              </w14:textFill>
                            </w:rPr>
                            <w:t>(</w:t>
                          </w:r>
                          <w:r>
                            <w:rPr>
                              <w:color w:val="000000" w:themeColor="text1"/>
                              <w:sz w:val="22"/>
                              <w14:textFill>
                                <w14:solidFill>
                                  <w14:schemeClr w14:val="tx1"/>
                                </w14:solidFill>
                              </w14:textFill>
                            </w:rPr>
                            <w:t>n</w:t>
                          </w:r>
                          <w:r>
                            <w:rPr>
                              <w:rFonts w:hint="eastAsia"/>
                              <w:color w:val="000000" w:themeColor="text1"/>
                              <w:sz w:val="22"/>
                              <w14:textFill>
                                <w14:solidFill>
                                  <w14:schemeClr w14:val="tx1"/>
                                </w14:solidFill>
                              </w14:textFill>
                            </w:rPr>
                            <w:t xml:space="preserve"> </w:t>
                          </w:r>
                          <w:r>
                            <w:rPr>
                              <w:color w:val="000000" w:themeColor="text1"/>
                              <w:sz w:val="22"/>
                              <w14:textFill>
                                <w14:solidFill>
                                  <w14:schemeClr w14:val="tx1"/>
                                </w14:solidFill>
                              </w14:textFill>
                            </w:rPr>
                            <w:t>=</w:t>
                          </w:r>
                          <w:r>
                            <w:rPr>
                              <w:rFonts w:hint="eastAsia"/>
                              <w:color w:val="000000" w:themeColor="text1"/>
                              <w:sz w:val="22"/>
                              <w14:textFill>
                                <w14:solidFill>
                                  <w14:schemeClr w14:val="tx1"/>
                                </w14:solidFill>
                              </w14:textFill>
                            </w:rPr>
                            <w:t>746</w:t>
                          </w:r>
                          <w:r>
                            <w:rPr>
                              <w:color w:val="000000" w:themeColor="text1"/>
                              <w:sz w:val="22"/>
                              <w14:textFill>
                                <w14:solidFill>
                                  <w14:schemeClr w14:val="tx1"/>
                                </w14:solidFill>
                              </w14:textFill>
                            </w:rPr>
                            <w:t>)</w:t>
                          </w:r>
                        </w:p>
                        <w:p w14:paraId="78DB3D59">
                          <w:pPr>
                            <w:pStyle w:val="15"/>
                            <w:spacing w:beforeAutospacing="0" w:afterAutospacing="0"/>
                            <w:ind w:firstLine="440"/>
                            <w:rPr>
                              <w:rFonts w:eastAsiaTheme="minorEastAsia"/>
                              <w:color w:val="000000" w:themeColor="text1"/>
                              <w:sz w:val="22"/>
                              <w14:textFill>
                                <w14:solidFill>
                                  <w14:schemeClr w14:val="tx1"/>
                                </w14:solidFill>
                              </w14:textFill>
                            </w:rPr>
                          </w:pPr>
                          <w:r>
                            <w:rPr>
                              <w:color w:val="000000" w:themeColor="text1"/>
                              <w:sz w:val="22"/>
                              <w14:textFill>
                                <w14:solidFill>
                                  <w14:schemeClr w14:val="tx1"/>
                                </w14:solidFill>
                              </w14:textFill>
                            </w:rPr>
                            <w:t>-</w:t>
                          </w:r>
                          <w:r>
                            <w:rPr>
                              <w:rFonts w:hint="eastAsia"/>
                              <w:color w:val="000000" w:themeColor="text1"/>
                              <w:sz w:val="22"/>
                              <w14:textFill>
                                <w14:solidFill>
                                  <w14:schemeClr w14:val="tx1"/>
                                </w14:solidFill>
                              </w14:textFill>
                            </w:rPr>
                            <w:t xml:space="preserve"> Secondary analysis or study protocol (</w:t>
                          </w:r>
                          <w:r>
                            <w:rPr>
                              <w:color w:val="000000" w:themeColor="text1"/>
                              <w:sz w:val="22"/>
                              <w14:textFill>
                                <w14:solidFill>
                                  <w14:schemeClr w14:val="tx1"/>
                                </w14:solidFill>
                              </w14:textFill>
                            </w:rPr>
                            <w:t>n</w:t>
                          </w:r>
                          <w:r>
                            <w:rPr>
                              <w:rFonts w:hint="eastAsia"/>
                              <w:color w:val="000000" w:themeColor="text1"/>
                              <w:sz w:val="22"/>
                              <w14:textFill>
                                <w14:solidFill>
                                  <w14:schemeClr w14:val="tx1"/>
                                </w14:solidFill>
                              </w14:textFill>
                            </w:rPr>
                            <w:t xml:space="preserve"> </w:t>
                          </w:r>
                          <w:r>
                            <w:rPr>
                              <w:color w:val="000000" w:themeColor="text1"/>
                              <w:sz w:val="22"/>
                              <w14:textFill>
                                <w14:solidFill>
                                  <w14:schemeClr w14:val="tx1"/>
                                </w14:solidFill>
                              </w14:textFill>
                            </w:rPr>
                            <w:t>=</w:t>
                          </w:r>
                          <w:r>
                            <w:rPr>
                              <w:rFonts w:hint="eastAsia"/>
                              <w:color w:val="000000" w:themeColor="text1"/>
                              <w:sz w:val="22"/>
                              <w14:textFill>
                                <w14:solidFill>
                                  <w14:schemeClr w14:val="tx1"/>
                                </w14:solidFill>
                              </w14:textFill>
                            </w:rPr>
                            <w:t xml:space="preserve">282 </w:t>
                          </w:r>
                          <w:r>
                            <w:rPr>
                              <w:color w:val="000000" w:themeColor="text1"/>
                              <w:sz w:val="22"/>
                              <w14:textFill>
                                <w14:solidFill>
                                  <w14:schemeClr w14:val="tx1"/>
                                </w14:solidFill>
                              </w14:textFill>
                            </w:rPr>
                            <w:t>)</w:t>
                          </w:r>
                        </w:p>
                      </w:txbxContent>
                    </v:textbox>
                  </v:shape>
                  <v:shape id="AutoShape 10" o:spid="_x0000_s1026" o:spt="32" type="#_x0000_t32" style="position:absolute;left:13646;top:28890;height:6;width:5626;" filled="f" stroked="t" coordsize="21600,21600" o:gfxdata="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xzZ3S8AAAA&#10;2w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shape>
                  <v:shape id="直接箭头连接符 21" o:spid="_x0000_s1026" o:spt="32" type="#_x0000_t32" style="position:absolute;left:13462;top:7349;height:7197;width:52;" filled="f" stroked="t" coordsize="21600,21600" o:gfxdata="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KH5A74A&#10;AADb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shape>
                  <v:shape id="直接箭头连接符 29" o:spid="_x0000_s1026" o:spt="32" type="#_x0000_t32" style="position:absolute;left:13515;top:19525;height:18472;width:25;" filled="f" stroked="t" coordsize="21600,21600" o:gfxdata="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PtXJi8AAAA&#10;2w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shape>
                  <v:shape id="文本框 2" o:spid="_x0000_s1026" o:spt="202" type="#_x0000_t202" style="position:absolute;left:-240;top:62647;height:5872;width:29454;v-text-anchor:middle;" filled="f" stroked="t" coordsize="21600,21600" o:gfxdata="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eVsqC5AAAA2w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w:txbxContent>
                        <w:p w14:paraId="5C37DF25">
                          <w:pPr>
                            <w:pStyle w:val="15"/>
                            <w:spacing w:beforeAutospacing="0" w:afterAutospacing="0"/>
                            <w:ind w:firstLine="420"/>
                            <w:jc w:val="center"/>
                            <w:rPr>
                              <w:color w:val="000000"/>
                              <w:sz w:val="21"/>
                              <w:szCs w:val="21"/>
                            </w:rPr>
                          </w:pPr>
                          <w:r>
                            <w:rPr>
                              <w:color w:val="000000"/>
                              <w:sz w:val="21"/>
                              <w:szCs w:val="21"/>
                            </w:rPr>
                            <w:t xml:space="preserve">Total </w:t>
                          </w:r>
                          <w:r>
                            <w:rPr>
                              <w:rFonts w:hint="eastAsia"/>
                              <w:color w:val="000000"/>
                              <w:sz w:val="21"/>
                              <w:szCs w:val="21"/>
                            </w:rPr>
                            <w:t>articles u</w:t>
                          </w:r>
                          <w:r>
                            <w:rPr>
                              <w:color w:val="000000"/>
                              <w:sz w:val="21"/>
                              <w:szCs w:val="21"/>
                            </w:rPr>
                            <w:t>sed for data extraction</w:t>
                          </w:r>
                        </w:p>
                        <w:p w14:paraId="52E0379D">
                          <w:pPr>
                            <w:pStyle w:val="15"/>
                            <w:spacing w:beforeAutospacing="0" w:afterAutospacing="0"/>
                            <w:ind w:firstLine="420"/>
                            <w:jc w:val="center"/>
                            <w:rPr>
                              <w:color w:val="000000"/>
                              <w:sz w:val="21"/>
                              <w:szCs w:val="21"/>
                            </w:rPr>
                          </w:pPr>
                          <w:r>
                            <w:rPr>
                              <w:color w:val="000000"/>
                              <w:sz w:val="21"/>
                              <w:szCs w:val="21"/>
                            </w:rPr>
                            <w:t xml:space="preserve"> (n =</w:t>
                          </w:r>
                          <w:r>
                            <w:rPr>
                              <w:rFonts w:hint="eastAsia"/>
                              <w:color w:val="000000"/>
                              <w:sz w:val="21"/>
                              <w:szCs w:val="21"/>
                            </w:rPr>
                            <w:t>9</w:t>
                          </w:r>
                          <w:r>
                            <w:rPr>
                              <w:color w:val="000000"/>
                              <w:sz w:val="21"/>
                              <w:szCs w:val="21"/>
                            </w:rPr>
                            <w:t>)</w:t>
                          </w:r>
                        </w:p>
                      </w:txbxContent>
                    </v:textbox>
                  </v:shape>
                  <v:shape id="直接箭头连接符 36" o:spid="_x0000_s1026" o:spt="32" type="#_x0000_t32" style="position:absolute;left:13416;top:43044;flip:x;height:19661;width:124;" filled="f" stroked="t" coordsize="21600,21600" o:gfxdata="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LXEJW/&#10;AAAA2wAAAA8AAAAAAAAAAQAgAAAAIgAAAGRycy9kb3ducmV2LnhtbFBLAQIUABQAAAAIAIdO4kAz&#10;LwWeOwAAADkAAAAQAAAAAAAAAAEAIAAAAA4BAABkcnMvc2hhcGV4bWwueG1sUEsFBgAAAAAGAAYA&#10;WwEAALgDAAAAAA==&#10;">
                    <v:fill on="f" focussize="0,0"/>
                    <v:stroke weight="0.5pt" color="#000000" joinstyle="miter" endarrow="open"/>
                    <v:imagedata o:title=""/>
                    <o:lock v:ext="edit" aspectratio="f"/>
                  </v:shape>
                  <v:shape id="直接箭头连接符 38" o:spid="_x0000_s1026" o:spt="32" type="#_x0000_t32" style="position:absolute;left:13489;top:53118;height:64;width:5550;" filled="f" stroked="t" coordsize="21600,21600" o:gfxdata="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mv8AvQAA&#10;ANs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group>
                <v:group id="组合 19" o:spid="_x0000_s1026" o:spt="203" style="position:absolute;left:0;top:0;height:68450;width:4132;" coordsize="4132,68450" o:gfxdata="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uVCZ8vwAAANsAAAAPAAAAAAAAAAEAIAAAACIAAABkcnMvZG93bnJldi54&#10;bWxQSwECFAAUAAAACACHTuJAMy8FnjsAAAA5AAAAFQAAAAAAAAABACAAAAAOAQAAZHJzL2dyb3Vw&#10;c2hhcGV4bWwueG1sUEsFBgAAAAAGAAYAYAEAAMsDAAAAAA==&#10;">
                  <o:lock v:ext="edit" aspectratio="f"/>
                  <v:rect id="矩形 15" o:spid="_x0000_s1026" o:spt="1" style="position:absolute;left:0;top:0;height:12716;width:4132;v-text-anchor:middle;" fillcolor="#DEEBF7" filled="t" stroked="t" coordsize="21600,21600" o:gfxdata="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Datl68AAAA&#10;2w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style="layout-flow:vertical;mso-layout-flow-alt:bottom-to-top;">
                      <w:txbxContent>
                        <w:p w14:paraId="3FC4D925">
                          <w:pPr>
                            <w:ind w:firstLine="482"/>
                            <w:jc w:val="center"/>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Identification</w:t>
                          </w:r>
                        </w:p>
                      </w:txbxContent>
                    </v:textbox>
                  </v:rect>
                  <v:rect id="矩形 16" o:spid="_x0000_s1026" o:spt="1" style="position:absolute;left:0;top:14243;height:21893;width:4132;v-text-anchor:middle;" fillcolor="#DEEBF7" filled="t" stroked="t" coordsize="21600,21600" o:gfxdata="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YTxb4A&#10;AADb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style="layout-flow:vertical;mso-layout-flow-alt:bottom-to-top;">
                      <w:txbxContent>
                        <w:p w14:paraId="1B7CD66A">
                          <w:pPr>
                            <w:ind w:firstLine="482"/>
                            <w:jc w:val="center"/>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Screening</w:t>
                          </w:r>
                        </w:p>
                      </w:txbxContent>
                    </v:textbox>
                  </v:rect>
                  <v:rect id="矩形 17" o:spid="_x0000_s1026" o:spt="1" style="position:absolute;left:0;top:37717;height:13893;width:4132;v-text-anchor:middle;" fillcolor="#DEEBF7" filled="t" stroked="t" coordsize="21600,21600" o:gfxdata="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1LIW8AAAA&#10;2w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style="layout-flow:vertical;mso-layout-flow-alt:bottom-to-top;">
                      <w:txbxContent>
                        <w:p w14:paraId="058E5B6F">
                          <w:pPr>
                            <w:ind w:firstLine="482"/>
                            <w:jc w:val="center"/>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E</w:t>
                          </w:r>
                          <w:r>
                            <w:rPr>
                              <w:rFonts w:hint="eastAsia" w:cs="Times New Roman"/>
                              <w:b/>
                              <w:bCs/>
                              <w:color w:val="000000" w:themeColor="text1"/>
                              <w14:textFill>
                                <w14:solidFill>
                                  <w14:schemeClr w14:val="tx1"/>
                                </w14:solidFill>
                              </w14:textFill>
                            </w:rPr>
                            <w:t>ligibility</w:t>
                          </w:r>
                        </w:p>
                        <w:p w14:paraId="37154715">
                          <w:pPr>
                            <w:jc w:val="center"/>
                            <w:rPr>
                              <w:rFonts w:cs="Times New Roman"/>
                              <w:color w:val="000000" w:themeColor="text1"/>
                              <w14:textFill>
                                <w14:solidFill>
                                  <w14:schemeClr w14:val="tx1"/>
                                </w14:solidFill>
                              </w14:textFill>
                            </w:rPr>
                          </w:pPr>
                        </w:p>
                      </w:txbxContent>
                    </v:textbox>
                  </v:rect>
                  <v:rect id="矩形 18" o:spid="_x0000_s1026" o:spt="1" style="position:absolute;left:0;top:53221;height:15229;width:4132;v-text-anchor:middle;" fillcolor="#DEEBF7" filled="t" stroked="t" coordsize="21600,21600" o:gfxdata="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DmJHr4A&#10;AADb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style="layout-flow:vertical;mso-layout-flow-alt:bottom-to-top;">
                      <w:txbxContent>
                        <w:p w14:paraId="18B97D16">
                          <w:pPr>
                            <w:ind w:firstLine="482"/>
                            <w:jc w:val="center"/>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Inclusion</w:t>
                          </w:r>
                        </w:p>
                      </w:txbxContent>
                    </v:textbox>
                  </v:rect>
                </v:group>
                <w10:wrap type="topAndBottom"/>
              </v:group>
            </w:pict>
          </mc:Fallback>
        </mc:AlternateContent>
      </w:r>
      <w:r>
        <w:rPr>
          <w:rFonts w:hint="eastAsia"/>
        </w:rPr>
        <w:t>Figure S1 Study flow chart</w:t>
      </w:r>
      <w:bookmarkEnd w:id="4"/>
    </w:p>
    <w:p w14:paraId="50E87335">
      <w:pPr>
        <w:pStyle w:val="2"/>
        <w:rPr>
          <w:rFonts w:hint="default"/>
          <w:szCs w:val="20"/>
        </w:rPr>
      </w:pPr>
      <w:bookmarkStart w:id="5" w:name="_Toc8704"/>
      <w:r>
        <w:t>Part 2 Results for Risk of Bias</w:t>
      </w:r>
      <w:bookmarkEnd w:id="5"/>
    </w:p>
    <w:p w14:paraId="30368C5B">
      <w:pPr>
        <w:pStyle w:val="24"/>
      </w:pPr>
      <w:r>
        <w:drawing>
          <wp:inline distT="0" distB="0" distL="114300" distR="114300">
            <wp:extent cx="5269865" cy="2224405"/>
            <wp:effectExtent l="0" t="0" r="6985" b="4445"/>
            <wp:docPr id="3" name="图片 3" descr="c3a747d94153d4ceaef8f2ef206e5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3a747d94153d4ceaef8f2ef206e5f6"/>
                    <pic:cNvPicPr>
                      <a:picLocks noChangeAspect="1"/>
                    </pic:cNvPicPr>
                  </pic:nvPicPr>
                  <pic:blipFill>
                    <a:blip r:embed="rId10"/>
                    <a:stretch>
                      <a:fillRect/>
                    </a:stretch>
                  </pic:blipFill>
                  <pic:spPr>
                    <a:xfrm>
                      <a:off x="0" y="0"/>
                      <a:ext cx="5270400" cy="2224800"/>
                    </a:xfrm>
                    <a:prstGeom prst="rect">
                      <a:avLst/>
                    </a:prstGeom>
                  </pic:spPr>
                </pic:pic>
              </a:graphicData>
            </a:graphic>
          </wp:inline>
        </w:drawing>
      </w:r>
    </w:p>
    <w:p w14:paraId="347E5AF5">
      <w:pPr>
        <w:pStyle w:val="24"/>
        <w:sectPr>
          <w:pgSz w:w="11906" w:h="16838"/>
          <w:pgMar w:top="1440" w:right="1800" w:bottom="1440" w:left="1800" w:header="851" w:footer="992" w:gutter="0"/>
          <w:cols w:space="425" w:num="1"/>
          <w:titlePg/>
          <w:docGrid w:type="lines" w:linePitch="326" w:charSpace="0"/>
        </w:sectPr>
      </w:pPr>
      <w:r>
        <w:drawing>
          <wp:inline distT="0" distB="0" distL="114300" distR="114300">
            <wp:extent cx="2736850" cy="5222875"/>
            <wp:effectExtent l="0" t="4763" r="1588" b="1587"/>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rot="5400000">
                      <a:off x="0" y="0"/>
                      <a:ext cx="2739323" cy="5227688"/>
                    </a:xfrm>
                    <a:prstGeom prst="rect">
                      <a:avLst/>
                    </a:prstGeom>
                  </pic:spPr>
                </pic:pic>
              </a:graphicData>
            </a:graphic>
          </wp:inline>
        </w:drawing>
      </w:r>
    </w:p>
    <w:p w14:paraId="1E23BB41">
      <w:pPr>
        <w:pStyle w:val="2"/>
        <w:rPr>
          <w:rFonts w:hint="default"/>
          <w:szCs w:val="20"/>
        </w:rPr>
      </w:pPr>
      <w:bookmarkStart w:id="6" w:name="_Toc13691"/>
      <w:r>
        <w:t>Part 3 Results for Publication Bias</w:t>
      </w:r>
      <w:bookmarkEnd w:id="6"/>
    </w:p>
    <w:p w14:paraId="5BCD334C">
      <w:pPr>
        <w:numPr>
          <w:ilvl w:val="0"/>
          <w:numId w:val="2"/>
        </w:numPr>
        <w:rPr>
          <w:szCs w:val="20"/>
        </w:rPr>
      </w:pPr>
      <w:r>
        <w:rPr>
          <w:rFonts w:hint="eastAsia"/>
          <w:szCs w:val="20"/>
        </w:rPr>
        <w:t>Overall Survival</w:t>
      </w:r>
    </w:p>
    <w:p w14:paraId="0518D9AC">
      <w:pPr>
        <w:rPr>
          <w:szCs w:val="20"/>
        </w:rPr>
      </w:pPr>
      <w:r>
        <w:rPr>
          <w:rFonts w:hint="eastAsia"/>
          <w:szCs w:val="20"/>
        </w:rPr>
        <w:drawing>
          <wp:inline distT="0" distB="0" distL="114300" distR="114300">
            <wp:extent cx="5273040" cy="3163570"/>
            <wp:effectExtent l="0" t="0" r="0" b="6350"/>
            <wp:docPr id="5" name="图片 5" descr="漏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漏斗图"/>
                    <pic:cNvPicPr>
                      <a:picLocks noChangeAspect="1"/>
                    </pic:cNvPicPr>
                  </pic:nvPicPr>
                  <pic:blipFill>
                    <a:blip r:embed="rId12"/>
                    <a:stretch>
                      <a:fillRect/>
                    </a:stretch>
                  </pic:blipFill>
                  <pic:spPr>
                    <a:xfrm>
                      <a:off x="0" y="0"/>
                      <a:ext cx="5273040" cy="3163570"/>
                    </a:xfrm>
                    <a:prstGeom prst="rect">
                      <a:avLst/>
                    </a:prstGeom>
                  </pic:spPr>
                </pic:pic>
              </a:graphicData>
            </a:graphic>
          </wp:inline>
        </w:drawing>
      </w:r>
    </w:p>
    <w:p w14:paraId="1869D2DE">
      <w:pPr>
        <w:rPr>
          <w:szCs w:val="20"/>
        </w:rPr>
      </w:pPr>
    </w:p>
    <w:p w14:paraId="37CF30E2">
      <w:pPr>
        <w:numPr>
          <w:ilvl w:val="0"/>
          <w:numId w:val="2"/>
        </w:numPr>
        <w:rPr>
          <w:szCs w:val="20"/>
        </w:rPr>
      </w:pPr>
      <w:r>
        <w:rPr>
          <w:rFonts w:hint="eastAsia"/>
          <w:szCs w:val="20"/>
        </w:rPr>
        <w:t>Progression-free Survival</w:t>
      </w:r>
    </w:p>
    <w:p w14:paraId="30E25A36">
      <w:pPr>
        <w:rPr>
          <w:szCs w:val="20"/>
        </w:rPr>
        <w:sectPr>
          <w:pgSz w:w="11906" w:h="16838"/>
          <w:pgMar w:top="1440" w:right="1800" w:bottom="1440" w:left="1800" w:header="851" w:footer="992" w:gutter="0"/>
          <w:cols w:space="425" w:num="1"/>
          <w:titlePg/>
          <w:docGrid w:type="lines" w:linePitch="326" w:charSpace="0"/>
        </w:sectPr>
      </w:pPr>
      <w:r>
        <w:rPr>
          <w:szCs w:val="20"/>
        </w:rPr>
        <w:drawing>
          <wp:inline distT="0" distB="0" distL="114300" distR="114300">
            <wp:extent cx="5269230" cy="3526790"/>
            <wp:effectExtent l="0" t="0" r="3810" b="8890"/>
            <wp:docPr id="6" name="图片 6" descr="发表偏倚-P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发表偏倚-PFS"/>
                    <pic:cNvPicPr>
                      <a:picLocks noChangeAspect="1"/>
                    </pic:cNvPicPr>
                  </pic:nvPicPr>
                  <pic:blipFill>
                    <a:blip r:embed="rId13"/>
                    <a:stretch>
                      <a:fillRect/>
                    </a:stretch>
                  </pic:blipFill>
                  <pic:spPr>
                    <a:xfrm>
                      <a:off x="0" y="0"/>
                      <a:ext cx="5269230" cy="3526790"/>
                    </a:xfrm>
                    <a:prstGeom prst="rect">
                      <a:avLst/>
                    </a:prstGeom>
                  </pic:spPr>
                </pic:pic>
              </a:graphicData>
            </a:graphic>
          </wp:inline>
        </w:drawing>
      </w:r>
    </w:p>
    <w:p w14:paraId="71B25DDA">
      <w:pPr>
        <w:pStyle w:val="2"/>
        <w:rPr>
          <w:rFonts w:hint="default"/>
        </w:rPr>
      </w:pPr>
      <w:bookmarkStart w:id="7" w:name="_Toc28472"/>
      <w:r>
        <w:t>Table S2  League Table for Network Meta-analysis of Safety</w:t>
      </w:r>
      <w:bookmarkEnd w:id="7"/>
    </w:p>
    <w:tbl>
      <w:tblPr>
        <w:tblStyle w:val="17"/>
        <w:tblW w:w="14040"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2135"/>
        <w:gridCol w:w="2273"/>
        <w:gridCol w:w="2135"/>
        <w:gridCol w:w="2135"/>
        <w:gridCol w:w="2273"/>
        <w:gridCol w:w="2009"/>
      </w:tblGrid>
      <w:tr w14:paraId="2C608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80" w:type="dxa"/>
            <w:shd w:val="clear" w:color="auto" w:fill="auto"/>
            <w:noWrap/>
            <w:vAlign w:val="center"/>
          </w:tcPr>
          <w:p w14:paraId="01009C99">
            <w:pPr>
              <w:pStyle w:val="24"/>
            </w:pPr>
          </w:p>
        </w:tc>
        <w:tc>
          <w:tcPr>
            <w:tcW w:w="12960" w:type="dxa"/>
            <w:gridSpan w:val="6"/>
            <w:shd w:val="clear" w:color="auto" w:fill="auto"/>
            <w:noWrap/>
            <w:vAlign w:val="center"/>
          </w:tcPr>
          <w:p w14:paraId="3A750366">
            <w:pPr>
              <w:pStyle w:val="24"/>
            </w:pPr>
            <w:r>
              <w:rPr>
                <w:rFonts w:hint="eastAsia"/>
              </w:rPr>
              <w:t>Grade 3+ TRAE</w:t>
            </w:r>
          </w:p>
        </w:tc>
      </w:tr>
      <w:tr w14:paraId="4484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80" w:type="dxa"/>
            <w:vMerge w:val="restart"/>
            <w:shd w:val="clear" w:color="auto" w:fill="auto"/>
            <w:vAlign w:val="center"/>
          </w:tcPr>
          <w:p w14:paraId="5CCEED33">
            <w:pPr>
              <w:pStyle w:val="24"/>
            </w:pPr>
            <w:r>
              <w:rPr>
                <w:rFonts w:hint="eastAsia"/>
              </w:rPr>
              <w:t>Serious TRAE</w:t>
            </w:r>
          </w:p>
        </w:tc>
        <w:tc>
          <w:tcPr>
            <w:tcW w:w="0" w:type="auto"/>
            <w:shd w:val="clear" w:color="auto" w:fill="auto"/>
            <w:noWrap/>
            <w:vAlign w:val="center"/>
          </w:tcPr>
          <w:p w14:paraId="07B9D3B3">
            <w:pPr>
              <w:pStyle w:val="24"/>
            </w:pPr>
            <w:r>
              <w:rPr>
                <w:rFonts w:hint="eastAsia"/>
              </w:rPr>
              <w:t>BSC</w:t>
            </w:r>
          </w:p>
        </w:tc>
        <w:tc>
          <w:tcPr>
            <w:tcW w:w="0" w:type="auto"/>
            <w:shd w:val="clear" w:color="auto" w:fill="C6E0B4"/>
            <w:noWrap/>
            <w:vAlign w:val="center"/>
          </w:tcPr>
          <w:p w14:paraId="43D98C36">
            <w:pPr>
              <w:pStyle w:val="24"/>
            </w:pPr>
            <w:r>
              <w:rPr>
                <w:rFonts w:hint="eastAsia"/>
              </w:rPr>
              <w:t>6.63 (1.55, 31.57)</w:t>
            </w:r>
          </w:p>
        </w:tc>
        <w:tc>
          <w:tcPr>
            <w:tcW w:w="0" w:type="auto"/>
            <w:shd w:val="clear" w:color="auto" w:fill="C6E0B4"/>
            <w:noWrap/>
            <w:vAlign w:val="center"/>
          </w:tcPr>
          <w:p w14:paraId="77BE44A3">
            <w:pPr>
              <w:pStyle w:val="24"/>
            </w:pPr>
            <w:r>
              <w:rPr>
                <w:rFonts w:hint="eastAsia"/>
              </w:rPr>
              <w:t>7.34 (1.62, 32.9)</w:t>
            </w:r>
          </w:p>
        </w:tc>
        <w:tc>
          <w:tcPr>
            <w:tcW w:w="0" w:type="auto"/>
            <w:shd w:val="clear" w:color="auto" w:fill="auto"/>
            <w:noWrap/>
            <w:vAlign w:val="center"/>
          </w:tcPr>
          <w:p w14:paraId="1DA2AA1B">
            <w:pPr>
              <w:pStyle w:val="24"/>
            </w:pPr>
            <w:r>
              <w:rPr>
                <w:rFonts w:hint="eastAsia"/>
              </w:rPr>
              <w:t>NA</w:t>
            </w:r>
          </w:p>
        </w:tc>
        <w:tc>
          <w:tcPr>
            <w:tcW w:w="0" w:type="auto"/>
            <w:shd w:val="clear" w:color="auto" w:fill="auto"/>
            <w:noWrap/>
            <w:vAlign w:val="center"/>
          </w:tcPr>
          <w:p w14:paraId="7EDCE097">
            <w:pPr>
              <w:pStyle w:val="24"/>
            </w:pPr>
            <w:r>
              <w:rPr>
                <w:rFonts w:hint="eastAsia"/>
              </w:rPr>
              <w:t>7.51 (0.88, 65.32)</w:t>
            </w:r>
          </w:p>
        </w:tc>
        <w:tc>
          <w:tcPr>
            <w:tcW w:w="0" w:type="auto"/>
            <w:shd w:val="clear" w:color="auto" w:fill="auto"/>
            <w:noWrap/>
            <w:vAlign w:val="center"/>
          </w:tcPr>
          <w:p w14:paraId="030A71FD">
            <w:pPr>
              <w:pStyle w:val="24"/>
            </w:pPr>
            <w:r>
              <w:rPr>
                <w:rFonts w:hint="eastAsia"/>
              </w:rPr>
              <w:t>NA</w:t>
            </w:r>
          </w:p>
        </w:tc>
      </w:tr>
      <w:tr w14:paraId="44C8F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80" w:type="dxa"/>
            <w:vMerge w:val="continue"/>
            <w:shd w:val="clear" w:color="auto" w:fill="auto"/>
            <w:vAlign w:val="center"/>
          </w:tcPr>
          <w:p w14:paraId="0F2BDFE3">
            <w:pPr>
              <w:pStyle w:val="24"/>
            </w:pPr>
          </w:p>
        </w:tc>
        <w:tc>
          <w:tcPr>
            <w:tcW w:w="0" w:type="auto"/>
            <w:shd w:val="clear" w:color="auto" w:fill="auto"/>
            <w:noWrap/>
            <w:vAlign w:val="center"/>
          </w:tcPr>
          <w:p w14:paraId="099F7A3F">
            <w:pPr>
              <w:pStyle w:val="24"/>
            </w:pPr>
            <w:r>
              <w:rPr>
                <w:rFonts w:hint="eastAsia"/>
              </w:rPr>
              <w:t>0.89 (0.24,1.26)</w:t>
            </w:r>
          </w:p>
        </w:tc>
        <w:tc>
          <w:tcPr>
            <w:tcW w:w="0" w:type="auto"/>
            <w:shd w:val="clear" w:color="auto" w:fill="auto"/>
            <w:noWrap/>
            <w:vAlign w:val="center"/>
          </w:tcPr>
          <w:p w14:paraId="0F3E1BA4">
            <w:pPr>
              <w:pStyle w:val="24"/>
            </w:pPr>
            <w:r>
              <w:rPr>
                <w:rFonts w:hint="eastAsia"/>
              </w:rPr>
              <w:t>Fruquintinib</w:t>
            </w:r>
          </w:p>
        </w:tc>
        <w:tc>
          <w:tcPr>
            <w:tcW w:w="0" w:type="auto"/>
            <w:shd w:val="clear" w:color="auto" w:fill="auto"/>
            <w:noWrap/>
            <w:vAlign w:val="center"/>
          </w:tcPr>
          <w:p w14:paraId="59F66E5F">
            <w:pPr>
              <w:pStyle w:val="24"/>
            </w:pPr>
            <w:r>
              <w:rPr>
                <w:rFonts w:hint="eastAsia"/>
              </w:rPr>
              <w:t>1.11 (0.13, 8.81)</w:t>
            </w:r>
          </w:p>
        </w:tc>
        <w:tc>
          <w:tcPr>
            <w:tcW w:w="0" w:type="auto"/>
            <w:shd w:val="clear" w:color="auto" w:fill="auto"/>
            <w:noWrap/>
            <w:vAlign w:val="center"/>
          </w:tcPr>
          <w:p w14:paraId="6300D64D">
            <w:pPr>
              <w:pStyle w:val="24"/>
            </w:pPr>
            <w:r>
              <w:rPr>
                <w:rFonts w:hint="eastAsia"/>
              </w:rPr>
              <w:t>NA</w:t>
            </w:r>
          </w:p>
        </w:tc>
        <w:tc>
          <w:tcPr>
            <w:tcW w:w="0" w:type="auto"/>
            <w:shd w:val="clear" w:color="auto" w:fill="auto"/>
            <w:noWrap/>
            <w:vAlign w:val="center"/>
          </w:tcPr>
          <w:p w14:paraId="40645FDB">
            <w:pPr>
              <w:pStyle w:val="24"/>
            </w:pPr>
            <w:r>
              <w:rPr>
                <w:rFonts w:hint="eastAsia"/>
              </w:rPr>
              <w:t>1.13 (0.08, 15.08)</w:t>
            </w:r>
          </w:p>
        </w:tc>
        <w:tc>
          <w:tcPr>
            <w:tcW w:w="0" w:type="auto"/>
            <w:shd w:val="clear" w:color="auto" w:fill="auto"/>
            <w:noWrap/>
            <w:vAlign w:val="center"/>
          </w:tcPr>
          <w:p w14:paraId="57BC94AD">
            <w:pPr>
              <w:pStyle w:val="24"/>
            </w:pPr>
            <w:r>
              <w:rPr>
                <w:rFonts w:hint="eastAsia"/>
              </w:rPr>
              <w:t>NA</w:t>
            </w:r>
          </w:p>
        </w:tc>
      </w:tr>
      <w:tr w14:paraId="06363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80" w:type="dxa"/>
            <w:vMerge w:val="continue"/>
            <w:shd w:val="clear" w:color="auto" w:fill="auto"/>
            <w:vAlign w:val="center"/>
          </w:tcPr>
          <w:p w14:paraId="3AA6FCC6">
            <w:pPr>
              <w:pStyle w:val="24"/>
            </w:pPr>
          </w:p>
        </w:tc>
        <w:tc>
          <w:tcPr>
            <w:tcW w:w="0" w:type="auto"/>
            <w:shd w:val="clear" w:color="auto" w:fill="auto"/>
            <w:noWrap/>
            <w:vAlign w:val="center"/>
          </w:tcPr>
          <w:p w14:paraId="51C37758">
            <w:pPr>
              <w:pStyle w:val="24"/>
            </w:pPr>
            <w:r>
              <w:rPr>
                <w:rFonts w:hint="eastAsia"/>
              </w:rPr>
              <w:t>0.81 (0.6, 1.08)</w:t>
            </w:r>
          </w:p>
        </w:tc>
        <w:tc>
          <w:tcPr>
            <w:tcW w:w="0" w:type="auto"/>
            <w:shd w:val="clear" w:color="auto" w:fill="auto"/>
            <w:noWrap/>
            <w:vAlign w:val="center"/>
          </w:tcPr>
          <w:p w14:paraId="2134532E">
            <w:pPr>
              <w:pStyle w:val="24"/>
            </w:pPr>
            <w:r>
              <w:rPr>
                <w:rFonts w:hint="eastAsia"/>
              </w:rPr>
              <w:t>0.92 (0.54, 1.39)</w:t>
            </w:r>
          </w:p>
        </w:tc>
        <w:tc>
          <w:tcPr>
            <w:tcW w:w="0" w:type="auto"/>
            <w:shd w:val="clear" w:color="auto" w:fill="auto"/>
            <w:noWrap/>
            <w:vAlign w:val="center"/>
          </w:tcPr>
          <w:p w14:paraId="4FE3178D">
            <w:pPr>
              <w:pStyle w:val="24"/>
            </w:pPr>
            <w:r>
              <w:rPr>
                <w:rFonts w:hint="eastAsia"/>
              </w:rPr>
              <w:t>Regorafenib</w:t>
            </w:r>
          </w:p>
        </w:tc>
        <w:tc>
          <w:tcPr>
            <w:tcW w:w="0" w:type="auto"/>
            <w:shd w:val="clear" w:color="auto" w:fill="auto"/>
            <w:noWrap/>
            <w:vAlign w:val="center"/>
          </w:tcPr>
          <w:p w14:paraId="7C47131D">
            <w:pPr>
              <w:pStyle w:val="24"/>
            </w:pPr>
            <w:r>
              <w:rPr>
                <w:rFonts w:hint="eastAsia"/>
              </w:rPr>
              <w:t>NA</w:t>
            </w:r>
          </w:p>
        </w:tc>
        <w:tc>
          <w:tcPr>
            <w:tcW w:w="0" w:type="auto"/>
            <w:shd w:val="clear" w:color="auto" w:fill="auto"/>
            <w:noWrap/>
            <w:vAlign w:val="center"/>
          </w:tcPr>
          <w:p w14:paraId="66C4DA51">
            <w:pPr>
              <w:pStyle w:val="24"/>
            </w:pPr>
            <w:r>
              <w:rPr>
                <w:rFonts w:hint="eastAsia"/>
              </w:rPr>
              <w:t>1.02 (0.08, 13.75)</w:t>
            </w:r>
          </w:p>
        </w:tc>
        <w:tc>
          <w:tcPr>
            <w:tcW w:w="0" w:type="auto"/>
            <w:shd w:val="clear" w:color="auto" w:fill="auto"/>
            <w:noWrap/>
            <w:vAlign w:val="center"/>
          </w:tcPr>
          <w:p w14:paraId="4DCBCFA0">
            <w:pPr>
              <w:pStyle w:val="24"/>
            </w:pPr>
            <w:r>
              <w:rPr>
                <w:rFonts w:hint="eastAsia"/>
              </w:rPr>
              <w:t>NA</w:t>
            </w:r>
          </w:p>
        </w:tc>
      </w:tr>
      <w:tr w14:paraId="6187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80" w:type="dxa"/>
            <w:vMerge w:val="continue"/>
            <w:shd w:val="clear" w:color="auto" w:fill="auto"/>
            <w:vAlign w:val="center"/>
          </w:tcPr>
          <w:p w14:paraId="3A463485">
            <w:pPr>
              <w:pStyle w:val="24"/>
            </w:pPr>
          </w:p>
        </w:tc>
        <w:tc>
          <w:tcPr>
            <w:tcW w:w="0" w:type="auto"/>
            <w:shd w:val="clear" w:color="auto" w:fill="auto"/>
            <w:noWrap/>
            <w:vAlign w:val="center"/>
          </w:tcPr>
          <w:p w14:paraId="63FBB71A">
            <w:pPr>
              <w:pStyle w:val="24"/>
            </w:pPr>
            <w:r>
              <w:rPr>
                <w:rFonts w:hint="eastAsia"/>
              </w:rPr>
              <w:t>0.97 (0.3, 3.27)</w:t>
            </w:r>
          </w:p>
        </w:tc>
        <w:tc>
          <w:tcPr>
            <w:tcW w:w="0" w:type="auto"/>
            <w:shd w:val="clear" w:color="auto" w:fill="auto"/>
            <w:noWrap/>
            <w:vAlign w:val="center"/>
          </w:tcPr>
          <w:p w14:paraId="15CFA04C">
            <w:pPr>
              <w:pStyle w:val="24"/>
            </w:pPr>
            <w:r>
              <w:rPr>
                <w:rFonts w:hint="eastAsia"/>
              </w:rPr>
              <w:t>1.08 (0.58, 1.89)</w:t>
            </w:r>
          </w:p>
        </w:tc>
        <w:tc>
          <w:tcPr>
            <w:tcW w:w="0" w:type="auto"/>
            <w:shd w:val="clear" w:color="auto" w:fill="auto"/>
            <w:noWrap/>
            <w:vAlign w:val="center"/>
          </w:tcPr>
          <w:p w14:paraId="1C301213">
            <w:pPr>
              <w:pStyle w:val="24"/>
            </w:pPr>
            <w:r>
              <w:rPr>
                <w:rFonts w:hint="eastAsia"/>
              </w:rPr>
              <w:t>1.2 (0.38, 3.89)</w:t>
            </w:r>
          </w:p>
        </w:tc>
        <w:tc>
          <w:tcPr>
            <w:tcW w:w="0" w:type="auto"/>
            <w:shd w:val="clear" w:color="auto" w:fill="auto"/>
            <w:noWrap/>
            <w:vAlign w:val="center"/>
          </w:tcPr>
          <w:p w14:paraId="5A1339F8">
            <w:pPr>
              <w:pStyle w:val="24"/>
            </w:pPr>
            <w:r>
              <w:rPr>
                <w:rFonts w:hint="eastAsia"/>
              </w:rPr>
              <w:t>REDoS</w:t>
            </w:r>
          </w:p>
        </w:tc>
        <w:tc>
          <w:tcPr>
            <w:tcW w:w="0" w:type="auto"/>
            <w:shd w:val="clear" w:color="auto" w:fill="auto"/>
            <w:noWrap/>
            <w:vAlign w:val="center"/>
          </w:tcPr>
          <w:p w14:paraId="3A511C02">
            <w:pPr>
              <w:pStyle w:val="24"/>
            </w:pPr>
            <w:r>
              <w:rPr>
                <w:rFonts w:hint="eastAsia"/>
              </w:rPr>
              <w:t>NA</w:t>
            </w:r>
          </w:p>
        </w:tc>
        <w:tc>
          <w:tcPr>
            <w:tcW w:w="0" w:type="auto"/>
            <w:shd w:val="clear" w:color="auto" w:fill="auto"/>
            <w:noWrap/>
            <w:vAlign w:val="center"/>
          </w:tcPr>
          <w:p w14:paraId="35BA0554">
            <w:pPr>
              <w:pStyle w:val="24"/>
            </w:pPr>
            <w:r>
              <w:rPr>
                <w:rFonts w:hint="eastAsia"/>
              </w:rPr>
              <w:t>NA</w:t>
            </w:r>
          </w:p>
        </w:tc>
      </w:tr>
      <w:tr w14:paraId="12BB9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80" w:type="dxa"/>
            <w:vMerge w:val="continue"/>
            <w:shd w:val="clear" w:color="auto" w:fill="auto"/>
            <w:vAlign w:val="center"/>
          </w:tcPr>
          <w:p w14:paraId="46AD58E4">
            <w:pPr>
              <w:pStyle w:val="24"/>
            </w:pPr>
          </w:p>
        </w:tc>
        <w:tc>
          <w:tcPr>
            <w:tcW w:w="0" w:type="auto"/>
            <w:shd w:val="clear" w:color="auto" w:fill="auto"/>
            <w:noWrap/>
            <w:vAlign w:val="center"/>
          </w:tcPr>
          <w:p w14:paraId="37470DE6">
            <w:pPr>
              <w:pStyle w:val="24"/>
            </w:pPr>
            <w:r>
              <w:rPr>
                <w:rFonts w:hint="eastAsia"/>
              </w:rPr>
              <w:t>0.98 (0.59, 1.59)</w:t>
            </w:r>
          </w:p>
        </w:tc>
        <w:tc>
          <w:tcPr>
            <w:tcW w:w="0" w:type="auto"/>
            <w:shd w:val="clear" w:color="auto" w:fill="auto"/>
            <w:noWrap/>
            <w:vAlign w:val="center"/>
          </w:tcPr>
          <w:p w14:paraId="059A7D83">
            <w:pPr>
              <w:pStyle w:val="24"/>
            </w:pPr>
            <w:r>
              <w:rPr>
                <w:rFonts w:hint="eastAsia"/>
              </w:rPr>
              <w:t>1.11 (0.62, 1.79)</w:t>
            </w:r>
          </w:p>
        </w:tc>
        <w:tc>
          <w:tcPr>
            <w:tcW w:w="0" w:type="auto"/>
            <w:shd w:val="clear" w:color="auto" w:fill="auto"/>
            <w:noWrap/>
            <w:vAlign w:val="center"/>
          </w:tcPr>
          <w:p w14:paraId="3CDC4675">
            <w:pPr>
              <w:pStyle w:val="24"/>
            </w:pPr>
            <w:r>
              <w:rPr>
                <w:rFonts w:hint="eastAsia"/>
              </w:rPr>
              <w:t>1.21 (0.67, 2.13)</w:t>
            </w:r>
          </w:p>
        </w:tc>
        <w:tc>
          <w:tcPr>
            <w:tcW w:w="0" w:type="auto"/>
            <w:shd w:val="clear" w:color="auto" w:fill="auto"/>
            <w:noWrap/>
            <w:vAlign w:val="center"/>
          </w:tcPr>
          <w:p w14:paraId="2EDAF0DD">
            <w:pPr>
              <w:pStyle w:val="24"/>
            </w:pPr>
            <w:r>
              <w:rPr>
                <w:rFonts w:hint="eastAsia"/>
              </w:rPr>
              <w:t>1 (0.27, 3.63)</w:t>
            </w:r>
          </w:p>
        </w:tc>
        <w:tc>
          <w:tcPr>
            <w:tcW w:w="0" w:type="auto"/>
            <w:shd w:val="clear" w:color="auto" w:fill="auto"/>
            <w:noWrap/>
            <w:vAlign w:val="center"/>
          </w:tcPr>
          <w:p w14:paraId="08A00320">
            <w:pPr>
              <w:pStyle w:val="24"/>
            </w:pPr>
            <w:r>
              <w:rPr>
                <w:rFonts w:hint="eastAsia"/>
              </w:rPr>
              <w:t>TAS-102</w:t>
            </w:r>
          </w:p>
        </w:tc>
        <w:tc>
          <w:tcPr>
            <w:tcW w:w="0" w:type="auto"/>
            <w:shd w:val="clear" w:color="auto" w:fill="auto"/>
            <w:noWrap/>
            <w:vAlign w:val="center"/>
          </w:tcPr>
          <w:p w14:paraId="371DE4D1">
            <w:pPr>
              <w:pStyle w:val="24"/>
            </w:pPr>
            <w:r>
              <w:rPr>
                <w:rFonts w:hint="eastAsia"/>
              </w:rPr>
              <w:t>NA</w:t>
            </w:r>
          </w:p>
        </w:tc>
      </w:tr>
      <w:tr w14:paraId="3067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80" w:type="dxa"/>
            <w:vMerge w:val="continue"/>
            <w:shd w:val="clear" w:color="auto" w:fill="auto"/>
            <w:vAlign w:val="center"/>
          </w:tcPr>
          <w:p w14:paraId="0082FB65">
            <w:pPr>
              <w:pStyle w:val="24"/>
            </w:pPr>
          </w:p>
        </w:tc>
        <w:tc>
          <w:tcPr>
            <w:tcW w:w="0" w:type="auto"/>
            <w:shd w:val="clear" w:color="auto" w:fill="auto"/>
            <w:noWrap/>
            <w:vAlign w:val="center"/>
          </w:tcPr>
          <w:p w14:paraId="2039758C">
            <w:pPr>
              <w:pStyle w:val="24"/>
            </w:pPr>
            <w:r>
              <w:rPr>
                <w:rFonts w:hint="eastAsia"/>
              </w:rPr>
              <w:t>0.85 (0.32, 2.24)</w:t>
            </w:r>
          </w:p>
        </w:tc>
        <w:tc>
          <w:tcPr>
            <w:tcW w:w="0" w:type="auto"/>
            <w:shd w:val="clear" w:color="auto" w:fill="auto"/>
            <w:noWrap/>
            <w:vAlign w:val="center"/>
          </w:tcPr>
          <w:p w14:paraId="4D7E6C48">
            <w:pPr>
              <w:pStyle w:val="24"/>
            </w:pPr>
            <w:r>
              <w:rPr>
                <w:rFonts w:hint="eastAsia"/>
              </w:rPr>
              <w:t>0.97 (0.59, 1.44)</w:t>
            </w:r>
          </w:p>
        </w:tc>
        <w:tc>
          <w:tcPr>
            <w:tcW w:w="0" w:type="auto"/>
            <w:shd w:val="clear" w:color="auto" w:fill="auto"/>
            <w:noWrap/>
            <w:vAlign w:val="center"/>
          </w:tcPr>
          <w:p w14:paraId="08AC1859">
            <w:pPr>
              <w:pStyle w:val="24"/>
            </w:pPr>
            <w:r>
              <w:rPr>
                <w:rFonts w:hint="eastAsia"/>
              </w:rPr>
              <w:t>1.05 (0.38, 2.89)</w:t>
            </w:r>
          </w:p>
        </w:tc>
        <w:tc>
          <w:tcPr>
            <w:tcW w:w="0" w:type="auto"/>
            <w:shd w:val="clear" w:color="auto" w:fill="auto"/>
            <w:noWrap/>
            <w:vAlign w:val="center"/>
          </w:tcPr>
          <w:p w14:paraId="26F5A9C3">
            <w:pPr>
              <w:pStyle w:val="24"/>
            </w:pPr>
            <w:r>
              <w:rPr>
                <w:rFonts w:hint="eastAsia"/>
              </w:rPr>
              <w:t>0.87 (0.18, 3.98)</w:t>
            </w:r>
          </w:p>
        </w:tc>
        <w:tc>
          <w:tcPr>
            <w:tcW w:w="0" w:type="auto"/>
            <w:shd w:val="clear" w:color="auto" w:fill="auto"/>
            <w:noWrap/>
            <w:vAlign w:val="center"/>
          </w:tcPr>
          <w:p w14:paraId="2AB7162E">
            <w:pPr>
              <w:pStyle w:val="24"/>
            </w:pPr>
            <w:r>
              <w:rPr>
                <w:rFonts w:hint="eastAsia"/>
              </w:rPr>
              <w:t>0.87 (0.38, 2)</w:t>
            </w:r>
          </w:p>
        </w:tc>
        <w:tc>
          <w:tcPr>
            <w:tcW w:w="0" w:type="auto"/>
            <w:shd w:val="clear" w:color="auto" w:fill="auto"/>
            <w:noWrap/>
            <w:vAlign w:val="center"/>
          </w:tcPr>
          <w:p w14:paraId="2EF7931D">
            <w:pPr>
              <w:pStyle w:val="24"/>
            </w:pPr>
            <w:r>
              <w:rPr>
                <w:rFonts w:hint="eastAsia"/>
              </w:rPr>
              <w:t>TAS-102+BEV</w:t>
            </w:r>
          </w:p>
        </w:tc>
      </w:tr>
    </w:tbl>
    <w:p w14:paraId="450DA688">
      <w:pPr>
        <w:rPr>
          <w:szCs w:val="20"/>
        </w:rPr>
        <w:sectPr>
          <w:pgSz w:w="16838" w:h="11906" w:orient="landscape"/>
          <w:pgMar w:top="1800" w:right="1440" w:bottom="1800" w:left="1440" w:header="851" w:footer="992" w:gutter="0"/>
          <w:cols w:space="425" w:num="1"/>
          <w:titlePg/>
          <w:docGrid w:type="lines" w:linePitch="326" w:charSpace="0"/>
        </w:sectPr>
      </w:pPr>
      <w:r>
        <w:rPr>
          <w:szCs w:val="20"/>
        </w:rPr>
        <w:t>BSC, Best Supportive Care; REDo, regorafenib dose optimization; TAS-102, trifluridine/tipiracil; TAS-BEV, TAS-102 with bevacizumab</w:t>
      </w:r>
      <w:r>
        <w:rPr>
          <w:rFonts w:hint="eastAsia"/>
          <w:szCs w:val="20"/>
        </w:rPr>
        <w:t>; TRAE, treatment-related adverse event.</w:t>
      </w:r>
    </w:p>
    <w:p w14:paraId="18067FD8">
      <w:pPr>
        <w:pStyle w:val="2"/>
        <w:rPr>
          <w:rFonts w:hint="default"/>
        </w:rPr>
      </w:pPr>
      <w:bookmarkStart w:id="8" w:name="_Toc870"/>
      <w:r>
        <w:t>Table S3 Summary of Fit Effects for Fractional Polynomial Models in the NMA</w:t>
      </w:r>
      <w:bookmarkEnd w:id="8"/>
    </w:p>
    <w:tbl>
      <w:tblPr>
        <w:tblStyle w:val="1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54"/>
        <w:gridCol w:w="990"/>
        <w:gridCol w:w="3223"/>
        <w:gridCol w:w="953"/>
      </w:tblGrid>
      <w:tr w14:paraId="5D1B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549" w:type="pct"/>
            <w:gridSpan w:val="2"/>
            <w:shd w:val="clear" w:color="auto" w:fill="auto"/>
            <w:noWrap/>
            <w:vAlign w:val="center"/>
          </w:tcPr>
          <w:p w14:paraId="17EB4DC2">
            <w:pPr>
              <w:pStyle w:val="24"/>
              <w:rPr>
                <w:sz w:val="18"/>
                <w:szCs w:val="18"/>
              </w:rPr>
            </w:pPr>
            <w:r>
              <w:rPr>
                <w:rFonts w:hint="eastAsia"/>
                <w:sz w:val="18"/>
                <w:szCs w:val="18"/>
              </w:rPr>
              <w:t>Overall Survival</w:t>
            </w:r>
          </w:p>
        </w:tc>
        <w:tc>
          <w:tcPr>
            <w:tcW w:w="2450" w:type="pct"/>
            <w:gridSpan w:val="2"/>
            <w:shd w:val="clear" w:color="auto" w:fill="auto"/>
            <w:noWrap/>
            <w:vAlign w:val="center"/>
          </w:tcPr>
          <w:p w14:paraId="44E71D2E">
            <w:pPr>
              <w:pStyle w:val="24"/>
              <w:rPr>
                <w:sz w:val="18"/>
                <w:szCs w:val="18"/>
              </w:rPr>
            </w:pPr>
            <w:r>
              <w:rPr>
                <w:rFonts w:hint="eastAsia"/>
                <w:sz w:val="18"/>
                <w:szCs w:val="18"/>
              </w:rPr>
              <w:t>Progression-free Survival</w:t>
            </w:r>
          </w:p>
        </w:tc>
      </w:tr>
      <w:tr w14:paraId="07D3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0E34F532">
            <w:pPr>
              <w:pStyle w:val="24"/>
              <w:rPr>
                <w:sz w:val="18"/>
                <w:szCs w:val="18"/>
              </w:rPr>
            </w:pPr>
            <w:r>
              <w:rPr>
                <w:rFonts w:hint="eastAsia"/>
                <w:sz w:val="18"/>
                <w:szCs w:val="18"/>
              </w:rPr>
              <w:t>Model</w:t>
            </w:r>
          </w:p>
        </w:tc>
        <w:tc>
          <w:tcPr>
            <w:tcW w:w="580" w:type="pct"/>
            <w:shd w:val="clear" w:color="auto" w:fill="auto"/>
            <w:noWrap/>
            <w:vAlign w:val="center"/>
          </w:tcPr>
          <w:p w14:paraId="410FB833">
            <w:pPr>
              <w:pStyle w:val="24"/>
              <w:rPr>
                <w:sz w:val="18"/>
                <w:szCs w:val="18"/>
              </w:rPr>
            </w:pPr>
            <w:r>
              <w:rPr>
                <w:rFonts w:hint="eastAsia"/>
                <w:sz w:val="18"/>
                <w:szCs w:val="18"/>
              </w:rPr>
              <w:t>AIC</w:t>
            </w:r>
          </w:p>
        </w:tc>
        <w:tc>
          <w:tcPr>
            <w:tcW w:w="1891" w:type="pct"/>
            <w:shd w:val="clear" w:color="auto" w:fill="auto"/>
            <w:noWrap/>
            <w:vAlign w:val="center"/>
          </w:tcPr>
          <w:p w14:paraId="53F843F6">
            <w:pPr>
              <w:pStyle w:val="24"/>
              <w:rPr>
                <w:sz w:val="18"/>
                <w:szCs w:val="18"/>
              </w:rPr>
            </w:pPr>
            <w:r>
              <w:rPr>
                <w:rFonts w:hint="eastAsia"/>
                <w:sz w:val="18"/>
                <w:szCs w:val="18"/>
              </w:rPr>
              <w:t>Model</w:t>
            </w:r>
          </w:p>
        </w:tc>
        <w:tc>
          <w:tcPr>
            <w:tcW w:w="558" w:type="pct"/>
            <w:shd w:val="clear" w:color="auto" w:fill="auto"/>
            <w:noWrap/>
            <w:vAlign w:val="center"/>
          </w:tcPr>
          <w:p w14:paraId="0C9D09A8">
            <w:pPr>
              <w:pStyle w:val="24"/>
              <w:rPr>
                <w:sz w:val="18"/>
                <w:szCs w:val="18"/>
              </w:rPr>
            </w:pPr>
            <w:r>
              <w:rPr>
                <w:rFonts w:hint="eastAsia"/>
                <w:sz w:val="18"/>
                <w:szCs w:val="18"/>
              </w:rPr>
              <w:t>AIC</w:t>
            </w:r>
          </w:p>
        </w:tc>
      </w:tr>
      <w:tr w14:paraId="1E531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3731CAFE">
            <w:pPr>
              <w:pStyle w:val="24"/>
              <w:rPr>
                <w:sz w:val="18"/>
                <w:szCs w:val="18"/>
              </w:rPr>
            </w:pPr>
            <w:r>
              <w:rPr>
                <w:rFonts w:hint="eastAsia"/>
                <w:sz w:val="18"/>
                <w:szCs w:val="18"/>
              </w:rPr>
              <w:t>Second order FP,p1=-0.5, p2=0#</w:t>
            </w:r>
          </w:p>
        </w:tc>
        <w:tc>
          <w:tcPr>
            <w:tcW w:w="580" w:type="pct"/>
            <w:shd w:val="clear" w:color="auto" w:fill="auto"/>
            <w:noWrap/>
            <w:vAlign w:val="center"/>
          </w:tcPr>
          <w:p w14:paraId="69B378FE">
            <w:pPr>
              <w:pStyle w:val="24"/>
              <w:rPr>
                <w:sz w:val="18"/>
                <w:szCs w:val="18"/>
              </w:rPr>
            </w:pPr>
            <w:r>
              <w:rPr>
                <w:rFonts w:hint="eastAsia"/>
                <w:sz w:val="18"/>
                <w:szCs w:val="18"/>
              </w:rPr>
              <w:t>1376.74</w:t>
            </w:r>
          </w:p>
        </w:tc>
        <w:tc>
          <w:tcPr>
            <w:tcW w:w="1891" w:type="pct"/>
            <w:shd w:val="clear" w:color="auto" w:fill="auto"/>
            <w:noWrap/>
            <w:vAlign w:val="center"/>
          </w:tcPr>
          <w:p w14:paraId="54B87FB5">
            <w:pPr>
              <w:pStyle w:val="24"/>
              <w:rPr>
                <w:sz w:val="18"/>
                <w:szCs w:val="18"/>
              </w:rPr>
            </w:pPr>
            <w:r>
              <w:rPr>
                <w:rFonts w:hint="eastAsia"/>
                <w:sz w:val="18"/>
                <w:szCs w:val="18"/>
              </w:rPr>
              <w:t>Second order FP,p1=-2, p2=-1#</w:t>
            </w:r>
          </w:p>
        </w:tc>
        <w:tc>
          <w:tcPr>
            <w:tcW w:w="558" w:type="pct"/>
            <w:shd w:val="clear" w:color="auto" w:fill="auto"/>
            <w:noWrap/>
            <w:vAlign w:val="center"/>
          </w:tcPr>
          <w:p w14:paraId="055F167F">
            <w:pPr>
              <w:pStyle w:val="24"/>
              <w:rPr>
                <w:sz w:val="18"/>
                <w:szCs w:val="18"/>
              </w:rPr>
            </w:pPr>
            <w:r>
              <w:rPr>
                <w:rFonts w:hint="eastAsia"/>
                <w:sz w:val="18"/>
                <w:szCs w:val="18"/>
              </w:rPr>
              <w:t>1425.31</w:t>
            </w:r>
          </w:p>
        </w:tc>
      </w:tr>
      <w:tr w14:paraId="656A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14338264">
            <w:pPr>
              <w:pStyle w:val="24"/>
              <w:rPr>
                <w:sz w:val="18"/>
                <w:szCs w:val="18"/>
              </w:rPr>
            </w:pPr>
            <w:r>
              <w:rPr>
                <w:rFonts w:hint="eastAsia"/>
                <w:sz w:val="18"/>
                <w:szCs w:val="18"/>
              </w:rPr>
              <w:t>Second order FP,p1=-1, p2=0</w:t>
            </w:r>
          </w:p>
        </w:tc>
        <w:tc>
          <w:tcPr>
            <w:tcW w:w="580" w:type="pct"/>
            <w:shd w:val="clear" w:color="auto" w:fill="auto"/>
            <w:noWrap/>
            <w:vAlign w:val="center"/>
          </w:tcPr>
          <w:p w14:paraId="71EA71F0">
            <w:pPr>
              <w:pStyle w:val="24"/>
              <w:rPr>
                <w:sz w:val="18"/>
                <w:szCs w:val="18"/>
              </w:rPr>
            </w:pPr>
            <w:r>
              <w:rPr>
                <w:rFonts w:hint="eastAsia"/>
                <w:sz w:val="18"/>
                <w:szCs w:val="18"/>
              </w:rPr>
              <w:t>1377</w:t>
            </w:r>
          </w:p>
        </w:tc>
        <w:tc>
          <w:tcPr>
            <w:tcW w:w="1891" w:type="pct"/>
            <w:shd w:val="clear" w:color="auto" w:fill="auto"/>
            <w:noWrap/>
            <w:vAlign w:val="center"/>
          </w:tcPr>
          <w:p w14:paraId="1DB3B367">
            <w:pPr>
              <w:pStyle w:val="24"/>
              <w:rPr>
                <w:sz w:val="18"/>
                <w:szCs w:val="18"/>
              </w:rPr>
            </w:pPr>
            <w:r>
              <w:rPr>
                <w:rFonts w:hint="eastAsia"/>
                <w:sz w:val="18"/>
                <w:szCs w:val="18"/>
              </w:rPr>
              <w:t>Second order FP,p1=-2, p2=-0.5</w:t>
            </w:r>
          </w:p>
        </w:tc>
        <w:tc>
          <w:tcPr>
            <w:tcW w:w="558" w:type="pct"/>
            <w:shd w:val="clear" w:color="auto" w:fill="auto"/>
            <w:noWrap/>
            <w:vAlign w:val="center"/>
          </w:tcPr>
          <w:p w14:paraId="24F4BEAD">
            <w:pPr>
              <w:pStyle w:val="24"/>
              <w:rPr>
                <w:sz w:val="18"/>
                <w:szCs w:val="18"/>
              </w:rPr>
            </w:pPr>
            <w:r>
              <w:rPr>
                <w:rFonts w:hint="eastAsia"/>
                <w:sz w:val="18"/>
                <w:szCs w:val="18"/>
              </w:rPr>
              <w:t>1462.88</w:t>
            </w:r>
          </w:p>
        </w:tc>
      </w:tr>
      <w:tr w14:paraId="7C30C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0E8C4698">
            <w:pPr>
              <w:pStyle w:val="24"/>
              <w:rPr>
                <w:sz w:val="18"/>
                <w:szCs w:val="18"/>
              </w:rPr>
            </w:pPr>
            <w:r>
              <w:rPr>
                <w:rFonts w:hint="eastAsia"/>
                <w:sz w:val="18"/>
                <w:szCs w:val="18"/>
              </w:rPr>
              <w:t>Second order FP,p1=-1, p2=-0.5</w:t>
            </w:r>
          </w:p>
        </w:tc>
        <w:tc>
          <w:tcPr>
            <w:tcW w:w="580" w:type="pct"/>
            <w:shd w:val="clear" w:color="auto" w:fill="auto"/>
            <w:noWrap/>
            <w:vAlign w:val="center"/>
          </w:tcPr>
          <w:p w14:paraId="48E36580">
            <w:pPr>
              <w:pStyle w:val="24"/>
              <w:rPr>
                <w:sz w:val="18"/>
                <w:szCs w:val="18"/>
              </w:rPr>
            </w:pPr>
            <w:r>
              <w:rPr>
                <w:rFonts w:hint="eastAsia"/>
                <w:sz w:val="18"/>
                <w:szCs w:val="18"/>
              </w:rPr>
              <w:t>1377.6</w:t>
            </w:r>
          </w:p>
        </w:tc>
        <w:tc>
          <w:tcPr>
            <w:tcW w:w="1891" w:type="pct"/>
            <w:shd w:val="clear" w:color="auto" w:fill="auto"/>
            <w:noWrap/>
            <w:vAlign w:val="center"/>
          </w:tcPr>
          <w:p w14:paraId="6C8887BD">
            <w:pPr>
              <w:pStyle w:val="24"/>
              <w:rPr>
                <w:sz w:val="18"/>
                <w:szCs w:val="18"/>
              </w:rPr>
            </w:pPr>
            <w:r>
              <w:rPr>
                <w:rFonts w:hint="eastAsia"/>
                <w:sz w:val="18"/>
                <w:szCs w:val="18"/>
              </w:rPr>
              <w:t>Second order FP,p1=-2, p2=0</w:t>
            </w:r>
          </w:p>
        </w:tc>
        <w:tc>
          <w:tcPr>
            <w:tcW w:w="558" w:type="pct"/>
            <w:shd w:val="clear" w:color="auto" w:fill="auto"/>
            <w:noWrap/>
            <w:vAlign w:val="center"/>
          </w:tcPr>
          <w:p w14:paraId="6E9889D4">
            <w:pPr>
              <w:pStyle w:val="24"/>
              <w:rPr>
                <w:sz w:val="18"/>
                <w:szCs w:val="18"/>
              </w:rPr>
            </w:pPr>
            <w:r>
              <w:rPr>
                <w:rFonts w:hint="eastAsia"/>
                <w:sz w:val="18"/>
                <w:szCs w:val="18"/>
              </w:rPr>
              <w:t>1508.8</w:t>
            </w:r>
          </w:p>
        </w:tc>
      </w:tr>
      <w:tr w14:paraId="58832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37DF27E5">
            <w:pPr>
              <w:pStyle w:val="24"/>
              <w:rPr>
                <w:sz w:val="18"/>
                <w:szCs w:val="18"/>
              </w:rPr>
            </w:pPr>
            <w:r>
              <w:rPr>
                <w:rFonts w:hint="eastAsia"/>
                <w:sz w:val="18"/>
                <w:szCs w:val="18"/>
              </w:rPr>
              <w:t>Second order FP,p1=-1, p2=0.5</w:t>
            </w:r>
          </w:p>
        </w:tc>
        <w:tc>
          <w:tcPr>
            <w:tcW w:w="580" w:type="pct"/>
            <w:shd w:val="clear" w:color="auto" w:fill="auto"/>
            <w:noWrap/>
            <w:vAlign w:val="center"/>
          </w:tcPr>
          <w:p w14:paraId="34A838D2">
            <w:pPr>
              <w:pStyle w:val="24"/>
              <w:rPr>
                <w:sz w:val="18"/>
                <w:szCs w:val="18"/>
              </w:rPr>
            </w:pPr>
            <w:r>
              <w:rPr>
                <w:rFonts w:hint="eastAsia"/>
                <w:sz w:val="18"/>
                <w:szCs w:val="18"/>
              </w:rPr>
              <w:t>1378.47</w:t>
            </w:r>
          </w:p>
        </w:tc>
        <w:tc>
          <w:tcPr>
            <w:tcW w:w="1891" w:type="pct"/>
            <w:shd w:val="clear" w:color="auto" w:fill="auto"/>
            <w:noWrap/>
            <w:vAlign w:val="center"/>
          </w:tcPr>
          <w:p w14:paraId="02112621">
            <w:pPr>
              <w:pStyle w:val="24"/>
              <w:rPr>
                <w:sz w:val="18"/>
                <w:szCs w:val="18"/>
              </w:rPr>
            </w:pPr>
            <w:r>
              <w:rPr>
                <w:rFonts w:hint="eastAsia"/>
                <w:sz w:val="18"/>
                <w:szCs w:val="18"/>
              </w:rPr>
              <w:t>Second order FP,p1=-2, p2=0.5</w:t>
            </w:r>
          </w:p>
        </w:tc>
        <w:tc>
          <w:tcPr>
            <w:tcW w:w="558" w:type="pct"/>
            <w:shd w:val="clear" w:color="auto" w:fill="auto"/>
            <w:noWrap/>
            <w:vAlign w:val="center"/>
          </w:tcPr>
          <w:p w14:paraId="079A0E69">
            <w:pPr>
              <w:pStyle w:val="24"/>
              <w:rPr>
                <w:sz w:val="18"/>
                <w:szCs w:val="18"/>
              </w:rPr>
            </w:pPr>
            <w:r>
              <w:rPr>
                <w:rFonts w:hint="eastAsia"/>
                <w:sz w:val="18"/>
                <w:szCs w:val="18"/>
              </w:rPr>
              <w:t>1561.68</w:t>
            </w:r>
          </w:p>
        </w:tc>
      </w:tr>
      <w:tr w14:paraId="73CA00CA">
        <w:tblPrEx>
          <w:tblCellMar>
            <w:top w:w="0" w:type="dxa"/>
            <w:left w:w="108" w:type="dxa"/>
            <w:bottom w:w="0" w:type="dxa"/>
            <w:right w:w="108" w:type="dxa"/>
          </w:tblCellMar>
        </w:tblPrEx>
        <w:trPr>
          <w:trHeight w:val="23" w:hRule="atLeast"/>
        </w:trPr>
        <w:tc>
          <w:tcPr>
            <w:tcW w:w="1968" w:type="pct"/>
            <w:shd w:val="clear" w:color="auto" w:fill="auto"/>
            <w:noWrap/>
            <w:vAlign w:val="center"/>
          </w:tcPr>
          <w:p w14:paraId="00F5B3D1">
            <w:pPr>
              <w:pStyle w:val="24"/>
              <w:rPr>
                <w:sz w:val="18"/>
                <w:szCs w:val="18"/>
              </w:rPr>
            </w:pPr>
            <w:r>
              <w:rPr>
                <w:rFonts w:hint="eastAsia"/>
                <w:sz w:val="18"/>
                <w:szCs w:val="18"/>
              </w:rPr>
              <w:t>Second order FP,p1=-1, p2=1</w:t>
            </w:r>
          </w:p>
        </w:tc>
        <w:tc>
          <w:tcPr>
            <w:tcW w:w="580" w:type="pct"/>
            <w:shd w:val="clear" w:color="auto" w:fill="auto"/>
            <w:noWrap/>
            <w:vAlign w:val="center"/>
          </w:tcPr>
          <w:p w14:paraId="3D0600E4">
            <w:pPr>
              <w:pStyle w:val="24"/>
              <w:rPr>
                <w:sz w:val="18"/>
                <w:szCs w:val="18"/>
              </w:rPr>
            </w:pPr>
            <w:r>
              <w:rPr>
                <w:rFonts w:hint="eastAsia"/>
                <w:sz w:val="18"/>
                <w:szCs w:val="18"/>
              </w:rPr>
              <w:t>1381.92</w:t>
            </w:r>
          </w:p>
        </w:tc>
        <w:tc>
          <w:tcPr>
            <w:tcW w:w="1891" w:type="pct"/>
            <w:shd w:val="clear" w:color="auto" w:fill="auto"/>
            <w:noWrap/>
            <w:vAlign w:val="center"/>
          </w:tcPr>
          <w:p w14:paraId="1BE7CF28">
            <w:pPr>
              <w:pStyle w:val="24"/>
              <w:rPr>
                <w:sz w:val="18"/>
                <w:szCs w:val="18"/>
              </w:rPr>
            </w:pPr>
            <w:r>
              <w:rPr>
                <w:rFonts w:hint="eastAsia"/>
                <w:sz w:val="18"/>
                <w:szCs w:val="18"/>
              </w:rPr>
              <w:t>Second order FP,p1=-1, p2=-0.5</w:t>
            </w:r>
          </w:p>
        </w:tc>
        <w:tc>
          <w:tcPr>
            <w:tcW w:w="558" w:type="pct"/>
            <w:shd w:val="clear" w:color="auto" w:fill="auto"/>
            <w:noWrap/>
            <w:vAlign w:val="center"/>
          </w:tcPr>
          <w:p w14:paraId="76EE497D">
            <w:pPr>
              <w:pStyle w:val="24"/>
              <w:rPr>
                <w:sz w:val="18"/>
                <w:szCs w:val="18"/>
              </w:rPr>
            </w:pPr>
            <w:r>
              <w:rPr>
                <w:rFonts w:hint="eastAsia"/>
                <w:sz w:val="18"/>
                <w:szCs w:val="18"/>
              </w:rPr>
              <w:t>1563.11</w:t>
            </w:r>
          </w:p>
        </w:tc>
      </w:tr>
      <w:tr w14:paraId="2749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53F985C0">
            <w:pPr>
              <w:pStyle w:val="24"/>
              <w:rPr>
                <w:sz w:val="18"/>
                <w:szCs w:val="18"/>
              </w:rPr>
            </w:pPr>
            <w:r>
              <w:rPr>
                <w:rFonts w:hint="eastAsia"/>
                <w:sz w:val="18"/>
                <w:szCs w:val="18"/>
              </w:rPr>
              <w:t>Second order FP,p1=-0.5, p2=0.5</w:t>
            </w:r>
          </w:p>
        </w:tc>
        <w:tc>
          <w:tcPr>
            <w:tcW w:w="580" w:type="pct"/>
            <w:shd w:val="clear" w:color="auto" w:fill="auto"/>
            <w:noWrap/>
            <w:vAlign w:val="center"/>
          </w:tcPr>
          <w:p w14:paraId="1DE4C8F6">
            <w:pPr>
              <w:pStyle w:val="24"/>
              <w:rPr>
                <w:sz w:val="18"/>
                <w:szCs w:val="18"/>
              </w:rPr>
            </w:pPr>
            <w:r>
              <w:rPr>
                <w:rFonts w:hint="eastAsia"/>
                <w:sz w:val="18"/>
                <w:szCs w:val="18"/>
              </w:rPr>
              <w:t>1382.32</w:t>
            </w:r>
          </w:p>
        </w:tc>
        <w:tc>
          <w:tcPr>
            <w:tcW w:w="1891" w:type="pct"/>
            <w:shd w:val="clear" w:color="auto" w:fill="auto"/>
            <w:noWrap/>
            <w:vAlign w:val="center"/>
          </w:tcPr>
          <w:p w14:paraId="63BC9755">
            <w:pPr>
              <w:pStyle w:val="24"/>
              <w:rPr>
                <w:sz w:val="18"/>
                <w:szCs w:val="18"/>
              </w:rPr>
            </w:pPr>
            <w:r>
              <w:rPr>
                <w:rFonts w:hint="eastAsia"/>
                <w:sz w:val="18"/>
                <w:szCs w:val="18"/>
              </w:rPr>
              <w:t>Second order FP,p1=-2, p2=1</w:t>
            </w:r>
          </w:p>
        </w:tc>
        <w:tc>
          <w:tcPr>
            <w:tcW w:w="558" w:type="pct"/>
            <w:shd w:val="clear" w:color="auto" w:fill="auto"/>
            <w:noWrap/>
            <w:vAlign w:val="center"/>
          </w:tcPr>
          <w:p w14:paraId="4DCE3736">
            <w:pPr>
              <w:pStyle w:val="24"/>
              <w:rPr>
                <w:sz w:val="18"/>
                <w:szCs w:val="18"/>
              </w:rPr>
            </w:pPr>
            <w:r>
              <w:rPr>
                <w:rFonts w:hint="eastAsia"/>
                <w:sz w:val="18"/>
                <w:szCs w:val="18"/>
              </w:rPr>
              <w:t>1618.42</w:t>
            </w:r>
          </w:p>
        </w:tc>
      </w:tr>
      <w:tr w14:paraId="3B2D1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567F7B88">
            <w:pPr>
              <w:pStyle w:val="24"/>
              <w:rPr>
                <w:sz w:val="18"/>
                <w:szCs w:val="18"/>
              </w:rPr>
            </w:pPr>
            <w:r>
              <w:rPr>
                <w:rFonts w:hint="eastAsia"/>
                <w:sz w:val="18"/>
                <w:szCs w:val="18"/>
              </w:rPr>
              <w:t>Second order FP,p1=-2, p2=-1</w:t>
            </w:r>
          </w:p>
        </w:tc>
        <w:tc>
          <w:tcPr>
            <w:tcW w:w="580" w:type="pct"/>
            <w:shd w:val="clear" w:color="auto" w:fill="auto"/>
            <w:noWrap/>
            <w:vAlign w:val="center"/>
          </w:tcPr>
          <w:p w14:paraId="1E442E48">
            <w:pPr>
              <w:pStyle w:val="24"/>
              <w:rPr>
                <w:sz w:val="18"/>
                <w:szCs w:val="18"/>
              </w:rPr>
            </w:pPr>
            <w:r>
              <w:rPr>
                <w:rFonts w:hint="eastAsia"/>
                <w:sz w:val="18"/>
                <w:szCs w:val="18"/>
              </w:rPr>
              <w:t>1385.93</w:t>
            </w:r>
          </w:p>
        </w:tc>
        <w:tc>
          <w:tcPr>
            <w:tcW w:w="1891" w:type="pct"/>
            <w:shd w:val="clear" w:color="auto" w:fill="auto"/>
            <w:noWrap/>
            <w:vAlign w:val="center"/>
          </w:tcPr>
          <w:p w14:paraId="0DA49AE0">
            <w:pPr>
              <w:pStyle w:val="24"/>
              <w:rPr>
                <w:sz w:val="18"/>
                <w:szCs w:val="18"/>
              </w:rPr>
            </w:pPr>
            <w:r>
              <w:rPr>
                <w:rFonts w:hint="eastAsia"/>
                <w:sz w:val="18"/>
                <w:szCs w:val="18"/>
              </w:rPr>
              <w:t>Second order FP,p1=-1, p2=0</w:t>
            </w:r>
          </w:p>
        </w:tc>
        <w:tc>
          <w:tcPr>
            <w:tcW w:w="558" w:type="pct"/>
            <w:shd w:val="clear" w:color="auto" w:fill="auto"/>
            <w:noWrap/>
            <w:vAlign w:val="center"/>
          </w:tcPr>
          <w:p w14:paraId="1F77A1FC">
            <w:pPr>
              <w:pStyle w:val="24"/>
              <w:rPr>
                <w:sz w:val="18"/>
                <w:szCs w:val="18"/>
              </w:rPr>
            </w:pPr>
            <w:r>
              <w:rPr>
                <w:rFonts w:hint="eastAsia"/>
                <w:sz w:val="18"/>
                <w:szCs w:val="18"/>
              </w:rPr>
              <w:t>1631.21</w:t>
            </w:r>
          </w:p>
        </w:tc>
      </w:tr>
      <w:tr w14:paraId="4362C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7F9AED2E">
            <w:pPr>
              <w:pStyle w:val="24"/>
              <w:rPr>
                <w:sz w:val="18"/>
                <w:szCs w:val="18"/>
              </w:rPr>
            </w:pPr>
            <w:r>
              <w:rPr>
                <w:rFonts w:hint="eastAsia"/>
                <w:sz w:val="18"/>
                <w:szCs w:val="18"/>
              </w:rPr>
              <w:t>Second order FP,p1=-2, p2=-0.5</w:t>
            </w:r>
          </w:p>
        </w:tc>
        <w:tc>
          <w:tcPr>
            <w:tcW w:w="580" w:type="pct"/>
            <w:shd w:val="clear" w:color="auto" w:fill="auto"/>
            <w:noWrap/>
            <w:vAlign w:val="center"/>
          </w:tcPr>
          <w:p w14:paraId="42DA5303">
            <w:pPr>
              <w:pStyle w:val="24"/>
              <w:rPr>
                <w:sz w:val="18"/>
                <w:szCs w:val="18"/>
              </w:rPr>
            </w:pPr>
            <w:r>
              <w:rPr>
                <w:rFonts w:hint="eastAsia"/>
                <w:sz w:val="18"/>
                <w:szCs w:val="18"/>
              </w:rPr>
              <w:t>1388.81</w:t>
            </w:r>
          </w:p>
        </w:tc>
        <w:tc>
          <w:tcPr>
            <w:tcW w:w="1891" w:type="pct"/>
            <w:shd w:val="clear" w:color="auto" w:fill="auto"/>
            <w:noWrap/>
            <w:vAlign w:val="center"/>
          </w:tcPr>
          <w:p w14:paraId="3286643E">
            <w:pPr>
              <w:pStyle w:val="24"/>
              <w:rPr>
                <w:sz w:val="18"/>
                <w:szCs w:val="18"/>
              </w:rPr>
            </w:pPr>
            <w:r>
              <w:rPr>
                <w:rFonts w:hint="eastAsia"/>
                <w:sz w:val="18"/>
                <w:szCs w:val="18"/>
              </w:rPr>
              <w:t>Second order FP,p1=-1, p2=0.5</w:t>
            </w:r>
          </w:p>
        </w:tc>
        <w:tc>
          <w:tcPr>
            <w:tcW w:w="558" w:type="pct"/>
            <w:shd w:val="clear" w:color="auto" w:fill="auto"/>
            <w:noWrap/>
            <w:vAlign w:val="center"/>
          </w:tcPr>
          <w:p w14:paraId="1A0BA9C0">
            <w:pPr>
              <w:pStyle w:val="24"/>
              <w:rPr>
                <w:sz w:val="18"/>
                <w:szCs w:val="18"/>
              </w:rPr>
            </w:pPr>
            <w:r>
              <w:rPr>
                <w:rFonts w:hint="eastAsia"/>
                <w:sz w:val="18"/>
                <w:szCs w:val="18"/>
              </w:rPr>
              <w:t>1707.26</w:t>
            </w:r>
          </w:p>
        </w:tc>
      </w:tr>
      <w:tr w14:paraId="3EA11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24547FC7">
            <w:pPr>
              <w:pStyle w:val="24"/>
              <w:rPr>
                <w:sz w:val="18"/>
                <w:szCs w:val="18"/>
              </w:rPr>
            </w:pPr>
            <w:r>
              <w:rPr>
                <w:rFonts w:hint="eastAsia"/>
                <w:sz w:val="18"/>
                <w:szCs w:val="18"/>
              </w:rPr>
              <w:t>Second order FP,p1=-0.5, p2=1</w:t>
            </w:r>
          </w:p>
        </w:tc>
        <w:tc>
          <w:tcPr>
            <w:tcW w:w="580" w:type="pct"/>
            <w:shd w:val="clear" w:color="auto" w:fill="auto"/>
            <w:noWrap/>
            <w:vAlign w:val="center"/>
          </w:tcPr>
          <w:p w14:paraId="0FF7A969">
            <w:pPr>
              <w:pStyle w:val="24"/>
              <w:rPr>
                <w:sz w:val="18"/>
                <w:szCs w:val="18"/>
              </w:rPr>
            </w:pPr>
            <w:r>
              <w:rPr>
                <w:rFonts w:hint="eastAsia"/>
                <w:sz w:val="18"/>
                <w:szCs w:val="18"/>
              </w:rPr>
              <w:t>1391.2</w:t>
            </w:r>
          </w:p>
        </w:tc>
        <w:tc>
          <w:tcPr>
            <w:tcW w:w="1891" w:type="pct"/>
            <w:shd w:val="clear" w:color="auto" w:fill="auto"/>
            <w:noWrap/>
            <w:vAlign w:val="center"/>
          </w:tcPr>
          <w:p w14:paraId="49A5F040">
            <w:pPr>
              <w:pStyle w:val="24"/>
              <w:rPr>
                <w:sz w:val="18"/>
                <w:szCs w:val="18"/>
              </w:rPr>
            </w:pPr>
            <w:r>
              <w:rPr>
                <w:rFonts w:hint="eastAsia"/>
                <w:sz w:val="18"/>
                <w:szCs w:val="18"/>
              </w:rPr>
              <w:t>Second order FP,p1=-0.5, p2=0</w:t>
            </w:r>
          </w:p>
        </w:tc>
        <w:tc>
          <w:tcPr>
            <w:tcW w:w="558" w:type="pct"/>
            <w:shd w:val="clear" w:color="auto" w:fill="auto"/>
            <w:noWrap/>
            <w:vAlign w:val="center"/>
          </w:tcPr>
          <w:p w14:paraId="5C0394A5">
            <w:pPr>
              <w:pStyle w:val="24"/>
              <w:rPr>
                <w:sz w:val="18"/>
                <w:szCs w:val="18"/>
              </w:rPr>
            </w:pPr>
            <w:r>
              <w:rPr>
                <w:rFonts w:hint="eastAsia"/>
                <w:sz w:val="18"/>
                <w:szCs w:val="18"/>
              </w:rPr>
              <w:t>1714.62</w:t>
            </w:r>
          </w:p>
        </w:tc>
      </w:tr>
      <w:tr w14:paraId="7BBB2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11644C0F">
            <w:pPr>
              <w:pStyle w:val="24"/>
              <w:rPr>
                <w:sz w:val="18"/>
                <w:szCs w:val="18"/>
              </w:rPr>
            </w:pPr>
            <w:r>
              <w:rPr>
                <w:rFonts w:hint="eastAsia"/>
                <w:sz w:val="18"/>
                <w:szCs w:val="18"/>
              </w:rPr>
              <w:t>Second order FP,p1=-2, p2=0</w:t>
            </w:r>
          </w:p>
        </w:tc>
        <w:tc>
          <w:tcPr>
            <w:tcW w:w="580" w:type="pct"/>
            <w:shd w:val="clear" w:color="auto" w:fill="auto"/>
            <w:noWrap/>
            <w:vAlign w:val="center"/>
          </w:tcPr>
          <w:p w14:paraId="62378E6C">
            <w:pPr>
              <w:pStyle w:val="24"/>
              <w:rPr>
                <w:sz w:val="18"/>
                <w:szCs w:val="18"/>
              </w:rPr>
            </w:pPr>
            <w:r>
              <w:rPr>
                <w:rFonts w:hint="eastAsia"/>
                <w:sz w:val="18"/>
                <w:szCs w:val="18"/>
              </w:rPr>
              <w:t>1392.04</w:t>
            </w:r>
          </w:p>
        </w:tc>
        <w:tc>
          <w:tcPr>
            <w:tcW w:w="1891" w:type="pct"/>
            <w:shd w:val="clear" w:color="auto" w:fill="auto"/>
            <w:noWrap/>
            <w:vAlign w:val="center"/>
          </w:tcPr>
          <w:p w14:paraId="786A4D42">
            <w:pPr>
              <w:pStyle w:val="24"/>
              <w:rPr>
                <w:sz w:val="18"/>
                <w:szCs w:val="18"/>
              </w:rPr>
            </w:pPr>
            <w:r>
              <w:rPr>
                <w:rFonts w:hint="eastAsia"/>
                <w:sz w:val="18"/>
                <w:szCs w:val="18"/>
              </w:rPr>
              <w:t>Second order FP,p1=-2, p2=2</w:t>
            </w:r>
          </w:p>
        </w:tc>
        <w:tc>
          <w:tcPr>
            <w:tcW w:w="558" w:type="pct"/>
            <w:shd w:val="clear" w:color="auto" w:fill="auto"/>
            <w:noWrap/>
            <w:vAlign w:val="center"/>
          </w:tcPr>
          <w:p w14:paraId="5BC86386">
            <w:pPr>
              <w:pStyle w:val="24"/>
              <w:rPr>
                <w:sz w:val="18"/>
                <w:szCs w:val="18"/>
              </w:rPr>
            </w:pPr>
            <w:r>
              <w:rPr>
                <w:rFonts w:hint="eastAsia"/>
                <w:sz w:val="18"/>
                <w:szCs w:val="18"/>
              </w:rPr>
              <w:t>1728.33</w:t>
            </w:r>
          </w:p>
        </w:tc>
      </w:tr>
      <w:tr w14:paraId="0D8B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7A39A3B0">
            <w:pPr>
              <w:pStyle w:val="24"/>
              <w:rPr>
                <w:sz w:val="18"/>
                <w:szCs w:val="18"/>
              </w:rPr>
            </w:pPr>
            <w:r>
              <w:rPr>
                <w:rFonts w:hint="eastAsia"/>
                <w:sz w:val="18"/>
                <w:szCs w:val="18"/>
              </w:rPr>
              <w:t>Second order FP,p1=-1, p2=2</w:t>
            </w:r>
          </w:p>
        </w:tc>
        <w:tc>
          <w:tcPr>
            <w:tcW w:w="580" w:type="pct"/>
            <w:shd w:val="clear" w:color="auto" w:fill="auto"/>
            <w:noWrap/>
            <w:vAlign w:val="center"/>
          </w:tcPr>
          <w:p w14:paraId="01FC9CC1">
            <w:pPr>
              <w:pStyle w:val="24"/>
              <w:rPr>
                <w:sz w:val="18"/>
                <w:szCs w:val="18"/>
              </w:rPr>
            </w:pPr>
            <w:r>
              <w:rPr>
                <w:rFonts w:hint="eastAsia"/>
                <w:sz w:val="18"/>
                <w:szCs w:val="18"/>
              </w:rPr>
              <w:t>1392.46</w:t>
            </w:r>
          </w:p>
        </w:tc>
        <w:tc>
          <w:tcPr>
            <w:tcW w:w="1891" w:type="pct"/>
            <w:shd w:val="clear" w:color="auto" w:fill="auto"/>
            <w:noWrap/>
            <w:vAlign w:val="center"/>
          </w:tcPr>
          <w:p w14:paraId="7156A8C2">
            <w:pPr>
              <w:pStyle w:val="24"/>
              <w:rPr>
                <w:sz w:val="18"/>
                <w:szCs w:val="18"/>
              </w:rPr>
            </w:pPr>
            <w:r>
              <w:rPr>
                <w:rFonts w:hint="eastAsia"/>
                <w:sz w:val="18"/>
                <w:szCs w:val="18"/>
              </w:rPr>
              <w:t>Second order FP,p1=-1, p2=1</w:t>
            </w:r>
          </w:p>
        </w:tc>
        <w:tc>
          <w:tcPr>
            <w:tcW w:w="558" w:type="pct"/>
            <w:shd w:val="clear" w:color="auto" w:fill="auto"/>
            <w:noWrap/>
            <w:vAlign w:val="center"/>
          </w:tcPr>
          <w:p w14:paraId="5B3D3CAE">
            <w:pPr>
              <w:pStyle w:val="24"/>
              <w:rPr>
                <w:sz w:val="18"/>
                <w:szCs w:val="18"/>
              </w:rPr>
            </w:pPr>
            <w:r>
              <w:rPr>
                <w:rFonts w:hint="eastAsia"/>
                <w:sz w:val="18"/>
                <w:szCs w:val="18"/>
              </w:rPr>
              <w:t>1786.66</w:t>
            </w:r>
          </w:p>
        </w:tc>
      </w:tr>
      <w:tr w14:paraId="6D22F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194411E0">
            <w:pPr>
              <w:pStyle w:val="24"/>
              <w:rPr>
                <w:sz w:val="18"/>
                <w:szCs w:val="18"/>
              </w:rPr>
            </w:pPr>
            <w:r>
              <w:rPr>
                <w:rFonts w:hint="eastAsia"/>
                <w:sz w:val="18"/>
                <w:szCs w:val="18"/>
              </w:rPr>
              <w:t>Second order FP,p1=-2, p2=0.5</w:t>
            </w:r>
          </w:p>
        </w:tc>
        <w:tc>
          <w:tcPr>
            <w:tcW w:w="580" w:type="pct"/>
            <w:shd w:val="clear" w:color="auto" w:fill="auto"/>
            <w:noWrap/>
            <w:vAlign w:val="center"/>
          </w:tcPr>
          <w:p w14:paraId="44689F1E">
            <w:pPr>
              <w:pStyle w:val="24"/>
              <w:rPr>
                <w:sz w:val="18"/>
                <w:szCs w:val="18"/>
              </w:rPr>
            </w:pPr>
            <w:r>
              <w:rPr>
                <w:rFonts w:hint="eastAsia"/>
                <w:sz w:val="18"/>
                <w:szCs w:val="18"/>
              </w:rPr>
              <w:t>1395.36</w:t>
            </w:r>
          </w:p>
        </w:tc>
        <w:tc>
          <w:tcPr>
            <w:tcW w:w="1891" w:type="pct"/>
            <w:shd w:val="clear" w:color="auto" w:fill="auto"/>
            <w:noWrap/>
            <w:vAlign w:val="center"/>
          </w:tcPr>
          <w:p w14:paraId="1398B480">
            <w:pPr>
              <w:pStyle w:val="24"/>
              <w:rPr>
                <w:sz w:val="18"/>
                <w:szCs w:val="18"/>
              </w:rPr>
            </w:pPr>
            <w:r>
              <w:rPr>
                <w:rFonts w:hint="eastAsia"/>
                <w:sz w:val="18"/>
                <w:szCs w:val="18"/>
              </w:rPr>
              <w:t>Second order FP,p1=-0.5, p2=0.5</w:t>
            </w:r>
          </w:p>
        </w:tc>
        <w:tc>
          <w:tcPr>
            <w:tcW w:w="558" w:type="pct"/>
            <w:shd w:val="clear" w:color="auto" w:fill="auto"/>
            <w:noWrap/>
            <w:vAlign w:val="center"/>
          </w:tcPr>
          <w:p w14:paraId="5205446B">
            <w:pPr>
              <w:pStyle w:val="24"/>
              <w:rPr>
                <w:sz w:val="18"/>
                <w:szCs w:val="18"/>
              </w:rPr>
            </w:pPr>
            <w:r>
              <w:rPr>
                <w:rFonts w:hint="eastAsia"/>
                <w:sz w:val="18"/>
                <w:szCs w:val="18"/>
              </w:rPr>
              <w:t>1804.18</w:t>
            </w:r>
          </w:p>
        </w:tc>
      </w:tr>
      <w:tr w14:paraId="422B2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6088029B">
            <w:pPr>
              <w:pStyle w:val="24"/>
              <w:rPr>
                <w:sz w:val="18"/>
                <w:szCs w:val="18"/>
              </w:rPr>
            </w:pPr>
            <w:r>
              <w:rPr>
                <w:rFonts w:hint="eastAsia"/>
                <w:sz w:val="18"/>
                <w:szCs w:val="18"/>
              </w:rPr>
              <w:t>Second order FP,p1=0, p2=0.5</w:t>
            </w:r>
          </w:p>
        </w:tc>
        <w:tc>
          <w:tcPr>
            <w:tcW w:w="580" w:type="pct"/>
            <w:shd w:val="clear" w:color="auto" w:fill="auto"/>
            <w:noWrap/>
            <w:vAlign w:val="center"/>
          </w:tcPr>
          <w:p w14:paraId="6871700B">
            <w:pPr>
              <w:pStyle w:val="24"/>
              <w:rPr>
                <w:sz w:val="18"/>
                <w:szCs w:val="18"/>
              </w:rPr>
            </w:pPr>
            <w:r>
              <w:rPr>
                <w:rFonts w:hint="eastAsia"/>
                <w:sz w:val="18"/>
                <w:szCs w:val="18"/>
              </w:rPr>
              <w:t>1396.54</w:t>
            </w:r>
          </w:p>
        </w:tc>
        <w:tc>
          <w:tcPr>
            <w:tcW w:w="1891" w:type="pct"/>
            <w:shd w:val="clear" w:color="auto" w:fill="auto"/>
            <w:noWrap/>
            <w:vAlign w:val="center"/>
          </w:tcPr>
          <w:p w14:paraId="6151CDA1">
            <w:pPr>
              <w:pStyle w:val="24"/>
              <w:rPr>
                <w:sz w:val="18"/>
                <w:szCs w:val="18"/>
              </w:rPr>
            </w:pPr>
            <w:r>
              <w:rPr>
                <w:rFonts w:hint="eastAsia"/>
                <w:sz w:val="18"/>
                <w:szCs w:val="18"/>
              </w:rPr>
              <w:t>Second order FP,p1=-2, p2=3</w:t>
            </w:r>
          </w:p>
        </w:tc>
        <w:tc>
          <w:tcPr>
            <w:tcW w:w="558" w:type="pct"/>
            <w:shd w:val="clear" w:color="auto" w:fill="auto"/>
            <w:noWrap/>
            <w:vAlign w:val="center"/>
          </w:tcPr>
          <w:p w14:paraId="38B64BEC">
            <w:pPr>
              <w:pStyle w:val="24"/>
              <w:rPr>
                <w:sz w:val="18"/>
                <w:szCs w:val="18"/>
              </w:rPr>
            </w:pPr>
            <w:r>
              <w:rPr>
                <w:rFonts w:hint="eastAsia"/>
                <w:sz w:val="18"/>
                <w:szCs w:val="18"/>
              </w:rPr>
              <w:t>1817.28</w:t>
            </w:r>
          </w:p>
        </w:tc>
      </w:tr>
      <w:tr w14:paraId="0DD4D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1E47B262">
            <w:pPr>
              <w:pStyle w:val="24"/>
              <w:rPr>
                <w:sz w:val="18"/>
                <w:szCs w:val="18"/>
              </w:rPr>
            </w:pPr>
            <w:r>
              <w:rPr>
                <w:rFonts w:hint="eastAsia"/>
                <w:sz w:val="18"/>
                <w:szCs w:val="18"/>
              </w:rPr>
              <w:t>Second order FP,p1=-2, p2=1</w:t>
            </w:r>
          </w:p>
        </w:tc>
        <w:tc>
          <w:tcPr>
            <w:tcW w:w="580" w:type="pct"/>
            <w:shd w:val="clear" w:color="auto" w:fill="auto"/>
            <w:noWrap/>
            <w:vAlign w:val="center"/>
          </w:tcPr>
          <w:p w14:paraId="3B472AD5">
            <w:pPr>
              <w:pStyle w:val="24"/>
              <w:rPr>
                <w:sz w:val="18"/>
                <w:szCs w:val="18"/>
              </w:rPr>
            </w:pPr>
            <w:r>
              <w:rPr>
                <w:rFonts w:hint="eastAsia"/>
                <w:sz w:val="18"/>
                <w:szCs w:val="18"/>
              </w:rPr>
              <w:t>1398.58</w:t>
            </w:r>
          </w:p>
        </w:tc>
        <w:tc>
          <w:tcPr>
            <w:tcW w:w="1891" w:type="pct"/>
            <w:shd w:val="clear" w:color="auto" w:fill="auto"/>
            <w:noWrap/>
            <w:vAlign w:val="center"/>
          </w:tcPr>
          <w:p w14:paraId="5D8CBF0B">
            <w:pPr>
              <w:pStyle w:val="24"/>
              <w:rPr>
                <w:sz w:val="18"/>
                <w:szCs w:val="18"/>
              </w:rPr>
            </w:pPr>
            <w:r>
              <w:rPr>
                <w:rFonts w:hint="eastAsia"/>
                <w:sz w:val="18"/>
                <w:szCs w:val="18"/>
              </w:rPr>
              <w:t>Second order FP,p1=-0.5, p2=1</w:t>
            </w:r>
          </w:p>
        </w:tc>
        <w:tc>
          <w:tcPr>
            <w:tcW w:w="558" w:type="pct"/>
            <w:shd w:val="clear" w:color="auto" w:fill="auto"/>
            <w:noWrap/>
            <w:vAlign w:val="center"/>
          </w:tcPr>
          <w:p w14:paraId="31BED01E">
            <w:pPr>
              <w:pStyle w:val="24"/>
              <w:rPr>
                <w:sz w:val="18"/>
                <w:szCs w:val="18"/>
              </w:rPr>
            </w:pPr>
            <w:r>
              <w:rPr>
                <w:rFonts w:hint="eastAsia"/>
                <w:sz w:val="18"/>
                <w:szCs w:val="18"/>
              </w:rPr>
              <w:t>1896.37</w:t>
            </w:r>
          </w:p>
        </w:tc>
      </w:tr>
      <w:tr w14:paraId="58D2B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1BE5D2DB">
            <w:pPr>
              <w:pStyle w:val="24"/>
              <w:rPr>
                <w:sz w:val="18"/>
                <w:szCs w:val="18"/>
              </w:rPr>
            </w:pPr>
            <w:r>
              <w:rPr>
                <w:rFonts w:hint="eastAsia"/>
                <w:sz w:val="18"/>
                <w:szCs w:val="18"/>
              </w:rPr>
              <w:t>First order FP, p1=-2*</w:t>
            </w:r>
          </w:p>
        </w:tc>
        <w:tc>
          <w:tcPr>
            <w:tcW w:w="580" w:type="pct"/>
            <w:shd w:val="clear" w:color="auto" w:fill="auto"/>
            <w:noWrap/>
            <w:vAlign w:val="center"/>
          </w:tcPr>
          <w:p w14:paraId="7FE4FA74">
            <w:pPr>
              <w:pStyle w:val="24"/>
              <w:rPr>
                <w:sz w:val="18"/>
                <w:szCs w:val="18"/>
              </w:rPr>
            </w:pPr>
            <w:r>
              <w:rPr>
                <w:rFonts w:hint="eastAsia"/>
                <w:sz w:val="18"/>
                <w:szCs w:val="18"/>
              </w:rPr>
              <w:t>1400.16</w:t>
            </w:r>
          </w:p>
        </w:tc>
        <w:tc>
          <w:tcPr>
            <w:tcW w:w="1891" w:type="pct"/>
            <w:shd w:val="clear" w:color="auto" w:fill="auto"/>
            <w:noWrap/>
            <w:vAlign w:val="center"/>
          </w:tcPr>
          <w:p w14:paraId="771818E9">
            <w:pPr>
              <w:pStyle w:val="24"/>
              <w:rPr>
                <w:sz w:val="18"/>
                <w:szCs w:val="18"/>
              </w:rPr>
            </w:pPr>
            <w:r>
              <w:rPr>
                <w:rFonts w:hint="eastAsia"/>
                <w:sz w:val="18"/>
                <w:szCs w:val="18"/>
              </w:rPr>
              <w:t>Second order FP,p1=0, p2=0.5</w:t>
            </w:r>
          </w:p>
        </w:tc>
        <w:tc>
          <w:tcPr>
            <w:tcW w:w="558" w:type="pct"/>
            <w:shd w:val="clear" w:color="auto" w:fill="auto"/>
            <w:noWrap/>
            <w:vAlign w:val="center"/>
          </w:tcPr>
          <w:p w14:paraId="4C802F58">
            <w:pPr>
              <w:pStyle w:val="24"/>
              <w:rPr>
                <w:sz w:val="18"/>
                <w:szCs w:val="18"/>
              </w:rPr>
            </w:pPr>
            <w:r>
              <w:rPr>
                <w:rFonts w:hint="eastAsia"/>
                <w:sz w:val="18"/>
                <w:szCs w:val="18"/>
              </w:rPr>
              <w:t>1913.28</w:t>
            </w:r>
          </w:p>
        </w:tc>
      </w:tr>
      <w:tr w14:paraId="19135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4342D253">
            <w:pPr>
              <w:pStyle w:val="24"/>
              <w:rPr>
                <w:sz w:val="18"/>
                <w:szCs w:val="18"/>
              </w:rPr>
            </w:pPr>
            <w:r>
              <w:rPr>
                <w:rFonts w:hint="eastAsia"/>
                <w:sz w:val="18"/>
                <w:szCs w:val="18"/>
              </w:rPr>
              <w:t>Second order FP,p1=-2, p2=-2</w:t>
            </w:r>
          </w:p>
        </w:tc>
        <w:tc>
          <w:tcPr>
            <w:tcW w:w="580" w:type="pct"/>
            <w:shd w:val="clear" w:color="auto" w:fill="auto"/>
            <w:noWrap/>
            <w:vAlign w:val="center"/>
          </w:tcPr>
          <w:p w14:paraId="0EF279FD">
            <w:pPr>
              <w:pStyle w:val="24"/>
              <w:rPr>
                <w:sz w:val="18"/>
                <w:szCs w:val="18"/>
              </w:rPr>
            </w:pPr>
            <w:r>
              <w:rPr>
                <w:rFonts w:hint="eastAsia"/>
                <w:sz w:val="18"/>
                <w:szCs w:val="18"/>
              </w:rPr>
              <w:t>1400.16</w:t>
            </w:r>
          </w:p>
        </w:tc>
        <w:tc>
          <w:tcPr>
            <w:tcW w:w="1891" w:type="pct"/>
            <w:shd w:val="clear" w:color="auto" w:fill="auto"/>
            <w:noWrap/>
            <w:vAlign w:val="center"/>
          </w:tcPr>
          <w:p w14:paraId="6D4EF608">
            <w:pPr>
              <w:pStyle w:val="24"/>
              <w:rPr>
                <w:sz w:val="18"/>
                <w:szCs w:val="18"/>
              </w:rPr>
            </w:pPr>
            <w:r>
              <w:rPr>
                <w:rFonts w:hint="eastAsia"/>
                <w:sz w:val="18"/>
                <w:szCs w:val="18"/>
              </w:rPr>
              <w:t>Second order FP,p1=-1, p2=2</w:t>
            </w:r>
          </w:p>
        </w:tc>
        <w:tc>
          <w:tcPr>
            <w:tcW w:w="558" w:type="pct"/>
            <w:shd w:val="clear" w:color="auto" w:fill="auto"/>
            <w:noWrap/>
            <w:vAlign w:val="center"/>
          </w:tcPr>
          <w:p w14:paraId="7E17DF63">
            <w:pPr>
              <w:pStyle w:val="24"/>
              <w:rPr>
                <w:sz w:val="18"/>
                <w:szCs w:val="18"/>
              </w:rPr>
            </w:pPr>
            <w:r>
              <w:rPr>
                <w:rFonts w:hint="eastAsia"/>
                <w:sz w:val="18"/>
                <w:szCs w:val="18"/>
              </w:rPr>
              <w:t>1937.27</w:t>
            </w:r>
          </w:p>
        </w:tc>
      </w:tr>
      <w:tr w14:paraId="41B1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61229798">
            <w:pPr>
              <w:pStyle w:val="24"/>
              <w:rPr>
                <w:sz w:val="18"/>
                <w:szCs w:val="18"/>
              </w:rPr>
            </w:pPr>
            <w:r>
              <w:rPr>
                <w:rFonts w:hint="eastAsia"/>
                <w:sz w:val="18"/>
                <w:szCs w:val="18"/>
              </w:rPr>
              <w:t>Second order FP,p1=-1, p2=3</w:t>
            </w:r>
          </w:p>
        </w:tc>
        <w:tc>
          <w:tcPr>
            <w:tcW w:w="580" w:type="pct"/>
            <w:shd w:val="clear" w:color="auto" w:fill="auto"/>
            <w:noWrap/>
            <w:vAlign w:val="center"/>
          </w:tcPr>
          <w:p w14:paraId="737B680F">
            <w:pPr>
              <w:pStyle w:val="24"/>
              <w:rPr>
                <w:sz w:val="18"/>
                <w:szCs w:val="18"/>
              </w:rPr>
            </w:pPr>
            <w:r>
              <w:rPr>
                <w:rFonts w:hint="eastAsia"/>
                <w:sz w:val="18"/>
                <w:szCs w:val="18"/>
              </w:rPr>
              <w:t>1403.74</w:t>
            </w:r>
          </w:p>
        </w:tc>
        <w:tc>
          <w:tcPr>
            <w:tcW w:w="1891" w:type="pct"/>
            <w:shd w:val="clear" w:color="auto" w:fill="auto"/>
            <w:noWrap/>
            <w:vAlign w:val="center"/>
          </w:tcPr>
          <w:p w14:paraId="4390CDEA">
            <w:pPr>
              <w:pStyle w:val="24"/>
              <w:rPr>
                <w:sz w:val="18"/>
                <w:szCs w:val="18"/>
              </w:rPr>
            </w:pPr>
            <w:r>
              <w:rPr>
                <w:rFonts w:hint="eastAsia"/>
                <w:sz w:val="18"/>
                <w:szCs w:val="18"/>
              </w:rPr>
              <w:t>Second order FP,p1=0, p2=1</w:t>
            </w:r>
          </w:p>
        </w:tc>
        <w:tc>
          <w:tcPr>
            <w:tcW w:w="558" w:type="pct"/>
            <w:shd w:val="clear" w:color="auto" w:fill="auto"/>
            <w:noWrap/>
            <w:vAlign w:val="center"/>
          </w:tcPr>
          <w:p w14:paraId="2294E49C">
            <w:pPr>
              <w:pStyle w:val="24"/>
              <w:rPr>
                <w:sz w:val="18"/>
                <w:szCs w:val="18"/>
              </w:rPr>
            </w:pPr>
            <w:r>
              <w:rPr>
                <w:rFonts w:hint="eastAsia"/>
                <w:sz w:val="18"/>
                <w:szCs w:val="18"/>
              </w:rPr>
              <w:t>2017.8</w:t>
            </w:r>
          </w:p>
        </w:tc>
      </w:tr>
      <w:tr w14:paraId="12FA1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471ECAA9">
            <w:pPr>
              <w:pStyle w:val="24"/>
              <w:rPr>
                <w:sz w:val="18"/>
                <w:szCs w:val="18"/>
              </w:rPr>
            </w:pPr>
            <w:r>
              <w:rPr>
                <w:rFonts w:hint="eastAsia"/>
                <w:sz w:val="18"/>
                <w:szCs w:val="18"/>
              </w:rPr>
              <w:t>Second order FP,p1=-2, p2=2</w:t>
            </w:r>
          </w:p>
        </w:tc>
        <w:tc>
          <w:tcPr>
            <w:tcW w:w="580" w:type="pct"/>
            <w:shd w:val="clear" w:color="auto" w:fill="auto"/>
            <w:noWrap/>
            <w:vAlign w:val="center"/>
          </w:tcPr>
          <w:p w14:paraId="0F7BE9D6">
            <w:pPr>
              <w:pStyle w:val="24"/>
              <w:rPr>
                <w:sz w:val="18"/>
                <w:szCs w:val="18"/>
              </w:rPr>
            </w:pPr>
            <w:r>
              <w:rPr>
                <w:rFonts w:hint="eastAsia"/>
                <w:sz w:val="18"/>
                <w:szCs w:val="18"/>
              </w:rPr>
              <w:t>1404.4</w:t>
            </w:r>
          </w:p>
        </w:tc>
        <w:tc>
          <w:tcPr>
            <w:tcW w:w="1891" w:type="pct"/>
            <w:shd w:val="clear" w:color="auto" w:fill="auto"/>
            <w:noWrap/>
            <w:vAlign w:val="center"/>
          </w:tcPr>
          <w:p w14:paraId="307C4863">
            <w:pPr>
              <w:pStyle w:val="24"/>
              <w:rPr>
                <w:sz w:val="18"/>
                <w:szCs w:val="18"/>
              </w:rPr>
            </w:pPr>
            <w:r>
              <w:rPr>
                <w:rFonts w:hint="eastAsia"/>
                <w:sz w:val="18"/>
                <w:szCs w:val="18"/>
              </w:rPr>
              <w:t>First order FP, p1=-2*</w:t>
            </w:r>
          </w:p>
        </w:tc>
        <w:tc>
          <w:tcPr>
            <w:tcW w:w="558" w:type="pct"/>
            <w:shd w:val="clear" w:color="auto" w:fill="auto"/>
            <w:noWrap/>
            <w:vAlign w:val="center"/>
          </w:tcPr>
          <w:p w14:paraId="4A60DBDE">
            <w:pPr>
              <w:pStyle w:val="24"/>
              <w:rPr>
                <w:sz w:val="18"/>
                <w:szCs w:val="18"/>
              </w:rPr>
            </w:pPr>
            <w:r>
              <w:rPr>
                <w:rFonts w:hint="eastAsia"/>
                <w:sz w:val="18"/>
                <w:szCs w:val="18"/>
              </w:rPr>
              <w:t>2022.68</w:t>
            </w:r>
          </w:p>
        </w:tc>
      </w:tr>
      <w:tr w14:paraId="69C7C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5DE27015">
            <w:pPr>
              <w:pStyle w:val="24"/>
              <w:rPr>
                <w:sz w:val="18"/>
                <w:szCs w:val="18"/>
              </w:rPr>
            </w:pPr>
            <w:r>
              <w:rPr>
                <w:rFonts w:hint="eastAsia"/>
                <w:sz w:val="18"/>
                <w:szCs w:val="18"/>
              </w:rPr>
              <w:t>Second order FP,p1=-2, p2=3</w:t>
            </w:r>
          </w:p>
        </w:tc>
        <w:tc>
          <w:tcPr>
            <w:tcW w:w="580" w:type="pct"/>
            <w:shd w:val="clear" w:color="auto" w:fill="auto"/>
            <w:noWrap/>
            <w:vAlign w:val="center"/>
          </w:tcPr>
          <w:p w14:paraId="0AE03F37">
            <w:pPr>
              <w:pStyle w:val="24"/>
              <w:rPr>
                <w:sz w:val="18"/>
                <w:szCs w:val="18"/>
              </w:rPr>
            </w:pPr>
            <w:r>
              <w:rPr>
                <w:rFonts w:hint="eastAsia"/>
                <w:sz w:val="18"/>
                <w:szCs w:val="18"/>
              </w:rPr>
              <w:t>1409.1</w:t>
            </w:r>
          </w:p>
        </w:tc>
        <w:tc>
          <w:tcPr>
            <w:tcW w:w="1891" w:type="pct"/>
            <w:shd w:val="clear" w:color="auto" w:fill="auto"/>
            <w:noWrap/>
            <w:vAlign w:val="center"/>
          </w:tcPr>
          <w:p w14:paraId="422CD8EC">
            <w:pPr>
              <w:pStyle w:val="24"/>
              <w:rPr>
                <w:sz w:val="18"/>
                <w:szCs w:val="18"/>
              </w:rPr>
            </w:pPr>
            <w:r>
              <w:rPr>
                <w:rFonts w:hint="eastAsia"/>
                <w:sz w:val="18"/>
                <w:szCs w:val="18"/>
              </w:rPr>
              <w:t>Second order FP,p1=-2, p2=-2</w:t>
            </w:r>
          </w:p>
        </w:tc>
        <w:tc>
          <w:tcPr>
            <w:tcW w:w="558" w:type="pct"/>
            <w:shd w:val="clear" w:color="auto" w:fill="auto"/>
            <w:noWrap/>
            <w:vAlign w:val="center"/>
          </w:tcPr>
          <w:p w14:paraId="6B535AF3">
            <w:pPr>
              <w:pStyle w:val="24"/>
              <w:rPr>
                <w:sz w:val="18"/>
                <w:szCs w:val="18"/>
              </w:rPr>
            </w:pPr>
            <w:r>
              <w:rPr>
                <w:rFonts w:hint="eastAsia"/>
                <w:sz w:val="18"/>
                <w:szCs w:val="18"/>
              </w:rPr>
              <w:t>2022.68</w:t>
            </w:r>
          </w:p>
        </w:tc>
      </w:tr>
      <w:tr w14:paraId="095D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122C838B">
            <w:pPr>
              <w:pStyle w:val="24"/>
              <w:rPr>
                <w:sz w:val="18"/>
                <w:szCs w:val="18"/>
              </w:rPr>
            </w:pPr>
            <w:r>
              <w:rPr>
                <w:rFonts w:hint="eastAsia"/>
                <w:sz w:val="18"/>
                <w:szCs w:val="18"/>
              </w:rPr>
              <w:t>Second order FP,p1=-0.5, p2=2</w:t>
            </w:r>
          </w:p>
        </w:tc>
        <w:tc>
          <w:tcPr>
            <w:tcW w:w="580" w:type="pct"/>
            <w:shd w:val="clear" w:color="auto" w:fill="auto"/>
            <w:noWrap/>
            <w:vAlign w:val="center"/>
          </w:tcPr>
          <w:p w14:paraId="538A0240">
            <w:pPr>
              <w:pStyle w:val="24"/>
              <w:rPr>
                <w:sz w:val="18"/>
                <w:szCs w:val="18"/>
              </w:rPr>
            </w:pPr>
            <w:r>
              <w:rPr>
                <w:rFonts w:hint="eastAsia"/>
                <w:sz w:val="18"/>
                <w:szCs w:val="18"/>
              </w:rPr>
              <w:t>1413.67</w:t>
            </w:r>
          </w:p>
        </w:tc>
        <w:tc>
          <w:tcPr>
            <w:tcW w:w="1891" w:type="pct"/>
            <w:shd w:val="clear" w:color="auto" w:fill="auto"/>
            <w:noWrap/>
            <w:vAlign w:val="center"/>
          </w:tcPr>
          <w:p w14:paraId="602BAF51">
            <w:pPr>
              <w:pStyle w:val="24"/>
              <w:rPr>
                <w:sz w:val="18"/>
                <w:szCs w:val="18"/>
              </w:rPr>
            </w:pPr>
            <w:r>
              <w:rPr>
                <w:rFonts w:hint="eastAsia"/>
                <w:sz w:val="18"/>
                <w:szCs w:val="18"/>
              </w:rPr>
              <w:t>Second order FP,p1=-1, p2=3</w:t>
            </w:r>
          </w:p>
        </w:tc>
        <w:tc>
          <w:tcPr>
            <w:tcW w:w="558" w:type="pct"/>
            <w:shd w:val="clear" w:color="auto" w:fill="auto"/>
            <w:noWrap/>
            <w:vAlign w:val="center"/>
          </w:tcPr>
          <w:p w14:paraId="4AE3C607">
            <w:pPr>
              <w:pStyle w:val="24"/>
              <w:rPr>
                <w:sz w:val="18"/>
                <w:szCs w:val="18"/>
              </w:rPr>
            </w:pPr>
            <w:r>
              <w:rPr>
                <w:rFonts w:hint="eastAsia"/>
                <w:sz w:val="18"/>
                <w:szCs w:val="18"/>
              </w:rPr>
              <w:t>2059.59</w:t>
            </w:r>
          </w:p>
        </w:tc>
      </w:tr>
      <w:tr w14:paraId="462B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2C846FFE">
            <w:pPr>
              <w:pStyle w:val="24"/>
              <w:rPr>
                <w:sz w:val="18"/>
                <w:szCs w:val="18"/>
              </w:rPr>
            </w:pPr>
            <w:r>
              <w:rPr>
                <w:rFonts w:hint="eastAsia"/>
                <w:sz w:val="18"/>
                <w:szCs w:val="18"/>
              </w:rPr>
              <w:t>Second order FP,p1=0, p2=1</w:t>
            </w:r>
          </w:p>
        </w:tc>
        <w:tc>
          <w:tcPr>
            <w:tcW w:w="580" w:type="pct"/>
            <w:shd w:val="clear" w:color="auto" w:fill="auto"/>
            <w:noWrap/>
            <w:vAlign w:val="center"/>
          </w:tcPr>
          <w:p w14:paraId="1878BD41">
            <w:pPr>
              <w:pStyle w:val="24"/>
              <w:rPr>
                <w:sz w:val="18"/>
                <w:szCs w:val="18"/>
              </w:rPr>
            </w:pPr>
            <w:r>
              <w:rPr>
                <w:rFonts w:hint="eastAsia"/>
                <w:sz w:val="18"/>
                <w:szCs w:val="18"/>
              </w:rPr>
              <w:t>1414.23</w:t>
            </w:r>
          </w:p>
        </w:tc>
        <w:tc>
          <w:tcPr>
            <w:tcW w:w="1891" w:type="pct"/>
            <w:shd w:val="clear" w:color="auto" w:fill="auto"/>
            <w:noWrap/>
            <w:vAlign w:val="center"/>
          </w:tcPr>
          <w:p w14:paraId="195526CE">
            <w:pPr>
              <w:pStyle w:val="24"/>
              <w:rPr>
                <w:sz w:val="18"/>
                <w:szCs w:val="18"/>
              </w:rPr>
            </w:pPr>
            <w:r>
              <w:rPr>
                <w:rFonts w:hint="eastAsia"/>
                <w:sz w:val="18"/>
                <w:szCs w:val="18"/>
              </w:rPr>
              <w:t>Second order FP,p1=-0.5, p2=2</w:t>
            </w:r>
          </w:p>
        </w:tc>
        <w:tc>
          <w:tcPr>
            <w:tcW w:w="558" w:type="pct"/>
            <w:shd w:val="clear" w:color="auto" w:fill="auto"/>
            <w:noWrap/>
            <w:vAlign w:val="center"/>
          </w:tcPr>
          <w:p w14:paraId="5F8C6ED5">
            <w:pPr>
              <w:pStyle w:val="24"/>
              <w:rPr>
                <w:sz w:val="18"/>
                <w:szCs w:val="18"/>
              </w:rPr>
            </w:pPr>
            <w:r>
              <w:rPr>
                <w:rFonts w:hint="eastAsia"/>
                <w:sz w:val="18"/>
                <w:szCs w:val="18"/>
              </w:rPr>
              <w:t>2069.52</w:t>
            </w:r>
          </w:p>
        </w:tc>
      </w:tr>
      <w:tr w14:paraId="473E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25DC12EC">
            <w:pPr>
              <w:pStyle w:val="24"/>
              <w:rPr>
                <w:sz w:val="18"/>
                <w:szCs w:val="18"/>
              </w:rPr>
            </w:pPr>
            <w:r>
              <w:rPr>
                <w:rFonts w:hint="eastAsia"/>
                <w:sz w:val="18"/>
                <w:szCs w:val="18"/>
              </w:rPr>
              <w:t>First order FP,p1=-1</w:t>
            </w:r>
          </w:p>
        </w:tc>
        <w:tc>
          <w:tcPr>
            <w:tcW w:w="580" w:type="pct"/>
            <w:shd w:val="clear" w:color="auto" w:fill="auto"/>
            <w:noWrap/>
            <w:vAlign w:val="center"/>
          </w:tcPr>
          <w:p w14:paraId="2B98A3B6">
            <w:pPr>
              <w:pStyle w:val="24"/>
              <w:rPr>
                <w:sz w:val="18"/>
                <w:szCs w:val="18"/>
              </w:rPr>
            </w:pPr>
            <w:r>
              <w:rPr>
                <w:rFonts w:hint="eastAsia"/>
                <w:sz w:val="18"/>
                <w:szCs w:val="18"/>
              </w:rPr>
              <w:t>1422.69</w:t>
            </w:r>
          </w:p>
        </w:tc>
        <w:tc>
          <w:tcPr>
            <w:tcW w:w="1891" w:type="pct"/>
            <w:shd w:val="clear" w:color="auto" w:fill="auto"/>
            <w:noWrap/>
            <w:vAlign w:val="center"/>
          </w:tcPr>
          <w:p w14:paraId="230D7E3A">
            <w:pPr>
              <w:pStyle w:val="24"/>
              <w:rPr>
                <w:sz w:val="18"/>
                <w:szCs w:val="18"/>
              </w:rPr>
            </w:pPr>
            <w:r>
              <w:rPr>
                <w:rFonts w:hint="eastAsia"/>
                <w:sz w:val="18"/>
                <w:szCs w:val="18"/>
              </w:rPr>
              <w:t>Second order FP,p1=0.5, p2=1</w:t>
            </w:r>
          </w:p>
        </w:tc>
        <w:tc>
          <w:tcPr>
            <w:tcW w:w="558" w:type="pct"/>
            <w:shd w:val="clear" w:color="auto" w:fill="auto"/>
            <w:noWrap/>
            <w:vAlign w:val="center"/>
          </w:tcPr>
          <w:p w14:paraId="13BB6900">
            <w:pPr>
              <w:pStyle w:val="24"/>
              <w:rPr>
                <w:sz w:val="18"/>
                <w:szCs w:val="18"/>
              </w:rPr>
            </w:pPr>
            <w:r>
              <w:rPr>
                <w:rFonts w:hint="eastAsia"/>
                <w:sz w:val="18"/>
                <w:szCs w:val="18"/>
              </w:rPr>
              <w:t>2144.14</w:t>
            </w:r>
          </w:p>
        </w:tc>
      </w:tr>
      <w:tr w14:paraId="5AE53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59A5B710">
            <w:pPr>
              <w:pStyle w:val="24"/>
              <w:rPr>
                <w:sz w:val="18"/>
                <w:szCs w:val="18"/>
              </w:rPr>
            </w:pPr>
            <w:r>
              <w:rPr>
                <w:rFonts w:hint="eastAsia"/>
                <w:sz w:val="18"/>
                <w:szCs w:val="18"/>
              </w:rPr>
              <w:t>Second order FP,p1=-1, p2=-1</w:t>
            </w:r>
          </w:p>
        </w:tc>
        <w:tc>
          <w:tcPr>
            <w:tcW w:w="580" w:type="pct"/>
            <w:shd w:val="clear" w:color="auto" w:fill="auto"/>
            <w:noWrap/>
            <w:vAlign w:val="center"/>
          </w:tcPr>
          <w:p w14:paraId="787C2855">
            <w:pPr>
              <w:pStyle w:val="24"/>
              <w:rPr>
                <w:sz w:val="18"/>
                <w:szCs w:val="18"/>
              </w:rPr>
            </w:pPr>
            <w:r>
              <w:rPr>
                <w:rFonts w:hint="eastAsia"/>
                <w:sz w:val="18"/>
                <w:szCs w:val="18"/>
              </w:rPr>
              <w:t>1422.69</w:t>
            </w:r>
          </w:p>
        </w:tc>
        <w:tc>
          <w:tcPr>
            <w:tcW w:w="1891" w:type="pct"/>
            <w:shd w:val="clear" w:color="auto" w:fill="auto"/>
            <w:noWrap/>
            <w:vAlign w:val="center"/>
          </w:tcPr>
          <w:p w14:paraId="5470821E">
            <w:pPr>
              <w:pStyle w:val="24"/>
              <w:rPr>
                <w:sz w:val="18"/>
                <w:szCs w:val="18"/>
              </w:rPr>
            </w:pPr>
            <w:r>
              <w:rPr>
                <w:rFonts w:hint="eastAsia"/>
                <w:sz w:val="18"/>
                <w:szCs w:val="18"/>
              </w:rPr>
              <w:t>Second order FP,p1=-0.5, p2=3</w:t>
            </w:r>
          </w:p>
        </w:tc>
        <w:tc>
          <w:tcPr>
            <w:tcW w:w="558" w:type="pct"/>
            <w:shd w:val="clear" w:color="auto" w:fill="auto"/>
            <w:noWrap/>
            <w:vAlign w:val="center"/>
          </w:tcPr>
          <w:p w14:paraId="68CB0CB6">
            <w:pPr>
              <w:pStyle w:val="24"/>
              <w:rPr>
                <w:sz w:val="18"/>
                <w:szCs w:val="18"/>
              </w:rPr>
            </w:pPr>
            <w:r>
              <w:rPr>
                <w:rFonts w:hint="eastAsia"/>
                <w:sz w:val="18"/>
                <w:szCs w:val="18"/>
              </w:rPr>
              <w:t>2210.35</w:t>
            </w:r>
          </w:p>
        </w:tc>
      </w:tr>
      <w:tr w14:paraId="283B9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29CEB801">
            <w:pPr>
              <w:pStyle w:val="24"/>
              <w:rPr>
                <w:sz w:val="18"/>
                <w:szCs w:val="18"/>
              </w:rPr>
            </w:pPr>
            <w:r>
              <w:rPr>
                <w:rFonts w:hint="eastAsia"/>
                <w:sz w:val="18"/>
                <w:szCs w:val="18"/>
              </w:rPr>
              <w:t>Second order FP,p1=-0.5, p2=3</w:t>
            </w:r>
          </w:p>
        </w:tc>
        <w:tc>
          <w:tcPr>
            <w:tcW w:w="580" w:type="pct"/>
            <w:shd w:val="clear" w:color="auto" w:fill="auto"/>
            <w:noWrap/>
            <w:vAlign w:val="center"/>
          </w:tcPr>
          <w:p w14:paraId="1FE95A3F">
            <w:pPr>
              <w:pStyle w:val="24"/>
              <w:rPr>
                <w:sz w:val="18"/>
                <w:szCs w:val="18"/>
              </w:rPr>
            </w:pPr>
            <w:r>
              <w:rPr>
                <w:rFonts w:hint="eastAsia"/>
                <w:sz w:val="18"/>
                <w:szCs w:val="18"/>
              </w:rPr>
              <w:t>1435.31</w:t>
            </w:r>
          </w:p>
        </w:tc>
        <w:tc>
          <w:tcPr>
            <w:tcW w:w="1891" w:type="pct"/>
            <w:shd w:val="clear" w:color="auto" w:fill="auto"/>
            <w:noWrap/>
            <w:vAlign w:val="center"/>
          </w:tcPr>
          <w:p w14:paraId="38598F93">
            <w:pPr>
              <w:pStyle w:val="24"/>
              <w:rPr>
                <w:sz w:val="18"/>
                <w:szCs w:val="18"/>
              </w:rPr>
            </w:pPr>
            <w:r>
              <w:rPr>
                <w:rFonts w:hint="eastAsia"/>
                <w:sz w:val="18"/>
                <w:szCs w:val="18"/>
              </w:rPr>
              <w:t>Second order FP,p1=0, p2=2</w:t>
            </w:r>
          </w:p>
        </w:tc>
        <w:tc>
          <w:tcPr>
            <w:tcW w:w="558" w:type="pct"/>
            <w:shd w:val="clear" w:color="auto" w:fill="auto"/>
            <w:noWrap/>
            <w:vAlign w:val="center"/>
          </w:tcPr>
          <w:p w14:paraId="1570DF2E">
            <w:pPr>
              <w:pStyle w:val="24"/>
              <w:rPr>
                <w:sz w:val="18"/>
                <w:szCs w:val="18"/>
              </w:rPr>
            </w:pPr>
            <w:r>
              <w:rPr>
                <w:rFonts w:hint="eastAsia"/>
                <w:sz w:val="18"/>
                <w:szCs w:val="18"/>
              </w:rPr>
              <w:t>2211.87</w:t>
            </w:r>
          </w:p>
        </w:tc>
      </w:tr>
      <w:tr w14:paraId="7015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7138904F">
            <w:pPr>
              <w:pStyle w:val="24"/>
              <w:rPr>
                <w:sz w:val="18"/>
                <w:szCs w:val="18"/>
              </w:rPr>
            </w:pPr>
            <w:r>
              <w:rPr>
                <w:rFonts w:hint="eastAsia"/>
                <w:sz w:val="18"/>
                <w:szCs w:val="18"/>
              </w:rPr>
              <w:t>Second order FP,p1=0.5, p2=1</w:t>
            </w:r>
          </w:p>
        </w:tc>
        <w:tc>
          <w:tcPr>
            <w:tcW w:w="580" w:type="pct"/>
            <w:shd w:val="clear" w:color="auto" w:fill="auto"/>
            <w:noWrap/>
            <w:vAlign w:val="center"/>
          </w:tcPr>
          <w:p w14:paraId="2A828FC0">
            <w:pPr>
              <w:pStyle w:val="24"/>
              <w:rPr>
                <w:sz w:val="18"/>
                <w:szCs w:val="18"/>
              </w:rPr>
            </w:pPr>
            <w:r>
              <w:rPr>
                <w:rFonts w:hint="eastAsia"/>
                <w:sz w:val="18"/>
                <w:szCs w:val="18"/>
              </w:rPr>
              <w:t>1447.97</w:t>
            </w:r>
          </w:p>
        </w:tc>
        <w:tc>
          <w:tcPr>
            <w:tcW w:w="1891" w:type="pct"/>
            <w:shd w:val="clear" w:color="auto" w:fill="auto"/>
            <w:noWrap/>
            <w:vAlign w:val="center"/>
          </w:tcPr>
          <w:p w14:paraId="2489B6C4">
            <w:pPr>
              <w:pStyle w:val="24"/>
              <w:rPr>
                <w:sz w:val="18"/>
                <w:szCs w:val="18"/>
              </w:rPr>
            </w:pPr>
            <w:r>
              <w:rPr>
                <w:rFonts w:hint="eastAsia"/>
                <w:sz w:val="18"/>
                <w:szCs w:val="18"/>
              </w:rPr>
              <w:t>First order FP,p1=-1</w:t>
            </w:r>
          </w:p>
        </w:tc>
        <w:tc>
          <w:tcPr>
            <w:tcW w:w="558" w:type="pct"/>
            <w:shd w:val="clear" w:color="auto" w:fill="auto"/>
            <w:noWrap/>
            <w:vAlign w:val="center"/>
          </w:tcPr>
          <w:p w14:paraId="2B26222C">
            <w:pPr>
              <w:pStyle w:val="24"/>
              <w:rPr>
                <w:sz w:val="18"/>
                <w:szCs w:val="18"/>
              </w:rPr>
            </w:pPr>
            <w:r>
              <w:rPr>
                <w:rFonts w:hint="eastAsia"/>
                <w:sz w:val="18"/>
                <w:szCs w:val="18"/>
              </w:rPr>
              <w:t>2355.01</w:t>
            </w:r>
          </w:p>
        </w:tc>
      </w:tr>
      <w:tr w14:paraId="6CEA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2D2FBDFC">
            <w:pPr>
              <w:pStyle w:val="24"/>
              <w:rPr>
                <w:sz w:val="18"/>
                <w:szCs w:val="18"/>
              </w:rPr>
            </w:pPr>
            <w:r>
              <w:rPr>
                <w:rFonts w:hint="eastAsia"/>
                <w:sz w:val="18"/>
                <w:szCs w:val="18"/>
              </w:rPr>
              <w:t>Second order FP,p1=0, p2=2</w:t>
            </w:r>
          </w:p>
        </w:tc>
        <w:tc>
          <w:tcPr>
            <w:tcW w:w="580" w:type="pct"/>
            <w:shd w:val="clear" w:color="auto" w:fill="auto"/>
            <w:noWrap/>
            <w:vAlign w:val="center"/>
          </w:tcPr>
          <w:p w14:paraId="6DE98B0D">
            <w:pPr>
              <w:pStyle w:val="24"/>
              <w:rPr>
                <w:sz w:val="18"/>
                <w:szCs w:val="18"/>
              </w:rPr>
            </w:pPr>
            <w:r>
              <w:rPr>
                <w:rFonts w:hint="eastAsia"/>
                <w:sz w:val="18"/>
                <w:szCs w:val="18"/>
              </w:rPr>
              <w:t>1454.01</w:t>
            </w:r>
          </w:p>
        </w:tc>
        <w:tc>
          <w:tcPr>
            <w:tcW w:w="1891" w:type="pct"/>
            <w:shd w:val="clear" w:color="auto" w:fill="auto"/>
            <w:noWrap/>
            <w:vAlign w:val="center"/>
          </w:tcPr>
          <w:p w14:paraId="649799CE">
            <w:pPr>
              <w:pStyle w:val="24"/>
              <w:rPr>
                <w:sz w:val="18"/>
                <w:szCs w:val="18"/>
              </w:rPr>
            </w:pPr>
            <w:r>
              <w:rPr>
                <w:rFonts w:hint="eastAsia"/>
                <w:sz w:val="18"/>
                <w:szCs w:val="18"/>
              </w:rPr>
              <w:t>Second order FP,p1=-1, p2=-1</w:t>
            </w:r>
          </w:p>
        </w:tc>
        <w:tc>
          <w:tcPr>
            <w:tcW w:w="558" w:type="pct"/>
            <w:shd w:val="clear" w:color="auto" w:fill="auto"/>
            <w:noWrap/>
            <w:vAlign w:val="center"/>
          </w:tcPr>
          <w:p w14:paraId="70DB6CB1">
            <w:pPr>
              <w:pStyle w:val="24"/>
              <w:rPr>
                <w:sz w:val="18"/>
                <w:szCs w:val="18"/>
              </w:rPr>
            </w:pPr>
            <w:r>
              <w:rPr>
                <w:rFonts w:hint="eastAsia"/>
                <w:sz w:val="18"/>
                <w:szCs w:val="18"/>
              </w:rPr>
              <w:t>2355.01</w:t>
            </w:r>
          </w:p>
        </w:tc>
      </w:tr>
      <w:tr w14:paraId="3D6D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7735410C">
            <w:pPr>
              <w:pStyle w:val="24"/>
              <w:rPr>
                <w:sz w:val="18"/>
                <w:szCs w:val="18"/>
              </w:rPr>
            </w:pPr>
            <w:r>
              <w:rPr>
                <w:rFonts w:hint="eastAsia"/>
                <w:sz w:val="18"/>
                <w:szCs w:val="18"/>
              </w:rPr>
              <w:t>First order FP,p1=-0.5</w:t>
            </w:r>
          </w:p>
        </w:tc>
        <w:tc>
          <w:tcPr>
            <w:tcW w:w="580" w:type="pct"/>
            <w:shd w:val="clear" w:color="auto" w:fill="auto"/>
            <w:noWrap/>
            <w:vAlign w:val="center"/>
          </w:tcPr>
          <w:p w14:paraId="3D6C4082">
            <w:pPr>
              <w:pStyle w:val="24"/>
              <w:rPr>
                <w:sz w:val="18"/>
                <w:szCs w:val="18"/>
              </w:rPr>
            </w:pPr>
            <w:r>
              <w:rPr>
                <w:rFonts w:hint="eastAsia"/>
                <w:sz w:val="18"/>
                <w:szCs w:val="18"/>
              </w:rPr>
              <w:t>1488.39</w:t>
            </w:r>
          </w:p>
        </w:tc>
        <w:tc>
          <w:tcPr>
            <w:tcW w:w="1891" w:type="pct"/>
            <w:shd w:val="clear" w:color="auto" w:fill="auto"/>
            <w:noWrap/>
            <w:vAlign w:val="center"/>
          </w:tcPr>
          <w:p w14:paraId="49DBCD75">
            <w:pPr>
              <w:pStyle w:val="24"/>
              <w:rPr>
                <w:sz w:val="18"/>
                <w:szCs w:val="18"/>
              </w:rPr>
            </w:pPr>
            <w:r>
              <w:rPr>
                <w:rFonts w:hint="eastAsia"/>
                <w:sz w:val="18"/>
                <w:szCs w:val="18"/>
              </w:rPr>
              <w:t>Second order FP,p1=0.5, p2=2</w:t>
            </w:r>
          </w:p>
        </w:tc>
        <w:tc>
          <w:tcPr>
            <w:tcW w:w="558" w:type="pct"/>
            <w:shd w:val="clear" w:color="auto" w:fill="auto"/>
            <w:noWrap/>
            <w:vAlign w:val="center"/>
          </w:tcPr>
          <w:p w14:paraId="31A9483A">
            <w:pPr>
              <w:pStyle w:val="24"/>
              <w:rPr>
                <w:sz w:val="18"/>
                <w:szCs w:val="18"/>
              </w:rPr>
            </w:pPr>
            <w:r>
              <w:rPr>
                <w:rFonts w:hint="eastAsia"/>
                <w:sz w:val="18"/>
                <w:szCs w:val="18"/>
              </w:rPr>
              <w:t>2355.09</w:t>
            </w:r>
          </w:p>
        </w:tc>
      </w:tr>
      <w:tr w14:paraId="7496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518DE387">
            <w:pPr>
              <w:pStyle w:val="24"/>
              <w:rPr>
                <w:sz w:val="18"/>
                <w:szCs w:val="18"/>
              </w:rPr>
            </w:pPr>
            <w:r>
              <w:rPr>
                <w:rFonts w:hint="eastAsia"/>
                <w:sz w:val="18"/>
                <w:szCs w:val="18"/>
              </w:rPr>
              <w:t>Second order FP,p1=-0.5, p2=-0.5</w:t>
            </w:r>
          </w:p>
        </w:tc>
        <w:tc>
          <w:tcPr>
            <w:tcW w:w="580" w:type="pct"/>
            <w:shd w:val="clear" w:color="auto" w:fill="auto"/>
            <w:noWrap/>
            <w:vAlign w:val="center"/>
          </w:tcPr>
          <w:p w14:paraId="0C6C932D">
            <w:pPr>
              <w:pStyle w:val="24"/>
              <w:rPr>
                <w:sz w:val="18"/>
                <w:szCs w:val="18"/>
              </w:rPr>
            </w:pPr>
            <w:r>
              <w:rPr>
                <w:rFonts w:hint="eastAsia"/>
                <w:sz w:val="18"/>
                <w:szCs w:val="18"/>
              </w:rPr>
              <w:t>1488.39</w:t>
            </w:r>
          </w:p>
        </w:tc>
        <w:tc>
          <w:tcPr>
            <w:tcW w:w="1891" w:type="pct"/>
            <w:shd w:val="clear" w:color="auto" w:fill="auto"/>
            <w:noWrap/>
            <w:vAlign w:val="center"/>
          </w:tcPr>
          <w:p w14:paraId="015B9D95">
            <w:pPr>
              <w:pStyle w:val="24"/>
              <w:rPr>
                <w:sz w:val="18"/>
                <w:szCs w:val="18"/>
              </w:rPr>
            </w:pPr>
            <w:r>
              <w:rPr>
                <w:rFonts w:hint="eastAsia"/>
                <w:sz w:val="18"/>
                <w:szCs w:val="18"/>
              </w:rPr>
              <w:t>Second order FP,p1=0, p2=3</w:t>
            </w:r>
          </w:p>
        </w:tc>
        <w:tc>
          <w:tcPr>
            <w:tcW w:w="558" w:type="pct"/>
            <w:shd w:val="clear" w:color="auto" w:fill="auto"/>
            <w:noWrap/>
            <w:vAlign w:val="center"/>
          </w:tcPr>
          <w:p w14:paraId="484275D5">
            <w:pPr>
              <w:pStyle w:val="24"/>
              <w:rPr>
                <w:sz w:val="18"/>
                <w:szCs w:val="18"/>
              </w:rPr>
            </w:pPr>
            <w:r>
              <w:rPr>
                <w:rFonts w:hint="eastAsia"/>
                <w:sz w:val="18"/>
                <w:szCs w:val="18"/>
              </w:rPr>
              <w:t>2369.07</w:t>
            </w:r>
          </w:p>
        </w:tc>
      </w:tr>
      <w:tr w14:paraId="51C8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039C4F48">
            <w:pPr>
              <w:pStyle w:val="24"/>
              <w:rPr>
                <w:sz w:val="18"/>
                <w:szCs w:val="18"/>
              </w:rPr>
            </w:pPr>
            <w:r>
              <w:rPr>
                <w:rFonts w:hint="eastAsia"/>
                <w:sz w:val="18"/>
                <w:szCs w:val="18"/>
              </w:rPr>
              <w:t>Second order FP,p1=0, p2=3</w:t>
            </w:r>
          </w:p>
        </w:tc>
        <w:tc>
          <w:tcPr>
            <w:tcW w:w="580" w:type="pct"/>
            <w:shd w:val="clear" w:color="auto" w:fill="auto"/>
            <w:noWrap/>
            <w:vAlign w:val="center"/>
          </w:tcPr>
          <w:p w14:paraId="2FFAF694">
            <w:pPr>
              <w:pStyle w:val="24"/>
              <w:rPr>
                <w:sz w:val="18"/>
                <w:szCs w:val="18"/>
              </w:rPr>
            </w:pPr>
            <w:r>
              <w:rPr>
                <w:rFonts w:hint="eastAsia"/>
                <w:sz w:val="18"/>
                <w:szCs w:val="18"/>
              </w:rPr>
              <w:t>1489.47</w:t>
            </w:r>
          </w:p>
        </w:tc>
        <w:tc>
          <w:tcPr>
            <w:tcW w:w="1891" w:type="pct"/>
            <w:shd w:val="clear" w:color="auto" w:fill="auto"/>
            <w:noWrap/>
            <w:vAlign w:val="center"/>
          </w:tcPr>
          <w:p w14:paraId="6B10E5A2">
            <w:pPr>
              <w:pStyle w:val="24"/>
              <w:rPr>
                <w:sz w:val="18"/>
                <w:szCs w:val="18"/>
              </w:rPr>
            </w:pPr>
            <w:r>
              <w:rPr>
                <w:rFonts w:hint="eastAsia"/>
                <w:sz w:val="18"/>
                <w:szCs w:val="18"/>
              </w:rPr>
              <w:t>Second order FP,p1=1, p2=2</w:t>
            </w:r>
          </w:p>
        </w:tc>
        <w:tc>
          <w:tcPr>
            <w:tcW w:w="558" w:type="pct"/>
            <w:shd w:val="clear" w:color="auto" w:fill="auto"/>
            <w:noWrap/>
            <w:vAlign w:val="center"/>
          </w:tcPr>
          <w:p w14:paraId="2CB2254F">
            <w:pPr>
              <w:pStyle w:val="24"/>
              <w:rPr>
                <w:sz w:val="18"/>
                <w:szCs w:val="18"/>
              </w:rPr>
            </w:pPr>
            <w:r>
              <w:rPr>
                <w:rFonts w:hint="eastAsia"/>
                <w:sz w:val="18"/>
                <w:szCs w:val="18"/>
              </w:rPr>
              <w:t>2490.73</w:t>
            </w:r>
          </w:p>
        </w:tc>
      </w:tr>
      <w:tr w14:paraId="09645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217CD6AB">
            <w:pPr>
              <w:pStyle w:val="24"/>
              <w:rPr>
                <w:sz w:val="18"/>
                <w:szCs w:val="18"/>
              </w:rPr>
            </w:pPr>
            <w:r>
              <w:rPr>
                <w:rFonts w:hint="eastAsia"/>
                <w:sz w:val="18"/>
                <w:szCs w:val="18"/>
              </w:rPr>
              <w:t>Second order FP,p1=0.5, p2=2</w:t>
            </w:r>
          </w:p>
        </w:tc>
        <w:tc>
          <w:tcPr>
            <w:tcW w:w="580" w:type="pct"/>
            <w:shd w:val="clear" w:color="auto" w:fill="auto"/>
            <w:noWrap/>
            <w:vAlign w:val="center"/>
          </w:tcPr>
          <w:p w14:paraId="28BA40AF">
            <w:pPr>
              <w:pStyle w:val="24"/>
              <w:rPr>
                <w:sz w:val="18"/>
                <w:szCs w:val="18"/>
              </w:rPr>
            </w:pPr>
            <w:r>
              <w:rPr>
                <w:rFonts w:hint="eastAsia"/>
                <w:sz w:val="18"/>
                <w:szCs w:val="18"/>
              </w:rPr>
              <w:t>1507.15</w:t>
            </w:r>
          </w:p>
        </w:tc>
        <w:tc>
          <w:tcPr>
            <w:tcW w:w="1891" w:type="pct"/>
            <w:shd w:val="clear" w:color="auto" w:fill="auto"/>
            <w:noWrap/>
            <w:vAlign w:val="center"/>
          </w:tcPr>
          <w:p w14:paraId="17F227AE">
            <w:pPr>
              <w:pStyle w:val="24"/>
              <w:rPr>
                <w:sz w:val="18"/>
                <w:szCs w:val="18"/>
              </w:rPr>
            </w:pPr>
            <w:r>
              <w:rPr>
                <w:rFonts w:hint="eastAsia"/>
                <w:sz w:val="18"/>
                <w:szCs w:val="18"/>
              </w:rPr>
              <w:t>Second order FP,p1=0.5, p2=3</w:t>
            </w:r>
          </w:p>
        </w:tc>
        <w:tc>
          <w:tcPr>
            <w:tcW w:w="558" w:type="pct"/>
            <w:shd w:val="clear" w:color="auto" w:fill="auto"/>
            <w:noWrap/>
            <w:vAlign w:val="center"/>
          </w:tcPr>
          <w:p w14:paraId="05C6D58B">
            <w:pPr>
              <w:pStyle w:val="24"/>
              <w:rPr>
                <w:sz w:val="18"/>
                <w:szCs w:val="18"/>
              </w:rPr>
            </w:pPr>
            <w:r>
              <w:rPr>
                <w:rFonts w:hint="eastAsia"/>
                <w:sz w:val="18"/>
                <w:szCs w:val="18"/>
              </w:rPr>
              <w:t>2523.66</w:t>
            </w:r>
          </w:p>
        </w:tc>
      </w:tr>
      <w:tr w14:paraId="526D1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0F65C472">
            <w:pPr>
              <w:pStyle w:val="24"/>
              <w:rPr>
                <w:sz w:val="18"/>
                <w:szCs w:val="18"/>
              </w:rPr>
            </w:pPr>
            <w:r>
              <w:rPr>
                <w:rFonts w:hint="eastAsia"/>
                <w:sz w:val="18"/>
                <w:szCs w:val="18"/>
              </w:rPr>
              <w:t>Second order FP,p1=0.5, p2=3</w:t>
            </w:r>
          </w:p>
        </w:tc>
        <w:tc>
          <w:tcPr>
            <w:tcW w:w="580" w:type="pct"/>
            <w:shd w:val="clear" w:color="auto" w:fill="auto"/>
            <w:noWrap/>
            <w:vAlign w:val="center"/>
          </w:tcPr>
          <w:p w14:paraId="6817DB2A">
            <w:pPr>
              <w:pStyle w:val="24"/>
              <w:rPr>
                <w:sz w:val="18"/>
                <w:szCs w:val="18"/>
              </w:rPr>
            </w:pPr>
            <w:r>
              <w:rPr>
                <w:rFonts w:hint="eastAsia"/>
                <w:sz w:val="18"/>
                <w:szCs w:val="18"/>
              </w:rPr>
              <w:t>1556.69</w:t>
            </w:r>
          </w:p>
        </w:tc>
        <w:tc>
          <w:tcPr>
            <w:tcW w:w="1891" w:type="pct"/>
            <w:shd w:val="clear" w:color="auto" w:fill="auto"/>
            <w:noWrap/>
            <w:vAlign w:val="center"/>
          </w:tcPr>
          <w:p w14:paraId="58E98695">
            <w:pPr>
              <w:pStyle w:val="24"/>
              <w:rPr>
                <w:sz w:val="18"/>
                <w:szCs w:val="18"/>
              </w:rPr>
            </w:pPr>
            <w:r>
              <w:rPr>
                <w:rFonts w:hint="eastAsia"/>
                <w:sz w:val="18"/>
                <w:szCs w:val="18"/>
              </w:rPr>
              <w:t>First order FP,p1=-0.5</w:t>
            </w:r>
          </w:p>
        </w:tc>
        <w:tc>
          <w:tcPr>
            <w:tcW w:w="558" w:type="pct"/>
            <w:shd w:val="clear" w:color="auto" w:fill="auto"/>
            <w:noWrap/>
            <w:vAlign w:val="center"/>
          </w:tcPr>
          <w:p w14:paraId="66F4D07C">
            <w:pPr>
              <w:pStyle w:val="24"/>
              <w:rPr>
                <w:sz w:val="18"/>
                <w:szCs w:val="18"/>
              </w:rPr>
            </w:pPr>
            <w:r>
              <w:rPr>
                <w:rFonts w:hint="eastAsia"/>
                <w:sz w:val="18"/>
                <w:szCs w:val="18"/>
              </w:rPr>
              <w:t>2560.09</w:t>
            </w:r>
          </w:p>
        </w:tc>
      </w:tr>
      <w:tr w14:paraId="7C846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6554CFA9">
            <w:pPr>
              <w:pStyle w:val="24"/>
              <w:rPr>
                <w:sz w:val="18"/>
                <w:szCs w:val="18"/>
              </w:rPr>
            </w:pPr>
            <w:r>
              <w:rPr>
                <w:rFonts w:hint="eastAsia"/>
                <w:sz w:val="18"/>
                <w:szCs w:val="18"/>
              </w:rPr>
              <w:t>Second order FP,p1=1, p2=2</w:t>
            </w:r>
          </w:p>
        </w:tc>
        <w:tc>
          <w:tcPr>
            <w:tcW w:w="580" w:type="pct"/>
            <w:shd w:val="clear" w:color="auto" w:fill="auto"/>
            <w:noWrap/>
            <w:vAlign w:val="center"/>
          </w:tcPr>
          <w:p w14:paraId="021AA16A">
            <w:pPr>
              <w:pStyle w:val="24"/>
              <w:rPr>
                <w:sz w:val="18"/>
                <w:szCs w:val="18"/>
              </w:rPr>
            </w:pPr>
            <w:r>
              <w:rPr>
                <w:rFonts w:hint="eastAsia"/>
                <w:sz w:val="18"/>
                <w:szCs w:val="18"/>
              </w:rPr>
              <w:t>1564.38</w:t>
            </w:r>
          </w:p>
        </w:tc>
        <w:tc>
          <w:tcPr>
            <w:tcW w:w="1891" w:type="pct"/>
            <w:shd w:val="clear" w:color="auto" w:fill="auto"/>
            <w:noWrap/>
            <w:vAlign w:val="center"/>
          </w:tcPr>
          <w:p w14:paraId="522127B4">
            <w:pPr>
              <w:pStyle w:val="24"/>
              <w:rPr>
                <w:sz w:val="18"/>
                <w:szCs w:val="18"/>
              </w:rPr>
            </w:pPr>
            <w:r>
              <w:rPr>
                <w:rFonts w:hint="eastAsia"/>
                <w:sz w:val="18"/>
                <w:szCs w:val="18"/>
              </w:rPr>
              <w:t>Second order FP,p1=-0.5, p2=-0.5</w:t>
            </w:r>
          </w:p>
        </w:tc>
        <w:tc>
          <w:tcPr>
            <w:tcW w:w="558" w:type="pct"/>
            <w:shd w:val="clear" w:color="auto" w:fill="auto"/>
            <w:noWrap/>
            <w:vAlign w:val="center"/>
          </w:tcPr>
          <w:p w14:paraId="48480E55">
            <w:pPr>
              <w:pStyle w:val="24"/>
              <w:rPr>
                <w:sz w:val="18"/>
                <w:szCs w:val="18"/>
              </w:rPr>
            </w:pPr>
            <w:r>
              <w:rPr>
                <w:rFonts w:hint="eastAsia"/>
                <w:sz w:val="18"/>
                <w:szCs w:val="18"/>
              </w:rPr>
              <w:t>2560.09</w:t>
            </w:r>
          </w:p>
        </w:tc>
      </w:tr>
      <w:tr w14:paraId="74B9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00ABB419">
            <w:pPr>
              <w:pStyle w:val="24"/>
              <w:rPr>
                <w:sz w:val="18"/>
                <w:szCs w:val="18"/>
              </w:rPr>
            </w:pPr>
            <w:r>
              <w:rPr>
                <w:rFonts w:hint="eastAsia"/>
                <w:sz w:val="18"/>
                <w:szCs w:val="18"/>
              </w:rPr>
              <w:t>First order FP,p1=0</w:t>
            </w:r>
          </w:p>
        </w:tc>
        <w:tc>
          <w:tcPr>
            <w:tcW w:w="580" w:type="pct"/>
            <w:shd w:val="clear" w:color="auto" w:fill="auto"/>
            <w:noWrap/>
            <w:vAlign w:val="center"/>
          </w:tcPr>
          <w:p w14:paraId="5F63FB5F">
            <w:pPr>
              <w:pStyle w:val="24"/>
              <w:rPr>
                <w:sz w:val="18"/>
                <w:szCs w:val="18"/>
              </w:rPr>
            </w:pPr>
            <w:r>
              <w:rPr>
                <w:rFonts w:hint="eastAsia"/>
                <w:sz w:val="18"/>
                <w:szCs w:val="18"/>
              </w:rPr>
              <w:t>1586.26</w:t>
            </w:r>
          </w:p>
        </w:tc>
        <w:tc>
          <w:tcPr>
            <w:tcW w:w="1891" w:type="pct"/>
            <w:shd w:val="clear" w:color="auto" w:fill="auto"/>
            <w:noWrap/>
            <w:vAlign w:val="center"/>
          </w:tcPr>
          <w:p w14:paraId="72018BB9">
            <w:pPr>
              <w:pStyle w:val="24"/>
              <w:rPr>
                <w:sz w:val="18"/>
                <w:szCs w:val="18"/>
              </w:rPr>
            </w:pPr>
            <w:r>
              <w:rPr>
                <w:rFonts w:hint="eastAsia"/>
                <w:sz w:val="18"/>
                <w:szCs w:val="18"/>
              </w:rPr>
              <w:t>Second order FP,p1=1, p2=3</w:t>
            </w:r>
          </w:p>
        </w:tc>
        <w:tc>
          <w:tcPr>
            <w:tcW w:w="558" w:type="pct"/>
            <w:shd w:val="clear" w:color="auto" w:fill="auto"/>
            <w:noWrap/>
            <w:vAlign w:val="center"/>
          </w:tcPr>
          <w:p w14:paraId="3BDC1C1A">
            <w:pPr>
              <w:pStyle w:val="24"/>
              <w:rPr>
                <w:sz w:val="18"/>
                <w:szCs w:val="18"/>
              </w:rPr>
            </w:pPr>
            <w:r>
              <w:rPr>
                <w:rFonts w:hint="eastAsia"/>
                <w:sz w:val="18"/>
                <w:szCs w:val="18"/>
              </w:rPr>
              <w:t>2663.93</w:t>
            </w:r>
          </w:p>
        </w:tc>
      </w:tr>
      <w:tr w14:paraId="42AF2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63422682">
            <w:pPr>
              <w:pStyle w:val="24"/>
              <w:rPr>
                <w:sz w:val="18"/>
                <w:szCs w:val="18"/>
              </w:rPr>
            </w:pPr>
            <w:r>
              <w:rPr>
                <w:rFonts w:hint="eastAsia"/>
                <w:sz w:val="18"/>
                <w:szCs w:val="18"/>
              </w:rPr>
              <w:t>Second order FP,p1=0, p2=0</w:t>
            </w:r>
          </w:p>
        </w:tc>
        <w:tc>
          <w:tcPr>
            <w:tcW w:w="580" w:type="pct"/>
            <w:shd w:val="clear" w:color="auto" w:fill="auto"/>
            <w:noWrap/>
            <w:vAlign w:val="center"/>
          </w:tcPr>
          <w:p w14:paraId="053E562E">
            <w:pPr>
              <w:pStyle w:val="24"/>
              <w:rPr>
                <w:sz w:val="18"/>
                <w:szCs w:val="18"/>
              </w:rPr>
            </w:pPr>
            <w:r>
              <w:rPr>
                <w:rFonts w:hint="eastAsia"/>
                <w:sz w:val="18"/>
                <w:szCs w:val="18"/>
              </w:rPr>
              <w:t>1586.26</w:t>
            </w:r>
          </w:p>
        </w:tc>
        <w:tc>
          <w:tcPr>
            <w:tcW w:w="1891" w:type="pct"/>
            <w:shd w:val="clear" w:color="auto" w:fill="auto"/>
            <w:noWrap/>
            <w:vAlign w:val="center"/>
          </w:tcPr>
          <w:p w14:paraId="5D0128A6">
            <w:pPr>
              <w:pStyle w:val="24"/>
              <w:rPr>
                <w:sz w:val="18"/>
                <w:szCs w:val="18"/>
              </w:rPr>
            </w:pPr>
            <w:r>
              <w:rPr>
                <w:rFonts w:hint="eastAsia"/>
                <w:sz w:val="18"/>
                <w:szCs w:val="18"/>
              </w:rPr>
              <w:t>First order FP,p1=0</w:t>
            </w:r>
          </w:p>
        </w:tc>
        <w:tc>
          <w:tcPr>
            <w:tcW w:w="558" w:type="pct"/>
            <w:shd w:val="clear" w:color="auto" w:fill="auto"/>
            <w:noWrap/>
            <w:vAlign w:val="center"/>
          </w:tcPr>
          <w:p w14:paraId="2C2354DF">
            <w:pPr>
              <w:pStyle w:val="24"/>
              <w:rPr>
                <w:sz w:val="18"/>
                <w:szCs w:val="18"/>
              </w:rPr>
            </w:pPr>
            <w:r>
              <w:rPr>
                <w:rFonts w:hint="eastAsia"/>
                <w:sz w:val="18"/>
                <w:szCs w:val="18"/>
              </w:rPr>
              <w:t>2764.49</w:t>
            </w:r>
          </w:p>
        </w:tc>
      </w:tr>
      <w:tr w14:paraId="75E24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1E1A7C98">
            <w:pPr>
              <w:pStyle w:val="24"/>
              <w:rPr>
                <w:sz w:val="18"/>
                <w:szCs w:val="18"/>
              </w:rPr>
            </w:pPr>
            <w:r>
              <w:rPr>
                <w:rFonts w:hint="eastAsia"/>
                <w:sz w:val="18"/>
                <w:szCs w:val="18"/>
              </w:rPr>
              <w:t>Second order FP,p1=1, p2=3</w:t>
            </w:r>
          </w:p>
        </w:tc>
        <w:tc>
          <w:tcPr>
            <w:tcW w:w="580" w:type="pct"/>
            <w:shd w:val="clear" w:color="auto" w:fill="auto"/>
            <w:noWrap/>
            <w:vAlign w:val="center"/>
          </w:tcPr>
          <w:p w14:paraId="53142B8E">
            <w:pPr>
              <w:pStyle w:val="24"/>
              <w:rPr>
                <w:sz w:val="18"/>
                <w:szCs w:val="18"/>
              </w:rPr>
            </w:pPr>
            <w:r>
              <w:rPr>
                <w:rFonts w:hint="eastAsia"/>
                <w:sz w:val="18"/>
                <w:szCs w:val="18"/>
              </w:rPr>
              <w:t>1625.24</w:t>
            </w:r>
          </w:p>
        </w:tc>
        <w:tc>
          <w:tcPr>
            <w:tcW w:w="1891" w:type="pct"/>
            <w:shd w:val="clear" w:color="auto" w:fill="auto"/>
            <w:noWrap/>
            <w:vAlign w:val="center"/>
          </w:tcPr>
          <w:p w14:paraId="3F47087B">
            <w:pPr>
              <w:pStyle w:val="24"/>
              <w:rPr>
                <w:sz w:val="18"/>
                <w:szCs w:val="18"/>
              </w:rPr>
            </w:pPr>
            <w:r>
              <w:rPr>
                <w:rFonts w:hint="eastAsia"/>
                <w:sz w:val="18"/>
                <w:szCs w:val="18"/>
              </w:rPr>
              <w:t>Second order FP,p1=0, p2=0</w:t>
            </w:r>
          </w:p>
        </w:tc>
        <w:tc>
          <w:tcPr>
            <w:tcW w:w="558" w:type="pct"/>
            <w:shd w:val="clear" w:color="auto" w:fill="auto"/>
            <w:noWrap/>
            <w:vAlign w:val="center"/>
          </w:tcPr>
          <w:p w14:paraId="729F9CA3">
            <w:pPr>
              <w:pStyle w:val="24"/>
              <w:rPr>
                <w:sz w:val="18"/>
                <w:szCs w:val="18"/>
              </w:rPr>
            </w:pPr>
            <w:r>
              <w:rPr>
                <w:rFonts w:hint="eastAsia"/>
                <w:sz w:val="18"/>
                <w:szCs w:val="18"/>
              </w:rPr>
              <w:t>2764.49</w:t>
            </w:r>
          </w:p>
        </w:tc>
      </w:tr>
      <w:tr w14:paraId="49AD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6C242C9A">
            <w:pPr>
              <w:pStyle w:val="24"/>
              <w:rPr>
                <w:sz w:val="18"/>
                <w:szCs w:val="18"/>
              </w:rPr>
            </w:pPr>
            <w:r>
              <w:rPr>
                <w:rFonts w:hint="eastAsia"/>
                <w:sz w:val="18"/>
                <w:szCs w:val="18"/>
              </w:rPr>
              <w:t>First order FP,p1=0.5</w:t>
            </w:r>
          </w:p>
        </w:tc>
        <w:tc>
          <w:tcPr>
            <w:tcW w:w="580" w:type="pct"/>
            <w:shd w:val="clear" w:color="auto" w:fill="auto"/>
            <w:noWrap/>
            <w:vAlign w:val="center"/>
          </w:tcPr>
          <w:p w14:paraId="0D5FF8F3">
            <w:pPr>
              <w:pStyle w:val="24"/>
              <w:rPr>
                <w:sz w:val="18"/>
                <w:szCs w:val="18"/>
              </w:rPr>
            </w:pPr>
            <w:r>
              <w:rPr>
                <w:rFonts w:hint="eastAsia"/>
                <w:sz w:val="18"/>
                <w:szCs w:val="18"/>
              </w:rPr>
              <w:t>1694</w:t>
            </w:r>
          </w:p>
        </w:tc>
        <w:tc>
          <w:tcPr>
            <w:tcW w:w="1891" w:type="pct"/>
            <w:shd w:val="clear" w:color="auto" w:fill="auto"/>
            <w:noWrap/>
            <w:vAlign w:val="center"/>
          </w:tcPr>
          <w:p w14:paraId="04BCBA52">
            <w:pPr>
              <w:pStyle w:val="24"/>
              <w:rPr>
                <w:sz w:val="18"/>
                <w:szCs w:val="18"/>
              </w:rPr>
            </w:pPr>
            <w:r>
              <w:rPr>
                <w:rFonts w:hint="eastAsia"/>
                <w:sz w:val="18"/>
                <w:szCs w:val="18"/>
              </w:rPr>
              <w:t>Second order FP,p1=2, p2=3</w:t>
            </w:r>
          </w:p>
        </w:tc>
        <w:tc>
          <w:tcPr>
            <w:tcW w:w="558" w:type="pct"/>
            <w:shd w:val="clear" w:color="auto" w:fill="auto"/>
            <w:noWrap/>
            <w:vAlign w:val="center"/>
          </w:tcPr>
          <w:p w14:paraId="5FAA0411">
            <w:pPr>
              <w:pStyle w:val="24"/>
              <w:rPr>
                <w:sz w:val="18"/>
                <w:szCs w:val="18"/>
              </w:rPr>
            </w:pPr>
            <w:r>
              <w:rPr>
                <w:rFonts w:hint="eastAsia"/>
                <w:sz w:val="18"/>
                <w:szCs w:val="18"/>
              </w:rPr>
              <w:t>2881.98</w:t>
            </w:r>
          </w:p>
        </w:tc>
      </w:tr>
      <w:tr w14:paraId="7D2C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12430400">
            <w:pPr>
              <w:pStyle w:val="24"/>
              <w:rPr>
                <w:sz w:val="18"/>
                <w:szCs w:val="18"/>
              </w:rPr>
            </w:pPr>
            <w:r>
              <w:rPr>
                <w:rFonts w:hint="eastAsia"/>
                <w:sz w:val="18"/>
                <w:szCs w:val="18"/>
              </w:rPr>
              <w:t>Second order FP,p1=0.5, p2=0.5</w:t>
            </w:r>
          </w:p>
        </w:tc>
        <w:tc>
          <w:tcPr>
            <w:tcW w:w="580" w:type="pct"/>
            <w:shd w:val="clear" w:color="auto" w:fill="auto"/>
            <w:noWrap/>
            <w:vAlign w:val="center"/>
          </w:tcPr>
          <w:p w14:paraId="6983C920">
            <w:pPr>
              <w:pStyle w:val="24"/>
              <w:rPr>
                <w:sz w:val="18"/>
                <w:szCs w:val="18"/>
              </w:rPr>
            </w:pPr>
            <w:r>
              <w:rPr>
                <w:rFonts w:hint="eastAsia"/>
                <w:sz w:val="18"/>
                <w:szCs w:val="18"/>
              </w:rPr>
              <w:t>1694</w:t>
            </w:r>
          </w:p>
        </w:tc>
        <w:tc>
          <w:tcPr>
            <w:tcW w:w="1891" w:type="pct"/>
            <w:shd w:val="clear" w:color="auto" w:fill="auto"/>
            <w:noWrap/>
            <w:vAlign w:val="center"/>
          </w:tcPr>
          <w:p w14:paraId="6304DEC6">
            <w:pPr>
              <w:pStyle w:val="24"/>
              <w:rPr>
                <w:sz w:val="18"/>
                <w:szCs w:val="18"/>
              </w:rPr>
            </w:pPr>
            <w:r>
              <w:rPr>
                <w:rFonts w:hint="eastAsia"/>
                <w:sz w:val="18"/>
                <w:szCs w:val="18"/>
              </w:rPr>
              <w:t>First order FP,p1=0.5</w:t>
            </w:r>
          </w:p>
        </w:tc>
        <w:tc>
          <w:tcPr>
            <w:tcW w:w="558" w:type="pct"/>
            <w:shd w:val="clear" w:color="auto" w:fill="auto"/>
            <w:noWrap/>
            <w:vAlign w:val="center"/>
          </w:tcPr>
          <w:p w14:paraId="43C893D7">
            <w:pPr>
              <w:pStyle w:val="24"/>
              <w:rPr>
                <w:sz w:val="18"/>
                <w:szCs w:val="18"/>
              </w:rPr>
            </w:pPr>
            <w:r>
              <w:rPr>
                <w:rFonts w:hint="eastAsia"/>
                <w:sz w:val="18"/>
                <w:szCs w:val="18"/>
              </w:rPr>
              <w:t>2937.24</w:t>
            </w:r>
          </w:p>
        </w:tc>
      </w:tr>
      <w:tr w14:paraId="67E10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2C549305">
            <w:pPr>
              <w:pStyle w:val="24"/>
              <w:rPr>
                <w:sz w:val="18"/>
                <w:szCs w:val="18"/>
              </w:rPr>
            </w:pPr>
            <w:r>
              <w:rPr>
                <w:rFonts w:hint="eastAsia"/>
                <w:sz w:val="18"/>
                <w:szCs w:val="18"/>
              </w:rPr>
              <w:t>Second order FP,p1=2, p2=3</w:t>
            </w:r>
          </w:p>
        </w:tc>
        <w:tc>
          <w:tcPr>
            <w:tcW w:w="580" w:type="pct"/>
            <w:shd w:val="clear" w:color="auto" w:fill="auto"/>
            <w:noWrap/>
            <w:vAlign w:val="center"/>
          </w:tcPr>
          <w:p w14:paraId="582FCB2D">
            <w:pPr>
              <w:pStyle w:val="24"/>
              <w:rPr>
                <w:sz w:val="18"/>
                <w:szCs w:val="18"/>
              </w:rPr>
            </w:pPr>
            <w:r>
              <w:rPr>
                <w:rFonts w:hint="eastAsia"/>
                <w:sz w:val="18"/>
                <w:szCs w:val="18"/>
              </w:rPr>
              <w:t>1737.99</w:t>
            </w:r>
          </w:p>
        </w:tc>
        <w:tc>
          <w:tcPr>
            <w:tcW w:w="1891" w:type="pct"/>
            <w:shd w:val="clear" w:color="auto" w:fill="auto"/>
            <w:noWrap/>
            <w:vAlign w:val="center"/>
          </w:tcPr>
          <w:p w14:paraId="51549AFE">
            <w:pPr>
              <w:pStyle w:val="24"/>
              <w:rPr>
                <w:sz w:val="18"/>
                <w:szCs w:val="18"/>
              </w:rPr>
            </w:pPr>
            <w:r>
              <w:rPr>
                <w:rFonts w:hint="eastAsia"/>
                <w:sz w:val="18"/>
                <w:szCs w:val="18"/>
              </w:rPr>
              <w:t>Second order FP,p1=0.5, p2=0.5</w:t>
            </w:r>
          </w:p>
        </w:tc>
        <w:tc>
          <w:tcPr>
            <w:tcW w:w="558" w:type="pct"/>
            <w:shd w:val="clear" w:color="auto" w:fill="auto"/>
            <w:noWrap/>
            <w:vAlign w:val="center"/>
          </w:tcPr>
          <w:p w14:paraId="632AA8AD">
            <w:pPr>
              <w:pStyle w:val="24"/>
              <w:rPr>
                <w:sz w:val="18"/>
                <w:szCs w:val="18"/>
              </w:rPr>
            </w:pPr>
            <w:r>
              <w:rPr>
                <w:rFonts w:hint="eastAsia"/>
                <w:sz w:val="18"/>
                <w:szCs w:val="18"/>
              </w:rPr>
              <w:t>2937.24</w:t>
            </w:r>
          </w:p>
        </w:tc>
      </w:tr>
      <w:tr w14:paraId="00D21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40418729">
            <w:pPr>
              <w:pStyle w:val="24"/>
              <w:rPr>
                <w:sz w:val="18"/>
                <w:szCs w:val="18"/>
              </w:rPr>
            </w:pPr>
            <w:r>
              <w:rPr>
                <w:rFonts w:hint="eastAsia"/>
                <w:sz w:val="18"/>
                <w:szCs w:val="18"/>
              </w:rPr>
              <w:t>First order FP,p1=1</w:t>
            </w:r>
          </w:p>
        </w:tc>
        <w:tc>
          <w:tcPr>
            <w:tcW w:w="580" w:type="pct"/>
            <w:shd w:val="clear" w:color="auto" w:fill="auto"/>
            <w:noWrap/>
            <w:vAlign w:val="center"/>
          </w:tcPr>
          <w:p w14:paraId="420E5686">
            <w:pPr>
              <w:pStyle w:val="24"/>
              <w:rPr>
                <w:sz w:val="18"/>
                <w:szCs w:val="18"/>
              </w:rPr>
            </w:pPr>
            <w:r>
              <w:rPr>
                <w:rFonts w:hint="eastAsia"/>
                <w:sz w:val="18"/>
                <w:szCs w:val="18"/>
              </w:rPr>
              <w:t>1788.63</w:t>
            </w:r>
          </w:p>
        </w:tc>
        <w:tc>
          <w:tcPr>
            <w:tcW w:w="1891" w:type="pct"/>
            <w:shd w:val="clear" w:color="auto" w:fill="auto"/>
            <w:noWrap/>
            <w:vAlign w:val="center"/>
          </w:tcPr>
          <w:p w14:paraId="5D2CBCF1">
            <w:pPr>
              <w:pStyle w:val="24"/>
              <w:rPr>
                <w:sz w:val="18"/>
                <w:szCs w:val="18"/>
              </w:rPr>
            </w:pPr>
            <w:r>
              <w:rPr>
                <w:rFonts w:hint="eastAsia"/>
                <w:sz w:val="18"/>
                <w:szCs w:val="18"/>
              </w:rPr>
              <w:t>First order FP,p1=1</w:t>
            </w:r>
          </w:p>
        </w:tc>
        <w:tc>
          <w:tcPr>
            <w:tcW w:w="558" w:type="pct"/>
            <w:shd w:val="clear" w:color="auto" w:fill="auto"/>
            <w:noWrap/>
            <w:vAlign w:val="center"/>
          </w:tcPr>
          <w:p w14:paraId="7BEF4437">
            <w:pPr>
              <w:pStyle w:val="24"/>
              <w:rPr>
                <w:sz w:val="18"/>
                <w:szCs w:val="18"/>
              </w:rPr>
            </w:pPr>
            <w:r>
              <w:rPr>
                <w:rFonts w:hint="eastAsia"/>
                <w:sz w:val="18"/>
                <w:szCs w:val="18"/>
              </w:rPr>
              <w:t>3055.55</w:t>
            </w:r>
          </w:p>
        </w:tc>
      </w:tr>
      <w:tr w14:paraId="0DA5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099E2C33">
            <w:pPr>
              <w:pStyle w:val="24"/>
              <w:rPr>
                <w:sz w:val="18"/>
                <w:szCs w:val="18"/>
              </w:rPr>
            </w:pPr>
            <w:r>
              <w:rPr>
                <w:rFonts w:hint="eastAsia"/>
                <w:sz w:val="18"/>
                <w:szCs w:val="18"/>
              </w:rPr>
              <w:t>Second order FP,p1=1, p2=1</w:t>
            </w:r>
          </w:p>
        </w:tc>
        <w:tc>
          <w:tcPr>
            <w:tcW w:w="580" w:type="pct"/>
            <w:shd w:val="clear" w:color="auto" w:fill="auto"/>
            <w:noWrap/>
            <w:vAlign w:val="center"/>
          </w:tcPr>
          <w:p w14:paraId="110AB371">
            <w:pPr>
              <w:pStyle w:val="24"/>
              <w:rPr>
                <w:sz w:val="18"/>
                <w:szCs w:val="18"/>
              </w:rPr>
            </w:pPr>
            <w:r>
              <w:rPr>
                <w:rFonts w:hint="eastAsia"/>
                <w:sz w:val="18"/>
                <w:szCs w:val="18"/>
              </w:rPr>
              <w:t>1788.63</w:t>
            </w:r>
          </w:p>
        </w:tc>
        <w:tc>
          <w:tcPr>
            <w:tcW w:w="1891" w:type="pct"/>
            <w:shd w:val="clear" w:color="auto" w:fill="auto"/>
            <w:noWrap/>
            <w:vAlign w:val="center"/>
          </w:tcPr>
          <w:p w14:paraId="5E861235">
            <w:pPr>
              <w:pStyle w:val="24"/>
              <w:rPr>
                <w:sz w:val="18"/>
                <w:szCs w:val="18"/>
              </w:rPr>
            </w:pPr>
            <w:r>
              <w:rPr>
                <w:rFonts w:hint="eastAsia"/>
                <w:sz w:val="18"/>
                <w:szCs w:val="18"/>
              </w:rPr>
              <w:t>Second order FP,p1=1, p2=1</w:t>
            </w:r>
          </w:p>
        </w:tc>
        <w:tc>
          <w:tcPr>
            <w:tcW w:w="558" w:type="pct"/>
            <w:shd w:val="clear" w:color="auto" w:fill="auto"/>
            <w:noWrap/>
            <w:vAlign w:val="center"/>
          </w:tcPr>
          <w:p w14:paraId="64C724EF">
            <w:pPr>
              <w:pStyle w:val="24"/>
              <w:rPr>
                <w:sz w:val="18"/>
                <w:szCs w:val="18"/>
              </w:rPr>
            </w:pPr>
            <w:r>
              <w:rPr>
                <w:rFonts w:hint="eastAsia"/>
                <w:sz w:val="18"/>
                <w:szCs w:val="18"/>
              </w:rPr>
              <w:t>3055.55</w:t>
            </w:r>
          </w:p>
        </w:tc>
      </w:tr>
      <w:tr w14:paraId="2D91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6400F273">
            <w:pPr>
              <w:pStyle w:val="24"/>
              <w:rPr>
                <w:sz w:val="18"/>
                <w:szCs w:val="18"/>
              </w:rPr>
            </w:pPr>
            <w:r>
              <w:rPr>
                <w:rFonts w:hint="eastAsia"/>
                <w:sz w:val="18"/>
                <w:szCs w:val="18"/>
              </w:rPr>
              <w:t>First order FP, p1=2</w:t>
            </w:r>
          </w:p>
        </w:tc>
        <w:tc>
          <w:tcPr>
            <w:tcW w:w="580" w:type="pct"/>
            <w:shd w:val="clear" w:color="auto" w:fill="auto"/>
            <w:noWrap/>
            <w:vAlign w:val="center"/>
          </w:tcPr>
          <w:p w14:paraId="58964604">
            <w:pPr>
              <w:pStyle w:val="24"/>
              <w:rPr>
                <w:sz w:val="18"/>
                <w:szCs w:val="18"/>
              </w:rPr>
            </w:pPr>
            <w:r>
              <w:rPr>
                <w:rFonts w:hint="eastAsia"/>
                <w:sz w:val="18"/>
                <w:szCs w:val="18"/>
              </w:rPr>
              <w:t>1909.09</w:t>
            </w:r>
          </w:p>
        </w:tc>
        <w:tc>
          <w:tcPr>
            <w:tcW w:w="1891" w:type="pct"/>
            <w:shd w:val="clear" w:color="auto" w:fill="auto"/>
            <w:noWrap/>
            <w:vAlign w:val="center"/>
          </w:tcPr>
          <w:p w14:paraId="7952D9EE">
            <w:pPr>
              <w:pStyle w:val="24"/>
              <w:rPr>
                <w:sz w:val="18"/>
                <w:szCs w:val="18"/>
              </w:rPr>
            </w:pPr>
            <w:r>
              <w:rPr>
                <w:rFonts w:hint="eastAsia"/>
                <w:sz w:val="18"/>
                <w:szCs w:val="18"/>
              </w:rPr>
              <w:t>First order FP, p1=2</w:t>
            </w:r>
          </w:p>
        </w:tc>
        <w:tc>
          <w:tcPr>
            <w:tcW w:w="558" w:type="pct"/>
            <w:shd w:val="clear" w:color="auto" w:fill="auto"/>
            <w:noWrap/>
            <w:vAlign w:val="center"/>
          </w:tcPr>
          <w:p w14:paraId="549F11E0">
            <w:pPr>
              <w:pStyle w:val="24"/>
              <w:rPr>
                <w:sz w:val="18"/>
                <w:szCs w:val="18"/>
              </w:rPr>
            </w:pPr>
            <w:r>
              <w:rPr>
                <w:rFonts w:hint="eastAsia"/>
                <w:sz w:val="18"/>
                <w:szCs w:val="18"/>
              </w:rPr>
              <w:t>3147.65</w:t>
            </w:r>
          </w:p>
        </w:tc>
      </w:tr>
      <w:tr w14:paraId="463AD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7C6594B5">
            <w:pPr>
              <w:pStyle w:val="24"/>
              <w:rPr>
                <w:sz w:val="18"/>
                <w:szCs w:val="18"/>
              </w:rPr>
            </w:pPr>
            <w:r>
              <w:rPr>
                <w:rFonts w:hint="eastAsia"/>
                <w:sz w:val="18"/>
                <w:szCs w:val="18"/>
              </w:rPr>
              <w:t>Second order FP,p1=2, p2=2</w:t>
            </w:r>
          </w:p>
        </w:tc>
        <w:tc>
          <w:tcPr>
            <w:tcW w:w="580" w:type="pct"/>
            <w:shd w:val="clear" w:color="auto" w:fill="auto"/>
            <w:noWrap/>
            <w:vAlign w:val="center"/>
          </w:tcPr>
          <w:p w14:paraId="005FEFF8">
            <w:pPr>
              <w:pStyle w:val="24"/>
              <w:rPr>
                <w:sz w:val="18"/>
                <w:szCs w:val="18"/>
              </w:rPr>
            </w:pPr>
            <w:r>
              <w:rPr>
                <w:rFonts w:hint="eastAsia"/>
                <w:sz w:val="18"/>
                <w:szCs w:val="18"/>
              </w:rPr>
              <w:t>1909.09</w:t>
            </w:r>
          </w:p>
        </w:tc>
        <w:tc>
          <w:tcPr>
            <w:tcW w:w="1891" w:type="pct"/>
            <w:shd w:val="clear" w:color="auto" w:fill="auto"/>
            <w:noWrap/>
            <w:vAlign w:val="center"/>
          </w:tcPr>
          <w:p w14:paraId="63968542">
            <w:pPr>
              <w:pStyle w:val="24"/>
              <w:rPr>
                <w:sz w:val="18"/>
                <w:szCs w:val="18"/>
              </w:rPr>
            </w:pPr>
            <w:r>
              <w:rPr>
                <w:rFonts w:hint="eastAsia"/>
                <w:sz w:val="18"/>
                <w:szCs w:val="18"/>
              </w:rPr>
              <w:t>Second order FP,p1=2, p2=2</w:t>
            </w:r>
          </w:p>
        </w:tc>
        <w:tc>
          <w:tcPr>
            <w:tcW w:w="558" w:type="pct"/>
            <w:shd w:val="clear" w:color="auto" w:fill="auto"/>
            <w:noWrap/>
            <w:vAlign w:val="center"/>
          </w:tcPr>
          <w:p w14:paraId="32EF1FE0">
            <w:pPr>
              <w:pStyle w:val="24"/>
              <w:rPr>
                <w:sz w:val="18"/>
                <w:szCs w:val="18"/>
              </w:rPr>
            </w:pPr>
            <w:r>
              <w:rPr>
                <w:rFonts w:hint="eastAsia"/>
                <w:sz w:val="18"/>
                <w:szCs w:val="18"/>
              </w:rPr>
              <w:t>3147.65</w:t>
            </w:r>
          </w:p>
        </w:tc>
      </w:tr>
      <w:tr w14:paraId="0991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6DA10E5D">
            <w:pPr>
              <w:pStyle w:val="24"/>
              <w:rPr>
                <w:sz w:val="18"/>
                <w:szCs w:val="18"/>
              </w:rPr>
            </w:pPr>
            <w:r>
              <w:rPr>
                <w:rFonts w:hint="eastAsia"/>
                <w:sz w:val="18"/>
                <w:szCs w:val="18"/>
              </w:rPr>
              <w:t>First order FP,p1=3</w:t>
            </w:r>
          </w:p>
        </w:tc>
        <w:tc>
          <w:tcPr>
            <w:tcW w:w="580" w:type="pct"/>
            <w:shd w:val="clear" w:color="auto" w:fill="auto"/>
            <w:noWrap/>
            <w:vAlign w:val="center"/>
          </w:tcPr>
          <w:p w14:paraId="5C2B56DD">
            <w:pPr>
              <w:pStyle w:val="24"/>
              <w:rPr>
                <w:sz w:val="18"/>
                <w:szCs w:val="18"/>
              </w:rPr>
            </w:pPr>
            <w:r>
              <w:rPr>
                <w:rFonts w:hint="eastAsia"/>
                <w:sz w:val="18"/>
                <w:szCs w:val="18"/>
              </w:rPr>
              <w:t>1963.67</w:t>
            </w:r>
          </w:p>
        </w:tc>
        <w:tc>
          <w:tcPr>
            <w:tcW w:w="1891" w:type="pct"/>
            <w:shd w:val="clear" w:color="auto" w:fill="auto"/>
            <w:noWrap/>
            <w:vAlign w:val="center"/>
          </w:tcPr>
          <w:p w14:paraId="34D19EE9">
            <w:pPr>
              <w:pStyle w:val="24"/>
              <w:rPr>
                <w:sz w:val="18"/>
                <w:szCs w:val="18"/>
              </w:rPr>
            </w:pPr>
            <w:r>
              <w:rPr>
                <w:rFonts w:hint="eastAsia"/>
                <w:sz w:val="18"/>
                <w:szCs w:val="18"/>
              </w:rPr>
              <w:t>First order FP,p1=3</w:t>
            </w:r>
          </w:p>
        </w:tc>
        <w:tc>
          <w:tcPr>
            <w:tcW w:w="558" w:type="pct"/>
            <w:shd w:val="clear" w:color="auto" w:fill="auto"/>
            <w:noWrap/>
            <w:vAlign w:val="center"/>
          </w:tcPr>
          <w:p w14:paraId="74013597">
            <w:pPr>
              <w:pStyle w:val="24"/>
              <w:rPr>
                <w:sz w:val="18"/>
                <w:szCs w:val="18"/>
              </w:rPr>
            </w:pPr>
            <w:r>
              <w:rPr>
                <w:rFonts w:hint="eastAsia"/>
                <w:sz w:val="18"/>
                <w:szCs w:val="18"/>
              </w:rPr>
              <w:t>3160.07</w:t>
            </w:r>
          </w:p>
        </w:tc>
      </w:tr>
      <w:tr w14:paraId="50798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68" w:type="pct"/>
            <w:shd w:val="clear" w:color="auto" w:fill="auto"/>
            <w:noWrap/>
            <w:vAlign w:val="center"/>
          </w:tcPr>
          <w:p w14:paraId="40B9E248">
            <w:pPr>
              <w:pStyle w:val="24"/>
              <w:rPr>
                <w:sz w:val="18"/>
                <w:szCs w:val="18"/>
              </w:rPr>
            </w:pPr>
            <w:r>
              <w:rPr>
                <w:rFonts w:hint="eastAsia"/>
                <w:sz w:val="18"/>
                <w:szCs w:val="18"/>
              </w:rPr>
              <w:t>Second order FP,p1=3, p2=3</w:t>
            </w:r>
          </w:p>
        </w:tc>
        <w:tc>
          <w:tcPr>
            <w:tcW w:w="580" w:type="pct"/>
            <w:shd w:val="clear" w:color="auto" w:fill="auto"/>
            <w:noWrap/>
            <w:vAlign w:val="center"/>
          </w:tcPr>
          <w:p w14:paraId="2F5FDC37">
            <w:pPr>
              <w:pStyle w:val="24"/>
              <w:rPr>
                <w:sz w:val="18"/>
                <w:szCs w:val="18"/>
              </w:rPr>
            </w:pPr>
            <w:r>
              <w:rPr>
                <w:rFonts w:hint="eastAsia"/>
                <w:sz w:val="18"/>
                <w:szCs w:val="18"/>
              </w:rPr>
              <w:t>1963.67</w:t>
            </w:r>
          </w:p>
        </w:tc>
        <w:tc>
          <w:tcPr>
            <w:tcW w:w="1891" w:type="pct"/>
            <w:shd w:val="clear" w:color="auto" w:fill="auto"/>
            <w:noWrap/>
            <w:vAlign w:val="center"/>
          </w:tcPr>
          <w:p w14:paraId="26795F3A">
            <w:pPr>
              <w:pStyle w:val="24"/>
              <w:rPr>
                <w:sz w:val="18"/>
                <w:szCs w:val="18"/>
              </w:rPr>
            </w:pPr>
            <w:r>
              <w:rPr>
                <w:rFonts w:hint="eastAsia"/>
                <w:sz w:val="18"/>
                <w:szCs w:val="18"/>
              </w:rPr>
              <w:t>Second order FP,p1=3, p2=3</w:t>
            </w:r>
          </w:p>
        </w:tc>
        <w:tc>
          <w:tcPr>
            <w:tcW w:w="558" w:type="pct"/>
            <w:shd w:val="clear" w:color="auto" w:fill="auto"/>
            <w:noWrap/>
            <w:vAlign w:val="center"/>
          </w:tcPr>
          <w:p w14:paraId="4DF2A8F9">
            <w:pPr>
              <w:pStyle w:val="24"/>
              <w:rPr>
                <w:sz w:val="18"/>
                <w:szCs w:val="18"/>
              </w:rPr>
            </w:pPr>
            <w:r>
              <w:rPr>
                <w:rFonts w:hint="eastAsia"/>
                <w:sz w:val="18"/>
                <w:szCs w:val="18"/>
              </w:rPr>
              <w:t>3160.07</w:t>
            </w:r>
          </w:p>
        </w:tc>
      </w:tr>
    </w:tbl>
    <w:p w14:paraId="7DD17A8B">
      <w:pPr>
        <w:rPr>
          <w:rFonts w:cs="Times New Roman"/>
          <w:szCs w:val="20"/>
        </w:rPr>
      </w:pPr>
      <w:r>
        <w:rPr>
          <w:rFonts w:hint="eastAsia" w:cs="Times New Roman"/>
          <w:szCs w:val="20"/>
        </w:rPr>
        <w:t># Choose for 2-Order Fractional Polynomial (FP) Model; * Choose for 1-Order FP Model</w:t>
      </w:r>
    </w:p>
    <w:p w14:paraId="4876ED23">
      <w:pPr>
        <w:rPr>
          <w:rFonts w:cs="Times New Roman"/>
          <w:szCs w:val="20"/>
        </w:rPr>
      </w:pPr>
      <w:r>
        <w:rPr>
          <w:rFonts w:hint="eastAsia" w:cs="Times New Roman"/>
          <w:szCs w:val="20"/>
        </w:rPr>
        <w:br w:type="page"/>
      </w:r>
    </w:p>
    <w:p w14:paraId="272FA30D">
      <w:pPr>
        <w:pStyle w:val="2"/>
        <w:rPr>
          <w:rFonts w:hint="default"/>
        </w:rPr>
      </w:pPr>
      <w:bookmarkStart w:id="9" w:name="_Toc26848"/>
      <w:r>
        <w:t>Table S4 Fit Effects of Various Parametric Models for the Reference Regimen</w:t>
      </w:r>
      <w:bookmarkEnd w:id="9"/>
    </w:p>
    <w:tbl>
      <w:tblPr>
        <w:tblStyle w:val="17"/>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62"/>
        <w:gridCol w:w="2173"/>
        <w:gridCol w:w="1940"/>
        <w:gridCol w:w="2245"/>
      </w:tblGrid>
      <w:tr w14:paraId="01EA1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2544" w:type="pct"/>
            <w:gridSpan w:val="2"/>
            <w:shd w:val="clear" w:color="auto" w:fill="auto"/>
            <w:noWrap/>
            <w:vAlign w:val="center"/>
          </w:tcPr>
          <w:p w14:paraId="7D79FDE7">
            <w:pPr>
              <w:pStyle w:val="24"/>
            </w:pPr>
            <w:r>
              <w:rPr>
                <w:rFonts w:hint="eastAsia"/>
              </w:rPr>
              <w:t>OS</w:t>
            </w:r>
          </w:p>
        </w:tc>
        <w:tc>
          <w:tcPr>
            <w:tcW w:w="2455" w:type="pct"/>
            <w:gridSpan w:val="2"/>
            <w:shd w:val="clear" w:color="auto" w:fill="auto"/>
            <w:noWrap/>
            <w:vAlign w:val="center"/>
          </w:tcPr>
          <w:p w14:paraId="489131C7">
            <w:pPr>
              <w:pStyle w:val="24"/>
            </w:pPr>
            <w:r>
              <w:rPr>
                <w:rFonts w:hint="eastAsia"/>
              </w:rPr>
              <w:t>PFS#</w:t>
            </w:r>
          </w:p>
        </w:tc>
      </w:tr>
      <w:tr w14:paraId="5828E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608030A5">
            <w:pPr>
              <w:pStyle w:val="24"/>
            </w:pPr>
            <w:r>
              <w:rPr>
                <w:rFonts w:hint="eastAsia"/>
              </w:rPr>
              <w:t>Model</w:t>
            </w:r>
          </w:p>
        </w:tc>
        <w:tc>
          <w:tcPr>
            <w:tcW w:w="1275" w:type="pct"/>
            <w:shd w:val="clear" w:color="auto" w:fill="auto"/>
            <w:noWrap/>
            <w:vAlign w:val="center"/>
          </w:tcPr>
          <w:p w14:paraId="52204CD4">
            <w:pPr>
              <w:pStyle w:val="24"/>
            </w:pPr>
            <w:r>
              <w:rPr>
                <w:rFonts w:hint="eastAsia"/>
              </w:rPr>
              <w:t>AIC</w:t>
            </w:r>
          </w:p>
        </w:tc>
        <w:tc>
          <w:tcPr>
            <w:tcW w:w="1138" w:type="pct"/>
            <w:shd w:val="clear" w:color="auto" w:fill="auto"/>
            <w:noWrap/>
            <w:vAlign w:val="center"/>
          </w:tcPr>
          <w:p w14:paraId="493D4136">
            <w:pPr>
              <w:pStyle w:val="24"/>
            </w:pPr>
            <w:r>
              <w:rPr>
                <w:rFonts w:hint="eastAsia"/>
              </w:rPr>
              <w:t>Model</w:t>
            </w:r>
          </w:p>
        </w:tc>
        <w:tc>
          <w:tcPr>
            <w:tcW w:w="1316" w:type="pct"/>
            <w:shd w:val="clear" w:color="auto" w:fill="auto"/>
            <w:noWrap/>
            <w:vAlign w:val="center"/>
          </w:tcPr>
          <w:p w14:paraId="6D677F27">
            <w:pPr>
              <w:pStyle w:val="24"/>
            </w:pPr>
            <w:r>
              <w:rPr>
                <w:rFonts w:hint="eastAsia"/>
              </w:rPr>
              <w:t>AIC</w:t>
            </w:r>
          </w:p>
        </w:tc>
      </w:tr>
      <w:tr w14:paraId="2269B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3EB3543C">
            <w:pPr>
              <w:pStyle w:val="24"/>
            </w:pPr>
            <w:r>
              <w:rPr>
                <w:rFonts w:hint="eastAsia"/>
              </w:rPr>
              <w:t>lnorm</w:t>
            </w:r>
          </w:p>
        </w:tc>
        <w:tc>
          <w:tcPr>
            <w:tcW w:w="1275" w:type="pct"/>
            <w:shd w:val="clear" w:color="auto" w:fill="auto"/>
            <w:noWrap/>
            <w:vAlign w:val="center"/>
          </w:tcPr>
          <w:p w14:paraId="48C11925">
            <w:pPr>
              <w:pStyle w:val="24"/>
            </w:pPr>
            <w:r>
              <w:rPr>
                <w:rFonts w:hint="eastAsia"/>
              </w:rPr>
              <w:t>115.8233328</w:t>
            </w:r>
          </w:p>
        </w:tc>
        <w:tc>
          <w:tcPr>
            <w:tcW w:w="1138" w:type="pct"/>
            <w:shd w:val="clear" w:color="auto" w:fill="auto"/>
            <w:noWrap/>
            <w:vAlign w:val="center"/>
          </w:tcPr>
          <w:p w14:paraId="60FFB0F4">
            <w:pPr>
              <w:pStyle w:val="24"/>
            </w:pPr>
            <w:r>
              <w:rPr>
                <w:rFonts w:hint="eastAsia"/>
              </w:rPr>
              <w:t>llogis</w:t>
            </w:r>
          </w:p>
        </w:tc>
        <w:tc>
          <w:tcPr>
            <w:tcW w:w="1316" w:type="pct"/>
            <w:shd w:val="clear" w:color="auto" w:fill="auto"/>
            <w:noWrap/>
            <w:vAlign w:val="center"/>
          </w:tcPr>
          <w:p w14:paraId="5BA2C7BB">
            <w:pPr>
              <w:pStyle w:val="24"/>
            </w:pPr>
            <w:r>
              <w:rPr>
                <w:rFonts w:hint="eastAsia"/>
              </w:rPr>
              <w:t>90.69386327</w:t>
            </w:r>
          </w:p>
        </w:tc>
      </w:tr>
      <w:tr w14:paraId="12853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8" w:hRule="atLeast"/>
        </w:trPr>
        <w:tc>
          <w:tcPr>
            <w:tcW w:w="1269" w:type="pct"/>
            <w:shd w:val="clear" w:color="auto" w:fill="auto"/>
            <w:noWrap/>
            <w:vAlign w:val="center"/>
          </w:tcPr>
          <w:p w14:paraId="5CE0964A">
            <w:pPr>
              <w:pStyle w:val="24"/>
            </w:pPr>
            <w:r>
              <w:rPr>
                <w:rFonts w:hint="eastAsia"/>
              </w:rPr>
              <w:t>FP2-2</w:t>
            </w:r>
          </w:p>
        </w:tc>
        <w:tc>
          <w:tcPr>
            <w:tcW w:w="1275" w:type="pct"/>
            <w:shd w:val="clear" w:color="auto" w:fill="auto"/>
            <w:noWrap/>
            <w:vAlign w:val="center"/>
          </w:tcPr>
          <w:p w14:paraId="7C60433A">
            <w:pPr>
              <w:pStyle w:val="24"/>
            </w:pPr>
            <w:r>
              <w:rPr>
                <w:rFonts w:hint="eastAsia"/>
              </w:rPr>
              <w:t>115.9671469</w:t>
            </w:r>
          </w:p>
        </w:tc>
        <w:tc>
          <w:tcPr>
            <w:tcW w:w="1138" w:type="pct"/>
            <w:shd w:val="clear" w:color="auto" w:fill="auto"/>
            <w:noWrap/>
            <w:vAlign w:val="center"/>
          </w:tcPr>
          <w:p w14:paraId="0D6D0014">
            <w:pPr>
              <w:pStyle w:val="24"/>
            </w:pPr>
            <w:r>
              <w:rPr>
                <w:rFonts w:hint="eastAsia"/>
              </w:rPr>
              <w:t>lnorm</w:t>
            </w:r>
          </w:p>
        </w:tc>
        <w:tc>
          <w:tcPr>
            <w:tcW w:w="1316" w:type="pct"/>
            <w:shd w:val="clear" w:color="auto" w:fill="auto"/>
            <w:noWrap/>
            <w:vAlign w:val="center"/>
          </w:tcPr>
          <w:p w14:paraId="0F978425">
            <w:pPr>
              <w:pStyle w:val="24"/>
            </w:pPr>
            <w:r>
              <w:rPr>
                <w:rFonts w:hint="eastAsia"/>
              </w:rPr>
              <w:t>93.00034836</w:t>
            </w:r>
          </w:p>
        </w:tc>
      </w:tr>
      <w:tr w14:paraId="02A0D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2D7D129D">
            <w:pPr>
              <w:pStyle w:val="24"/>
            </w:pPr>
            <w:r>
              <w:rPr>
                <w:rFonts w:hint="eastAsia"/>
              </w:rPr>
              <w:t>FP1-2</w:t>
            </w:r>
          </w:p>
        </w:tc>
        <w:tc>
          <w:tcPr>
            <w:tcW w:w="1275" w:type="pct"/>
            <w:shd w:val="clear" w:color="auto" w:fill="auto"/>
            <w:noWrap/>
            <w:vAlign w:val="center"/>
          </w:tcPr>
          <w:p w14:paraId="3C07E3FE">
            <w:pPr>
              <w:pStyle w:val="24"/>
            </w:pPr>
            <w:r>
              <w:rPr>
                <w:rFonts w:hint="eastAsia"/>
              </w:rPr>
              <w:t>117.9619041</w:t>
            </w:r>
          </w:p>
        </w:tc>
        <w:tc>
          <w:tcPr>
            <w:tcW w:w="1138" w:type="pct"/>
            <w:shd w:val="clear" w:color="auto" w:fill="auto"/>
            <w:noWrap/>
            <w:vAlign w:val="center"/>
          </w:tcPr>
          <w:p w14:paraId="79EB4C8A">
            <w:pPr>
              <w:pStyle w:val="24"/>
            </w:pPr>
            <w:r>
              <w:rPr>
                <w:rFonts w:hint="eastAsia"/>
              </w:rPr>
              <w:t>weibull</w:t>
            </w:r>
          </w:p>
        </w:tc>
        <w:tc>
          <w:tcPr>
            <w:tcW w:w="1316" w:type="pct"/>
            <w:shd w:val="clear" w:color="auto" w:fill="auto"/>
            <w:noWrap/>
            <w:vAlign w:val="center"/>
          </w:tcPr>
          <w:p w14:paraId="0FAD01A5">
            <w:pPr>
              <w:pStyle w:val="24"/>
            </w:pPr>
            <w:r>
              <w:rPr>
                <w:rFonts w:hint="eastAsia"/>
              </w:rPr>
              <w:t>93.76921764</w:t>
            </w:r>
          </w:p>
        </w:tc>
      </w:tr>
      <w:tr w14:paraId="245E9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10E1170B">
            <w:pPr>
              <w:pStyle w:val="24"/>
            </w:pPr>
            <w:r>
              <w:rPr>
                <w:rFonts w:hint="eastAsia"/>
              </w:rPr>
              <w:t>gengamma</w:t>
            </w:r>
          </w:p>
        </w:tc>
        <w:tc>
          <w:tcPr>
            <w:tcW w:w="1275" w:type="pct"/>
            <w:shd w:val="clear" w:color="auto" w:fill="auto"/>
            <w:noWrap/>
            <w:vAlign w:val="center"/>
          </w:tcPr>
          <w:p w14:paraId="0EFC36F9">
            <w:pPr>
              <w:pStyle w:val="24"/>
            </w:pPr>
            <w:r>
              <w:rPr>
                <w:rFonts w:hint="eastAsia"/>
              </w:rPr>
              <w:t>121.4167699</w:t>
            </w:r>
          </w:p>
        </w:tc>
        <w:tc>
          <w:tcPr>
            <w:tcW w:w="1138" w:type="pct"/>
            <w:shd w:val="clear" w:color="auto" w:fill="auto"/>
            <w:noWrap/>
            <w:vAlign w:val="center"/>
          </w:tcPr>
          <w:p w14:paraId="5198650D">
            <w:pPr>
              <w:pStyle w:val="24"/>
            </w:pPr>
            <w:r>
              <w:rPr>
                <w:rFonts w:hint="eastAsia"/>
              </w:rPr>
              <w:t>FP2-1</w:t>
            </w:r>
          </w:p>
        </w:tc>
        <w:tc>
          <w:tcPr>
            <w:tcW w:w="1316" w:type="pct"/>
            <w:shd w:val="clear" w:color="auto" w:fill="auto"/>
            <w:noWrap/>
            <w:vAlign w:val="center"/>
          </w:tcPr>
          <w:p w14:paraId="6EF51AF6">
            <w:pPr>
              <w:pStyle w:val="24"/>
            </w:pPr>
            <w:r>
              <w:rPr>
                <w:rFonts w:hint="eastAsia"/>
              </w:rPr>
              <w:t>94.97394331</w:t>
            </w:r>
          </w:p>
        </w:tc>
      </w:tr>
      <w:tr w14:paraId="72BE7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7CFE1376">
            <w:pPr>
              <w:pStyle w:val="24"/>
            </w:pPr>
            <w:r>
              <w:rPr>
                <w:rFonts w:hint="eastAsia"/>
              </w:rPr>
              <w:t>FP2-1</w:t>
            </w:r>
          </w:p>
        </w:tc>
        <w:tc>
          <w:tcPr>
            <w:tcW w:w="1275" w:type="pct"/>
            <w:shd w:val="clear" w:color="auto" w:fill="auto"/>
            <w:noWrap/>
            <w:vAlign w:val="center"/>
          </w:tcPr>
          <w:p w14:paraId="69FDFC2E">
            <w:pPr>
              <w:pStyle w:val="24"/>
            </w:pPr>
            <w:r>
              <w:rPr>
                <w:rFonts w:hint="eastAsia"/>
              </w:rPr>
              <w:t>121.5481668</w:t>
            </w:r>
          </w:p>
        </w:tc>
        <w:tc>
          <w:tcPr>
            <w:tcW w:w="1138" w:type="pct"/>
            <w:shd w:val="clear" w:color="auto" w:fill="auto"/>
            <w:noWrap/>
            <w:vAlign w:val="center"/>
          </w:tcPr>
          <w:p w14:paraId="69BC618E">
            <w:pPr>
              <w:pStyle w:val="24"/>
            </w:pPr>
            <w:r>
              <w:rPr>
                <w:rFonts w:hint="eastAsia"/>
              </w:rPr>
              <w:t>gengamma</w:t>
            </w:r>
          </w:p>
        </w:tc>
        <w:tc>
          <w:tcPr>
            <w:tcW w:w="1316" w:type="pct"/>
            <w:shd w:val="clear" w:color="auto" w:fill="auto"/>
            <w:noWrap/>
            <w:vAlign w:val="center"/>
          </w:tcPr>
          <w:p w14:paraId="209A1C2D">
            <w:pPr>
              <w:pStyle w:val="24"/>
            </w:pPr>
            <w:r>
              <w:rPr>
                <w:rFonts w:hint="eastAsia"/>
              </w:rPr>
              <w:t>95.09041137</w:t>
            </w:r>
          </w:p>
        </w:tc>
      </w:tr>
      <w:tr w14:paraId="21E81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00B0553E">
            <w:pPr>
              <w:pStyle w:val="24"/>
            </w:pPr>
            <w:r>
              <w:rPr>
                <w:rFonts w:hint="eastAsia"/>
              </w:rPr>
              <w:t>genf</w:t>
            </w:r>
          </w:p>
        </w:tc>
        <w:tc>
          <w:tcPr>
            <w:tcW w:w="1275" w:type="pct"/>
            <w:shd w:val="clear" w:color="auto" w:fill="auto"/>
            <w:noWrap/>
            <w:vAlign w:val="center"/>
          </w:tcPr>
          <w:p w14:paraId="2EB310D6">
            <w:pPr>
              <w:pStyle w:val="24"/>
            </w:pPr>
            <w:r>
              <w:rPr>
                <w:rFonts w:hint="eastAsia"/>
              </w:rPr>
              <w:t>122.7768877</w:t>
            </w:r>
          </w:p>
        </w:tc>
        <w:tc>
          <w:tcPr>
            <w:tcW w:w="1138" w:type="pct"/>
            <w:shd w:val="clear" w:color="auto" w:fill="auto"/>
            <w:noWrap/>
            <w:vAlign w:val="center"/>
          </w:tcPr>
          <w:p w14:paraId="419E29E1">
            <w:pPr>
              <w:pStyle w:val="24"/>
            </w:pPr>
            <w:r>
              <w:rPr>
                <w:rFonts w:hint="eastAsia"/>
              </w:rPr>
              <w:t>exp</w:t>
            </w:r>
          </w:p>
        </w:tc>
        <w:tc>
          <w:tcPr>
            <w:tcW w:w="1316" w:type="pct"/>
            <w:shd w:val="clear" w:color="auto" w:fill="auto"/>
            <w:noWrap/>
            <w:vAlign w:val="center"/>
          </w:tcPr>
          <w:p w14:paraId="36B55669">
            <w:pPr>
              <w:pStyle w:val="24"/>
            </w:pPr>
            <w:r>
              <w:rPr>
                <w:rFonts w:hint="eastAsia"/>
              </w:rPr>
              <w:t>97.83543284</w:t>
            </w:r>
          </w:p>
        </w:tc>
      </w:tr>
      <w:tr w14:paraId="570B1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8" w:hRule="atLeast"/>
        </w:trPr>
        <w:tc>
          <w:tcPr>
            <w:tcW w:w="1269" w:type="pct"/>
            <w:shd w:val="clear" w:color="auto" w:fill="auto"/>
            <w:noWrap/>
            <w:vAlign w:val="center"/>
          </w:tcPr>
          <w:p w14:paraId="274B3B63">
            <w:pPr>
              <w:pStyle w:val="24"/>
            </w:pPr>
            <w:r>
              <w:rPr>
                <w:rFonts w:hint="eastAsia"/>
              </w:rPr>
              <w:t>llogis</w:t>
            </w:r>
          </w:p>
        </w:tc>
        <w:tc>
          <w:tcPr>
            <w:tcW w:w="1275" w:type="pct"/>
            <w:shd w:val="clear" w:color="auto" w:fill="auto"/>
            <w:noWrap/>
            <w:vAlign w:val="center"/>
          </w:tcPr>
          <w:p w14:paraId="7A0CBB57">
            <w:pPr>
              <w:pStyle w:val="24"/>
            </w:pPr>
            <w:r>
              <w:rPr>
                <w:rFonts w:hint="eastAsia"/>
              </w:rPr>
              <w:t>126.8491592</w:t>
            </w:r>
          </w:p>
        </w:tc>
        <w:tc>
          <w:tcPr>
            <w:tcW w:w="1138" w:type="pct"/>
            <w:shd w:val="clear" w:color="auto" w:fill="auto"/>
            <w:noWrap/>
            <w:vAlign w:val="center"/>
          </w:tcPr>
          <w:p w14:paraId="26CB9A39">
            <w:pPr>
              <w:pStyle w:val="24"/>
            </w:pPr>
            <w:r>
              <w:rPr>
                <w:rFonts w:hint="eastAsia"/>
              </w:rPr>
              <w:t>gamma</w:t>
            </w:r>
          </w:p>
        </w:tc>
        <w:tc>
          <w:tcPr>
            <w:tcW w:w="1316" w:type="pct"/>
            <w:shd w:val="clear" w:color="auto" w:fill="auto"/>
            <w:noWrap/>
            <w:vAlign w:val="center"/>
          </w:tcPr>
          <w:p w14:paraId="0C8247FD">
            <w:pPr>
              <w:pStyle w:val="24"/>
            </w:pPr>
            <w:r>
              <w:rPr>
                <w:rFonts w:hint="eastAsia"/>
              </w:rPr>
              <w:t>98.30433582</w:t>
            </w:r>
          </w:p>
        </w:tc>
      </w:tr>
      <w:tr w14:paraId="32862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4C348BE9">
            <w:pPr>
              <w:pStyle w:val="24"/>
            </w:pPr>
            <w:r>
              <w:rPr>
                <w:rFonts w:hint="eastAsia"/>
              </w:rPr>
              <w:t>RCS2</w:t>
            </w:r>
          </w:p>
        </w:tc>
        <w:tc>
          <w:tcPr>
            <w:tcW w:w="1275" w:type="pct"/>
            <w:shd w:val="clear" w:color="auto" w:fill="auto"/>
            <w:noWrap/>
            <w:vAlign w:val="center"/>
          </w:tcPr>
          <w:p w14:paraId="4BB1BC2A">
            <w:pPr>
              <w:pStyle w:val="24"/>
            </w:pPr>
            <w:r>
              <w:rPr>
                <w:rFonts w:hint="eastAsia"/>
              </w:rPr>
              <w:t>134.7159191</w:t>
            </w:r>
          </w:p>
        </w:tc>
        <w:tc>
          <w:tcPr>
            <w:tcW w:w="1138" w:type="pct"/>
            <w:shd w:val="clear" w:color="auto" w:fill="auto"/>
            <w:noWrap/>
            <w:vAlign w:val="center"/>
          </w:tcPr>
          <w:p w14:paraId="7FAA336D">
            <w:pPr>
              <w:pStyle w:val="24"/>
            </w:pPr>
            <w:r>
              <w:rPr>
                <w:rFonts w:hint="eastAsia"/>
              </w:rPr>
              <w:t>RCS2</w:t>
            </w:r>
          </w:p>
        </w:tc>
        <w:tc>
          <w:tcPr>
            <w:tcW w:w="1316" w:type="pct"/>
            <w:shd w:val="clear" w:color="auto" w:fill="auto"/>
            <w:noWrap/>
            <w:vAlign w:val="center"/>
          </w:tcPr>
          <w:p w14:paraId="20C4421B">
            <w:pPr>
              <w:pStyle w:val="24"/>
            </w:pPr>
            <w:r>
              <w:rPr>
                <w:rFonts w:hint="eastAsia"/>
              </w:rPr>
              <w:t>98.78854652</w:t>
            </w:r>
          </w:p>
        </w:tc>
      </w:tr>
      <w:tr w14:paraId="2A982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721C98BD">
            <w:pPr>
              <w:pStyle w:val="24"/>
            </w:pPr>
            <w:r>
              <w:rPr>
                <w:rFonts w:hint="eastAsia"/>
              </w:rPr>
              <w:t>FP1-1</w:t>
            </w:r>
          </w:p>
        </w:tc>
        <w:tc>
          <w:tcPr>
            <w:tcW w:w="1275" w:type="pct"/>
            <w:shd w:val="clear" w:color="auto" w:fill="auto"/>
            <w:noWrap/>
            <w:vAlign w:val="center"/>
          </w:tcPr>
          <w:p w14:paraId="058F6C60">
            <w:pPr>
              <w:pStyle w:val="24"/>
            </w:pPr>
            <w:r>
              <w:rPr>
                <w:rFonts w:hint="eastAsia"/>
              </w:rPr>
              <w:t>136.8875745</w:t>
            </w:r>
          </w:p>
        </w:tc>
        <w:tc>
          <w:tcPr>
            <w:tcW w:w="1138" w:type="pct"/>
            <w:shd w:val="clear" w:color="auto" w:fill="auto"/>
            <w:noWrap/>
            <w:vAlign w:val="center"/>
          </w:tcPr>
          <w:p w14:paraId="29A05870">
            <w:pPr>
              <w:pStyle w:val="24"/>
            </w:pPr>
            <w:r>
              <w:rPr>
                <w:rFonts w:hint="eastAsia"/>
              </w:rPr>
              <w:t>genf</w:t>
            </w:r>
          </w:p>
        </w:tc>
        <w:tc>
          <w:tcPr>
            <w:tcW w:w="1316" w:type="pct"/>
            <w:shd w:val="clear" w:color="auto" w:fill="auto"/>
            <w:noWrap/>
            <w:vAlign w:val="center"/>
          </w:tcPr>
          <w:p w14:paraId="5E34A74E">
            <w:pPr>
              <w:pStyle w:val="24"/>
            </w:pPr>
            <w:r>
              <w:rPr>
                <w:rFonts w:hint="eastAsia"/>
              </w:rPr>
              <w:t>98.87339824</w:t>
            </w:r>
          </w:p>
        </w:tc>
      </w:tr>
      <w:tr w14:paraId="028AE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260A0221">
            <w:pPr>
              <w:pStyle w:val="24"/>
            </w:pPr>
            <w:r>
              <w:rPr>
                <w:rFonts w:hint="eastAsia"/>
              </w:rPr>
              <w:t>RP-hazard-1</w:t>
            </w:r>
          </w:p>
        </w:tc>
        <w:tc>
          <w:tcPr>
            <w:tcW w:w="1275" w:type="pct"/>
            <w:shd w:val="clear" w:color="auto" w:fill="auto"/>
            <w:noWrap/>
            <w:vAlign w:val="center"/>
          </w:tcPr>
          <w:p w14:paraId="1429EEB6">
            <w:pPr>
              <w:pStyle w:val="24"/>
            </w:pPr>
            <w:r>
              <w:rPr>
                <w:rFonts w:hint="eastAsia"/>
              </w:rPr>
              <w:t>137.6188385</w:t>
            </w:r>
          </w:p>
        </w:tc>
        <w:tc>
          <w:tcPr>
            <w:tcW w:w="1138" w:type="pct"/>
            <w:shd w:val="clear" w:color="auto" w:fill="auto"/>
            <w:noWrap/>
            <w:vAlign w:val="center"/>
          </w:tcPr>
          <w:p w14:paraId="6D269604">
            <w:pPr>
              <w:pStyle w:val="24"/>
            </w:pPr>
            <w:r>
              <w:rPr>
                <w:rFonts w:hint="eastAsia"/>
              </w:rPr>
              <w:t>gompertz</w:t>
            </w:r>
          </w:p>
        </w:tc>
        <w:tc>
          <w:tcPr>
            <w:tcW w:w="1316" w:type="pct"/>
            <w:shd w:val="clear" w:color="auto" w:fill="auto"/>
            <w:noWrap/>
            <w:vAlign w:val="center"/>
          </w:tcPr>
          <w:p w14:paraId="6EC45111">
            <w:pPr>
              <w:pStyle w:val="24"/>
            </w:pPr>
            <w:r>
              <w:rPr>
                <w:rFonts w:hint="eastAsia"/>
              </w:rPr>
              <w:t>99.12892955</w:t>
            </w:r>
          </w:p>
        </w:tc>
      </w:tr>
      <w:tr w14:paraId="2377D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5D43E1B1">
            <w:pPr>
              <w:pStyle w:val="24"/>
            </w:pPr>
            <w:r>
              <w:rPr>
                <w:rFonts w:hint="eastAsia"/>
              </w:rPr>
              <w:t>RP-odds-2</w:t>
            </w:r>
          </w:p>
        </w:tc>
        <w:tc>
          <w:tcPr>
            <w:tcW w:w="1275" w:type="pct"/>
            <w:shd w:val="clear" w:color="auto" w:fill="auto"/>
            <w:noWrap/>
            <w:vAlign w:val="center"/>
          </w:tcPr>
          <w:p w14:paraId="5E666BFE">
            <w:pPr>
              <w:pStyle w:val="24"/>
            </w:pPr>
            <w:r>
              <w:rPr>
                <w:rFonts w:hint="eastAsia"/>
              </w:rPr>
              <w:t>138.0663289</w:t>
            </w:r>
          </w:p>
        </w:tc>
        <w:tc>
          <w:tcPr>
            <w:tcW w:w="1138" w:type="pct"/>
            <w:shd w:val="clear" w:color="auto" w:fill="auto"/>
            <w:noWrap/>
            <w:vAlign w:val="center"/>
          </w:tcPr>
          <w:p w14:paraId="1059BF86">
            <w:pPr>
              <w:pStyle w:val="24"/>
            </w:pPr>
            <w:r>
              <w:rPr>
                <w:rFonts w:hint="eastAsia"/>
              </w:rPr>
              <w:t>FP2-2</w:t>
            </w:r>
          </w:p>
        </w:tc>
        <w:tc>
          <w:tcPr>
            <w:tcW w:w="1316" w:type="pct"/>
            <w:shd w:val="clear" w:color="auto" w:fill="auto"/>
            <w:noWrap/>
            <w:vAlign w:val="center"/>
          </w:tcPr>
          <w:p w14:paraId="5A9FA85C">
            <w:pPr>
              <w:pStyle w:val="24"/>
            </w:pPr>
            <w:r>
              <w:rPr>
                <w:rFonts w:hint="eastAsia"/>
              </w:rPr>
              <w:t>99.20643067</w:t>
            </w:r>
          </w:p>
        </w:tc>
      </w:tr>
      <w:tr w14:paraId="0476D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8" w:hRule="atLeast"/>
        </w:trPr>
        <w:tc>
          <w:tcPr>
            <w:tcW w:w="1269" w:type="pct"/>
            <w:shd w:val="clear" w:color="auto" w:fill="auto"/>
            <w:noWrap/>
            <w:vAlign w:val="center"/>
          </w:tcPr>
          <w:p w14:paraId="460420EC">
            <w:pPr>
              <w:pStyle w:val="24"/>
            </w:pPr>
            <w:r>
              <w:rPr>
                <w:rFonts w:hint="eastAsia"/>
              </w:rPr>
              <w:t>RP-odds-1</w:t>
            </w:r>
          </w:p>
        </w:tc>
        <w:tc>
          <w:tcPr>
            <w:tcW w:w="1275" w:type="pct"/>
            <w:shd w:val="clear" w:color="auto" w:fill="auto"/>
            <w:noWrap/>
            <w:vAlign w:val="center"/>
          </w:tcPr>
          <w:p w14:paraId="4EDDADFA">
            <w:pPr>
              <w:pStyle w:val="24"/>
            </w:pPr>
            <w:r>
              <w:rPr>
                <w:rFonts w:hint="eastAsia"/>
              </w:rPr>
              <w:t>138.8115822</w:t>
            </w:r>
          </w:p>
        </w:tc>
        <w:tc>
          <w:tcPr>
            <w:tcW w:w="1138" w:type="pct"/>
            <w:shd w:val="clear" w:color="auto" w:fill="auto"/>
            <w:noWrap/>
            <w:vAlign w:val="center"/>
          </w:tcPr>
          <w:p w14:paraId="20708D2C">
            <w:pPr>
              <w:pStyle w:val="24"/>
            </w:pPr>
            <w:r>
              <w:rPr>
                <w:rFonts w:hint="eastAsia"/>
              </w:rPr>
              <w:t>FP1-2</w:t>
            </w:r>
          </w:p>
        </w:tc>
        <w:tc>
          <w:tcPr>
            <w:tcW w:w="1316" w:type="pct"/>
            <w:shd w:val="clear" w:color="auto" w:fill="auto"/>
            <w:noWrap/>
            <w:vAlign w:val="center"/>
          </w:tcPr>
          <w:p w14:paraId="4F308D45">
            <w:pPr>
              <w:pStyle w:val="24"/>
            </w:pPr>
            <w:r>
              <w:rPr>
                <w:rFonts w:hint="eastAsia"/>
              </w:rPr>
              <w:t>196.3426199</w:t>
            </w:r>
          </w:p>
        </w:tc>
      </w:tr>
      <w:tr w14:paraId="092BC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267C49B3">
            <w:pPr>
              <w:pStyle w:val="24"/>
            </w:pPr>
            <w:r>
              <w:rPr>
                <w:rFonts w:hint="eastAsia"/>
              </w:rPr>
              <w:t>RP-hazard-2</w:t>
            </w:r>
          </w:p>
        </w:tc>
        <w:tc>
          <w:tcPr>
            <w:tcW w:w="1275" w:type="pct"/>
            <w:shd w:val="clear" w:color="auto" w:fill="auto"/>
            <w:noWrap/>
            <w:vAlign w:val="center"/>
          </w:tcPr>
          <w:p w14:paraId="3A7D9346">
            <w:pPr>
              <w:pStyle w:val="24"/>
            </w:pPr>
            <w:r>
              <w:rPr>
                <w:rFonts w:hint="eastAsia"/>
              </w:rPr>
              <w:t>140.5685646</w:t>
            </w:r>
          </w:p>
        </w:tc>
        <w:tc>
          <w:tcPr>
            <w:tcW w:w="1138" w:type="pct"/>
            <w:shd w:val="clear" w:color="auto" w:fill="auto"/>
            <w:noWrap/>
            <w:vAlign w:val="center"/>
          </w:tcPr>
          <w:p w14:paraId="6DF80A3E">
            <w:pPr>
              <w:pStyle w:val="24"/>
            </w:pPr>
            <w:r>
              <w:rPr>
                <w:rFonts w:hint="eastAsia"/>
              </w:rPr>
              <w:t>RCS1</w:t>
            </w:r>
          </w:p>
        </w:tc>
        <w:tc>
          <w:tcPr>
            <w:tcW w:w="1316" w:type="pct"/>
            <w:shd w:val="clear" w:color="auto" w:fill="auto"/>
            <w:noWrap/>
            <w:vAlign w:val="center"/>
          </w:tcPr>
          <w:p w14:paraId="648D868A">
            <w:pPr>
              <w:pStyle w:val="24"/>
            </w:pPr>
            <w:r>
              <w:rPr>
                <w:rFonts w:hint="eastAsia"/>
              </w:rPr>
              <w:t>215.6180146</w:t>
            </w:r>
          </w:p>
        </w:tc>
      </w:tr>
      <w:tr w14:paraId="2FEC1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0F9885B7">
            <w:pPr>
              <w:pStyle w:val="24"/>
            </w:pPr>
            <w:r>
              <w:rPr>
                <w:rFonts w:hint="eastAsia"/>
              </w:rPr>
              <w:t>RP-normal-2</w:t>
            </w:r>
          </w:p>
        </w:tc>
        <w:tc>
          <w:tcPr>
            <w:tcW w:w="1275" w:type="pct"/>
            <w:shd w:val="clear" w:color="auto" w:fill="auto"/>
            <w:noWrap/>
            <w:vAlign w:val="center"/>
          </w:tcPr>
          <w:p w14:paraId="08EABEF9">
            <w:pPr>
              <w:pStyle w:val="24"/>
            </w:pPr>
            <w:r>
              <w:rPr>
                <w:rFonts w:hint="eastAsia"/>
              </w:rPr>
              <w:t>140.6722325</w:t>
            </w:r>
          </w:p>
        </w:tc>
        <w:tc>
          <w:tcPr>
            <w:tcW w:w="1138" w:type="pct"/>
            <w:shd w:val="clear" w:color="auto" w:fill="auto"/>
            <w:noWrap/>
            <w:vAlign w:val="center"/>
          </w:tcPr>
          <w:p w14:paraId="1A9B61E5">
            <w:pPr>
              <w:pStyle w:val="24"/>
            </w:pPr>
            <w:r>
              <w:rPr>
                <w:rFonts w:hint="eastAsia"/>
              </w:rPr>
              <w:t>FP1-1</w:t>
            </w:r>
          </w:p>
        </w:tc>
        <w:tc>
          <w:tcPr>
            <w:tcW w:w="1316" w:type="pct"/>
            <w:shd w:val="clear" w:color="auto" w:fill="auto"/>
            <w:noWrap/>
            <w:vAlign w:val="center"/>
          </w:tcPr>
          <w:p w14:paraId="7C6553A4">
            <w:pPr>
              <w:pStyle w:val="24"/>
            </w:pPr>
            <w:r>
              <w:rPr>
                <w:rFonts w:hint="eastAsia"/>
              </w:rPr>
              <w:t>269.8802887</w:t>
            </w:r>
          </w:p>
        </w:tc>
      </w:tr>
      <w:tr w14:paraId="2C0F6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49FC6905">
            <w:pPr>
              <w:pStyle w:val="24"/>
            </w:pPr>
            <w:r>
              <w:rPr>
                <w:rFonts w:hint="eastAsia"/>
              </w:rPr>
              <w:t>RP-normal-1</w:t>
            </w:r>
          </w:p>
        </w:tc>
        <w:tc>
          <w:tcPr>
            <w:tcW w:w="1275" w:type="pct"/>
            <w:shd w:val="clear" w:color="auto" w:fill="auto"/>
            <w:noWrap/>
            <w:vAlign w:val="center"/>
          </w:tcPr>
          <w:p w14:paraId="1E699122">
            <w:pPr>
              <w:pStyle w:val="24"/>
            </w:pPr>
            <w:r>
              <w:rPr>
                <w:rFonts w:hint="eastAsia"/>
              </w:rPr>
              <w:t>143.2825452</w:t>
            </w:r>
          </w:p>
        </w:tc>
        <w:tc>
          <w:tcPr>
            <w:tcW w:w="1138" w:type="pct"/>
            <w:shd w:val="clear" w:color="auto" w:fill="auto"/>
            <w:noWrap/>
            <w:vAlign w:val="center"/>
          </w:tcPr>
          <w:p w14:paraId="71B50120">
            <w:pPr>
              <w:pStyle w:val="24"/>
            </w:pPr>
          </w:p>
        </w:tc>
        <w:tc>
          <w:tcPr>
            <w:tcW w:w="1316" w:type="pct"/>
            <w:shd w:val="clear" w:color="auto" w:fill="auto"/>
            <w:noWrap/>
            <w:vAlign w:val="center"/>
          </w:tcPr>
          <w:p w14:paraId="7A5453C4">
            <w:pPr>
              <w:pStyle w:val="24"/>
            </w:pPr>
          </w:p>
        </w:tc>
      </w:tr>
      <w:tr w14:paraId="68402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2729B766">
            <w:pPr>
              <w:pStyle w:val="24"/>
            </w:pPr>
            <w:r>
              <w:rPr>
                <w:rFonts w:hint="eastAsia"/>
              </w:rPr>
              <w:t>gamma</w:t>
            </w:r>
          </w:p>
        </w:tc>
        <w:tc>
          <w:tcPr>
            <w:tcW w:w="1275" w:type="pct"/>
            <w:shd w:val="clear" w:color="auto" w:fill="auto"/>
            <w:noWrap/>
            <w:vAlign w:val="center"/>
          </w:tcPr>
          <w:p w14:paraId="3F6AF54B">
            <w:pPr>
              <w:pStyle w:val="24"/>
            </w:pPr>
            <w:r>
              <w:rPr>
                <w:rFonts w:hint="eastAsia"/>
              </w:rPr>
              <w:t>149.0667025</w:t>
            </w:r>
          </w:p>
        </w:tc>
        <w:tc>
          <w:tcPr>
            <w:tcW w:w="1138" w:type="pct"/>
            <w:shd w:val="clear" w:color="auto" w:fill="auto"/>
            <w:noWrap/>
            <w:vAlign w:val="center"/>
          </w:tcPr>
          <w:p w14:paraId="07131568">
            <w:pPr>
              <w:pStyle w:val="24"/>
            </w:pPr>
          </w:p>
        </w:tc>
        <w:tc>
          <w:tcPr>
            <w:tcW w:w="1316" w:type="pct"/>
            <w:shd w:val="clear" w:color="auto" w:fill="auto"/>
            <w:noWrap/>
            <w:vAlign w:val="center"/>
          </w:tcPr>
          <w:p w14:paraId="207AD462">
            <w:pPr>
              <w:pStyle w:val="24"/>
            </w:pPr>
          </w:p>
        </w:tc>
      </w:tr>
      <w:tr w14:paraId="1779E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40C11676">
            <w:pPr>
              <w:pStyle w:val="24"/>
            </w:pPr>
            <w:r>
              <w:rPr>
                <w:rFonts w:hint="eastAsia"/>
              </w:rPr>
              <w:t>weibull</w:t>
            </w:r>
          </w:p>
        </w:tc>
        <w:tc>
          <w:tcPr>
            <w:tcW w:w="1275" w:type="pct"/>
            <w:shd w:val="clear" w:color="auto" w:fill="auto"/>
            <w:noWrap/>
            <w:vAlign w:val="center"/>
          </w:tcPr>
          <w:p w14:paraId="51EB62A4">
            <w:pPr>
              <w:pStyle w:val="24"/>
            </w:pPr>
            <w:r>
              <w:rPr>
                <w:rFonts w:hint="eastAsia"/>
              </w:rPr>
              <w:t>173.0516186</w:t>
            </w:r>
          </w:p>
        </w:tc>
        <w:tc>
          <w:tcPr>
            <w:tcW w:w="1138" w:type="pct"/>
            <w:shd w:val="clear" w:color="auto" w:fill="auto"/>
            <w:noWrap/>
            <w:vAlign w:val="center"/>
          </w:tcPr>
          <w:p w14:paraId="5FE2EC08">
            <w:pPr>
              <w:pStyle w:val="24"/>
            </w:pPr>
          </w:p>
        </w:tc>
        <w:tc>
          <w:tcPr>
            <w:tcW w:w="1316" w:type="pct"/>
            <w:shd w:val="clear" w:color="auto" w:fill="auto"/>
            <w:noWrap/>
            <w:vAlign w:val="center"/>
          </w:tcPr>
          <w:p w14:paraId="2364781B">
            <w:pPr>
              <w:pStyle w:val="24"/>
            </w:pPr>
          </w:p>
        </w:tc>
      </w:tr>
      <w:tr w14:paraId="77998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470223AC">
            <w:pPr>
              <w:pStyle w:val="24"/>
            </w:pPr>
            <w:r>
              <w:rPr>
                <w:rFonts w:hint="eastAsia"/>
              </w:rPr>
              <w:t>RCS1</w:t>
            </w:r>
          </w:p>
        </w:tc>
        <w:tc>
          <w:tcPr>
            <w:tcW w:w="1275" w:type="pct"/>
            <w:shd w:val="clear" w:color="auto" w:fill="auto"/>
            <w:noWrap/>
            <w:vAlign w:val="center"/>
          </w:tcPr>
          <w:p w14:paraId="5837E0F8">
            <w:pPr>
              <w:pStyle w:val="24"/>
            </w:pPr>
            <w:r>
              <w:rPr>
                <w:rFonts w:hint="eastAsia"/>
              </w:rPr>
              <w:t>191.1431515</w:t>
            </w:r>
          </w:p>
        </w:tc>
        <w:tc>
          <w:tcPr>
            <w:tcW w:w="1138" w:type="pct"/>
            <w:shd w:val="clear" w:color="auto" w:fill="auto"/>
            <w:noWrap/>
            <w:vAlign w:val="center"/>
          </w:tcPr>
          <w:p w14:paraId="33EEE15B">
            <w:pPr>
              <w:pStyle w:val="24"/>
            </w:pPr>
          </w:p>
        </w:tc>
        <w:tc>
          <w:tcPr>
            <w:tcW w:w="1316" w:type="pct"/>
            <w:shd w:val="clear" w:color="auto" w:fill="auto"/>
            <w:noWrap/>
            <w:vAlign w:val="center"/>
          </w:tcPr>
          <w:p w14:paraId="538BF85D">
            <w:pPr>
              <w:pStyle w:val="24"/>
            </w:pPr>
          </w:p>
        </w:tc>
      </w:tr>
      <w:tr w14:paraId="42071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78F3908F">
            <w:pPr>
              <w:pStyle w:val="24"/>
            </w:pPr>
            <w:r>
              <w:rPr>
                <w:rFonts w:hint="eastAsia"/>
              </w:rPr>
              <w:t>gompertz</w:t>
            </w:r>
          </w:p>
        </w:tc>
        <w:tc>
          <w:tcPr>
            <w:tcW w:w="1275" w:type="pct"/>
            <w:shd w:val="clear" w:color="auto" w:fill="auto"/>
            <w:noWrap/>
            <w:vAlign w:val="center"/>
          </w:tcPr>
          <w:p w14:paraId="7594DADF">
            <w:pPr>
              <w:pStyle w:val="24"/>
            </w:pPr>
            <w:r>
              <w:rPr>
                <w:rFonts w:hint="eastAsia"/>
              </w:rPr>
              <w:t>232.1844826</w:t>
            </w:r>
          </w:p>
        </w:tc>
        <w:tc>
          <w:tcPr>
            <w:tcW w:w="1138" w:type="pct"/>
            <w:shd w:val="clear" w:color="auto" w:fill="auto"/>
            <w:noWrap/>
            <w:vAlign w:val="center"/>
          </w:tcPr>
          <w:p w14:paraId="1A173CCF">
            <w:pPr>
              <w:pStyle w:val="24"/>
            </w:pPr>
          </w:p>
        </w:tc>
        <w:tc>
          <w:tcPr>
            <w:tcW w:w="1316" w:type="pct"/>
            <w:shd w:val="clear" w:color="auto" w:fill="auto"/>
            <w:noWrap/>
            <w:vAlign w:val="center"/>
          </w:tcPr>
          <w:p w14:paraId="0A4F02AD">
            <w:pPr>
              <w:pStyle w:val="24"/>
            </w:pPr>
          </w:p>
        </w:tc>
      </w:tr>
      <w:tr w14:paraId="3F9BC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9" w:type="pct"/>
            <w:shd w:val="clear" w:color="auto" w:fill="auto"/>
            <w:noWrap/>
            <w:vAlign w:val="center"/>
          </w:tcPr>
          <w:p w14:paraId="53764ED0">
            <w:pPr>
              <w:pStyle w:val="24"/>
            </w:pPr>
            <w:r>
              <w:rPr>
                <w:rFonts w:hint="eastAsia"/>
              </w:rPr>
              <w:t>exp</w:t>
            </w:r>
          </w:p>
        </w:tc>
        <w:tc>
          <w:tcPr>
            <w:tcW w:w="1275" w:type="pct"/>
            <w:shd w:val="clear" w:color="auto" w:fill="auto"/>
            <w:noWrap/>
            <w:vAlign w:val="center"/>
          </w:tcPr>
          <w:p w14:paraId="41D7D473">
            <w:pPr>
              <w:pStyle w:val="24"/>
            </w:pPr>
            <w:r>
              <w:rPr>
                <w:rFonts w:hint="eastAsia"/>
              </w:rPr>
              <w:t>268.7259158</w:t>
            </w:r>
          </w:p>
        </w:tc>
        <w:tc>
          <w:tcPr>
            <w:tcW w:w="1138" w:type="pct"/>
            <w:shd w:val="clear" w:color="auto" w:fill="auto"/>
            <w:noWrap/>
            <w:vAlign w:val="center"/>
          </w:tcPr>
          <w:p w14:paraId="23C0252F">
            <w:pPr>
              <w:pStyle w:val="24"/>
            </w:pPr>
          </w:p>
        </w:tc>
        <w:tc>
          <w:tcPr>
            <w:tcW w:w="1316" w:type="pct"/>
            <w:shd w:val="clear" w:color="auto" w:fill="auto"/>
            <w:noWrap/>
            <w:vAlign w:val="center"/>
          </w:tcPr>
          <w:p w14:paraId="51EF1296">
            <w:pPr>
              <w:pStyle w:val="24"/>
            </w:pPr>
          </w:p>
        </w:tc>
      </w:tr>
    </w:tbl>
    <w:p w14:paraId="04CBEDD9">
      <w:pPr>
        <w:autoSpaceDE w:val="0"/>
        <w:autoSpaceDN w:val="0"/>
        <w:adjustRightInd w:val="0"/>
        <w:rPr>
          <w:rFonts w:hint="eastAsia" w:cs="Times New Roman"/>
          <w:szCs w:val="20"/>
        </w:rPr>
        <w:sectPr>
          <w:pgSz w:w="11906" w:h="16838"/>
          <w:pgMar w:top="1440" w:right="1800" w:bottom="1440" w:left="1800" w:header="851" w:footer="992" w:gutter="0"/>
          <w:cols w:space="425" w:num="1"/>
          <w:titlePg/>
          <w:docGrid w:type="lines" w:linePitch="326" w:charSpace="0"/>
        </w:sectPr>
      </w:pPr>
      <w:r>
        <w:rPr>
          <w:rFonts w:hint="eastAsia" w:cs="Times New Roman"/>
          <w:szCs w:val="20"/>
        </w:rPr>
        <w:t>#RP model was not suitable</w:t>
      </w:r>
    </w:p>
    <w:p w14:paraId="67DED672">
      <w:pPr>
        <w:pStyle w:val="2"/>
        <w:rPr>
          <w:rFonts w:hint="default" w:eastAsia="宋体"/>
          <w:lang w:val="en-US" w:eastAsia="zh-CN"/>
        </w:rPr>
      </w:pPr>
      <w:bookmarkStart w:id="10" w:name="_Toc24531"/>
      <w:r>
        <w:t>Table S</w:t>
      </w:r>
      <w:r>
        <w:rPr>
          <w:rFonts w:hint="eastAsia" w:eastAsia="宋体"/>
          <w:lang w:val="en-US" w:eastAsia="zh-CN"/>
        </w:rPr>
        <w:t>5</w:t>
      </w:r>
      <w:r>
        <w:t xml:space="preserve"> </w:t>
      </w:r>
      <w:r>
        <w:rPr>
          <w:rFonts w:hint="eastAsia" w:eastAsia="宋体"/>
          <w:lang w:val="en-US" w:eastAsia="zh-CN"/>
        </w:rPr>
        <w:t>Subgroup Analysis Results for OS and PFS</w:t>
      </w:r>
      <w:bookmarkEnd w:id="10"/>
    </w:p>
    <w:tbl>
      <w:tblP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108" w:type="dxa"/>
          <w:bottom w:w="0" w:type="dxa"/>
          <w:right w:w="108" w:type="dxa"/>
        </w:tblCellMar>
      </w:tblPr>
      <w:tblGrid>
        <w:gridCol w:w="2866"/>
        <w:gridCol w:w="2075"/>
        <w:gridCol w:w="2075"/>
        <w:gridCol w:w="2075"/>
        <w:gridCol w:w="2075"/>
        <w:gridCol w:w="3008"/>
      </w:tblGrid>
      <w:tr w14:paraId="5DF7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5000" w:type="pct"/>
            <w:gridSpan w:val="6"/>
            <w:shd w:val="clear"/>
            <w:noWrap/>
            <w:vAlign w:val="center"/>
          </w:tcPr>
          <w:p w14:paraId="2D321CA8">
            <w:pPr>
              <w:pStyle w:val="24"/>
              <w:bidi w:val="0"/>
              <w:rPr>
                <w:rFonts w:hint="eastAsia"/>
                <w:sz w:val="18"/>
                <w:szCs w:val="18"/>
              </w:rPr>
            </w:pPr>
            <w:r>
              <w:rPr>
                <w:rFonts w:hint="eastAsia"/>
                <w:sz w:val="18"/>
                <w:szCs w:val="18"/>
                <w:lang w:val="en-US" w:eastAsia="zh-CN"/>
              </w:rPr>
              <w:t>RAS Wild-type, OS</w:t>
            </w:r>
          </w:p>
        </w:tc>
      </w:tr>
      <w:tr w14:paraId="58689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1011" w:type="pct"/>
            <w:shd w:val="clear"/>
            <w:noWrap/>
            <w:vAlign w:val="center"/>
          </w:tcPr>
          <w:p w14:paraId="2683751B">
            <w:pPr>
              <w:pStyle w:val="24"/>
              <w:bidi w:val="0"/>
              <w:rPr>
                <w:rFonts w:hint="eastAsia"/>
                <w:sz w:val="18"/>
                <w:szCs w:val="18"/>
              </w:rPr>
            </w:pPr>
          </w:p>
        </w:tc>
        <w:tc>
          <w:tcPr>
            <w:tcW w:w="732" w:type="pct"/>
            <w:shd w:val="clear"/>
            <w:noWrap/>
            <w:vAlign w:val="center"/>
          </w:tcPr>
          <w:p w14:paraId="1FF5EE88">
            <w:pPr>
              <w:pStyle w:val="24"/>
              <w:bidi w:val="0"/>
              <w:rPr>
                <w:rFonts w:hint="eastAsia"/>
                <w:sz w:val="18"/>
                <w:szCs w:val="18"/>
              </w:rPr>
            </w:pPr>
            <w:r>
              <w:rPr>
                <w:rFonts w:hint="eastAsia"/>
                <w:sz w:val="18"/>
                <w:szCs w:val="18"/>
                <w:lang w:val="en-US" w:eastAsia="zh-CN"/>
              </w:rPr>
              <w:t>BSC</w:t>
            </w:r>
          </w:p>
        </w:tc>
        <w:tc>
          <w:tcPr>
            <w:tcW w:w="732" w:type="pct"/>
            <w:shd w:val="clear"/>
            <w:noWrap/>
            <w:vAlign w:val="center"/>
          </w:tcPr>
          <w:p w14:paraId="2C310D64">
            <w:pPr>
              <w:pStyle w:val="24"/>
              <w:bidi w:val="0"/>
              <w:rPr>
                <w:rFonts w:hint="eastAsia"/>
                <w:sz w:val="18"/>
                <w:szCs w:val="18"/>
              </w:rPr>
            </w:pPr>
            <w:r>
              <w:rPr>
                <w:rFonts w:hint="eastAsia"/>
                <w:sz w:val="18"/>
                <w:szCs w:val="18"/>
                <w:lang w:val="en-US" w:eastAsia="zh-CN"/>
              </w:rPr>
              <w:t>Fruquintinib</w:t>
            </w:r>
          </w:p>
        </w:tc>
        <w:tc>
          <w:tcPr>
            <w:tcW w:w="732" w:type="pct"/>
            <w:shd w:val="clear"/>
            <w:noWrap/>
            <w:vAlign w:val="center"/>
          </w:tcPr>
          <w:p w14:paraId="24EB3112">
            <w:pPr>
              <w:pStyle w:val="24"/>
              <w:bidi w:val="0"/>
              <w:rPr>
                <w:rFonts w:hint="eastAsia"/>
                <w:sz w:val="18"/>
                <w:szCs w:val="18"/>
              </w:rPr>
            </w:pPr>
            <w:r>
              <w:rPr>
                <w:rFonts w:hint="eastAsia"/>
                <w:sz w:val="18"/>
                <w:szCs w:val="18"/>
                <w:lang w:val="en-US" w:eastAsia="zh-CN"/>
              </w:rPr>
              <w:t>Regorafenib</w:t>
            </w:r>
          </w:p>
        </w:tc>
        <w:tc>
          <w:tcPr>
            <w:tcW w:w="732" w:type="pct"/>
            <w:shd w:val="clear"/>
            <w:noWrap/>
            <w:vAlign w:val="center"/>
          </w:tcPr>
          <w:p w14:paraId="3BF61899">
            <w:pPr>
              <w:pStyle w:val="24"/>
              <w:bidi w:val="0"/>
              <w:rPr>
                <w:rFonts w:hint="eastAsia"/>
                <w:sz w:val="18"/>
                <w:szCs w:val="18"/>
              </w:rPr>
            </w:pPr>
            <w:r>
              <w:rPr>
                <w:rFonts w:hint="eastAsia"/>
                <w:sz w:val="18"/>
                <w:szCs w:val="18"/>
                <w:lang w:val="en-US" w:eastAsia="zh-CN"/>
              </w:rPr>
              <w:t>TAS-102</w:t>
            </w:r>
          </w:p>
        </w:tc>
        <w:tc>
          <w:tcPr>
            <w:tcW w:w="1058" w:type="pct"/>
            <w:shd w:val="clear"/>
            <w:noWrap/>
            <w:vAlign w:val="center"/>
          </w:tcPr>
          <w:p w14:paraId="2F2512D4">
            <w:pPr>
              <w:pStyle w:val="24"/>
              <w:bidi w:val="0"/>
              <w:rPr>
                <w:rFonts w:hint="eastAsia"/>
                <w:sz w:val="18"/>
                <w:szCs w:val="18"/>
              </w:rPr>
            </w:pPr>
            <w:r>
              <w:rPr>
                <w:rFonts w:hint="eastAsia"/>
                <w:sz w:val="18"/>
                <w:szCs w:val="18"/>
                <w:lang w:val="en-US" w:eastAsia="zh-CN"/>
              </w:rPr>
              <w:t>TAS-102 + Bevacizumab</w:t>
            </w:r>
          </w:p>
        </w:tc>
      </w:tr>
      <w:tr w14:paraId="4227E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318474BF">
            <w:pPr>
              <w:pStyle w:val="24"/>
              <w:bidi w:val="0"/>
              <w:rPr>
                <w:rFonts w:hint="eastAsia"/>
                <w:sz w:val="18"/>
                <w:szCs w:val="18"/>
              </w:rPr>
            </w:pPr>
            <w:r>
              <w:rPr>
                <w:rFonts w:hint="eastAsia"/>
                <w:sz w:val="18"/>
                <w:szCs w:val="18"/>
                <w:lang w:val="en-US" w:eastAsia="zh-CN"/>
              </w:rPr>
              <w:t>BSC</w:t>
            </w:r>
          </w:p>
        </w:tc>
        <w:tc>
          <w:tcPr>
            <w:tcW w:w="732" w:type="pct"/>
            <w:shd w:val="clear"/>
            <w:noWrap/>
            <w:vAlign w:val="center"/>
          </w:tcPr>
          <w:p w14:paraId="66EFF30A">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1A3C41F5">
            <w:pPr>
              <w:pStyle w:val="24"/>
              <w:bidi w:val="0"/>
              <w:rPr>
                <w:rFonts w:hint="eastAsia"/>
                <w:sz w:val="18"/>
                <w:szCs w:val="18"/>
              </w:rPr>
            </w:pPr>
            <w:r>
              <w:rPr>
                <w:rFonts w:hint="eastAsia"/>
                <w:sz w:val="18"/>
                <w:szCs w:val="18"/>
                <w:lang w:val="en-US" w:eastAsia="zh-CN"/>
              </w:rPr>
              <w:t>1.63 [1.30; 2.04]</w:t>
            </w:r>
          </w:p>
        </w:tc>
        <w:tc>
          <w:tcPr>
            <w:tcW w:w="732" w:type="pct"/>
            <w:shd w:val="clear"/>
            <w:noWrap/>
            <w:vAlign w:val="center"/>
          </w:tcPr>
          <w:p w14:paraId="58DEBEA9">
            <w:pPr>
              <w:pStyle w:val="24"/>
              <w:bidi w:val="0"/>
              <w:rPr>
                <w:rFonts w:hint="eastAsia"/>
                <w:sz w:val="18"/>
                <w:szCs w:val="18"/>
              </w:rPr>
            </w:pPr>
            <w:r>
              <w:rPr>
                <w:rFonts w:hint="eastAsia"/>
                <w:sz w:val="18"/>
                <w:szCs w:val="18"/>
                <w:lang w:val="en-US" w:eastAsia="zh-CN"/>
              </w:rPr>
              <w:t>1.58 [1.20; 2.07]</w:t>
            </w:r>
          </w:p>
        </w:tc>
        <w:tc>
          <w:tcPr>
            <w:tcW w:w="732" w:type="pct"/>
            <w:shd w:val="clear"/>
            <w:noWrap/>
            <w:vAlign w:val="center"/>
          </w:tcPr>
          <w:p w14:paraId="265B2286">
            <w:pPr>
              <w:pStyle w:val="24"/>
              <w:bidi w:val="0"/>
              <w:rPr>
                <w:rFonts w:hint="eastAsia"/>
                <w:sz w:val="18"/>
                <w:szCs w:val="18"/>
              </w:rPr>
            </w:pPr>
            <w:r>
              <w:rPr>
                <w:rFonts w:hint="eastAsia"/>
                <w:sz w:val="18"/>
                <w:szCs w:val="18"/>
                <w:lang w:val="en-US" w:eastAsia="zh-CN"/>
              </w:rPr>
              <w:t>1.54 [1.27; 1.86]</w:t>
            </w:r>
          </w:p>
        </w:tc>
        <w:tc>
          <w:tcPr>
            <w:tcW w:w="1058" w:type="pct"/>
            <w:shd w:val="clear"/>
            <w:noWrap/>
            <w:vAlign w:val="center"/>
          </w:tcPr>
          <w:p w14:paraId="2F5F1B61">
            <w:pPr>
              <w:pStyle w:val="24"/>
              <w:bidi w:val="0"/>
              <w:rPr>
                <w:rFonts w:hint="eastAsia"/>
                <w:sz w:val="18"/>
                <w:szCs w:val="18"/>
              </w:rPr>
            </w:pPr>
            <w:r>
              <w:rPr>
                <w:rFonts w:hint="eastAsia"/>
                <w:sz w:val="18"/>
                <w:szCs w:val="18"/>
                <w:lang w:val="en-US" w:eastAsia="zh-CN"/>
              </w:rPr>
              <w:t>2.18 [1.45; 3.29]</w:t>
            </w:r>
          </w:p>
        </w:tc>
      </w:tr>
      <w:tr w14:paraId="04BF0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01AE3EEA">
            <w:pPr>
              <w:pStyle w:val="24"/>
              <w:bidi w:val="0"/>
              <w:rPr>
                <w:rFonts w:hint="eastAsia"/>
                <w:sz w:val="18"/>
                <w:szCs w:val="18"/>
              </w:rPr>
            </w:pPr>
            <w:r>
              <w:rPr>
                <w:rFonts w:hint="eastAsia"/>
                <w:sz w:val="18"/>
                <w:szCs w:val="18"/>
                <w:lang w:val="en-US" w:eastAsia="zh-CN"/>
              </w:rPr>
              <w:t>Fruquintinib</w:t>
            </w:r>
          </w:p>
        </w:tc>
        <w:tc>
          <w:tcPr>
            <w:tcW w:w="732" w:type="pct"/>
            <w:shd w:val="clear"/>
            <w:noWrap/>
            <w:vAlign w:val="center"/>
          </w:tcPr>
          <w:p w14:paraId="5D0866CE">
            <w:pPr>
              <w:pStyle w:val="24"/>
              <w:bidi w:val="0"/>
              <w:rPr>
                <w:rFonts w:hint="eastAsia"/>
                <w:sz w:val="18"/>
                <w:szCs w:val="18"/>
              </w:rPr>
            </w:pPr>
            <w:r>
              <w:rPr>
                <w:rFonts w:hint="eastAsia"/>
                <w:sz w:val="18"/>
                <w:szCs w:val="18"/>
                <w:lang w:val="en-US" w:eastAsia="zh-CN"/>
              </w:rPr>
              <w:t>0.61 [0.49; 0.77]</w:t>
            </w:r>
          </w:p>
        </w:tc>
        <w:tc>
          <w:tcPr>
            <w:tcW w:w="732" w:type="pct"/>
            <w:shd w:val="clear"/>
            <w:noWrap/>
            <w:vAlign w:val="center"/>
          </w:tcPr>
          <w:p w14:paraId="454430BB">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264B35E9">
            <w:pPr>
              <w:pStyle w:val="24"/>
              <w:bidi w:val="0"/>
              <w:rPr>
                <w:rFonts w:hint="eastAsia"/>
                <w:sz w:val="18"/>
                <w:szCs w:val="18"/>
              </w:rPr>
            </w:pPr>
            <w:r>
              <w:rPr>
                <w:rFonts w:hint="eastAsia"/>
                <w:sz w:val="18"/>
                <w:szCs w:val="18"/>
                <w:lang w:val="en-US" w:eastAsia="zh-CN"/>
              </w:rPr>
              <w:t>0.97 [0.68; 1.38]</w:t>
            </w:r>
          </w:p>
        </w:tc>
        <w:tc>
          <w:tcPr>
            <w:tcW w:w="732" w:type="pct"/>
            <w:shd w:val="clear"/>
            <w:noWrap/>
            <w:vAlign w:val="center"/>
          </w:tcPr>
          <w:p w14:paraId="07C9061C">
            <w:pPr>
              <w:pStyle w:val="24"/>
              <w:bidi w:val="0"/>
              <w:rPr>
                <w:rFonts w:hint="eastAsia"/>
                <w:sz w:val="18"/>
                <w:szCs w:val="18"/>
              </w:rPr>
            </w:pPr>
            <w:r>
              <w:rPr>
                <w:rFonts w:hint="eastAsia"/>
                <w:sz w:val="18"/>
                <w:szCs w:val="18"/>
                <w:lang w:val="en-US" w:eastAsia="zh-CN"/>
              </w:rPr>
              <w:t>0.95 [0.70; 1.27]</w:t>
            </w:r>
          </w:p>
        </w:tc>
        <w:tc>
          <w:tcPr>
            <w:tcW w:w="1058" w:type="pct"/>
            <w:shd w:val="clear"/>
            <w:noWrap/>
            <w:vAlign w:val="center"/>
          </w:tcPr>
          <w:p w14:paraId="3E9F923D">
            <w:pPr>
              <w:pStyle w:val="24"/>
              <w:bidi w:val="0"/>
              <w:rPr>
                <w:rFonts w:hint="eastAsia"/>
                <w:sz w:val="18"/>
                <w:szCs w:val="18"/>
              </w:rPr>
            </w:pPr>
            <w:r>
              <w:rPr>
                <w:rFonts w:hint="eastAsia"/>
                <w:sz w:val="18"/>
                <w:szCs w:val="18"/>
                <w:lang w:val="en-US" w:eastAsia="zh-CN"/>
              </w:rPr>
              <w:t>1.34 [0.84; 2.15]</w:t>
            </w:r>
          </w:p>
        </w:tc>
      </w:tr>
      <w:tr w14:paraId="7981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6FDD01C3">
            <w:pPr>
              <w:pStyle w:val="24"/>
              <w:bidi w:val="0"/>
              <w:rPr>
                <w:rFonts w:hint="eastAsia"/>
                <w:sz w:val="18"/>
                <w:szCs w:val="18"/>
              </w:rPr>
            </w:pPr>
            <w:r>
              <w:rPr>
                <w:rFonts w:hint="eastAsia"/>
                <w:sz w:val="18"/>
                <w:szCs w:val="18"/>
                <w:lang w:val="en-US" w:eastAsia="zh-CN"/>
              </w:rPr>
              <w:t>Regorafenib</w:t>
            </w:r>
          </w:p>
        </w:tc>
        <w:tc>
          <w:tcPr>
            <w:tcW w:w="732" w:type="pct"/>
            <w:shd w:val="clear"/>
            <w:noWrap/>
            <w:vAlign w:val="center"/>
          </w:tcPr>
          <w:p w14:paraId="0CECBA5E">
            <w:pPr>
              <w:pStyle w:val="24"/>
              <w:bidi w:val="0"/>
              <w:rPr>
                <w:rFonts w:hint="eastAsia"/>
                <w:sz w:val="18"/>
                <w:szCs w:val="18"/>
              </w:rPr>
            </w:pPr>
            <w:r>
              <w:rPr>
                <w:rFonts w:hint="eastAsia"/>
                <w:sz w:val="18"/>
                <w:szCs w:val="18"/>
                <w:lang w:val="en-US" w:eastAsia="zh-CN"/>
              </w:rPr>
              <w:t>0.63 [0.48; 0.83]</w:t>
            </w:r>
          </w:p>
        </w:tc>
        <w:tc>
          <w:tcPr>
            <w:tcW w:w="732" w:type="pct"/>
            <w:shd w:val="clear"/>
            <w:noWrap/>
            <w:vAlign w:val="center"/>
          </w:tcPr>
          <w:p w14:paraId="05857A82">
            <w:pPr>
              <w:pStyle w:val="24"/>
              <w:bidi w:val="0"/>
              <w:rPr>
                <w:rFonts w:hint="eastAsia"/>
                <w:sz w:val="18"/>
                <w:szCs w:val="18"/>
              </w:rPr>
            </w:pPr>
            <w:r>
              <w:rPr>
                <w:rFonts w:hint="eastAsia"/>
                <w:sz w:val="18"/>
                <w:szCs w:val="18"/>
                <w:lang w:val="en-US" w:eastAsia="zh-CN"/>
              </w:rPr>
              <w:t>1.03 [0.72; 1.47]</w:t>
            </w:r>
          </w:p>
        </w:tc>
        <w:tc>
          <w:tcPr>
            <w:tcW w:w="732" w:type="pct"/>
            <w:shd w:val="clear"/>
            <w:noWrap/>
            <w:vAlign w:val="center"/>
          </w:tcPr>
          <w:p w14:paraId="671C3979">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0DB5E11D">
            <w:pPr>
              <w:pStyle w:val="24"/>
              <w:bidi w:val="0"/>
              <w:rPr>
                <w:rFonts w:hint="eastAsia"/>
                <w:sz w:val="18"/>
                <w:szCs w:val="18"/>
              </w:rPr>
            </w:pPr>
            <w:r>
              <w:rPr>
                <w:rFonts w:hint="eastAsia"/>
                <w:sz w:val="18"/>
                <w:szCs w:val="18"/>
                <w:lang w:val="en-US" w:eastAsia="zh-CN"/>
              </w:rPr>
              <w:t>0.97 [0.70; 1.36]</w:t>
            </w:r>
          </w:p>
        </w:tc>
        <w:tc>
          <w:tcPr>
            <w:tcW w:w="1058" w:type="pct"/>
            <w:shd w:val="clear"/>
            <w:noWrap/>
            <w:vAlign w:val="center"/>
          </w:tcPr>
          <w:p w14:paraId="28396DBF">
            <w:pPr>
              <w:pStyle w:val="24"/>
              <w:bidi w:val="0"/>
              <w:rPr>
                <w:rFonts w:hint="eastAsia"/>
                <w:sz w:val="18"/>
                <w:szCs w:val="18"/>
              </w:rPr>
            </w:pPr>
            <w:r>
              <w:rPr>
                <w:rFonts w:hint="eastAsia"/>
                <w:sz w:val="18"/>
                <w:szCs w:val="18"/>
                <w:lang w:val="en-US" w:eastAsia="zh-CN"/>
              </w:rPr>
              <w:t>1.39 [0.85; 2.27]</w:t>
            </w:r>
          </w:p>
        </w:tc>
      </w:tr>
      <w:tr w14:paraId="610B1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1011" w:type="pct"/>
            <w:shd w:val="clear"/>
            <w:noWrap/>
            <w:vAlign w:val="center"/>
          </w:tcPr>
          <w:p w14:paraId="6B31513D">
            <w:pPr>
              <w:pStyle w:val="24"/>
              <w:bidi w:val="0"/>
              <w:rPr>
                <w:rFonts w:hint="eastAsia"/>
                <w:sz w:val="18"/>
                <w:szCs w:val="18"/>
              </w:rPr>
            </w:pPr>
            <w:r>
              <w:rPr>
                <w:rFonts w:hint="eastAsia"/>
                <w:sz w:val="18"/>
                <w:szCs w:val="18"/>
                <w:lang w:val="en-US" w:eastAsia="zh-CN"/>
              </w:rPr>
              <w:t>TAS-102</w:t>
            </w:r>
          </w:p>
        </w:tc>
        <w:tc>
          <w:tcPr>
            <w:tcW w:w="732" w:type="pct"/>
            <w:shd w:val="clear"/>
            <w:noWrap/>
            <w:vAlign w:val="center"/>
          </w:tcPr>
          <w:p w14:paraId="42A0F268">
            <w:pPr>
              <w:pStyle w:val="24"/>
              <w:bidi w:val="0"/>
              <w:rPr>
                <w:rFonts w:hint="eastAsia"/>
                <w:sz w:val="18"/>
                <w:szCs w:val="18"/>
              </w:rPr>
            </w:pPr>
            <w:r>
              <w:rPr>
                <w:rFonts w:hint="eastAsia"/>
                <w:sz w:val="18"/>
                <w:szCs w:val="18"/>
                <w:lang w:val="en-US" w:eastAsia="zh-CN"/>
              </w:rPr>
              <w:t>0.65 [0.54; 0.79]</w:t>
            </w:r>
          </w:p>
        </w:tc>
        <w:tc>
          <w:tcPr>
            <w:tcW w:w="732" w:type="pct"/>
            <w:shd w:val="clear"/>
            <w:noWrap/>
            <w:vAlign w:val="center"/>
          </w:tcPr>
          <w:p w14:paraId="148090BB">
            <w:pPr>
              <w:pStyle w:val="24"/>
              <w:bidi w:val="0"/>
              <w:rPr>
                <w:rFonts w:hint="eastAsia"/>
                <w:sz w:val="18"/>
                <w:szCs w:val="18"/>
              </w:rPr>
            </w:pPr>
            <w:r>
              <w:rPr>
                <w:rFonts w:hint="eastAsia"/>
                <w:sz w:val="18"/>
                <w:szCs w:val="18"/>
                <w:lang w:val="en-US" w:eastAsia="zh-CN"/>
              </w:rPr>
              <w:t>1.05 [0.79; 1.43]</w:t>
            </w:r>
          </w:p>
        </w:tc>
        <w:tc>
          <w:tcPr>
            <w:tcW w:w="732" w:type="pct"/>
            <w:shd w:val="clear"/>
            <w:noWrap/>
            <w:vAlign w:val="center"/>
          </w:tcPr>
          <w:p w14:paraId="6E1932E9">
            <w:pPr>
              <w:pStyle w:val="24"/>
              <w:bidi w:val="0"/>
              <w:rPr>
                <w:rFonts w:hint="eastAsia"/>
                <w:sz w:val="18"/>
                <w:szCs w:val="18"/>
              </w:rPr>
            </w:pPr>
            <w:r>
              <w:rPr>
                <w:rFonts w:hint="eastAsia"/>
                <w:sz w:val="18"/>
                <w:szCs w:val="18"/>
                <w:lang w:val="en-US" w:eastAsia="zh-CN"/>
              </w:rPr>
              <w:t>1.03 [0.73; 1.43]</w:t>
            </w:r>
          </w:p>
        </w:tc>
        <w:tc>
          <w:tcPr>
            <w:tcW w:w="732" w:type="pct"/>
            <w:shd w:val="clear"/>
            <w:noWrap/>
            <w:vAlign w:val="center"/>
          </w:tcPr>
          <w:p w14:paraId="682F1CE5">
            <w:pPr>
              <w:pStyle w:val="24"/>
              <w:bidi w:val="0"/>
              <w:rPr>
                <w:rFonts w:hint="eastAsia"/>
                <w:sz w:val="18"/>
                <w:szCs w:val="18"/>
              </w:rPr>
            </w:pPr>
            <w:r>
              <w:rPr>
                <w:rFonts w:hint="eastAsia"/>
                <w:sz w:val="18"/>
                <w:szCs w:val="18"/>
                <w:lang w:val="en-US" w:eastAsia="zh-CN"/>
              </w:rPr>
              <w:t>-</w:t>
            </w:r>
          </w:p>
        </w:tc>
        <w:tc>
          <w:tcPr>
            <w:tcW w:w="1058" w:type="pct"/>
            <w:shd w:val="clear"/>
            <w:noWrap/>
            <w:vAlign w:val="center"/>
          </w:tcPr>
          <w:p w14:paraId="065BF47E">
            <w:pPr>
              <w:pStyle w:val="24"/>
              <w:bidi w:val="0"/>
              <w:rPr>
                <w:rFonts w:hint="eastAsia"/>
                <w:sz w:val="18"/>
                <w:szCs w:val="18"/>
              </w:rPr>
            </w:pPr>
            <w:r>
              <w:rPr>
                <w:rFonts w:hint="eastAsia"/>
                <w:sz w:val="18"/>
                <w:szCs w:val="18"/>
                <w:lang w:val="en-US" w:eastAsia="zh-CN"/>
              </w:rPr>
              <w:t>1.42 [0.99; 2.04]</w:t>
            </w:r>
          </w:p>
        </w:tc>
      </w:tr>
      <w:tr w14:paraId="75B48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1011" w:type="pct"/>
            <w:shd w:val="clear"/>
            <w:noWrap/>
            <w:vAlign w:val="center"/>
          </w:tcPr>
          <w:p w14:paraId="74541062">
            <w:pPr>
              <w:pStyle w:val="24"/>
              <w:bidi w:val="0"/>
              <w:rPr>
                <w:rFonts w:hint="eastAsia"/>
                <w:sz w:val="18"/>
                <w:szCs w:val="18"/>
              </w:rPr>
            </w:pPr>
            <w:r>
              <w:rPr>
                <w:rFonts w:hint="eastAsia"/>
                <w:sz w:val="18"/>
                <w:szCs w:val="18"/>
                <w:lang w:val="en-US" w:eastAsia="zh-CN"/>
              </w:rPr>
              <w:t>TAS-102+Bevacizumab</w:t>
            </w:r>
          </w:p>
        </w:tc>
        <w:tc>
          <w:tcPr>
            <w:tcW w:w="732" w:type="pct"/>
            <w:shd w:val="clear"/>
            <w:noWrap/>
            <w:vAlign w:val="center"/>
          </w:tcPr>
          <w:p w14:paraId="63C21AD7">
            <w:pPr>
              <w:pStyle w:val="24"/>
              <w:bidi w:val="0"/>
              <w:rPr>
                <w:rFonts w:hint="eastAsia"/>
                <w:sz w:val="18"/>
                <w:szCs w:val="18"/>
              </w:rPr>
            </w:pPr>
            <w:r>
              <w:rPr>
                <w:rFonts w:hint="eastAsia"/>
                <w:sz w:val="18"/>
                <w:szCs w:val="18"/>
                <w:lang w:val="en-US" w:eastAsia="zh-CN"/>
              </w:rPr>
              <w:t>0.46 [0.30; 0.69]</w:t>
            </w:r>
          </w:p>
        </w:tc>
        <w:tc>
          <w:tcPr>
            <w:tcW w:w="732" w:type="pct"/>
            <w:shd w:val="clear"/>
            <w:noWrap/>
            <w:vAlign w:val="center"/>
          </w:tcPr>
          <w:p w14:paraId="6353282B">
            <w:pPr>
              <w:pStyle w:val="24"/>
              <w:bidi w:val="0"/>
              <w:rPr>
                <w:rFonts w:hint="eastAsia"/>
                <w:sz w:val="18"/>
                <w:szCs w:val="18"/>
              </w:rPr>
            </w:pPr>
            <w:r>
              <w:rPr>
                <w:rFonts w:hint="eastAsia"/>
                <w:sz w:val="18"/>
                <w:szCs w:val="18"/>
                <w:lang w:val="en-US" w:eastAsia="zh-CN"/>
              </w:rPr>
              <w:t>0.75 [0.47; 1.19]</w:t>
            </w:r>
          </w:p>
        </w:tc>
        <w:tc>
          <w:tcPr>
            <w:tcW w:w="732" w:type="pct"/>
            <w:shd w:val="clear"/>
            <w:noWrap/>
            <w:vAlign w:val="center"/>
          </w:tcPr>
          <w:p w14:paraId="25AB5101">
            <w:pPr>
              <w:pStyle w:val="24"/>
              <w:bidi w:val="0"/>
              <w:rPr>
                <w:rFonts w:hint="eastAsia"/>
                <w:sz w:val="18"/>
                <w:szCs w:val="18"/>
              </w:rPr>
            </w:pPr>
            <w:r>
              <w:rPr>
                <w:rFonts w:hint="eastAsia"/>
                <w:sz w:val="18"/>
                <w:szCs w:val="18"/>
                <w:lang w:val="en-US" w:eastAsia="zh-CN"/>
              </w:rPr>
              <w:t>0.72 [0.44; 1.18]</w:t>
            </w:r>
          </w:p>
        </w:tc>
        <w:tc>
          <w:tcPr>
            <w:tcW w:w="732" w:type="pct"/>
            <w:shd w:val="clear"/>
            <w:noWrap/>
            <w:vAlign w:val="center"/>
          </w:tcPr>
          <w:p w14:paraId="78474DD6">
            <w:pPr>
              <w:pStyle w:val="24"/>
              <w:bidi w:val="0"/>
              <w:rPr>
                <w:rFonts w:hint="eastAsia"/>
                <w:sz w:val="18"/>
                <w:szCs w:val="18"/>
              </w:rPr>
            </w:pPr>
            <w:r>
              <w:rPr>
                <w:rFonts w:hint="eastAsia"/>
                <w:sz w:val="18"/>
                <w:szCs w:val="18"/>
                <w:lang w:val="en-US" w:eastAsia="zh-CN"/>
              </w:rPr>
              <w:t>0.70 [0.49; 1.01]</w:t>
            </w:r>
          </w:p>
        </w:tc>
        <w:tc>
          <w:tcPr>
            <w:tcW w:w="1058" w:type="pct"/>
            <w:shd w:val="clear"/>
            <w:noWrap/>
            <w:vAlign w:val="center"/>
          </w:tcPr>
          <w:p w14:paraId="776F3847">
            <w:pPr>
              <w:pStyle w:val="24"/>
              <w:bidi w:val="0"/>
              <w:rPr>
                <w:rFonts w:hint="eastAsia"/>
                <w:sz w:val="18"/>
                <w:szCs w:val="18"/>
              </w:rPr>
            </w:pPr>
            <w:r>
              <w:rPr>
                <w:rFonts w:hint="eastAsia"/>
                <w:sz w:val="18"/>
                <w:szCs w:val="18"/>
                <w:lang w:val="en-US" w:eastAsia="zh-CN"/>
              </w:rPr>
              <w:t>-</w:t>
            </w:r>
          </w:p>
        </w:tc>
      </w:tr>
      <w:tr w14:paraId="7BD7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5000" w:type="pct"/>
            <w:gridSpan w:val="6"/>
            <w:shd w:val="clear"/>
            <w:noWrap/>
            <w:vAlign w:val="center"/>
          </w:tcPr>
          <w:p w14:paraId="1A69FEE4">
            <w:pPr>
              <w:pStyle w:val="24"/>
              <w:bidi w:val="0"/>
              <w:rPr>
                <w:rFonts w:hint="eastAsia"/>
                <w:sz w:val="18"/>
                <w:szCs w:val="18"/>
              </w:rPr>
            </w:pPr>
            <w:r>
              <w:rPr>
                <w:rFonts w:hint="eastAsia"/>
                <w:sz w:val="18"/>
                <w:szCs w:val="18"/>
                <w:lang w:val="en-US" w:eastAsia="zh-CN"/>
              </w:rPr>
              <w:t>RAS Wild-type, PFS</w:t>
            </w:r>
          </w:p>
        </w:tc>
      </w:tr>
      <w:tr w14:paraId="26DF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1011" w:type="pct"/>
            <w:shd w:val="clear"/>
            <w:noWrap/>
            <w:vAlign w:val="center"/>
          </w:tcPr>
          <w:p w14:paraId="439EAA7A">
            <w:pPr>
              <w:pStyle w:val="24"/>
              <w:bidi w:val="0"/>
              <w:rPr>
                <w:rFonts w:hint="eastAsia"/>
                <w:sz w:val="18"/>
                <w:szCs w:val="18"/>
              </w:rPr>
            </w:pPr>
          </w:p>
        </w:tc>
        <w:tc>
          <w:tcPr>
            <w:tcW w:w="732" w:type="pct"/>
            <w:shd w:val="clear"/>
            <w:noWrap/>
            <w:vAlign w:val="center"/>
          </w:tcPr>
          <w:p w14:paraId="3EDEA41F">
            <w:pPr>
              <w:pStyle w:val="24"/>
              <w:bidi w:val="0"/>
              <w:rPr>
                <w:rFonts w:hint="eastAsia"/>
                <w:sz w:val="18"/>
                <w:szCs w:val="18"/>
              </w:rPr>
            </w:pPr>
            <w:r>
              <w:rPr>
                <w:rFonts w:hint="eastAsia"/>
                <w:sz w:val="18"/>
                <w:szCs w:val="18"/>
                <w:lang w:val="en-US" w:eastAsia="zh-CN"/>
              </w:rPr>
              <w:t>BSC</w:t>
            </w:r>
          </w:p>
        </w:tc>
        <w:tc>
          <w:tcPr>
            <w:tcW w:w="732" w:type="pct"/>
            <w:shd w:val="clear"/>
            <w:noWrap/>
            <w:vAlign w:val="center"/>
          </w:tcPr>
          <w:p w14:paraId="3E27A593">
            <w:pPr>
              <w:pStyle w:val="24"/>
              <w:bidi w:val="0"/>
              <w:rPr>
                <w:rFonts w:hint="eastAsia"/>
                <w:sz w:val="18"/>
                <w:szCs w:val="18"/>
              </w:rPr>
            </w:pPr>
            <w:r>
              <w:rPr>
                <w:rFonts w:hint="eastAsia"/>
                <w:sz w:val="18"/>
                <w:szCs w:val="18"/>
                <w:lang w:val="en-US" w:eastAsia="zh-CN"/>
              </w:rPr>
              <w:t>Fruquintinib</w:t>
            </w:r>
          </w:p>
        </w:tc>
        <w:tc>
          <w:tcPr>
            <w:tcW w:w="732" w:type="pct"/>
            <w:shd w:val="clear"/>
            <w:noWrap/>
            <w:vAlign w:val="center"/>
          </w:tcPr>
          <w:p w14:paraId="4A86FBC9">
            <w:pPr>
              <w:pStyle w:val="24"/>
              <w:bidi w:val="0"/>
              <w:rPr>
                <w:rFonts w:hint="eastAsia"/>
                <w:sz w:val="18"/>
                <w:szCs w:val="18"/>
              </w:rPr>
            </w:pPr>
            <w:r>
              <w:rPr>
                <w:rFonts w:hint="eastAsia"/>
                <w:sz w:val="18"/>
                <w:szCs w:val="18"/>
                <w:lang w:val="en-US" w:eastAsia="zh-CN"/>
              </w:rPr>
              <w:t>Regorafenib</w:t>
            </w:r>
          </w:p>
        </w:tc>
        <w:tc>
          <w:tcPr>
            <w:tcW w:w="732" w:type="pct"/>
            <w:shd w:val="clear"/>
            <w:noWrap/>
            <w:vAlign w:val="center"/>
          </w:tcPr>
          <w:p w14:paraId="4542B357">
            <w:pPr>
              <w:pStyle w:val="24"/>
              <w:bidi w:val="0"/>
              <w:rPr>
                <w:rFonts w:hint="eastAsia"/>
                <w:sz w:val="18"/>
                <w:szCs w:val="18"/>
              </w:rPr>
            </w:pPr>
            <w:r>
              <w:rPr>
                <w:rFonts w:hint="eastAsia"/>
                <w:sz w:val="18"/>
                <w:szCs w:val="18"/>
                <w:lang w:val="en-US" w:eastAsia="zh-CN"/>
              </w:rPr>
              <w:t>TAS-102</w:t>
            </w:r>
          </w:p>
        </w:tc>
        <w:tc>
          <w:tcPr>
            <w:tcW w:w="1058" w:type="pct"/>
            <w:shd w:val="clear"/>
            <w:noWrap/>
            <w:vAlign w:val="center"/>
          </w:tcPr>
          <w:p w14:paraId="67A37931">
            <w:pPr>
              <w:pStyle w:val="24"/>
              <w:bidi w:val="0"/>
              <w:rPr>
                <w:rFonts w:hint="eastAsia"/>
                <w:sz w:val="18"/>
                <w:szCs w:val="18"/>
              </w:rPr>
            </w:pPr>
            <w:r>
              <w:rPr>
                <w:rFonts w:hint="eastAsia"/>
                <w:sz w:val="18"/>
                <w:szCs w:val="18"/>
                <w:lang w:val="en-US" w:eastAsia="zh-CN"/>
              </w:rPr>
              <w:t>TAS-102 + Bevacizumab</w:t>
            </w:r>
          </w:p>
        </w:tc>
      </w:tr>
      <w:tr w14:paraId="407D2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1CFAA699">
            <w:pPr>
              <w:pStyle w:val="24"/>
              <w:bidi w:val="0"/>
              <w:rPr>
                <w:rFonts w:hint="eastAsia"/>
                <w:sz w:val="18"/>
                <w:szCs w:val="18"/>
              </w:rPr>
            </w:pPr>
            <w:r>
              <w:rPr>
                <w:rFonts w:hint="eastAsia"/>
                <w:sz w:val="18"/>
                <w:szCs w:val="18"/>
                <w:lang w:val="en-US" w:eastAsia="zh-CN"/>
              </w:rPr>
              <w:t>BSC</w:t>
            </w:r>
          </w:p>
        </w:tc>
        <w:tc>
          <w:tcPr>
            <w:tcW w:w="732" w:type="pct"/>
            <w:shd w:val="clear"/>
            <w:noWrap/>
            <w:vAlign w:val="center"/>
          </w:tcPr>
          <w:p w14:paraId="11EFFDB5">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5FF31A44">
            <w:pPr>
              <w:pStyle w:val="24"/>
              <w:bidi w:val="0"/>
              <w:rPr>
                <w:rFonts w:hint="eastAsia"/>
                <w:sz w:val="18"/>
                <w:szCs w:val="18"/>
              </w:rPr>
            </w:pPr>
            <w:r>
              <w:rPr>
                <w:rFonts w:hint="eastAsia"/>
                <w:sz w:val="18"/>
                <w:szCs w:val="18"/>
                <w:lang w:val="en-US" w:eastAsia="zh-CN"/>
              </w:rPr>
              <w:t>3.94 [3.13; 4.96]</w:t>
            </w:r>
          </w:p>
        </w:tc>
        <w:tc>
          <w:tcPr>
            <w:tcW w:w="732" w:type="pct"/>
            <w:shd w:val="clear"/>
            <w:noWrap/>
            <w:vAlign w:val="center"/>
          </w:tcPr>
          <w:p w14:paraId="2F08D1A1">
            <w:pPr>
              <w:pStyle w:val="24"/>
              <w:bidi w:val="0"/>
              <w:rPr>
                <w:rFonts w:hint="eastAsia"/>
                <w:sz w:val="18"/>
                <w:szCs w:val="18"/>
              </w:rPr>
            </w:pPr>
            <w:r>
              <w:rPr>
                <w:rFonts w:hint="eastAsia"/>
                <w:sz w:val="18"/>
                <w:szCs w:val="18"/>
                <w:lang w:val="en-US" w:eastAsia="zh-CN"/>
              </w:rPr>
              <w:t>2.14 [1.68; 2.71]</w:t>
            </w:r>
          </w:p>
        </w:tc>
        <w:tc>
          <w:tcPr>
            <w:tcW w:w="732" w:type="pct"/>
            <w:shd w:val="clear"/>
            <w:noWrap/>
            <w:vAlign w:val="center"/>
          </w:tcPr>
          <w:p w14:paraId="7BAD9824">
            <w:pPr>
              <w:pStyle w:val="24"/>
              <w:bidi w:val="0"/>
              <w:rPr>
                <w:rFonts w:hint="eastAsia"/>
                <w:sz w:val="18"/>
                <w:szCs w:val="18"/>
              </w:rPr>
            </w:pPr>
            <w:r>
              <w:rPr>
                <w:rFonts w:hint="eastAsia"/>
                <w:sz w:val="18"/>
                <w:szCs w:val="18"/>
                <w:lang w:val="en-US" w:eastAsia="zh-CN"/>
              </w:rPr>
              <w:t>2.08 [1.66; 2.62]</w:t>
            </w:r>
          </w:p>
        </w:tc>
        <w:tc>
          <w:tcPr>
            <w:tcW w:w="1058" w:type="pct"/>
            <w:shd w:val="clear"/>
            <w:noWrap/>
            <w:vAlign w:val="center"/>
          </w:tcPr>
          <w:p w14:paraId="5430288D">
            <w:pPr>
              <w:pStyle w:val="24"/>
              <w:bidi w:val="0"/>
              <w:rPr>
                <w:rFonts w:hint="eastAsia"/>
                <w:sz w:val="18"/>
                <w:szCs w:val="18"/>
              </w:rPr>
            </w:pPr>
            <w:r>
              <w:rPr>
                <w:rFonts w:hint="eastAsia"/>
                <w:sz w:val="18"/>
                <w:szCs w:val="18"/>
                <w:lang w:val="en-US" w:eastAsia="zh-CN"/>
              </w:rPr>
              <w:t>6.43 [4.30; 9.63]</w:t>
            </w:r>
          </w:p>
        </w:tc>
      </w:tr>
      <w:tr w14:paraId="33E8B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1011" w:type="pct"/>
            <w:shd w:val="clear"/>
            <w:noWrap/>
            <w:vAlign w:val="center"/>
          </w:tcPr>
          <w:p w14:paraId="05F866DC">
            <w:pPr>
              <w:pStyle w:val="24"/>
              <w:bidi w:val="0"/>
              <w:rPr>
                <w:rFonts w:hint="eastAsia"/>
                <w:sz w:val="18"/>
                <w:szCs w:val="18"/>
              </w:rPr>
            </w:pPr>
            <w:r>
              <w:rPr>
                <w:rFonts w:hint="eastAsia"/>
                <w:sz w:val="18"/>
                <w:szCs w:val="18"/>
                <w:lang w:val="en-US" w:eastAsia="zh-CN"/>
              </w:rPr>
              <w:t>Fruquintinib</w:t>
            </w:r>
          </w:p>
        </w:tc>
        <w:tc>
          <w:tcPr>
            <w:tcW w:w="732" w:type="pct"/>
            <w:shd w:val="clear"/>
            <w:noWrap/>
            <w:vAlign w:val="center"/>
          </w:tcPr>
          <w:p w14:paraId="432B6906">
            <w:pPr>
              <w:pStyle w:val="24"/>
              <w:bidi w:val="0"/>
              <w:rPr>
                <w:rFonts w:hint="eastAsia"/>
                <w:sz w:val="18"/>
                <w:szCs w:val="18"/>
              </w:rPr>
            </w:pPr>
            <w:r>
              <w:rPr>
                <w:rFonts w:hint="eastAsia"/>
                <w:sz w:val="18"/>
                <w:szCs w:val="18"/>
                <w:lang w:val="en-US" w:eastAsia="zh-CN"/>
              </w:rPr>
              <w:t>0.25 [0.20; 0.32]</w:t>
            </w:r>
          </w:p>
        </w:tc>
        <w:tc>
          <w:tcPr>
            <w:tcW w:w="732" w:type="pct"/>
            <w:shd w:val="clear"/>
            <w:noWrap/>
            <w:vAlign w:val="center"/>
          </w:tcPr>
          <w:p w14:paraId="0094C053">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5800A457">
            <w:pPr>
              <w:pStyle w:val="24"/>
              <w:bidi w:val="0"/>
              <w:rPr>
                <w:rFonts w:hint="eastAsia"/>
                <w:sz w:val="18"/>
                <w:szCs w:val="18"/>
              </w:rPr>
            </w:pPr>
            <w:r>
              <w:rPr>
                <w:rFonts w:hint="eastAsia"/>
                <w:sz w:val="18"/>
                <w:szCs w:val="18"/>
                <w:lang w:val="en-US" w:eastAsia="zh-CN"/>
              </w:rPr>
              <w:t>0.54 [0.39; 0.76]</w:t>
            </w:r>
          </w:p>
        </w:tc>
        <w:tc>
          <w:tcPr>
            <w:tcW w:w="732" w:type="pct"/>
            <w:shd w:val="clear"/>
            <w:noWrap/>
            <w:vAlign w:val="center"/>
          </w:tcPr>
          <w:p w14:paraId="61F7C2B6">
            <w:pPr>
              <w:pStyle w:val="24"/>
              <w:bidi w:val="0"/>
              <w:rPr>
                <w:rFonts w:hint="eastAsia"/>
                <w:sz w:val="18"/>
                <w:szCs w:val="18"/>
              </w:rPr>
            </w:pPr>
            <w:r>
              <w:rPr>
                <w:rFonts w:hint="eastAsia"/>
                <w:sz w:val="18"/>
                <w:szCs w:val="18"/>
                <w:lang w:val="en-US" w:eastAsia="zh-CN"/>
              </w:rPr>
              <w:t>0.53 [0.38; 0.73]</w:t>
            </w:r>
          </w:p>
        </w:tc>
        <w:tc>
          <w:tcPr>
            <w:tcW w:w="1058" w:type="pct"/>
            <w:shd w:val="clear"/>
            <w:noWrap/>
            <w:vAlign w:val="center"/>
          </w:tcPr>
          <w:p w14:paraId="497E945B">
            <w:pPr>
              <w:pStyle w:val="24"/>
              <w:bidi w:val="0"/>
              <w:rPr>
                <w:rFonts w:hint="eastAsia"/>
                <w:sz w:val="18"/>
                <w:szCs w:val="18"/>
              </w:rPr>
            </w:pPr>
            <w:r>
              <w:rPr>
                <w:rFonts w:hint="eastAsia"/>
                <w:sz w:val="18"/>
                <w:szCs w:val="18"/>
                <w:lang w:val="en-US" w:eastAsia="zh-CN"/>
              </w:rPr>
              <w:t>1.63 [1.03; 2.60]</w:t>
            </w:r>
          </w:p>
        </w:tc>
      </w:tr>
      <w:tr w14:paraId="2EA0C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1011" w:type="pct"/>
            <w:shd w:val="clear"/>
            <w:noWrap/>
            <w:vAlign w:val="center"/>
          </w:tcPr>
          <w:p w14:paraId="5CE3C09C">
            <w:pPr>
              <w:pStyle w:val="24"/>
              <w:bidi w:val="0"/>
              <w:rPr>
                <w:rFonts w:hint="eastAsia"/>
                <w:sz w:val="18"/>
                <w:szCs w:val="18"/>
              </w:rPr>
            </w:pPr>
            <w:r>
              <w:rPr>
                <w:rFonts w:hint="eastAsia"/>
                <w:sz w:val="18"/>
                <w:szCs w:val="18"/>
                <w:lang w:val="en-US" w:eastAsia="zh-CN"/>
              </w:rPr>
              <w:t>Regorafenib</w:t>
            </w:r>
          </w:p>
        </w:tc>
        <w:tc>
          <w:tcPr>
            <w:tcW w:w="732" w:type="pct"/>
            <w:shd w:val="clear"/>
            <w:noWrap/>
            <w:vAlign w:val="center"/>
          </w:tcPr>
          <w:p w14:paraId="73B50320">
            <w:pPr>
              <w:pStyle w:val="24"/>
              <w:bidi w:val="0"/>
              <w:rPr>
                <w:rFonts w:hint="eastAsia"/>
                <w:sz w:val="18"/>
                <w:szCs w:val="18"/>
              </w:rPr>
            </w:pPr>
            <w:r>
              <w:rPr>
                <w:rFonts w:hint="eastAsia"/>
                <w:sz w:val="18"/>
                <w:szCs w:val="18"/>
                <w:lang w:val="en-US" w:eastAsia="zh-CN"/>
              </w:rPr>
              <w:t>0.47 [0.37; 0.60]</w:t>
            </w:r>
          </w:p>
        </w:tc>
        <w:tc>
          <w:tcPr>
            <w:tcW w:w="732" w:type="pct"/>
            <w:shd w:val="clear"/>
            <w:noWrap/>
            <w:vAlign w:val="center"/>
          </w:tcPr>
          <w:p w14:paraId="7817D75E">
            <w:pPr>
              <w:pStyle w:val="24"/>
              <w:bidi w:val="0"/>
              <w:rPr>
                <w:rFonts w:hint="eastAsia"/>
                <w:sz w:val="18"/>
                <w:szCs w:val="18"/>
              </w:rPr>
            </w:pPr>
            <w:r>
              <w:rPr>
                <w:rFonts w:hint="eastAsia"/>
                <w:sz w:val="18"/>
                <w:szCs w:val="18"/>
                <w:lang w:val="en-US" w:eastAsia="zh-CN"/>
              </w:rPr>
              <w:t>1.85 [1.32; 2.56]</w:t>
            </w:r>
          </w:p>
        </w:tc>
        <w:tc>
          <w:tcPr>
            <w:tcW w:w="732" w:type="pct"/>
            <w:shd w:val="clear"/>
            <w:noWrap/>
            <w:vAlign w:val="center"/>
          </w:tcPr>
          <w:p w14:paraId="26E9AF06">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0C5411A8">
            <w:pPr>
              <w:pStyle w:val="24"/>
              <w:bidi w:val="0"/>
              <w:rPr>
                <w:rFonts w:hint="eastAsia"/>
                <w:sz w:val="18"/>
                <w:szCs w:val="18"/>
              </w:rPr>
            </w:pPr>
            <w:r>
              <w:rPr>
                <w:rFonts w:hint="eastAsia"/>
                <w:sz w:val="18"/>
                <w:szCs w:val="18"/>
                <w:lang w:val="en-US" w:eastAsia="zh-CN"/>
              </w:rPr>
              <w:t>0.98 [0.70; 1.36]</w:t>
            </w:r>
          </w:p>
        </w:tc>
        <w:tc>
          <w:tcPr>
            <w:tcW w:w="1058" w:type="pct"/>
            <w:shd w:val="clear"/>
            <w:noWrap/>
            <w:vAlign w:val="center"/>
          </w:tcPr>
          <w:p w14:paraId="1B940C97">
            <w:pPr>
              <w:pStyle w:val="24"/>
              <w:bidi w:val="0"/>
              <w:rPr>
                <w:rFonts w:hint="eastAsia"/>
                <w:sz w:val="18"/>
                <w:szCs w:val="18"/>
              </w:rPr>
            </w:pPr>
            <w:r>
              <w:rPr>
                <w:rFonts w:hint="eastAsia"/>
                <w:sz w:val="18"/>
                <w:szCs w:val="18"/>
                <w:lang w:val="en-US" w:eastAsia="zh-CN"/>
              </w:rPr>
              <w:t>3.01 [1.88; 4.81]</w:t>
            </w:r>
          </w:p>
        </w:tc>
      </w:tr>
      <w:tr w14:paraId="7F638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1011" w:type="pct"/>
            <w:shd w:val="clear"/>
            <w:noWrap/>
            <w:vAlign w:val="center"/>
          </w:tcPr>
          <w:p w14:paraId="38BCBE83">
            <w:pPr>
              <w:pStyle w:val="24"/>
              <w:bidi w:val="0"/>
              <w:rPr>
                <w:rFonts w:hint="eastAsia"/>
                <w:sz w:val="18"/>
                <w:szCs w:val="18"/>
              </w:rPr>
            </w:pPr>
            <w:r>
              <w:rPr>
                <w:rFonts w:hint="eastAsia"/>
                <w:sz w:val="18"/>
                <w:szCs w:val="18"/>
                <w:lang w:val="en-US" w:eastAsia="zh-CN"/>
              </w:rPr>
              <w:t>TAS-102</w:t>
            </w:r>
          </w:p>
        </w:tc>
        <w:tc>
          <w:tcPr>
            <w:tcW w:w="732" w:type="pct"/>
            <w:shd w:val="clear"/>
            <w:noWrap/>
            <w:vAlign w:val="center"/>
          </w:tcPr>
          <w:p w14:paraId="323772F7">
            <w:pPr>
              <w:pStyle w:val="24"/>
              <w:bidi w:val="0"/>
              <w:rPr>
                <w:rFonts w:hint="eastAsia"/>
                <w:sz w:val="18"/>
                <w:szCs w:val="18"/>
              </w:rPr>
            </w:pPr>
            <w:r>
              <w:rPr>
                <w:rFonts w:hint="eastAsia"/>
                <w:sz w:val="18"/>
                <w:szCs w:val="18"/>
                <w:lang w:val="en-US" w:eastAsia="zh-CN"/>
              </w:rPr>
              <w:t>0.48 [0.38; 0.60]</w:t>
            </w:r>
          </w:p>
        </w:tc>
        <w:tc>
          <w:tcPr>
            <w:tcW w:w="732" w:type="pct"/>
            <w:shd w:val="clear"/>
            <w:noWrap/>
            <w:vAlign w:val="center"/>
          </w:tcPr>
          <w:p w14:paraId="1A1959D5">
            <w:pPr>
              <w:pStyle w:val="24"/>
              <w:bidi w:val="0"/>
              <w:rPr>
                <w:rFonts w:hint="eastAsia"/>
                <w:sz w:val="18"/>
                <w:szCs w:val="18"/>
              </w:rPr>
            </w:pPr>
            <w:r>
              <w:rPr>
                <w:rFonts w:hint="eastAsia"/>
                <w:sz w:val="18"/>
                <w:szCs w:val="18"/>
                <w:lang w:val="en-US" w:eastAsia="zh-CN"/>
              </w:rPr>
              <w:t>1.89 [1.37; 2.63]</w:t>
            </w:r>
          </w:p>
        </w:tc>
        <w:tc>
          <w:tcPr>
            <w:tcW w:w="732" w:type="pct"/>
            <w:shd w:val="clear"/>
            <w:noWrap/>
            <w:vAlign w:val="center"/>
          </w:tcPr>
          <w:p w14:paraId="7F487ADA">
            <w:pPr>
              <w:pStyle w:val="24"/>
              <w:bidi w:val="0"/>
              <w:rPr>
                <w:rFonts w:hint="eastAsia"/>
                <w:sz w:val="18"/>
                <w:szCs w:val="18"/>
              </w:rPr>
            </w:pPr>
            <w:r>
              <w:rPr>
                <w:rFonts w:hint="eastAsia"/>
                <w:sz w:val="18"/>
                <w:szCs w:val="18"/>
                <w:lang w:val="en-US" w:eastAsia="zh-CN"/>
              </w:rPr>
              <w:t>1.02 [0.74; 1.43]</w:t>
            </w:r>
          </w:p>
        </w:tc>
        <w:tc>
          <w:tcPr>
            <w:tcW w:w="732" w:type="pct"/>
            <w:shd w:val="clear"/>
            <w:noWrap/>
            <w:vAlign w:val="center"/>
          </w:tcPr>
          <w:p w14:paraId="2A823008">
            <w:pPr>
              <w:pStyle w:val="24"/>
              <w:bidi w:val="0"/>
              <w:rPr>
                <w:rFonts w:hint="eastAsia"/>
                <w:sz w:val="18"/>
                <w:szCs w:val="18"/>
              </w:rPr>
            </w:pPr>
            <w:r>
              <w:rPr>
                <w:rFonts w:hint="eastAsia"/>
                <w:sz w:val="18"/>
                <w:szCs w:val="18"/>
                <w:lang w:val="en-US" w:eastAsia="zh-CN"/>
              </w:rPr>
              <w:t>-</w:t>
            </w:r>
          </w:p>
        </w:tc>
        <w:tc>
          <w:tcPr>
            <w:tcW w:w="1058" w:type="pct"/>
            <w:shd w:val="clear"/>
            <w:noWrap/>
            <w:vAlign w:val="center"/>
          </w:tcPr>
          <w:p w14:paraId="1F7E7854">
            <w:pPr>
              <w:pStyle w:val="24"/>
              <w:bidi w:val="0"/>
              <w:rPr>
                <w:rFonts w:hint="eastAsia"/>
                <w:sz w:val="18"/>
                <w:szCs w:val="18"/>
              </w:rPr>
            </w:pPr>
            <w:r>
              <w:rPr>
                <w:rFonts w:hint="eastAsia"/>
                <w:sz w:val="18"/>
                <w:szCs w:val="18"/>
                <w:lang w:val="en-US" w:eastAsia="zh-CN"/>
              </w:rPr>
              <w:t>3.09 [2.21; 4.31]</w:t>
            </w:r>
          </w:p>
        </w:tc>
      </w:tr>
      <w:tr w14:paraId="1A831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1BF295BC">
            <w:pPr>
              <w:pStyle w:val="24"/>
              <w:bidi w:val="0"/>
              <w:rPr>
                <w:rFonts w:hint="eastAsia"/>
                <w:sz w:val="18"/>
                <w:szCs w:val="18"/>
              </w:rPr>
            </w:pPr>
            <w:r>
              <w:rPr>
                <w:rFonts w:hint="eastAsia"/>
                <w:sz w:val="18"/>
                <w:szCs w:val="18"/>
                <w:lang w:val="en-US" w:eastAsia="zh-CN"/>
              </w:rPr>
              <w:t>TAS-102+Bevacizumab</w:t>
            </w:r>
          </w:p>
        </w:tc>
        <w:tc>
          <w:tcPr>
            <w:tcW w:w="732" w:type="pct"/>
            <w:shd w:val="clear"/>
            <w:noWrap/>
            <w:vAlign w:val="center"/>
          </w:tcPr>
          <w:p w14:paraId="3C2803C4">
            <w:pPr>
              <w:pStyle w:val="24"/>
              <w:bidi w:val="0"/>
              <w:rPr>
                <w:rFonts w:hint="eastAsia"/>
                <w:sz w:val="18"/>
                <w:szCs w:val="18"/>
              </w:rPr>
            </w:pPr>
            <w:r>
              <w:rPr>
                <w:rFonts w:hint="eastAsia"/>
                <w:sz w:val="18"/>
                <w:szCs w:val="18"/>
                <w:lang w:val="en-US" w:eastAsia="zh-CN"/>
              </w:rPr>
              <w:t>0.16 [0.10; 0.23]</w:t>
            </w:r>
          </w:p>
        </w:tc>
        <w:tc>
          <w:tcPr>
            <w:tcW w:w="732" w:type="pct"/>
            <w:shd w:val="clear"/>
            <w:noWrap/>
            <w:vAlign w:val="center"/>
          </w:tcPr>
          <w:p w14:paraId="29DFF3B9">
            <w:pPr>
              <w:pStyle w:val="24"/>
              <w:bidi w:val="0"/>
              <w:rPr>
                <w:rFonts w:hint="eastAsia"/>
                <w:sz w:val="18"/>
                <w:szCs w:val="18"/>
              </w:rPr>
            </w:pPr>
            <w:r>
              <w:rPr>
                <w:rFonts w:hint="eastAsia"/>
                <w:sz w:val="18"/>
                <w:szCs w:val="18"/>
                <w:lang w:val="en-US" w:eastAsia="zh-CN"/>
              </w:rPr>
              <w:t>0.61 [0.38; 0.97]</w:t>
            </w:r>
          </w:p>
        </w:tc>
        <w:tc>
          <w:tcPr>
            <w:tcW w:w="732" w:type="pct"/>
            <w:shd w:val="clear"/>
            <w:noWrap/>
            <w:vAlign w:val="center"/>
          </w:tcPr>
          <w:p w14:paraId="26C7BC93">
            <w:pPr>
              <w:pStyle w:val="24"/>
              <w:bidi w:val="0"/>
              <w:rPr>
                <w:rFonts w:hint="eastAsia"/>
                <w:sz w:val="18"/>
                <w:szCs w:val="18"/>
              </w:rPr>
            </w:pPr>
            <w:r>
              <w:rPr>
                <w:rFonts w:hint="eastAsia"/>
                <w:sz w:val="18"/>
                <w:szCs w:val="18"/>
                <w:lang w:val="en-US" w:eastAsia="zh-CN"/>
              </w:rPr>
              <w:t>0.33 [0.21; 0.53]</w:t>
            </w:r>
          </w:p>
        </w:tc>
        <w:tc>
          <w:tcPr>
            <w:tcW w:w="732" w:type="pct"/>
            <w:shd w:val="clear"/>
            <w:noWrap/>
            <w:vAlign w:val="center"/>
          </w:tcPr>
          <w:p w14:paraId="080CB1A7">
            <w:pPr>
              <w:pStyle w:val="24"/>
              <w:bidi w:val="0"/>
              <w:rPr>
                <w:rFonts w:hint="eastAsia"/>
                <w:sz w:val="18"/>
                <w:szCs w:val="18"/>
              </w:rPr>
            </w:pPr>
            <w:r>
              <w:rPr>
                <w:rFonts w:hint="eastAsia"/>
                <w:sz w:val="18"/>
                <w:szCs w:val="18"/>
                <w:lang w:val="en-US" w:eastAsia="zh-CN"/>
              </w:rPr>
              <w:t>0.32 [0.23; 0.45]</w:t>
            </w:r>
          </w:p>
        </w:tc>
        <w:tc>
          <w:tcPr>
            <w:tcW w:w="1058" w:type="pct"/>
            <w:shd w:val="clear"/>
            <w:noWrap/>
            <w:vAlign w:val="center"/>
          </w:tcPr>
          <w:p w14:paraId="4C75EC10">
            <w:pPr>
              <w:pStyle w:val="24"/>
              <w:bidi w:val="0"/>
              <w:rPr>
                <w:rFonts w:hint="eastAsia"/>
                <w:sz w:val="18"/>
                <w:szCs w:val="18"/>
              </w:rPr>
            </w:pPr>
            <w:r>
              <w:rPr>
                <w:rFonts w:hint="eastAsia"/>
                <w:sz w:val="18"/>
                <w:szCs w:val="18"/>
                <w:lang w:val="en-US" w:eastAsia="zh-CN"/>
              </w:rPr>
              <w:t>-</w:t>
            </w:r>
          </w:p>
        </w:tc>
      </w:tr>
      <w:tr w14:paraId="0167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5000" w:type="pct"/>
            <w:gridSpan w:val="6"/>
            <w:shd w:val="clear"/>
            <w:noWrap/>
            <w:vAlign w:val="center"/>
          </w:tcPr>
          <w:p w14:paraId="52617F78">
            <w:pPr>
              <w:pStyle w:val="24"/>
              <w:bidi w:val="0"/>
              <w:rPr>
                <w:rFonts w:hint="eastAsia"/>
                <w:sz w:val="18"/>
                <w:szCs w:val="18"/>
              </w:rPr>
            </w:pPr>
            <w:r>
              <w:rPr>
                <w:rFonts w:hint="eastAsia"/>
                <w:sz w:val="18"/>
                <w:szCs w:val="18"/>
                <w:lang w:val="en-US" w:eastAsia="zh-CN"/>
              </w:rPr>
              <w:t>RAS Mutant, OS</w:t>
            </w:r>
          </w:p>
        </w:tc>
      </w:tr>
      <w:tr w14:paraId="71BC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2C9DBCB2">
            <w:pPr>
              <w:pStyle w:val="24"/>
              <w:bidi w:val="0"/>
              <w:rPr>
                <w:rFonts w:hint="eastAsia"/>
                <w:sz w:val="18"/>
                <w:szCs w:val="18"/>
              </w:rPr>
            </w:pPr>
          </w:p>
        </w:tc>
        <w:tc>
          <w:tcPr>
            <w:tcW w:w="732" w:type="pct"/>
            <w:shd w:val="clear"/>
            <w:noWrap/>
            <w:vAlign w:val="center"/>
          </w:tcPr>
          <w:p w14:paraId="3AC53922">
            <w:pPr>
              <w:pStyle w:val="24"/>
              <w:bidi w:val="0"/>
              <w:rPr>
                <w:rFonts w:hint="eastAsia"/>
                <w:sz w:val="18"/>
                <w:szCs w:val="18"/>
              </w:rPr>
            </w:pPr>
            <w:r>
              <w:rPr>
                <w:rFonts w:hint="eastAsia"/>
                <w:sz w:val="18"/>
                <w:szCs w:val="18"/>
                <w:lang w:val="en-US" w:eastAsia="zh-CN"/>
              </w:rPr>
              <w:t>BSC</w:t>
            </w:r>
          </w:p>
        </w:tc>
        <w:tc>
          <w:tcPr>
            <w:tcW w:w="732" w:type="pct"/>
            <w:shd w:val="clear"/>
            <w:noWrap/>
            <w:vAlign w:val="center"/>
          </w:tcPr>
          <w:p w14:paraId="66A7FB2B">
            <w:pPr>
              <w:pStyle w:val="24"/>
              <w:bidi w:val="0"/>
              <w:rPr>
                <w:rFonts w:hint="eastAsia"/>
                <w:sz w:val="18"/>
                <w:szCs w:val="18"/>
              </w:rPr>
            </w:pPr>
            <w:r>
              <w:rPr>
                <w:rFonts w:hint="eastAsia"/>
                <w:sz w:val="18"/>
                <w:szCs w:val="18"/>
                <w:lang w:val="en-US" w:eastAsia="zh-CN"/>
              </w:rPr>
              <w:t>Fruquintinib</w:t>
            </w:r>
          </w:p>
        </w:tc>
        <w:tc>
          <w:tcPr>
            <w:tcW w:w="732" w:type="pct"/>
            <w:shd w:val="clear"/>
            <w:noWrap/>
            <w:vAlign w:val="center"/>
          </w:tcPr>
          <w:p w14:paraId="116ADC1D">
            <w:pPr>
              <w:pStyle w:val="24"/>
              <w:bidi w:val="0"/>
              <w:rPr>
                <w:rFonts w:hint="eastAsia"/>
                <w:sz w:val="18"/>
                <w:szCs w:val="18"/>
              </w:rPr>
            </w:pPr>
            <w:r>
              <w:rPr>
                <w:rFonts w:hint="eastAsia"/>
                <w:sz w:val="18"/>
                <w:szCs w:val="18"/>
                <w:lang w:val="en-US" w:eastAsia="zh-CN"/>
              </w:rPr>
              <w:t>Regorafenib</w:t>
            </w:r>
          </w:p>
        </w:tc>
        <w:tc>
          <w:tcPr>
            <w:tcW w:w="732" w:type="pct"/>
            <w:shd w:val="clear"/>
            <w:noWrap/>
            <w:vAlign w:val="center"/>
          </w:tcPr>
          <w:p w14:paraId="5B56FA8D">
            <w:pPr>
              <w:pStyle w:val="24"/>
              <w:bidi w:val="0"/>
              <w:rPr>
                <w:rFonts w:hint="eastAsia"/>
                <w:sz w:val="18"/>
                <w:szCs w:val="18"/>
              </w:rPr>
            </w:pPr>
            <w:r>
              <w:rPr>
                <w:rFonts w:hint="eastAsia"/>
                <w:sz w:val="18"/>
                <w:szCs w:val="18"/>
                <w:lang w:val="en-US" w:eastAsia="zh-CN"/>
              </w:rPr>
              <w:t>TAS-102</w:t>
            </w:r>
          </w:p>
        </w:tc>
        <w:tc>
          <w:tcPr>
            <w:tcW w:w="1058" w:type="pct"/>
            <w:shd w:val="clear"/>
            <w:noWrap/>
            <w:vAlign w:val="center"/>
          </w:tcPr>
          <w:p w14:paraId="609F00A7">
            <w:pPr>
              <w:pStyle w:val="24"/>
              <w:bidi w:val="0"/>
              <w:rPr>
                <w:rFonts w:hint="eastAsia"/>
                <w:sz w:val="18"/>
                <w:szCs w:val="18"/>
              </w:rPr>
            </w:pPr>
            <w:r>
              <w:rPr>
                <w:rFonts w:hint="eastAsia"/>
                <w:sz w:val="18"/>
                <w:szCs w:val="18"/>
                <w:lang w:val="en-US" w:eastAsia="zh-CN"/>
              </w:rPr>
              <w:t>TAS-102 + Bevacizumab</w:t>
            </w:r>
          </w:p>
        </w:tc>
      </w:tr>
      <w:tr w14:paraId="23EC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72748BE4">
            <w:pPr>
              <w:pStyle w:val="24"/>
              <w:bidi w:val="0"/>
              <w:rPr>
                <w:rFonts w:hint="eastAsia"/>
                <w:sz w:val="18"/>
                <w:szCs w:val="18"/>
              </w:rPr>
            </w:pPr>
            <w:r>
              <w:rPr>
                <w:rFonts w:hint="eastAsia"/>
                <w:sz w:val="18"/>
                <w:szCs w:val="18"/>
                <w:lang w:val="en-US" w:eastAsia="zh-CN"/>
              </w:rPr>
              <w:t>BSC</w:t>
            </w:r>
          </w:p>
        </w:tc>
        <w:tc>
          <w:tcPr>
            <w:tcW w:w="732" w:type="pct"/>
            <w:shd w:val="clear"/>
            <w:noWrap/>
            <w:vAlign w:val="center"/>
          </w:tcPr>
          <w:p w14:paraId="3EFCE65E">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2B620092">
            <w:pPr>
              <w:pStyle w:val="24"/>
              <w:bidi w:val="0"/>
              <w:rPr>
                <w:rFonts w:hint="eastAsia"/>
                <w:sz w:val="18"/>
                <w:szCs w:val="18"/>
              </w:rPr>
            </w:pPr>
            <w:r>
              <w:rPr>
                <w:rFonts w:hint="eastAsia"/>
                <w:sz w:val="18"/>
                <w:szCs w:val="18"/>
                <w:lang w:val="en-US" w:eastAsia="zh-CN"/>
              </w:rPr>
              <w:t>1.42 [1.17; 1.73]</w:t>
            </w:r>
          </w:p>
        </w:tc>
        <w:tc>
          <w:tcPr>
            <w:tcW w:w="732" w:type="pct"/>
            <w:shd w:val="clear"/>
            <w:noWrap/>
            <w:vAlign w:val="center"/>
          </w:tcPr>
          <w:p w14:paraId="1E821EC2">
            <w:pPr>
              <w:pStyle w:val="24"/>
              <w:bidi w:val="0"/>
              <w:rPr>
                <w:rFonts w:hint="eastAsia"/>
                <w:sz w:val="18"/>
                <w:szCs w:val="18"/>
              </w:rPr>
            </w:pPr>
            <w:r>
              <w:rPr>
                <w:rFonts w:hint="eastAsia"/>
                <w:sz w:val="18"/>
                <w:szCs w:val="18"/>
                <w:lang w:val="en-US" w:eastAsia="zh-CN"/>
              </w:rPr>
              <w:t>1.21 [0.95; 1.52]</w:t>
            </w:r>
          </w:p>
        </w:tc>
        <w:tc>
          <w:tcPr>
            <w:tcW w:w="732" w:type="pct"/>
            <w:shd w:val="clear"/>
            <w:noWrap/>
            <w:vAlign w:val="center"/>
          </w:tcPr>
          <w:p w14:paraId="6176C560">
            <w:pPr>
              <w:pStyle w:val="24"/>
              <w:bidi w:val="0"/>
              <w:rPr>
                <w:rFonts w:hint="eastAsia"/>
                <w:sz w:val="18"/>
                <w:szCs w:val="18"/>
              </w:rPr>
            </w:pPr>
            <w:r>
              <w:rPr>
                <w:rFonts w:hint="eastAsia"/>
                <w:sz w:val="18"/>
                <w:szCs w:val="18"/>
                <w:lang w:val="en-US" w:eastAsia="zh-CN"/>
              </w:rPr>
              <w:t>1.24 [1.01; 1.51]</w:t>
            </w:r>
          </w:p>
        </w:tc>
        <w:tc>
          <w:tcPr>
            <w:tcW w:w="1058" w:type="pct"/>
            <w:shd w:val="clear"/>
            <w:noWrap/>
            <w:vAlign w:val="center"/>
          </w:tcPr>
          <w:p w14:paraId="163B2A8B">
            <w:pPr>
              <w:pStyle w:val="24"/>
              <w:bidi w:val="0"/>
              <w:rPr>
                <w:rFonts w:hint="eastAsia"/>
                <w:sz w:val="18"/>
                <w:szCs w:val="18"/>
              </w:rPr>
            </w:pPr>
            <w:r>
              <w:rPr>
                <w:rFonts w:hint="eastAsia"/>
                <w:sz w:val="18"/>
                <w:szCs w:val="18"/>
                <w:lang w:val="en-US" w:eastAsia="zh-CN"/>
              </w:rPr>
              <w:t>2.11 [1.54; 2.91]</w:t>
            </w:r>
          </w:p>
        </w:tc>
      </w:tr>
      <w:tr w14:paraId="2484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3B364BBC">
            <w:pPr>
              <w:pStyle w:val="24"/>
              <w:bidi w:val="0"/>
              <w:rPr>
                <w:rFonts w:hint="eastAsia"/>
                <w:sz w:val="18"/>
                <w:szCs w:val="18"/>
              </w:rPr>
            </w:pPr>
            <w:r>
              <w:rPr>
                <w:rFonts w:hint="eastAsia"/>
                <w:sz w:val="18"/>
                <w:szCs w:val="18"/>
                <w:lang w:val="en-US" w:eastAsia="zh-CN"/>
              </w:rPr>
              <w:t>Fruquintinib</w:t>
            </w:r>
          </w:p>
        </w:tc>
        <w:tc>
          <w:tcPr>
            <w:tcW w:w="732" w:type="pct"/>
            <w:shd w:val="clear"/>
            <w:noWrap/>
            <w:vAlign w:val="center"/>
          </w:tcPr>
          <w:p w14:paraId="33E4765E">
            <w:pPr>
              <w:pStyle w:val="24"/>
              <w:bidi w:val="0"/>
              <w:rPr>
                <w:rFonts w:hint="eastAsia"/>
                <w:sz w:val="18"/>
                <w:szCs w:val="18"/>
              </w:rPr>
            </w:pPr>
            <w:r>
              <w:rPr>
                <w:rFonts w:hint="eastAsia"/>
                <w:sz w:val="18"/>
                <w:szCs w:val="18"/>
                <w:lang w:val="en-US" w:eastAsia="zh-CN"/>
              </w:rPr>
              <w:t>0.70 [0.58; 0.85]</w:t>
            </w:r>
          </w:p>
        </w:tc>
        <w:tc>
          <w:tcPr>
            <w:tcW w:w="732" w:type="pct"/>
            <w:shd w:val="clear"/>
            <w:noWrap/>
            <w:vAlign w:val="center"/>
          </w:tcPr>
          <w:p w14:paraId="367745D2">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0084FF5B">
            <w:pPr>
              <w:pStyle w:val="24"/>
              <w:bidi w:val="0"/>
              <w:rPr>
                <w:rFonts w:hint="eastAsia"/>
                <w:sz w:val="18"/>
                <w:szCs w:val="18"/>
              </w:rPr>
            </w:pPr>
            <w:r>
              <w:rPr>
                <w:rFonts w:hint="eastAsia"/>
                <w:sz w:val="18"/>
                <w:szCs w:val="18"/>
                <w:lang w:val="en-US" w:eastAsia="zh-CN"/>
              </w:rPr>
              <w:t>0.85 [0.62; 1.15]</w:t>
            </w:r>
          </w:p>
        </w:tc>
        <w:tc>
          <w:tcPr>
            <w:tcW w:w="732" w:type="pct"/>
            <w:shd w:val="clear"/>
            <w:noWrap/>
            <w:vAlign w:val="center"/>
          </w:tcPr>
          <w:p w14:paraId="18C0FDBD">
            <w:pPr>
              <w:pStyle w:val="24"/>
              <w:bidi w:val="0"/>
              <w:rPr>
                <w:rFonts w:hint="eastAsia"/>
                <w:sz w:val="18"/>
                <w:szCs w:val="18"/>
              </w:rPr>
            </w:pPr>
            <w:r>
              <w:rPr>
                <w:rFonts w:hint="eastAsia"/>
                <w:sz w:val="18"/>
                <w:szCs w:val="18"/>
                <w:lang w:val="en-US" w:eastAsia="zh-CN"/>
              </w:rPr>
              <w:t>0.87 [0.66; 1.15]</w:t>
            </w:r>
          </w:p>
        </w:tc>
        <w:tc>
          <w:tcPr>
            <w:tcW w:w="1058" w:type="pct"/>
            <w:shd w:val="clear"/>
            <w:noWrap/>
            <w:vAlign w:val="center"/>
          </w:tcPr>
          <w:p w14:paraId="5B3708D0">
            <w:pPr>
              <w:pStyle w:val="24"/>
              <w:bidi w:val="0"/>
              <w:rPr>
                <w:rFonts w:hint="eastAsia"/>
                <w:sz w:val="18"/>
                <w:szCs w:val="18"/>
              </w:rPr>
            </w:pPr>
            <w:r>
              <w:rPr>
                <w:rFonts w:hint="eastAsia"/>
                <w:sz w:val="18"/>
                <w:szCs w:val="18"/>
                <w:lang w:val="en-US" w:eastAsia="zh-CN"/>
              </w:rPr>
              <w:t>1.49 [1.02; 2.16]</w:t>
            </w:r>
          </w:p>
        </w:tc>
      </w:tr>
      <w:tr w14:paraId="7C8F4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2D0497AF">
            <w:pPr>
              <w:pStyle w:val="24"/>
              <w:bidi w:val="0"/>
              <w:rPr>
                <w:rFonts w:hint="eastAsia"/>
                <w:sz w:val="18"/>
                <w:szCs w:val="18"/>
              </w:rPr>
            </w:pPr>
            <w:r>
              <w:rPr>
                <w:rFonts w:hint="eastAsia"/>
                <w:sz w:val="18"/>
                <w:szCs w:val="18"/>
                <w:lang w:val="en-US" w:eastAsia="zh-CN"/>
              </w:rPr>
              <w:t>Regorafenib</w:t>
            </w:r>
          </w:p>
        </w:tc>
        <w:tc>
          <w:tcPr>
            <w:tcW w:w="732" w:type="pct"/>
            <w:shd w:val="clear"/>
            <w:noWrap/>
            <w:vAlign w:val="center"/>
          </w:tcPr>
          <w:p w14:paraId="050A007B">
            <w:pPr>
              <w:pStyle w:val="24"/>
              <w:bidi w:val="0"/>
              <w:rPr>
                <w:rFonts w:hint="eastAsia"/>
                <w:sz w:val="18"/>
                <w:szCs w:val="18"/>
              </w:rPr>
            </w:pPr>
            <w:r>
              <w:rPr>
                <w:rFonts w:hint="eastAsia"/>
                <w:sz w:val="18"/>
                <w:szCs w:val="18"/>
                <w:lang w:val="en-US" w:eastAsia="zh-CN"/>
              </w:rPr>
              <w:t>0.83 [0.66; 1.05]</w:t>
            </w:r>
          </w:p>
        </w:tc>
        <w:tc>
          <w:tcPr>
            <w:tcW w:w="732" w:type="pct"/>
            <w:shd w:val="clear"/>
            <w:noWrap/>
            <w:vAlign w:val="center"/>
          </w:tcPr>
          <w:p w14:paraId="491F92DC">
            <w:pPr>
              <w:pStyle w:val="24"/>
              <w:bidi w:val="0"/>
              <w:rPr>
                <w:rFonts w:hint="eastAsia"/>
                <w:sz w:val="18"/>
                <w:szCs w:val="18"/>
              </w:rPr>
            </w:pPr>
            <w:r>
              <w:rPr>
                <w:rFonts w:hint="eastAsia"/>
                <w:sz w:val="18"/>
                <w:szCs w:val="18"/>
                <w:lang w:val="en-US" w:eastAsia="zh-CN"/>
              </w:rPr>
              <w:t>1.18 [0.87; 1.61]</w:t>
            </w:r>
          </w:p>
        </w:tc>
        <w:tc>
          <w:tcPr>
            <w:tcW w:w="732" w:type="pct"/>
            <w:shd w:val="clear"/>
            <w:noWrap/>
            <w:vAlign w:val="center"/>
          </w:tcPr>
          <w:p w14:paraId="4265E26F">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7447B65F">
            <w:pPr>
              <w:pStyle w:val="24"/>
              <w:bidi w:val="0"/>
              <w:rPr>
                <w:rFonts w:hint="eastAsia"/>
                <w:sz w:val="18"/>
                <w:szCs w:val="18"/>
              </w:rPr>
            </w:pPr>
            <w:r>
              <w:rPr>
                <w:rFonts w:hint="eastAsia"/>
                <w:sz w:val="18"/>
                <w:szCs w:val="18"/>
                <w:lang w:val="en-US" w:eastAsia="zh-CN"/>
              </w:rPr>
              <w:t>1.03 [0.75; 1.40]</w:t>
            </w:r>
          </w:p>
        </w:tc>
        <w:tc>
          <w:tcPr>
            <w:tcW w:w="1058" w:type="pct"/>
            <w:shd w:val="clear"/>
            <w:noWrap/>
            <w:vAlign w:val="center"/>
          </w:tcPr>
          <w:p w14:paraId="00352D06">
            <w:pPr>
              <w:pStyle w:val="24"/>
              <w:bidi w:val="0"/>
              <w:rPr>
                <w:rFonts w:hint="eastAsia"/>
                <w:sz w:val="18"/>
                <w:szCs w:val="18"/>
              </w:rPr>
            </w:pPr>
            <w:r>
              <w:rPr>
                <w:rFonts w:hint="eastAsia"/>
                <w:sz w:val="18"/>
                <w:szCs w:val="18"/>
                <w:lang w:val="en-US" w:eastAsia="zh-CN"/>
              </w:rPr>
              <w:t>1.75 [1.18; 2.60]</w:t>
            </w:r>
          </w:p>
        </w:tc>
      </w:tr>
      <w:tr w14:paraId="1FF03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7A254B74">
            <w:pPr>
              <w:pStyle w:val="24"/>
              <w:bidi w:val="0"/>
              <w:rPr>
                <w:rFonts w:hint="eastAsia"/>
                <w:sz w:val="18"/>
                <w:szCs w:val="18"/>
              </w:rPr>
            </w:pPr>
            <w:r>
              <w:rPr>
                <w:rFonts w:hint="eastAsia"/>
                <w:sz w:val="18"/>
                <w:szCs w:val="18"/>
                <w:lang w:val="en-US" w:eastAsia="zh-CN"/>
              </w:rPr>
              <w:t>TAS-102</w:t>
            </w:r>
          </w:p>
        </w:tc>
        <w:tc>
          <w:tcPr>
            <w:tcW w:w="732" w:type="pct"/>
            <w:shd w:val="clear"/>
            <w:noWrap/>
            <w:vAlign w:val="center"/>
          </w:tcPr>
          <w:p w14:paraId="4898B8D6">
            <w:pPr>
              <w:pStyle w:val="24"/>
              <w:bidi w:val="0"/>
              <w:rPr>
                <w:rFonts w:hint="eastAsia"/>
                <w:sz w:val="18"/>
                <w:szCs w:val="18"/>
              </w:rPr>
            </w:pPr>
            <w:r>
              <w:rPr>
                <w:rFonts w:hint="eastAsia"/>
                <w:sz w:val="18"/>
                <w:szCs w:val="18"/>
                <w:lang w:val="en-US" w:eastAsia="zh-CN"/>
              </w:rPr>
              <w:t>0.81 [0.66; 0.99]</w:t>
            </w:r>
          </w:p>
        </w:tc>
        <w:tc>
          <w:tcPr>
            <w:tcW w:w="732" w:type="pct"/>
            <w:shd w:val="clear"/>
            <w:noWrap/>
            <w:vAlign w:val="center"/>
          </w:tcPr>
          <w:p w14:paraId="6D75DD74">
            <w:pPr>
              <w:pStyle w:val="24"/>
              <w:bidi w:val="0"/>
              <w:rPr>
                <w:rFonts w:hint="eastAsia"/>
                <w:sz w:val="18"/>
                <w:szCs w:val="18"/>
              </w:rPr>
            </w:pPr>
            <w:r>
              <w:rPr>
                <w:rFonts w:hint="eastAsia"/>
                <w:sz w:val="18"/>
                <w:szCs w:val="18"/>
                <w:lang w:val="en-US" w:eastAsia="zh-CN"/>
              </w:rPr>
              <w:t>1.15 [0.87; 1.52]</w:t>
            </w:r>
          </w:p>
        </w:tc>
        <w:tc>
          <w:tcPr>
            <w:tcW w:w="732" w:type="pct"/>
            <w:shd w:val="clear"/>
            <w:noWrap/>
            <w:vAlign w:val="center"/>
          </w:tcPr>
          <w:p w14:paraId="65360F99">
            <w:pPr>
              <w:pStyle w:val="24"/>
              <w:bidi w:val="0"/>
              <w:rPr>
                <w:rFonts w:hint="eastAsia"/>
                <w:sz w:val="18"/>
                <w:szCs w:val="18"/>
              </w:rPr>
            </w:pPr>
            <w:r>
              <w:rPr>
                <w:rFonts w:hint="eastAsia"/>
                <w:sz w:val="18"/>
                <w:szCs w:val="18"/>
                <w:lang w:val="en-US" w:eastAsia="zh-CN"/>
              </w:rPr>
              <w:t>0.97 [0.71; 1.33]</w:t>
            </w:r>
          </w:p>
        </w:tc>
        <w:tc>
          <w:tcPr>
            <w:tcW w:w="732" w:type="pct"/>
            <w:shd w:val="clear"/>
            <w:noWrap/>
            <w:vAlign w:val="center"/>
          </w:tcPr>
          <w:p w14:paraId="0AA479FA">
            <w:pPr>
              <w:pStyle w:val="24"/>
              <w:bidi w:val="0"/>
              <w:rPr>
                <w:rFonts w:hint="eastAsia"/>
                <w:sz w:val="18"/>
                <w:szCs w:val="18"/>
              </w:rPr>
            </w:pPr>
            <w:r>
              <w:rPr>
                <w:rFonts w:hint="eastAsia"/>
                <w:sz w:val="18"/>
                <w:szCs w:val="18"/>
                <w:lang w:val="en-US" w:eastAsia="zh-CN"/>
              </w:rPr>
              <w:t>-</w:t>
            </w:r>
          </w:p>
        </w:tc>
        <w:tc>
          <w:tcPr>
            <w:tcW w:w="1058" w:type="pct"/>
            <w:shd w:val="clear"/>
            <w:noWrap/>
            <w:vAlign w:val="center"/>
          </w:tcPr>
          <w:p w14:paraId="3E434FF2">
            <w:pPr>
              <w:pStyle w:val="24"/>
              <w:bidi w:val="0"/>
              <w:rPr>
                <w:rFonts w:hint="eastAsia"/>
                <w:sz w:val="18"/>
                <w:szCs w:val="18"/>
              </w:rPr>
            </w:pPr>
            <w:r>
              <w:rPr>
                <w:rFonts w:hint="eastAsia"/>
                <w:sz w:val="18"/>
                <w:szCs w:val="18"/>
                <w:lang w:val="en-US" w:eastAsia="zh-CN"/>
              </w:rPr>
              <w:t>1.71 [1.34; 2.19]</w:t>
            </w:r>
          </w:p>
        </w:tc>
      </w:tr>
      <w:tr w14:paraId="6BED3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121F253A">
            <w:pPr>
              <w:pStyle w:val="24"/>
              <w:bidi w:val="0"/>
              <w:rPr>
                <w:rFonts w:hint="eastAsia"/>
                <w:sz w:val="18"/>
                <w:szCs w:val="18"/>
              </w:rPr>
            </w:pPr>
            <w:r>
              <w:rPr>
                <w:rFonts w:hint="eastAsia"/>
                <w:sz w:val="18"/>
                <w:szCs w:val="18"/>
                <w:lang w:val="en-US" w:eastAsia="zh-CN"/>
              </w:rPr>
              <w:t>TAS-102+Bevacizumab</w:t>
            </w:r>
          </w:p>
        </w:tc>
        <w:tc>
          <w:tcPr>
            <w:tcW w:w="732" w:type="pct"/>
            <w:shd w:val="clear"/>
            <w:noWrap/>
            <w:vAlign w:val="center"/>
          </w:tcPr>
          <w:p w14:paraId="23910F64">
            <w:pPr>
              <w:pStyle w:val="24"/>
              <w:bidi w:val="0"/>
              <w:rPr>
                <w:rFonts w:hint="eastAsia"/>
                <w:sz w:val="18"/>
                <w:szCs w:val="18"/>
              </w:rPr>
            </w:pPr>
            <w:r>
              <w:rPr>
                <w:rFonts w:hint="eastAsia"/>
                <w:sz w:val="18"/>
                <w:szCs w:val="18"/>
                <w:lang w:val="en-US" w:eastAsia="zh-CN"/>
              </w:rPr>
              <w:t>0.47 [0.34; 0.65]</w:t>
            </w:r>
          </w:p>
        </w:tc>
        <w:tc>
          <w:tcPr>
            <w:tcW w:w="732" w:type="pct"/>
            <w:shd w:val="clear"/>
            <w:noWrap/>
            <w:vAlign w:val="center"/>
          </w:tcPr>
          <w:p w14:paraId="482EAB5C">
            <w:pPr>
              <w:pStyle w:val="24"/>
              <w:bidi w:val="0"/>
              <w:rPr>
                <w:rFonts w:hint="eastAsia"/>
                <w:sz w:val="18"/>
                <w:szCs w:val="18"/>
              </w:rPr>
            </w:pPr>
            <w:r>
              <w:rPr>
                <w:rFonts w:hint="eastAsia"/>
                <w:sz w:val="18"/>
                <w:szCs w:val="18"/>
                <w:lang w:val="en-US" w:eastAsia="zh-CN"/>
              </w:rPr>
              <w:t>0.67 [0.46; 0.98]</w:t>
            </w:r>
          </w:p>
        </w:tc>
        <w:tc>
          <w:tcPr>
            <w:tcW w:w="732" w:type="pct"/>
            <w:shd w:val="clear"/>
            <w:noWrap/>
            <w:vAlign w:val="center"/>
          </w:tcPr>
          <w:p w14:paraId="4193C45B">
            <w:pPr>
              <w:pStyle w:val="24"/>
              <w:bidi w:val="0"/>
              <w:rPr>
                <w:rFonts w:hint="eastAsia"/>
                <w:sz w:val="18"/>
                <w:szCs w:val="18"/>
              </w:rPr>
            </w:pPr>
            <w:r>
              <w:rPr>
                <w:rFonts w:hint="eastAsia"/>
                <w:sz w:val="18"/>
                <w:szCs w:val="18"/>
                <w:lang w:val="en-US" w:eastAsia="zh-CN"/>
              </w:rPr>
              <w:t>0.57 [0.38; 0.85]</w:t>
            </w:r>
          </w:p>
        </w:tc>
        <w:tc>
          <w:tcPr>
            <w:tcW w:w="732" w:type="pct"/>
            <w:shd w:val="clear"/>
            <w:noWrap/>
            <w:vAlign w:val="center"/>
          </w:tcPr>
          <w:p w14:paraId="190FAC42">
            <w:pPr>
              <w:pStyle w:val="24"/>
              <w:bidi w:val="0"/>
              <w:rPr>
                <w:rFonts w:hint="eastAsia"/>
                <w:sz w:val="18"/>
                <w:szCs w:val="18"/>
              </w:rPr>
            </w:pPr>
            <w:r>
              <w:rPr>
                <w:rFonts w:hint="eastAsia"/>
                <w:sz w:val="18"/>
                <w:szCs w:val="18"/>
                <w:lang w:val="en-US" w:eastAsia="zh-CN"/>
              </w:rPr>
              <w:t>0.58 [0.46; 0.75]</w:t>
            </w:r>
          </w:p>
        </w:tc>
        <w:tc>
          <w:tcPr>
            <w:tcW w:w="1058" w:type="pct"/>
            <w:shd w:val="clear"/>
            <w:noWrap/>
            <w:vAlign w:val="center"/>
          </w:tcPr>
          <w:p w14:paraId="1BC60A9A">
            <w:pPr>
              <w:pStyle w:val="24"/>
              <w:bidi w:val="0"/>
              <w:rPr>
                <w:rFonts w:hint="eastAsia"/>
                <w:sz w:val="18"/>
                <w:szCs w:val="18"/>
              </w:rPr>
            </w:pPr>
            <w:r>
              <w:rPr>
                <w:rFonts w:hint="eastAsia"/>
                <w:sz w:val="18"/>
                <w:szCs w:val="18"/>
                <w:lang w:val="en-US" w:eastAsia="zh-CN"/>
              </w:rPr>
              <w:t>-</w:t>
            </w:r>
          </w:p>
        </w:tc>
      </w:tr>
      <w:tr w14:paraId="066EB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000" w:type="pct"/>
            <w:gridSpan w:val="6"/>
            <w:shd w:val="clear"/>
            <w:noWrap/>
            <w:vAlign w:val="center"/>
          </w:tcPr>
          <w:p w14:paraId="54595F7E">
            <w:pPr>
              <w:pStyle w:val="24"/>
              <w:bidi w:val="0"/>
              <w:rPr>
                <w:rFonts w:hint="eastAsia"/>
                <w:sz w:val="18"/>
                <w:szCs w:val="18"/>
              </w:rPr>
            </w:pPr>
            <w:r>
              <w:rPr>
                <w:rFonts w:hint="eastAsia"/>
                <w:sz w:val="18"/>
                <w:szCs w:val="18"/>
                <w:lang w:val="en-US" w:eastAsia="zh-CN"/>
              </w:rPr>
              <w:t>RAS Mutant, PFS</w:t>
            </w:r>
          </w:p>
        </w:tc>
      </w:tr>
      <w:tr w14:paraId="6270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1011" w:type="pct"/>
            <w:shd w:val="clear"/>
            <w:noWrap/>
            <w:vAlign w:val="center"/>
          </w:tcPr>
          <w:p w14:paraId="0C0497BE">
            <w:pPr>
              <w:pStyle w:val="24"/>
              <w:bidi w:val="0"/>
              <w:rPr>
                <w:rFonts w:hint="eastAsia"/>
                <w:sz w:val="18"/>
                <w:szCs w:val="18"/>
              </w:rPr>
            </w:pPr>
          </w:p>
        </w:tc>
        <w:tc>
          <w:tcPr>
            <w:tcW w:w="732" w:type="pct"/>
            <w:shd w:val="clear"/>
            <w:noWrap/>
            <w:vAlign w:val="center"/>
          </w:tcPr>
          <w:p w14:paraId="4E6123F3">
            <w:pPr>
              <w:pStyle w:val="24"/>
              <w:bidi w:val="0"/>
              <w:rPr>
                <w:rFonts w:hint="eastAsia"/>
                <w:sz w:val="18"/>
                <w:szCs w:val="18"/>
              </w:rPr>
            </w:pPr>
            <w:r>
              <w:rPr>
                <w:rFonts w:hint="eastAsia"/>
                <w:sz w:val="18"/>
                <w:szCs w:val="18"/>
                <w:lang w:val="en-US" w:eastAsia="zh-CN"/>
              </w:rPr>
              <w:t>BSC</w:t>
            </w:r>
          </w:p>
        </w:tc>
        <w:tc>
          <w:tcPr>
            <w:tcW w:w="732" w:type="pct"/>
            <w:shd w:val="clear"/>
            <w:noWrap/>
            <w:vAlign w:val="center"/>
          </w:tcPr>
          <w:p w14:paraId="5B906E11">
            <w:pPr>
              <w:pStyle w:val="24"/>
              <w:bidi w:val="0"/>
              <w:rPr>
                <w:rFonts w:hint="eastAsia"/>
                <w:sz w:val="18"/>
                <w:szCs w:val="18"/>
              </w:rPr>
            </w:pPr>
            <w:r>
              <w:rPr>
                <w:rFonts w:hint="eastAsia"/>
                <w:sz w:val="18"/>
                <w:szCs w:val="18"/>
                <w:lang w:val="en-US" w:eastAsia="zh-CN"/>
              </w:rPr>
              <w:t>Fruquintinib</w:t>
            </w:r>
          </w:p>
        </w:tc>
        <w:tc>
          <w:tcPr>
            <w:tcW w:w="732" w:type="pct"/>
            <w:shd w:val="clear"/>
            <w:noWrap/>
            <w:vAlign w:val="center"/>
          </w:tcPr>
          <w:p w14:paraId="62EC657F">
            <w:pPr>
              <w:pStyle w:val="24"/>
              <w:bidi w:val="0"/>
              <w:rPr>
                <w:rFonts w:hint="eastAsia"/>
                <w:sz w:val="18"/>
                <w:szCs w:val="18"/>
              </w:rPr>
            </w:pPr>
            <w:r>
              <w:rPr>
                <w:rFonts w:hint="eastAsia"/>
                <w:sz w:val="18"/>
                <w:szCs w:val="18"/>
                <w:lang w:val="en-US" w:eastAsia="zh-CN"/>
              </w:rPr>
              <w:t>Regorafenib</w:t>
            </w:r>
          </w:p>
        </w:tc>
        <w:tc>
          <w:tcPr>
            <w:tcW w:w="732" w:type="pct"/>
            <w:shd w:val="clear"/>
            <w:noWrap/>
            <w:vAlign w:val="center"/>
          </w:tcPr>
          <w:p w14:paraId="7363A488">
            <w:pPr>
              <w:pStyle w:val="24"/>
              <w:bidi w:val="0"/>
              <w:rPr>
                <w:rFonts w:hint="eastAsia"/>
                <w:sz w:val="18"/>
                <w:szCs w:val="18"/>
              </w:rPr>
            </w:pPr>
            <w:r>
              <w:rPr>
                <w:rFonts w:hint="eastAsia"/>
                <w:sz w:val="18"/>
                <w:szCs w:val="18"/>
                <w:lang w:val="en-US" w:eastAsia="zh-CN"/>
              </w:rPr>
              <w:t>TAS-102</w:t>
            </w:r>
          </w:p>
        </w:tc>
        <w:tc>
          <w:tcPr>
            <w:tcW w:w="1058" w:type="pct"/>
            <w:shd w:val="clear"/>
            <w:noWrap/>
            <w:vAlign w:val="center"/>
          </w:tcPr>
          <w:p w14:paraId="1D6DD14F">
            <w:pPr>
              <w:pStyle w:val="24"/>
              <w:bidi w:val="0"/>
              <w:rPr>
                <w:rFonts w:hint="eastAsia"/>
                <w:sz w:val="18"/>
                <w:szCs w:val="18"/>
              </w:rPr>
            </w:pPr>
            <w:r>
              <w:rPr>
                <w:rFonts w:hint="eastAsia"/>
                <w:sz w:val="18"/>
                <w:szCs w:val="18"/>
                <w:lang w:val="en-US" w:eastAsia="zh-CN"/>
              </w:rPr>
              <w:t>TAS-102 + Bevacizumab</w:t>
            </w:r>
          </w:p>
        </w:tc>
      </w:tr>
      <w:tr w14:paraId="1250C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1011" w:type="pct"/>
            <w:shd w:val="clear"/>
            <w:noWrap/>
            <w:vAlign w:val="center"/>
          </w:tcPr>
          <w:p w14:paraId="5DD61DB1">
            <w:pPr>
              <w:pStyle w:val="24"/>
              <w:bidi w:val="0"/>
              <w:rPr>
                <w:rFonts w:hint="eastAsia"/>
                <w:sz w:val="18"/>
                <w:szCs w:val="18"/>
              </w:rPr>
            </w:pPr>
            <w:r>
              <w:rPr>
                <w:rFonts w:hint="eastAsia"/>
                <w:sz w:val="18"/>
                <w:szCs w:val="18"/>
                <w:lang w:val="en-US" w:eastAsia="zh-CN"/>
              </w:rPr>
              <w:t>BSC</w:t>
            </w:r>
          </w:p>
        </w:tc>
        <w:tc>
          <w:tcPr>
            <w:tcW w:w="732" w:type="pct"/>
            <w:shd w:val="clear"/>
            <w:noWrap/>
            <w:vAlign w:val="center"/>
          </w:tcPr>
          <w:p w14:paraId="418B69E7">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3CF838A8">
            <w:pPr>
              <w:pStyle w:val="24"/>
              <w:bidi w:val="0"/>
              <w:rPr>
                <w:rFonts w:hint="eastAsia"/>
                <w:sz w:val="18"/>
                <w:szCs w:val="18"/>
              </w:rPr>
            </w:pPr>
            <w:r>
              <w:rPr>
                <w:rFonts w:hint="eastAsia"/>
                <w:sz w:val="18"/>
                <w:szCs w:val="18"/>
                <w:lang w:val="en-US" w:eastAsia="zh-CN"/>
              </w:rPr>
              <w:t>3.02 [2.51; 3.64]</w:t>
            </w:r>
          </w:p>
        </w:tc>
        <w:tc>
          <w:tcPr>
            <w:tcW w:w="732" w:type="pct"/>
            <w:shd w:val="clear"/>
            <w:noWrap/>
            <w:vAlign w:val="center"/>
          </w:tcPr>
          <w:p w14:paraId="0DD4C212">
            <w:pPr>
              <w:pStyle w:val="24"/>
              <w:bidi w:val="0"/>
              <w:rPr>
                <w:rFonts w:hint="eastAsia"/>
                <w:sz w:val="18"/>
                <w:szCs w:val="18"/>
              </w:rPr>
            </w:pPr>
            <w:r>
              <w:rPr>
                <w:rFonts w:hint="eastAsia"/>
                <w:sz w:val="18"/>
                <w:szCs w:val="18"/>
                <w:lang w:val="en-US" w:eastAsia="zh-CN"/>
              </w:rPr>
              <w:t>2.11 [1.73; 2.57]</w:t>
            </w:r>
          </w:p>
        </w:tc>
        <w:tc>
          <w:tcPr>
            <w:tcW w:w="732" w:type="pct"/>
            <w:shd w:val="clear"/>
            <w:noWrap/>
            <w:vAlign w:val="center"/>
          </w:tcPr>
          <w:p w14:paraId="37BBFE98">
            <w:pPr>
              <w:pStyle w:val="24"/>
              <w:bidi w:val="0"/>
              <w:rPr>
                <w:rFonts w:hint="eastAsia"/>
                <w:sz w:val="18"/>
                <w:szCs w:val="18"/>
              </w:rPr>
            </w:pPr>
            <w:r>
              <w:rPr>
                <w:rFonts w:hint="eastAsia"/>
                <w:sz w:val="18"/>
                <w:szCs w:val="18"/>
                <w:lang w:val="en-US" w:eastAsia="zh-CN"/>
              </w:rPr>
              <w:t>2.04 [1.63; 2.55]</w:t>
            </w:r>
          </w:p>
        </w:tc>
        <w:tc>
          <w:tcPr>
            <w:tcW w:w="1058" w:type="pct"/>
            <w:shd w:val="clear"/>
            <w:noWrap/>
            <w:vAlign w:val="center"/>
          </w:tcPr>
          <w:p w14:paraId="5288B679">
            <w:pPr>
              <w:pStyle w:val="24"/>
              <w:bidi w:val="0"/>
              <w:rPr>
                <w:rFonts w:hint="eastAsia"/>
                <w:sz w:val="18"/>
                <w:szCs w:val="18"/>
              </w:rPr>
            </w:pPr>
            <w:r>
              <w:rPr>
                <w:rFonts w:hint="eastAsia"/>
                <w:sz w:val="18"/>
                <w:szCs w:val="18"/>
                <w:lang w:val="en-US" w:eastAsia="zh-CN"/>
              </w:rPr>
              <w:t>4.09 [3.01; 5.55]</w:t>
            </w:r>
          </w:p>
        </w:tc>
      </w:tr>
      <w:tr w14:paraId="473A9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1155318F">
            <w:pPr>
              <w:pStyle w:val="24"/>
              <w:bidi w:val="0"/>
              <w:rPr>
                <w:rFonts w:hint="eastAsia"/>
                <w:sz w:val="18"/>
                <w:szCs w:val="18"/>
              </w:rPr>
            </w:pPr>
            <w:r>
              <w:rPr>
                <w:rFonts w:hint="eastAsia"/>
                <w:sz w:val="18"/>
                <w:szCs w:val="18"/>
                <w:lang w:val="en-US" w:eastAsia="zh-CN"/>
              </w:rPr>
              <w:t>Fruquintinib</w:t>
            </w:r>
          </w:p>
        </w:tc>
        <w:tc>
          <w:tcPr>
            <w:tcW w:w="732" w:type="pct"/>
            <w:shd w:val="clear"/>
            <w:noWrap/>
            <w:vAlign w:val="center"/>
          </w:tcPr>
          <w:p w14:paraId="4DE24F8D">
            <w:pPr>
              <w:pStyle w:val="24"/>
              <w:bidi w:val="0"/>
              <w:rPr>
                <w:rFonts w:hint="eastAsia"/>
                <w:sz w:val="18"/>
                <w:szCs w:val="18"/>
              </w:rPr>
            </w:pPr>
            <w:r>
              <w:rPr>
                <w:rFonts w:hint="eastAsia"/>
                <w:sz w:val="18"/>
                <w:szCs w:val="18"/>
                <w:lang w:val="en-US" w:eastAsia="zh-CN"/>
              </w:rPr>
              <w:t>0.33 [0.27; 0.40]</w:t>
            </w:r>
          </w:p>
        </w:tc>
        <w:tc>
          <w:tcPr>
            <w:tcW w:w="732" w:type="pct"/>
            <w:shd w:val="clear"/>
            <w:noWrap/>
            <w:vAlign w:val="center"/>
          </w:tcPr>
          <w:p w14:paraId="331A911C">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64F34717">
            <w:pPr>
              <w:pStyle w:val="24"/>
              <w:bidi w:val="0"/>
              <w:rPr>
                <w:rFonts w:hint="eastAsia"/>
                <w:sz w:val="18"/>
                <w:szCs w:val="18"/>
              </w:rPr>
            </w:pPr>
            <w:r>
              <w:rPr>
                <w:rFonts w:hint="eastAsia"/>
                <w:sz w:val="18"/>
                <w:szCs w:val="18"/>
                <w:lang w:val="en-US" w:eastAsia="zh-CN"/>
              </w:rPr>
              <w:t>0.70 [0.53; 0.92]</w:t>
            </w:r>
          </w:p>
        </w:tc>
        <w:tc>
          <w:tcPr>
            <w:tcW w:w="732" w:type="pct"/>
            <w:shd w:val="clear"/>
            <w:noWrap/>
            <w:vAlign w:val="center"/>
          </w:tcPr>
          <w:p w14:paraId="71A335D8">
            <w:pPr>
              <w:pStyle w:val="24"/>
              <w:bidi w:val="0"/>
              <w:rPr>
                <w:rFonts w:hint="eastAsia"/>
                <w:sz w:val="18"/>
                <w:szCs w:val="18"/>
              </w:rPr>
            </w:pPr>
            <w:r>
              <w:rPr>
                <w:rFonts w:hint="eastAsia"/>
                <w:sz w:val="18"/>
                <w:szCs w:val="18"/>
                <w:lang w:val="en-US" w:eastAsia="zh-CN"/>
              </w:rPr>
              <w:t>0.68 [0.51; 0.90]</w:t>
            </w:r>
          </w:p>
        </w:tc>
        <w:tc>
          <w:tcPr>
            <w:tcW w:w="1058" w:type="pct"/>
            <w:shd w:val="clear"/>
            <w:noWrap/>
            <w:vAlign w:val="center"/>
          </w:tcPr>
          <w:p w14:paraId="0D3AA20F">
            <w:pPr>
              <w:pStyle w:val="24"/>
              <w:bidi w:val="0"/>
              <w:rPr>
                <w:rFonts w:hint="eastAsia"/>
                <w:sz w:val="18"/>
                <w:szCs w:val="18"/>
              </w:rPr>
            </w:pPr>
            <w:r>
              <w:rPr>
                <w:rFonts w:hint="eastAsia"/>
                <w:sz w:val="18"/>
                <w:szCs w:val="18"/>
                <w:lang w:val="en-US" w:eastAsia="zh-CN"/>
              </w:rPr>
              <w:t>1.35 [0.95; 1.93]</w:t>
            </w:r>
          </w:p>
        </w:tc>
      </w:tr>
      <w:tr w14:paraId="122DF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1D147E8B">
            <w:pPr>
              <w:pStyle w:val="24"/>
              <w:bidi w:val="0"/>
              <w:rPr>
                <w:rFonts w:hint="eastAsia"/>
                <w:sz w:val="18"/>
                <w:szCs w:val="18"/>
              </w:rPr>
            </w:pPr>
            <w:r>
              <w:rPr>
                <w:rFonts w:hint="eastAsia"/>
                <w:sz w:val="18"/>
                <w:szCs w:val="18"/>
                <w:lang w:val="en-US" w:eastAsia="zh-CN"/>
              </w:rPr>
              <w:t>Regorafenib</w:t>
            </w:r>
          </w:p>
        </w:tc>
        <w:tc>
          <w:tcPr>
            <w:tcW w:w="732" w:type="pct"/>
            <w:shd w:val="clear"/>
            <w:noWrap/>
            <w:vAlign w:val="center"/>
          </w:tcPr>
          <w:p w14:paraId="0CA413D7">
            <w:pPr>
              <w:pStyle w:val="24"/>
              <w:bidi w:val="0"/>
              <w:rPr>
                <w:rFonts w:hint="eastAsia"/>
                <w:sz w:val="18"/>
                <w:szCs w:val="18"/>
              </w:rPr>
            </w:pPr>
            <w:r>
              <w:rPr>
                <w:rFonts w:hint="eastAsia"/>
                <w:sz w:val="18"/>
                <w:szCs w:val="18"/>
                <w:lang w:val="en-US" w:eastAsia="zh-CN"/>
              </w:rPr>
              <w:t>0.47 [0.39; 0.58]</w:t>
            </w:r>
          </w:p>
        </w:tc>
        <w:tc>
          <w:tcPr>
            <w:tcW w:w="732" w:type="pct"/>
            <w:shd w:val="clear"/>
            <w:noWrap/>
            <w:vAlign w:val="center"/>
          </w:tcPr>
          <w:p w14:paraId="586AA734">
            <w:pPr>
              <w:pStyle w:val="24"/>
              <w:bidi w:val="0"/>
              <w:rPr>
                <w:rFonts w:hint="eastAsia"/>
                <w:sz w:val="18"/>
                <w:szCs w:val="18"/>
              </w:rPr>
            </w:pPr>
            <w:r>
              <w:rPr>
                <w:rFonts w:hint="eastAsia"/>
                <w:sz w:val="18"/>
                <w:szCs w:val="18"/>
                <w:lang w:val="en-US" w:eastAsia="zh-CN"/>
              </w:rPr>
              <w:t>1.43 [1.09; 1.89]</w:t>
            </w:r>
          </w:p>
        </w:tc>
        <w:tc>
          <w:tcPr>
            <w:tcW w:w="732" w:type="pct"/>
            <w:shd w:val="clear"/>
            <w:noWrap/>
            <w:vAlign w:val="center"/>
          </w:tcPr>
          <w:p w14:paraId="2F90EE61">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46796F58">
            <w:pPr>
              <w:pStyle w:val="24"/>
              <w:bidi w:val="0"/>
              <w:rPr>
                <w:rFonts w:hint="eastAsia"/>
                <w:sz w:val="18"/>
                <w:szCs w:val="18"/>
              </w:rPr>
            </w:pPr>
            <w:r>
              <w:rPr>
                <w:rFonts w:hint="eastAsia"/>
                <w:sz w:val="18"/>
                <w:szCs w:val="18"/>
                <w:lang w:val="en-US" w:eastAsia="zh-CN"/>
              </w:rPr>
              <w:t>0.97 [0.72; 1.30]</w:t>
            </w:r>
          </w:p>
        </w:tc>
        <w:tc>
          <w:tcPr>
            <w:tcW w:w="1058" w:type="pct"/>
            <w:shd w:val="clear"/>
            <w:noWrap/>
            <w:vAlign w:val="center"/>
          </w:tcPr>
          <w:p w14:paraId="364BFF9D">
            <w:pPr>
              <w:pStyle w:val="24"/>
              <w:bidi w:val="0"/>
              <w:rPr>
                <w:rFonts w:hint="eastAsia"/>
                <w:sz w:val="18"/>
                <w:szCs w:val="18"/>
              </w:rPr>
            </w:pPr>
            <w:r>
              <w:rPr>
                <w:rFonts w:hint="eastAsia"/>
                <w:sz w:val="18"/>
                <w:szCs w:val="18"/>
                <w:lang w:val="en-US" w:eastAsia="zh-CN"/>
              </w:rPr>
              <w:t>1.94 [1.35; 2.79]</w:t>
            </w:r>
          </w:p>
        </w:tc>
      </w:tr>
      <w:tr w14:paraId="403D9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482B4FFF">
            <w:pPr>
              <w:pStyle w:val="24"/>
              <w:bidi w:val="0"/>
              <w:rPr>
                <w:rFonts w:hint="eastAsia"/>
                <w:sz w:val="18"/>
                <w:szCs w:val="18"/>
              </w:rPr>
            </w:pPr>
            <w:r>
              <w:rPr>
                <w:rFonts w:hint="eastAsia"/>
                <w:sz w:val="18"/>
                <w:szCs w:val="18"/>
                <w:lang w:val="en-US" w:eastAsia="zh-CN"/>
              </w:rPr>
              <w:t>TAS-102</w:t>
            </w:r>
          </w:p>
        </w:tc>
        <w:tc>
          <w:tcPr>
            <w:tcW w:w="732" w:type="pct"/>
            <w:shd w:val="clear"/>
            <w:noWrap/>
            <w:vAlign w:val="center"/>
          </w:tcPr>
          <w:p w14:paraId="02785E7B">
            <w:pPr>
              <w:pStyle w:val="24"/>
              <w:bidi w:val="0"/>
              <w:rPr>
                <w:rFonts w:hint="eastAsia"/>
                <w:sz w:val="18"/>
                <w:szCs w:val="18"/>
              </w:rPr>
            </w:pPr>
            <w:r>
              <w:rPr>
                <w:rFonts w:hint="eastAsia"/>
                <w:sz w:val="18"/>
                <w:szCs w:val="18"/>
                <w:lang w:val="en-US" w:eastAsia="zh-CN"/>
              </w:rPr>
              <w:t>0.49 [0.39; 0.61]</w:t>
            </w:r>
          </w:p>
        </w:tc>
        <w:tc>
          <w:tcPr>
            <w:tcW w:w="732" w:type="pct"/>
            <w:shd w:val="clear"/>
            <w:noWrap/>
            <w:vAlign w:val="center"/>
          </w:tcPr>
          <w:p w14:paraId="79FCD8E3">
            <w:pPr>
              <w:pStyle w:val="24"/>
              <w:bidi w:val="0"/>
              <w:rPr>
                <w:rFonts w:hint="eastAsia"/>
                <w:sz w:val="18"/>
                <w:szCs w:val="18"/>
              </w:rPr>
            </w:pPr>
            <w:r>
              <w:rPr>
                <w:rFonts w:hint="eastAsia"/>
                <w:sz w:val="18"/>
                <w:szCs w:val="18"/>
                <w:lang w:val="en-US" w:eastAsia="zh-CN"/>
              </w:rPr>
              <w:t>1.47 [1.11; 1.96]</w:t>
            </w:r>
          </w:p>
        </w:tc>
        <w:tc>
          <w:tcPr>
            <w:tcW w:w="732" w:type="pct"/>
            <w:shd w:val="clear"/>
            <w:noWrap/>
            <w:vAlign w:val="center"/>
          </w:tcPr>
          <w:p w14:paraId="37298F22">
            <w:pPr>
              <w:pStyle w:val="24"/>
              <w:bidi w:val="0"/>
              <w:rPr>
                <w:rFonts w:hint="eastAsia"/>
                <w:sz w:val="18"/>
                <w:szCs w:val="18"/>
              </w:rPr>
            </w:pPr>
            <w:r>
              <w:rPr>
                <w:rFonts w:hint="eastAsia"/>
                <w:sz w:val="18"/>
                <w:szCs w:val="18"/>
                <w:lang w:val="en-US" w:eastAsia="zh-CN"/>
              </w:rPr>
              <w:t>1.03 [0.77; 1.39]</w:t>
            </w:r>
          </w:p>
        </w:tc>
        <w:tc>
          <w:tcPr>
            <w:tcW w:w="732" w:type="pct"/>
            <w:shd w:val="clear"/>
            <w:noWrap/>
            <w:vAlign w:val="center"/>
          </w:tcPr>
          <w:p w14:paraId="0EF04A9C">
            <w:pPr>
              <w:pStyle w:val="24"/>
              <w:bidi w:val="0"/>
              <w:rPr>
                <w:rFonts w:hint="eastAsia"/>
                <w:sz w:val="18"/>
                <w:szCs w:val="18"/>
              </w:rPr>
            </w:pPr>
            <w:r>
              <w:rPr>
                <w:rFonts w:hint="eastAsia"/>
                <w:sz w:val="18"/>
                <w:szCs w:val="18"/>
                <w:lang w:val="en-US" w:eastAsia="zh-CN"/>
              </w:rPr>
              <w:t>-</w:t>
            </w:r>
          </w:p>
        </w:tc>
        <w:tc>
          <w:tcPr>
            <w:tcW w:w="1058" w:type="pct"/>
            <w:shd w:val="clear"/>
            <w:noWrap/>
            <w:vAlign w:val="center"/>
          </w:tcPr>
          <w:p w14:paraId="5C99228F">
            <w:pPr>
              <w:pStyle w:val="24"/>
              <w:bidi w:val="0"/>
              <w:rPr>
                <w:rFonts w:hint="eastAsia"/>
                <w:sz w:val="18"/>
                <w:szCs w:val="18"/>
              </w:rPr>
            </w:pPr>
            <w:r>
              <w:rPr>
                <w:rFonts w:hint="eastAsia"/>
                <w:sz w:val="18"/>
                <w:szCs w:val="18"/>
                <w:lang w:val="en-US" w:eastAsia="zh-CN"/>
              </w:rPr>
              <w:t>2.00 [1.63; 2.47]</w:t>
            </w:r>
          </w:p>
        </w:tc>
      </w:tr>
      <w:tr w14:paraId="2AB75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0C8FB5D4">
            <w:pPr>
              <w:pStyle w:val="24"/>
              <w:bidi w:val="0"/>
              <w:rPr>
                <w:rFonts w:hint="eastAsia"/>
                <w:sz w:val="18"/>
                <w:szCs w:val="18"/>
              </w:rPr>
            </w:pPr>
            <w:r>
              <w:rPr>
                <w:rFonts w:hint="eastAsia"/>
                <w:sz w:val="18"/>
                <w:szCs w:val="18"/>
                <w:lang w:val="en-US" w:eastAsia="zh-CN"/>
              </w:rPr>
              <w:t>TAS-102+Bevacizumab</w:t>
            </w:r>
          </w:p>
        </w:tc>
        <w:tc>
          <w:tcPr>
            <w:tcW w:w="732" w:type="pct"/>
            <w:shd w:val="clear"/>
            <w:noWrap/>
            <w:vAlign w:val="center"/>
          </w:tcPr>
          <w:p w14:paraId="3BE301B9">
            <w:pPr>
              <w:pStyle w:val="24"/>
              <w:bidi w:val="0"/>
              <w:rPr>
                <w:rFonts w:hint="eastAsia"/>
                <w:sz w:val="18"/>
                <w:szCs w:val="18"/>
              </w:rPr>
            </w:pPr>
            <w:r>
              <w:rPr>
                <w:rFonts w:hint="eastAsia"/>
                <w:sz w:val="18"/>
                <w:szCs w:val="18"/>
                <w:lang w:val="en-US" w:eastAsia="zh-CN"/>
              </w:rPr>
              <w:t>0.24 [0.18; 0.33]</w:t>
            </w:r>
          </w:p>
        </w:tc>
        <w:tc>
          <w:tcPr>
            <w:tcW w:w="732" w:type="pct"/>
            <w:shd w:val="clear"/>
            <w:noWrap/>
            <w:vAlign w:val="center"/>
          </w:tcPr>
          <w:p w14:paraId="1A3C36D8">
            <w:pPr>
              <w:pStyle w:val="24"/>
              <w:bidi w:val="0"/>
              <w:rPr>
                <w:rFonts w:hint="eastAsia"/>
                <w:sz w:val="18"/>
                <w:szCs w:val="18"/>
              </w:rPr>
            </w:pPr>
            <w:r>
              <w:rPr>
                <w:rFonts w:hint="eastAsia"/>
                <w:sz w:val="18"/>
                <w:szCs w:val="18"/>
                <w:lang w:val="en-US" w:eastAsia="zh-CN"/>
              </w:rPr>
              <w:t>0.74 [0.52; 1.05]</w:t>
            </w:r>
          </w:p>
        </w:tc>
        <w:tc>
          <w:tcPr>
            <w:tcW w:w="732" w:type="pct"/>
            <w:shd w:val="clear"/>
            <w:noWrap/>
            <w:vAlign w:val="center"/>
          </w:tcPr>
          <w:p w14:paraId="0D050E94">
            <w:pPr>
              <w:pStyle w:val="24"/>
              <w:bidi w:val="0"/>
              <w:rPr>
                <w:rFonts w:hint="eastAsia"/>
                <w:sz w:val="18"/>
                <w:szCs w:val="18"/>
              </w:rPr>
            </w:pPr>
            <w:r>
              <w:rPr>
                <w:rFonts w:hint="eastAsia"/>
                <w:sz w:val="18"/>
                <w:szCs w:val="18"/>
                <w:lang w:val="en-US" w:eastAsia="zh-CN"/>
              </w:rPr>
              <w:t>0.52 [0.36; 0.74]</w:t>
            </w:r>
          </w:p>
        </w:tc>
        <w:tc>
          <w:tcPr>
            <w:tcW w:w="732" w:type="pct"/>
            <w:shd w:val="clear"/>
            <w:noWrap/>
            <w:vAlign w:val="center"/>
          </w:tcPr>
          <w:p w14:paraId="0532D16B">
            <w:pPr>
              <w:pStyle w:val="24"/>
              <w:bidi w:val="0"/>
              <w:rPr>
                <w:rFonts w:hint="eastAsia"/>
                <w:sz w:val="18"/>
                <w:szCs w:val="18"/>
              </w:rPr>
            </w:pPr>
            <w:r>
              <w:rPr>
                <w:rFonts w:hint="eastAsia"/>
                <w:sz w:val="18"/>
                <w:szCs w:val="18"/>
                <w:lang w:val="en-US" w:eastAsia="zh-CN"/>
              </w:rPr>
              <w:t>0.50 [0.40; 0.61]</w:t>
            </w:r>
          </w:p>
        </w:tc>
        <w:tc>
          <w:tcPr>
            <w:tcW w:w="1058" w:type="pct"/>
            <w:shd w:val="clear"/>
            <w:noWrap/>
            <w:vAlign w:val="center"/>
          </w:tcPr>
          <w:p w14:paraId="0B7482BA">
            <w:pPr>
              <w:pStyle w:val="24"/>
              <w:bidi w:val="0"/>
              <w:rPr>
                <w:rFonts w:hint="eastAsia"/>
                <w:sz w:val="18"/>
                <w:szCs w:val="18"/>
              </w:rPr>
            </w:pPr>
            <w:r>
              <w:rPr>
                <w:rFonts w:hint="eastAsia"/>
                <w:sz w:val="18"/>
                <w:szCs w:val="18"/>
                <w:lang w:val="en-US" w:eastAsia="zh-CN"/>
              </w:rPr>
              <w:t>-</w:t>
            </w:r>
          </w:p>
        </w:tc>
      </w:tr>
      <w:tr w14:paraId="5FB8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000" w:type="pct"/>
            <w:gridSpan w:val="6"/>
            <w:shd w:val="clear"/>
            <w:noWrap/>
            <w:vAlign w:val="center"/>
          </w:tcPr>
          <w:p w14:paraId="5B3E5DDA">
            <w:pPr>
              <w:pStyle w:val="24"/>
              <w:bidi w:val="0"/>
              <w:rPr>
                <w:rFonts w:hint="eastAsia"/>
                <w:sz w:val="18"/>
                <w:szCs w:val="18"/>
              </w:rPr>
            </w:pPr>
            <w:r>
              <w:rPr>
                <w:rFonts w:hint="eastAsia"/>
                <w:sz w:val="18"/>
                <w:szCs w:val="18"/>
                <w:lang w:val="en-US" w:eastAsia="zh-CN"/>
              </w:rPr>
              <w:t>More than 3 Previous treatment lines for metastatic disease, OS</w:t>
            </w:r>
          </w:p>
        </w:tc>
      </w:tr>
      <w:tr w14:paraId="7E65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7AE9261B">
            <w:pPr>
              <w:pStyle w:val="24"/>
              <w:bidi w:val="0"/>
              <w:rPr>
                <w:rFonts w:hint="eastAsia"/>
                <w:sz w:val="18"/>
                <w:szCs w:val="18"/>
              </w:rPr>
            </w:pPr>
          </w:p>
        </w:tc>
        <w:tc>
          <w:tcPr>
            <w:tcW w:w="732" w:type="pct"/>
            <w:shd w:val="clear"/>
            <w:noWrap/>
            <w:vAlign w:val="center"/>
          </w:tcPr>
          <w:p w14:paraId="54AC5A6C">
            <w:pPr>
              <w:pStyle w:val="24"/>
              <w:bidi w:val="0"/>
              <w:rPr>
                <w:rFonts w:hint="eastAsia"/>
                <w:sz w:val="18"/>
                <w:szCs w:val="18"/>
              </w:rPr>
            </w:pPr>
            <w:r>
              <w:rPr>
                <w:rFonts w:hint="eastAsia"/>
                <w:sz w:val="18"/>
                <w:szCs w:val="18"/>
                <w:lang w:val="en-US" w:eastAsia="zh-CN"/>
              </w:rPr>
              <w:t>BSC</w:t>
            </w:r>
          </w:p>
        </w:tc>
        <w:tc>
          <w:tcPr>
            <w:tcW w:w="732" w:type="pct"/>
            <w:shd w:val="clear"/>
            <w:noWrap/>
            <w:vAlign w:val="center"/>
          </w:tcPr>
          <w:p w14:paraId="558E5F8E">
            <w:pPr>
              <w:pStyle w:val="24"/>
              <w:bidi w:val="0"/>
              <w:rPr>
                <w:rFonts w:hint="eastAsia"/>
                <w:sz w:val="18"/>
                <w:szCs w:val="18"/>
              </w:rPr>
            </w:pPr>
            <w:r>
              <w:rPr>
                <w:rFonts w:hint="eastAsia"/>
                <w:sz w:val="18"/>
                <w:szCs w:val="18"/>
                <w:lang w:val="en-US" w:eastAsia="zh-CN"/>
              </w:rPr>
              <w:t>Fruquintinib</w:t>
            </w:r>
          </w:p>
        </w:tc>
        <w:tc>
          <w:tcPr>
            <w:tcW w:w="732" w:type="pct"/>
            <w:shd w:val="clear"/>
            <w:noWrap/>
            <w:vAlign w:val="center"/>
          </w:tcPr>
          <w:p w14:paraId="44971633">
            <w:pPr>
              <w:pStyle w:val="24"/>
              <w:bidi w:val="0"/>
              <w:rPr>
                <w:rFonts w:hint="eastAsia"/>
                <w:sz w:val="18"/>
                <w:szCs w:val="18"/>
              </w:rPr>
            </w:pPr>
            <w:r>
              <w:rPr>
                <w:rFonts w:hint="eastAsia"/>
                <w:sz w:val="18"/>
                <w:szCs w:val="18"/>
                <w:lang w:val="en-US" w:eastAsia="zh-CN"/>
              </w:rPr>
              <w:t>Regorafenib</w:t>
            </w:r>
          </w:p>
        </w:tc>
        <w:tc>
          <w:tcPr>
            <w:tcW w:w="732" w:type="pct"/>
            <w:shd w:val="clear"/>
            <w:noWrap/>
            <w:vAlign w:val="center"/>
          </w:tcPr>
          <w:p w14:paraId="1A2360E0">
            <w:pPr>
              <w:pStyle w:val="24"/>
              <w:bidi w:val="0"/>
              <w:rPr>
                <w:rFonts w:hint="eastAsia"/>
                <w:sz w:val="18"/>
                <w:szCs w:val="18"/>
              </w:rPr>
            </w:pPr>
            <w:r>
              <w:rPr>
                <w:rFonts w:hint="eastAsia"/>
                <w:sz w:val="18"/>
                <w:szCs w:val="18"/>
                <w:lang w:val="en-US" w:eastAsia="zh-CN"/>
              </w:rPr>
              <w:t>TAS-102</w:t>
            </w:r>
          </w:p>
        </w:tc>
        <w:tc>
          <w:tcPr>
            <w:tcW w:w="1058" w:type="pct"/>
            <w:shd w:val="clear"/>
            <w:noWrap/>
            <w:vAlign w:val="center"/>
          </w:tcPr>
          <w:p w14:paraId="37FF7DFA">
            <w:pPr>
              <w:pStyle w:val="24"/>
              <w:bidi w:val="0"/>
              <w:rPr>
                <w:rFonts w:hint="eastAsia"/>
                <w:sz w:val="18"/>
                <w:szCs w:val="18"/>
              </w:rPr>
            </w:pPr>
          </w:p>
        </w:tc>
      </w:tr>
      <w:tr w14:paraId="6540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16B8EEA9">
            <w:pPr>
              <w:pStyle w:val="24"/>
              <w:bidi w:val="0"/>
              <w:rPr>
                <w:rFonts w:hint="eastAsia"/>
                <w:sz w:val="18"/>
                <w:szCs w:val="18"/>
              </w:rPr>
            </w:pPr>
            <w:r>
              <w:rPr>
                <w:rFonts w:hint="eastAsia"/>
                <w:sz w:val="18"/>
                <w:szCs w:val="18"/>
                <w:lang w:val="en-US" w:eastAsia="zh-CN"/>
              </w:rPr>
              <w:t>BSC</w:t>
            </w:r>
          </w:p>
        </w:tc>
        <w:tc>
          <w:tcPr>
            <w:tcW w:w="732" w:type="pct"/>
            <w:shd w:val="clear"/>
            <w:noWrap/>
            <w:vAlign w:val="center"/>
          </w:tcPr>
          <w:p w14:paraId="2A9C6914">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1924F2E8">
            <w:pPr>
              <w:pStyle w:val="24"/>
              <w:bidi w:val="0"/>
              <w:rPr>
                <w:rFonts w:hint="eastAsia"/>
                <w:sz w:val="18"/>
                <w:szCs w:val="18"/>
              </w:rPr>
            </w:pPr>
            <w:r>
              <w:rPr>
                <w:rFonts w:hint="eastAsia"/>
                <w:sz w:val="18"/>
                <w:szCs w:val="18"/>
                <w:lang w:val="en-US" w:eastAsia="zh-CN"/>
              </w:rPr>
              <w:t>1.59 [1.30; 1.95]</w:t>
            </w:r>
          </w:p>
        </w:tc>
        <w:tc>
          <w:tcPr>
            <w:tcW w:w="732" w:type="pct"/>
            <w:shd w:val="clear"/>
            <w:noWrap/>
            <w:vAlign w:val="center"/>
          </w:tcPr>
          <w:p w14:paraId="4C4B63AF">
            <w:pPr>
              <w:pStyle w:val="24"/>
              <w:bidi w:val="0"/>
              <w:rPr>
                <w:rFonts w:hint="eastAsia"/>
                <w:sz w:val="18"/>
                <w:szCs w:val="18"/>
              </w:rPr>
            </w:pPr>
            <w:r>
              <w:rPr>
                <w:rFonts w:hint="eastAsia"/>
                <w:sz w:val="18"/>
                <w:szCs w:val="18"/>
                <w:lang w:val="en-US" w:eastAsia="zh-CN"/>
              </w:rPr>
              <w:t>1.40 [1.12; 1.75]</w:t>
            </w:r>
          </w:p>
        </w:tc>
        <w:tc>
          <w:tcPr>
            <w:tcW w:w="732" w:type="pct"/>
            <w:shd w:val="clear"/>
            <w:noWrap/>
            <w:vAlign w:val="center"/>
          </w:tcPr>
          <w:p w14:paraId="145396FC">
            <w:pPr>
              <w:pStyle w:val="24"/>
              <w:bidi w:val="0"/>
              <w:rPr>
                <w:rFonts w:hint="eastAsia"/>
                <w:sz w:val="18"/>
                <w:szCs w:val="18"/>
              </w:rPr>
            </w:pPr>
            <w:r>
              <w:rPr>
                <w:rFonts w:hint="eastAsia"/>
                <w:sz w:val="18"/>
                <w:szCs w:val="18"/>
                <w:lang w:val="en-US" w:eastAsia="zh-CN"/>
              </w:rPr>
              <w:t>1.58 [1.32; 1.89]</w:t>
            </w:r>
          </w:p>
        </w:tc>
        <w:tc>
          <w:tcPr>
            <w:tcW w:w="1058" w:type="pct"/>
            <w:shd w:val="clear"/>
            <w:noWrap/>
            <w:vAlign w:val="center"/>
          </w:tcPr>
          <w:p w14:paraId="0936095B">
            <w:pPr>
              <w:pStyle w:val="24"/>
              <w:bidi w:val="0"/>
              <w:rPr>
                <w:rFonts w:hint="eastAsia"/>
                <w:sz w:val="18"/>
                <w:szCs w:val="18"/>
              </w:rPr>
            </w:pPr>
          </w:p>
        </w:tc>
      </w:tr>
      <w:tr w14:paraId="180F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3CF8CE9C">
            <w:pPr>
              <w:pStyle w:val="24"/>
              <w:bidi w:val="0"/>
              <w:rPr>
                <w:rFonts w:hint="eastAsia"/>
                <w:sz w:val="18"/>
                <w:szCs w:val="18"/>
              </w:rPr>
            </w:pPr>
            <w:r>
              <w:rPr>
                <w:rFonts w:hint="eastAsia"/>
                <w:sz w:val="18"/>
                <w:szCs w:val="18"/>
                <w:lang w:val="en-US" w:eastAsia="zh-CN"/>
              </w:rPr>
              <w:t>Fruquintinib</w:t>
            </w:r>
          </w:p>
        </w:tc>
        <w:tc>
          <w:tcPr>
            <w:tcW w:w="732" w:type="pct"/>
            <w:shd w:val="clear"/>
            <w:noWrap/>
            <w:vAlign w:val="center"/>
          </w:tcPr>
          <w:p w14:paraId="40B93B35">
            <w:pPr>
              <w:pStyle w:val="24"/>
              <w:bidi w:val="0"/>
              <w:rPr>
                <w:rFonts w:hint="eastAsia"/>
                <w:sz w:val="18"/>
                <w:szCs w:val="18"/>
              </w:rPr>
            </w:pPr>
            <w:r>
              <w:rPr>
                <w:rFonts w:hint="eastAsia"/>
                <w:sz w:val="18"/>
                <w:szCs w:val="18"/>
                <w:lang w:val="en-US" w:eastAsia="zh-CN"/>
              </w:rPr>
              <w:t>0.63 [0.51; 0.77]</w:t>
            </w:r>
          </w:p>
        </w:tc>
        <w:tc>
          <w:tcPr>
            <w:tcW w:w="732" w:type="pct"/>
            <w:shd w:val="clear"/>
            <w:noWrap/>
            <w:vAlign w:val="center"/>
          </w:tcPr>
          <w:p w14:paraId="055283E3">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4A846F0D">
            <w:pPr>
              <w:pStyle w:val="24"/>
              <w:bidi w:val="0"/>
              <w:rPr>
                <w:rFonts w:hint="eastAsia"/>
                <w:sz w:val="18"/>
                <w:szCs w:val="18"/>
              </w:rPr>
            </w:pPr>
            <w:r>
              <w:rPr>
                <w:rFonts w:hint="eastAsia"/>
                <w:sz w:val="18"/>
                <w:szCs w:val="18"/>
                <w:lang w:val="en-US" w:eastAsia="zh-CN"/>
              </w:rPr>
              <w:t>0.88 [0.65; 1.19]</w:t>
            </w:r>
          </w:p>
        </w:tc>
        <w:tc>
          <w:tcPr>
            <w:tcW w:w="732" w:type="pct"/>
            <w:shd w:val="clear"/>
            <w:noWrap/>
            <w:vAlign w:val="center"/>
          </w:tcPr>
          <w:p w14:paraId="42A7EB69">
            <w:pPr>
              <w:pStyle w:val="24"/>
              <w:bidi w:val="0"/>
              <w:rPr>
                <w:rFonts w:hint="eastAsia"/>
                <w:sz w:val="18"/>
                <w:szCs w:val="18"/>
              </w:rPr>
            </w:pPr>
            <w:r>
              <w:rPr>
                <w:rFonts w:hint="eastAsia"/>
                <w:sz w:val="18"/>
                <w:szCs w:val="18"/>
                <w:lang w:val="en-US" w:eastAsia="zh-CN"/>
              </w:rPr>
              <w:t>0.99 [0.75; 1.30]</w:t>
            </w:r>
          </w:p>
        </w:tc>
        <w:tc>
          <w:tcPr>
            <w:tcW w:w="1058" w:type="pct"/>
            <w:shd w:val="clear"/>
            <w:noWrap/>
            <w:vAlign w:val="center"/>
          </w:tcPr>
          <w:p w14:paraId="5EF8649A">
            <w:pPr>
              <w:pStyle w:val="24"/>
              <w:bidi w:val="0"/>
              <w:rPr>
                <w:rFonts w:hint="eastAsia"/>
                <w:sz w:val="18"/>
                <w:szCs w:val="18"/>
              </w:rPr>
            </w:pPr>
          </w:p>
        </w:tc>
      </w:tr>
      <w:tr w14:paraId="5715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1011" w:type="pct"/>
            <w:shd w:val="clear"/>
            <w:noWrap/>
            <w:vAlign w:val="center"/>
          </w:tcPr>
          <w:p w14:paraId="60DC5833">
            <w:pPr>
              <w:pStyle w:val="24"/>
              <w:bidi w:val="0"/>
              <w:rPr>
                <w:rFonts w:hint="eastAsia"/>
                <w:sz w:val="18"/>
                <w:szCs w:val="18"/>
              </w:rPr>
            </w:pPr>
            <w:r>
              <w:rPr>
                <w:rFonts w:hint="eastAsia"/>
                <w:sz w:val="18"/>
                <w:szCs w:val="18"/>
                <w:lang w:val="en-US" w:eastAsia="zh-CN"/>
              </w:rPr>
              <w:t>Regorafenib</w:t>
            </w:r>
          </w:p>
        </w:tc>
        <w:tc>
          <w:tcPr>
            <w:tcW w:w="732" w:type="pct"/>
            <w:shd w:val="clear"/>
            <w:noWrap/>
            <w:vAlign w:val="center"/>
          </w:tcPr>
          <w:p w14:paraId="776E2CA3">
            <w:pPr>
              <w:pStyle w:val="24"/>
              <w:bidi w:val="0"/>
              <w:rPr>
                <w:rFonts w:hint="eastAsia"/>
                <w:sz w:val="18"/>
                <w:szCs w:val="18"/>
              </w:rPr>
            </w:pPr>
            <w:r>
              <w:rPr>
                <w:rFonts w:hint="eastAsia"/>
                <w:sz w:val="18"/>
                <w:szCs w:val="18"/>
                <w:lang w:val="en-US" w:eastAsia="zh-CN"/>
              </w:rPr>
              <w:t>0.71 [0.57; 0.89]</w:t>
            </w:r>
          </w:p>
        </w:tc>
        <w:tc>
          <w:tcPr>
            <w:tcW w:w="732" w:type="pct"/>
            <w:shd w:val="clear"/>
            <w:noWrap/>
            <w:vAlign w:val="center"/>
          </w:tcPr>
          <w:p w14:paraId="40A923A1">
            <w:pPr>
              <w:pStyle w:val="24"/>
              <w:bidi w:val="0"/>
              <w:rPr>
                <w:rFonts w:hint="eastAsia"/>
                <w:sz w:val="18"/>
                <w:szCs w:val="18"/>
              </w:rPr>
            </w:pPr>
            <w:r>
              <w:rPr>
                <w:rFonts w:hint="eastAsia"/>
                <w:sz w:val="18"/>
                <w:szCs w:val="18"/>
                <w:lang w:val="en-US" w:eastAsia="zh-CN"/>
              </w:rPr>
              <w:t>1.14 [0.84; 1.54]</w:t>
            </w:r>
          </w:p>
        </w:tc>
        <w:tc>
          <w:tcPr>
            <w:tcW w:w="732" w:type="pct"/>
            <w:shd w:val="clear"/>
            <w:noWrap/>
            <w:vAlign w:val="center"/>
          </w:tcPr>
          <w:p w14:paraId="0B72D38F">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5616B43D">
            <w:pPr>
              <w:pStyle w:val="24"/>
              <w:bidi w:val="0"/>
              <w:rPr>
                <w:rFonts w:hint="eastAsia"/>
                <w:sz w:val="18"/>
                <w:szCs w:val="18"/>
              </w:rPr>
            </w:pPr>
            <w:r>
              <w:rPr>
                <w:rFonts w:hint="eastAsia"/>
                <w:sz w:val="18"/>
                <w:szCs w:val="18"/>
                <w:lang w:val="en-US" w:eastAsia="zh-CN"/>
              </w:rPr>
              <w:t>1.13 [0.84; 1.50]</w:t>
            </w:r>
          </w:p>
        </w:tc>
        <w:tc>
          <w:tcPr>
            <w:tcW w:w="1058" w:type="pct"/>
            <w:shd w:val="clear"/>
            <w:noWrap/>
            <w:vAlign w:val="center"/>
          </w:tcPr>
          <w:p w14:paraId="3906AE2F">
            <w:pPr>
              <w:pStyle w:val="24"/>
              <w:bidi w:val="0"/>
              <w:rPr>
                <w:rFonts w:hint="eastAsia"/>
                <w:sz w:val="18"/>
                <w:szCs w:val="18"/>
              </w:rPr>
            </w:pPr>
          </w:p>
        </w:tc>
      </w:tr>
      <w:tr w14:paraId="7E214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0E695B13">
            <w:pPr>
              <w:pStyle w:val="24"/>
              <w:bidi w:val="0"/>
              <w:rPr>
                <w:rFonts w:hint="eastAsia"/>
                <w:sz w:val="18"/>
                <w:szCs w:val="18"/>
              </w:rPr>
            </w:pPr>
            <w:r>
              <w:rPr>
                <w:rFonts w:hint="eastAsia"/>
                <w:sz w:val="18"/>
                <w:szCs w:val="18"/>
                <w:lang w:val="en-US" w:eastAsia="zh-CN"/>
              </w:rPr>
              <w:t>TAS-102</w:t>
            </w:r>
          </w:p>
        </w:tc>
        <w:tc>
          <w:tcPr>
            <w:tcW w:w="732" w:type="pct"/>
            <w:shd w:val="clear"/>
            <w:noWrap/>
            <w:vAlign w:val="center"/>
          </w:tcPr>
          <w:p w14:paraId="2802AF78">
            <w:pPr>
              <w:pStyle w:val="24"/>
              <w:bidi w:val="0"/>
              <w:rPr>
                <w:rFonts w:hint="eastAsia"/>
                <w:sz w:val="18"/>
                <w:szCs w:val="18"/>
              </w:rPr>
            </w:pPr>
            <w:r>
              <w:rPr>
                <w:rFonts w:hint="eastAsia"/>
                <w:sz w:val="18"/>
                <w:szCs w:val="18"/>
                <w:lang w:val="en-US" w:eastAsia="zh-CN"/>
              </w:rPr>
              <w:t>0.63 [0.53; 0.76]</w:t>
            </w:r>
          </w:p>
        </w:tc>
        <w:tc>
          <w:tcPr>
            <w:tcW w:w="732" w:type="pct"/>
            <w:shd w:val="clear"/>
            <w:noWrap/>
            <w:vAlign w:val="center"/>
          </w:tcPr>
          <w:p w14:paraId="51BE5D1F">
            <w:pPr>
              <w:pStyle w:val="24"/>
              <w:bidi w:val="0"/>
              <w:rPr>
                <w:rFonts w:hint="eastAsia"/>
                <w:sz w:val="18"/>
                <w:szCs w:val="18"/>
              </w:rPr>
            </w:pPr>
            <w:r>
              <w:rPr>
                <w:rFonts w:hint="eastAsia"/>
                <w:sz w:val="18"/>
                <w:szCs w:val="18"/>
                <w:lang w:val="en-US" w:eastAsia="zh-CN"/>
              </w:rPr>
              <w:t>1.01 [0.77; 1.33]</w:t>
            </w:r>
          </w:p>
        </w:tc>
        <w:tc>
          <w:tcPr>
            <w:tcW w:w="732" w:type="pct"/>
            <w:shd w:val="clear"/>
            <w:noWrap/>
            <w:vAlign w:val="center"/>
          </w:tcPr>
          <w:p w14:paraId="7926C76C">
            <w:pPr>
              <w:pStyle w:val="24"/>
              <w:bidi w:val="0"/>
              <w:rPr>
                <w:rFonts w:hint="eastAsia"/>
                <w:sz w:val="18"/>
                <w:szCs w:val="18"/>
              </w:rPr>
            </w:pPr>
            <w:r>
              <w:rPr>
                <w:rFonts w:hint="eastAsia"/>
                <w:sz w:val="18"/>
                <w:szCs w:val="18"/>
                <w:lang w:val="en-US" w:eastAsia="zh-CN"/>
              </w:rPr>
              <w:t>0.89 [0.67; 1.19]</w:t>
            </w:r>
          </w:p>
        </w:tc>
        <w:tc>
          <w:tcPr>
            <w:tcW w:w="732" w:type="pct"/>
            <w:shd w:val="clear"/>
            <w:noWrap/>
            <w:vAlign w:val="center"/>
          </w:tcPr>
          <w:p w14:paraId="43B899F6">
            <w:pPr>
              <w:pStyle w:val="24"/>
              <w:bidi w:val="0"/>
              <w:rPr>
                <w:rFonts w:hint="eastAsia"/>
                <w:sz w:val="18"/>
                <w:szCs w:val="18"/>
              </w:rPr>
            </w:pPr>
            <w:r>
              <w:rPr>
                <w:rFonts w:hint="eastAsia"/>
                <w:sz w:val="18"/>
                <w:szCs w:val="18"/>
                <w:lang w:val="en-US" w:eastAsia="zh-CN"/>
              </w:rPr>
              <w:t>-</w:t>
            </w:r>
          </w:p>
        </w:tc>
        <w:tc>
          <w:tcPr>
            <w:tcW w:w="1058" w:type="pct"/>
            <w:shd w:val="clear"/>
            <w:noWrap/>
            <w:vAlign w:val="center"/>
          </w:tcPr>
          <w:p w14:paraId="41E52DCF">
            <w:pPr>
              <w:pStyle w:val="24"/>
              <w:bidi w:val="0"/>
              <w:rPr>
                <w:rFonts w:hint="eastAsia"/>
                <w:sz w:val="18"/>
                <w:szCs w:val="18"/>
              </w:rPr>
            </w:pPr>
          </w:p>
        </w:tc>
      </w:tr>
      <w:tr w14:paraId="06CF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000" w:type="pct"/>
            <w:gridSpan w:val="6"/>
            <w:shd w:val="clear"/>
            <w:noWrap/>
            <w:vAlign w:val="center"/>
          </w:tcPr>
          <w:p w14:paraId="0BFBBF7D">
            <w:pPr>
              <w:pStyle w:val="24"/>
              <w:bidi w:val="0"/>
              <w:rPr>
                <w:rFonts w:hint="eastAsia"/>
                <w:sz w:val="18"/>
                <w:szCs w:val="18"/>
              </w:rPr>
            </w:pPr>
            <w:r>
              <w:rPr>
                <w:rFonts w:hint="eastAsia"/>
                <w:sz w:val="18"/>
                <w:szCs w:val="18"/>
                <w:lang w:val="en-US" w:eastAsia="zh-CN"/>
              </w:rPr>
              <w:t>More than 3 Previous treatment lines for metastatic disease, PFS</w:t>
            </w:r>
          </w:p>
        </w:tc>
      </w:tr>
      <w:tr w14:paraId="071D5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1011" w:type="pct"/>
            <w:shd w:val="clear"/>
            <w:noWrap/>
            <w:vAlign w:val="center"/>
          </w:tcPr>
          <w:p w14:paraId="1304D571">
            <w:pPr>
              <w:pStyle w:val="24"/>
              <w:bidi w:val="0"/>
              <w:rPr>
                <w:rFonts w:hint="eastAsia"/>
                <w:sz w:val="18"/>
                <w:szCs w:val="18"/>
              </w:rPr>
            </w:pPr>
          </w:p>
        </w:tc>
        <w:tc>
          <w:tcPr>
            <w:tcW w:w="732" w:type="pct"/>
            <w:shd w:val="clear"/>
            <w:noWrap/>
            <w:vAlign w:val="center"/>
          </w:tcPr>
          <w:p w14:paraId="7D4B7F25">
            <w:pPr>
              <w:pStyle w:val="24"/>
              <w:bidi w:val="0"/>
              <w:rPr>
                <w:rFonts w:hint="eastAsia"/>
                <w:sz w:val="18"/>
                <w:szCs w:val="18"/>
              </w:rPr>
            </w:pPr>
            <w:r>
              <w:rPr>
                <w:rFonts w:hint="eastAsia"/>
                <w:sz w:val="18"/>
                <w:szCs w:val="18"/>
                <w:lang w:val="en-US" w:eastAsia="zh-CN"/>
              </w:rPr>
              <w:t>BSC</w:t>
            </w:r>
          </w:p>
        </w:tc>
        <w:tc>
          <w:tcPr>
            <w:tcW w:w="732" w:type="pct"/>
            <w:shd w:val="clear"/>
            <w:noWrap/>
            <w:vAlign w:val="center"/>
          </w:tcPr>
          <w:p w14:paraId="19C63D59">
            <w:pPr>
              <w:pStyle w:val="24"/>
              <w:bidi w:val="0"/>
              <w:rPr>
                <w:rFonts w:hint="eastAsia"/>
                <w:sz w:val="18"/>
                <w:szCs w:val="18"/>
              </w:rPr>
            </w:pPr>
            <w:r>
              <w:rPr>
                <w:rFonts w:hint="eastAsia"/>
                <w:sz w:val="18"/>
                <w:szCs w:val="18"/>
                <w:lang w:val="en-US" w:eastAsia="zh-CN"/>
              </w:rPr>
              <w:t>Fruquintinib</w:t>
            </w:r>
          </w:p>
        </w:tc>
        <w:tc>
          <w:tcPr>
            <w:tcW w:w="732" w:type="pct"/>
            <w:shd w:val="clear"/>
            <w:noWrap/>
            <w:vAlign w:val="center"/>
          </w:tcPr>
          <w:p w14:paraId="0FB7CD95">
            <w:pPr>
              <w:pStyle w:val="24"/>
              <w:bidi w:val="0"/>
              <w:rPr>
                <w:rFonts w:hint="eastAsia"/>
                <w:sz w:val="18"/>
                <w:szCs w:val="18"/>
              </w:rPr>
            </w:pPr>
            <w:r>
              <w:rPr>
                <w:rFonts w:hint="eastAsia"/>
                <w:sz w:val="18"/>
                <w:szCs w:val="18"/>
                <w:lang w:val="en-US" w:eastAsia="zh-CN"/>
              </w:rPr>
              <w:t>Regorafenib</w:t>
            </w:r>
          </w:p>
        </w:tc>
        <w:tc>
          <w:tcPr>
            <w:tcW w:w="732" w:type="pct"/>
            <w:shd w:val="clear"/>
            <w:noWrap/>
            <w:vAlign w:val="center"/>
          </w:tcPr>
          <w:p w14:paraId="376CB697">
            <w:pPr>
              <w:pStyle w:val="24"/>
              <w:bidi w:val="0"/>
              <w:rPr>
                <w:rFonts w:hint="eastAsia"/>
                <w:sz w:val="18"/>
                <w:szCs w:val="18"/>
              </w:rPr>
            </w:pPr>
            <w:r>
              <w:rPr>
                <w:rFonts w:hint="eastAsia"/>
                <w:sz w:val="18"/>
                <w:szCs w:val="18"/>
                <w:lang w:val="en-US" w:eastAsia="zh-CN"/>
              </w:rPr>
              <w:t>TAS-102</w:t>
            </w:r>
          </w:p>
        </w:tc>
        <w:tc>
          <w:tcPr>
            <w:tcW w:w="1058" w:type="pct"/>
            <w:shd w:val="clear"/>
            <w:noWrap/>
            <w:vAlign w:val="center"/>
          </w:tcPr>
          <w:p w14:paraId="1A0D3EF5">
            <w:pPr>
              <w:pStyle w:val="24"/>
              <w:bidi w:val="0"/>
              <w:rPr>
                <w:rFonts w:hint="eastAsia"/>
                <w:sz w:val="18"/>
                <w:szCs w:val="18"/>
              </w:rPr>
            </w:pPr>
          </w:p>
        </w:tc>
      </w:tr>
      <w:tr w14:paraId="66965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663576A5">
            <w:pPr>
              <w:pStyle w:val="24"/>
              <w:bidi w:val="0"/>
              <w:rPr>
                <w:rFonts w:hint="eastAsia"/>
                <w:sz w:val="18"/>
                <w:szCs w:val="18"/>
              </w:rPr>
            </w:pPr>
            <w:r>
              <w:rPr>
                <w:rFonts w:hint="eastAsia"/>
                <w:sz w:val="18"/>
                <w:szCs w:val="18"/>
                <w:lang w:val="en-US" w:eastAsia="zh-CN"/>
              </w:rPr>
              <w:t>BSC</w:t>
            </w:r>
          </w:p>
        </w:tc>
        <w:tc>
          <w:tcPr>
            <w:tcW w:w="732" w:type="pct"/>
            <w:shd w:val="clear"/>
            <w:noWrap/>
            <w:vAlign w:val="center"/>
          </w:tcPr>
          <w:p w14:paraId="0E8C36AE">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51361570">
            <w:pPr>
              <w:pStyle w:val="24"/>
              <w:bidi w:val="0"/>
              <w:rPr>
                <w:rFonts w:hint="eastAsia"/>
                <w:sz w:val="18"/>
                <w:szCs w:val="18"/>
              </w:rPr>
            </w:pPr>
            <w:r>
              <w:rPr>
                <w:rFonts w:hint="eastAsia"/>
                <w:sz w:val="18"/>
                <w:szCs w:val="18"/>
                <w:lang w:val="en-US" w:eastAsia="zh-CN"/>
              </w:rPr>
              <w:t>3.09 [2.54; 3.77]</w:t>
            </w:r>
          </w:p>
        </w:tc>
        <w:tc>
          <w:tcPr>
            <w:tcW w:w="732" w:type="pct"/>
            <w:shd w:val="clear"/>
            <w:noWrap/>
            <w:vAlign w:val="center"/>
          </w:tcPr>
          <w:p w14:paraId="6F6919C4">
            <w:pPr>
              <w:pStyle w:val="24"/>
              <w:bidi w:val="0"/>
              <w:rPr>
                <w:rFonts w:hint="eastAsia"/>
                <w:sz w:val="18"/>
                <w:szCs w:val="18"/>
              </w:rPr>
            </w:pPr>
            <w:r>
              <w:rPr>
                <w:rFonts w:hint="eastAsia"/>
                <w:sz w:val="18"/>
                <w:szCs w:val="18"/>
                <w:lang w:val="en-US" w:eastAsia="zh-CN"/>
              </w:rPr>
              <w:t>2.29 [1.89; 2.77]</w:t>
            </w:r>
          </w:p>
        </w:tc>
        <w:tc>
          <w:tcPr>
            <w:tcW w:w="732" w:type="pct"/>
            <w:shd w:val="clear"/>
            <w:noWrap/>
            <w:vAlign w:val="center"/>
          </w:tcPr>
          <w:p w14:paraId="0D0274EF">
            <w:pPr>
              <w:pStyle w:val="24"/>
              <w:bidi w:val="0"/>
              <w:rPr>
                <w:rFonts w:hint="eastAsia"/>
                <w:sz w:val="18"/>
                <w:szCs w:val="18"/>
              </w:rPr>
            </w:pPr>
            <w:r>
              <w:rPr>
                <w:rFonts w:hint="eastAsia"/>
                <w:sz w:val="18"/>
                <w:szCs w:val="18"/>
                <w:lang w:val="en-US" w:eastAsia="zh-CN"/>
              </w:rPr>
              <w:t>2.27 [1.86; 2.78]</w:t>
            </w:r>
          </w:p>
        </w:tc>
        <w:tc>
          <w:tcPr>
            <w:tcW w:w="1058" w:type="pct"/>
            <w:shd w:val="clear"/>
            <w:noWrap/>
            <w:vAlign w:val="center"/>
          </w:tcPr>
          <w:p w14:paraId="6014601E">
            <w:pPr>
              <w:pStyle w:val="24"/>
              <w:bidi w:val="0"/>
              <w:rPr>
                <w:rFonts w:hint="eastAsia"/>
                <w:sz w:val="18"/>
                <w:szCs w:val="18"/>
              </w:rPr>
            </w:pPr>
          </w:p>
        </w:tc>
      </w:tr>
      <w:tr w14:paraId="65419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3C4EA7ED">
            <w:pPr>
              <w:pStyle w:val="24"/>
              <w:bidi w:val="0"/>
              <w:rPr>
                <w:rFonts w:hint="eastAsia"/>
                <w:sz w:val="18"/>
                <w:szCs w:val="18"/>
              </w:rPr>
            </w:pPr>
            <w:r>
              <w:rPr>
                <w:rFonts w:hint="eastAsia"/>
                <w:sz w:val="18"/>
                <w:szCs w:val="18"/>
                <w:lang w:val="en-US" w:eastAsia="zh-CN"/>
              </w:rPr>
              <w:t>Fruquintinib</w:t>
            </w:r>
          </w:p>
        </w:tc>
        <w:tc>
          <w:tcPr>
            <w:tcW w:w="732" w:type="pct"/>
            <w:shd w:val="clear"/>
            <w:noWrap/>
            <w:vAlign w:val="center"/>
          </w:tcPr>
          <w:p w14:paraId="0595DCD8">
            <w:pPr>
              <w:pStyle w:val="24"/>
              <w:bidi w:val="0"/>
              <w:rPr>
                <w:rFonts w:hint="eastAsia"/>
                <w:sz w:val="18"/>
                <w:szCs w:val="18"/>
              </w:rPr>
            </w:pPr>
            <w:r>
              <w:rPr>
                <w:rFonts w:hint="eastAsia"/>
                <w:sz w:val="18"/>
                <w:szCs w:val="18"/>
                <w:lang w:val="en-US" w:eastAsia="zh-CN"/>
              </w:rPr>
              <w:t>0.32 [0.27; 0.39]</w:t>
            </w:r>
          </w:p>
        </w:tc>
        <w:tc>
          <w:tcPr>
            <w:tcW w:w="732" w:type="pct"/>
            <w:shd w:val="clear"/>
            <w:noWrap/>
            <w:vAlign w:val="center"/>
          </w:tcPr>
          <w:p w14:paraId="38A19C7F">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67AB835C">
            <w:pPr>
              <w:pStyle w:val="24"/>
              <w:bidi w:val="0"/>
              <w:rPr>
                <w:rFonts w:hint="eastAsia"/>
                <w:sz w:val="18"/>
                <w:szCs w:val="18"/>
              </w:rPr>
            </w:pPr>
            <w:r>
              <w:rPr>
                <w:rFonts w:hint="eastAsia"/>
                <w:sz w:val="18"/>
                <w:szCs w:val="18"/>
                <w:lang w:val="en-US" w:eastAsia="zh-CN"/>
              </w:rPr>
              <w:t>0.74 [0.56; 0.97]</w:t>
            </w:r>
          </w:p>
        </w:tc>
        <w:tc>
          <w:tcPr>
            <w:tcW w:w="732" w:type="pct"/>
            <w:shd w:val="clear"/>
            <w:noWrap/>
            <w:vAlign w:val="center"/>
          </w:tcPr>
          <w:p w14:paraId="380DB38E">
            <w:pPr>
              <w:pStyle w:val="24"/>
              <w:bidi w:val="0"/>
              <w:rPr>
                <w:rFonts w:hint="eastAsia"/>
                <w:sz w:val="18"/>
                <w:szCs w:val="18"/>
              </w:rPr>
            </w:pPr>
            <w:r>
              <w:rPr>
                <w:rFonts w:hint="eastAsia"/>
                <w:sz w:val="18"/>
                <w:szCs w:val="18"/>
                <w:lang w:val="en-US" w:eastAsia="zh-CN"/>
              </w:rPr>
              <w:t>0.73 [0.55; 0.98]</w:t>
            </w:r>
          </w:p>
        </w:tc>
        <w:tc>
          <w:tcPr>
            <w:tcW w:w="1058" w:type="pct"/>
            <w:shd w:val="clear"/>
            <w:noWrap/>
            <w:vAlign w:val="center"/>
          </w:tcPr>
          <w:p w14:paraId="543AF55E">
            <w:pPr>
              <w:pStyle w:val="24"/>
              <w:bidi w:val="0"/>
              <w:rPr>
                <w:rFonts w:hint="eastAsia"/>
                <w:sz w:val="18"/>
                <w:szCs w:val="18"/>
              </w:rPr>
            </w:pPr>
          </w:p>
        </w:tc>
      </w:tr>
      <w:tr w14:paraId="72C0B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6B5A3E41">
            <w:pPr>
              <w:pStyle w:val="24"/>
              <w:bidi w:val="0"/>
              <w:rPr>
                <w:rFonts w:hint="eastAsia"/>
                <w:sz w:val="18"/>
                <w:szCs w:val="18"/>
              </w:rPr>
            </w:pPr>
            <w:r>
              <w:rPr>
                <w:rFonts w:hint="eastAsia"/>
                <w:sz w:val="18"/>
                <w:szCs w:val="18"/>
                <w:lang w:val="en-US" w:eastAsia="zh-CN"/>
              </w:rPr>
              <w:t>Regorafenib</w:t>
            </w:r>
          </w:p>
        </w:tc>
        <w:tc>
          <w:tcPr>
            <w:tcW w:w="732" w:type="pct"/>
            <w:shd w:val="clear"/>
            <w:noWrap/>
            <w:vAlign w:val="center"/>
          </w:tcPr>
          <w:p w14:paraId="198A4858">
            <w:pPr>
              <w:pStyle w:val="24"/>
              <w:bidi w:val="0"/>
              <w:rPr>
                <w:rFonts w:hint="eastAsia"/>
                <w:sz w:val="18"/>
                <w:szCs w:val="18"/>
              </w:rPr>
            </w:pPr>
            <w:r>
              <w:rPr>
                <w:rFonts w:hint="eastAsia"/>
                <w:sz w:val="18"/>
                <w:szCs w:val="18"/>
                <w:lang w:val="en-US" w:eastAsia="zh-CN"/>
              </w:rPr>
              <w:t>0.44 [0.36; 0.53]</w:t>
            </w:r>
          </w:p>
        </w:tc>
        <w:tc>
          <w:tcPr>
            <w:tcW w:w="732" w:type="pct"/>
            <w:shd w:val="clear"/>
            <w:noWrap/>
            <w:vAlign w:val="center"/>
          </w:tcPr>
          <w:p w14:paraId="18B41F6F">
            <w:pPr>
              <w:pStyle w:val="24"/>
              <w:bidi w:val="0"/>
              <w:rPr>
                <w:rFonts w:hint="eastAsia"/>
                <w:sz w:val="18"/>
                <w:szCs w:val="18"/>
              </w:rPr>
            </w:pPr>
            <w:r>
              <w:rPr>
                <w:rFonts w:hint="eastAsia"/>
                <w:sz w:val="18"/>
                <w:szCs w:val="18"/>
                <w:lang w:val="en-US" w:eastAsia="zh-CN"/>
              </w:rPr>
              <w:t>1.35 [1.03; 1.79]</w:t>
            </w:r>
          </w:p>
        </w:tc>
        <w:tc>
          <w:tcPr>
            <w:tcW w:w="732" w:type="pct"/>
            <w:shd w:val="clear"/>
            <w:noWrap/>
            <w:vAlign w:val="center"/>
          </w:tcPr>
          <w:p w14:paraId="52E7E28E">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7883D91E">
            <w:pPr>
              <w:pStyle w:val="24"/>
              <w:bidi w:val="0"/>
              <w:rPr>
                <w:rFonts w:hint="eastAsia"/>
                <w:sz w:val="18"/>
                <w:szCs w:val="18"/>
              </w:rPr>
            </w:pPr>
            <w:r>
              <w:rPr>
                <w:rFonts w:hint="eastAsia"/>
                <w:sz w:val="18"/>
                <w:szCs w:val="18"/>
                <w:lang w:val="en-US" w:eastAsia="zh-CN"/>
              </w:rPr>
              <w:t>0.99 [0.75; 1.31]</w:t>
            </w:r>
          </w:p>
        </w:tc>
        <w:tc>
          <w:tcPr>
            <w:tcW w:w="1058" w:type="pct"/>
            <w:shd w:val="clear"/>
            <w:noWrap/>
            <w:vAlign w:val="center"/>
          </w:tcPr>
          <w:p w14:paraId="2382476A">
            <w:pPr>
              <w:pStyle w:val="24"/>
              <w:bidi w:val="0"/>
              <w:rPr>
                <w:rFonts w:hint="eastAsia"/>
                <w:sz w:val="18"/>
                <w:szCs w:val="18"/>
              </w:rPr>
            </w:pPr>
          </w:p>
        </w:tc>
      </w:tr>
      <w:tr w14:paraId="341D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3F814197">
            <w:pPr>
              <w:pStyle w:val="24"/>
              <w:bidi w:val="0"/>
              <w:rPr>
                <w:rFonts w:hint="eastAsia"/>
                <w:sz w:val="18"/>
                <w:szCs w:val="18"/>
              </w:rPr>
            </w:pPr>
            <w:r>
              <w:rPr>
                <w:rFonts w:hint="eastAsia"/>
                <w:sz w:val="18"/>
                <w:szCs w:val="18"/>
                <w:lang w:val="en-US" w:eastAsia="zh-CN"/>
              </w:rPr>
              <w:t>TAS-102</w:t>
            </w:r>
          </w:p>
        </w:tc>
        <w:tc>
          <w:tcPr>
            <w:tcW w:w="732" w:type="pct"/>
            <w:shd w:val="clear"/>
            <w:noWrap/>
            <w:vAlign w:val="center"/>
          </w:tcPr>
          <w:p w14:paraId="6B5CD480">
            <w:pPr>
              <w:pStyle w:val="24"/>
              <w:bidi w:val="0"/>
              <w:rPr>
                <w:rFonts w:hint="eastAsia"/>
                <w:sz w:val="18"/>
                <w:szCs w:val="18"/>
              </w:rPr>
            </w:pPr>
            <w:r>
              <w:rPr>
                <w:rFonts w:hint="eastAsia"/>
                <w:sz w:val="18"/>
                <w:szCs w:val="18"/>
                <w:lang w:val="en-US" w:eastAsia="zh-CN"/>
              </w:rPr>
              <w:t>0.44 [0.36; 0.54]</w:t>
            </w:r>
          </w:p>
        </w:tc>
        <w:tc>
          <w:tcPr>
            <w:tcW w:w="732" w:type="pct"/>
            <w:shd w:val="clear"/>
            <w:noWrap/>
            <w:vAlign w:val="center"/>
          </w:tcPr>
          <w:p w14:paraId="384019B6">
            <w:pPr>
              <w:pStyle w:val="24"/>
              <w:bidi w:val="0"/>
              <w:rPr>
                <w:rFonts w:hint="eastAsia"/>
                <w:sz w:val="18"/>
                <w:szCs w:val="18"/>
              </w:rPr>
            </w:pPr>
            <w:r>
              <w:rPr>
                <w:rFonts w:hint="eastAsia"/>
                <w:sz w:val="18"/>
                <w:szCs w:val="18"/>
                <w:lang w:val="en-US" w:eastAsia="zh-CN"/>
              </w:rPr>
              <w:t>1.37 [1.02; 1.82]</w:t>
            </w:r>
          </w:p>
        </w:tc>
        <w:tc>
          <w:tcPr>
            <w:tcW w:w="732" w:type="pct"/>
            <w:shd w:val="clear"/>
            <w:noWrap/>
            <w:vAlign w:val="center"/>
          </w:tcPr>
          <w:p w14:paraId="75812D1F">
            <w:pPr>
              <w:pStyle w:val="24"/>
              <w:bidi w:val="0"/>
              <w:rPr>
                <w:rFonts w:hint="eastAsia"/>
                <w:sz w:val="18"/>
                <w:szCs w:val="18"/>
              </w:rPr>
            </w:pPr>
            <w:r>
              <w:rPr>
                <w:rFonts w:hint="eastAsia"/>
                <w:sz w:val="18"/>
                <w:szCs w:val="18"/>
                <w:lang w:val="en-US" w:eastAsia="zh-CN"/>
              </w:rPr>
              <w:t>1.01 [0.76; 1.34]</w:t>
            </w:r>
          </w:p>
        </w:tc>
        <w:tc>
          <w:tcPr>
            <w:tcW w:w="732" w:type="pct"/>
            <w:shd w:val="clear"/>
            <w:noWrap/>
            <w:vAlign w:val="center"/>
          </w:tcPr>
          <w:p w14:paraId="60EE65AF">
            <w:pPr>
              <w:pStyle w:val="24"/>
              <w:bidi w:val="0"/>
              <w:rPr>
                <w:rFonts w:hint="eastAsia"/>
                <w:sz w:val="18"/>
                <w:szCs w:val="18"/>
              </w:rPr>
            </w:pPr>
            <w:r>
              <w:rPr>
                <w:rFonts w:hint="eastAsia"/>
                <w:sz w:val="18"/>
                <w:szCs w:val="18"/>
                <w:lang w:val="en-US" w:eastAsia="zh-CN"/>
              </w:rPr>
              <w:t>-</w:t>
            </w:r>
          </w:p>
        </w:tc>
        <w:tc>
          <w:tcPr>
            <w:tcW w:w="1058" w:type="pct"/>
            <w:shd w:val="clear"/>
            <w:noWrap/>
            <w:vAlign w:val="center"/>
          </w:tcPr>
          <w:p w14:paraId="018B83C1">
            <w:pPr>
              <w:pStyle w:val="24"/>
              <w:bidi w:val="0"/>
              <w:rPr>
                <w:rFonts w:hint="eastAsia"/>
                <w:sz w:val="18"/>
                <w:szCs w:val="18"/>
              </w:rPr>
            </w:pPr>
          </w:p>
        </w:tc>
      </w:tr>
      <w:tr w14:paraId="0BFD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000" w:type="pct"/>
            <w:gridSpan w:val="6"/>
            <w:shd w:val="clear"/>
            <w:noWrap/>
            <w:vAlign w:val="center"/>
          </w:tcPr>
          <w:p w14:paraId="10542926">
            <w:pPr>
              <w:pStyle w:val="24"/>
              <w:bidi w:val="0"/>
              <w:rPr>
                <w:rFonts w:hint="eastAsia"/>
                <w:sz w:val="18"/>
                <w:szCs w:val="18"/>
              </w:rPr>
            </w:pPr>
            <w:r>
              <w:rPr>
                <w:rFonts w:hint="eastAsia"/>
                <w:sz w:val="18"/>
                <w:szCs w:val="18"/>
                <w:lang w:val="en-US" w:eastAsia="zh-CN"/>
              </w:rPr>
              <w:t>Less than 4 Previous treatment lines for metastatic disease, OS</w:t>
            </w:r>
          </w:p>
        </w:tc>
      </w:tr>
      <w:tr w14:paraId="30A62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5029BB0F">
            <w:pPr>
              <w:pStyle w:val="24"/>
              <w:bidi w:val="0"/>
              <w:rPr>
                <w:rFonts w:hint="eastAsia"/>
                <w:sz w:val="18"/>
                <w:szCs w:val="18"/>
              </w:rPr>
            </w:pPr>
          </w:p>
        </w:tc>
        <w:tc>
          <w:tcPr>
            <w:tcW w:w="732" w:type="pct"/>
            <w:shd w:val="clear"/>
            <w:noWrap/>
            <w:vAlign w:val="center"/>
          </w:tcPr>
          <w:p w14:paraId="2324BBC0">
            <w:pPr>
              <w:pStyle w:val="24"/>
              <w:bidi w:val="0"/>
              <w:rPr>
                <w:rFonts w:hint="eastAsia"/>
                <w:sz w:val="18"/>
                <w:szCs w:val="18"/>
              </w:rPr>
            </w:pPr>
            <w:r>
              <w:rPr>
                <w:rFonts w:hint="eastAsia"/>
                <w:sz w:val="18"/>
                <w:szCs w:val="18"/>
                <w:lang w:val="en-US" w:eastAsia="zh-CN"/>
              </w:rPr>
              <w:t>BSC</w:t>
            </w:r>
          </w:p>
        </w:tc>
        <w:tc>
          <w:tcPr>
            <w:tcW w:w="732" w:type="pct"/>
            <w:shd w:val="clear"/>
            <w:noWrap/>
            <w:vAlign w:val="center"/>
          </w:tcPr>
          <w:p w14:paraId="003B303C">
            <w:pPr>
              <w:pStyle w:val="24"/>
              <w:bidi w:val="0"/>
              <w:rPr>
                <w:rFonts w:hint="eastAsia"/>
                <w:sz w:val="18"/>
                <w:szCs w:val="18"/>
              </w:rPr>
            </w:pPr>
            <w:r>
              <w:rPr>
                <w:rFonts w:hint="eastAsia"/>
                <w:sz w:val="18"/>
                <w:szCs w:val="18"/>
                <w:lang w:val="en-US" w:eastAsia="zh-CN"/>
              </w:rPr>
              <w:t>Fruquintinib</w:t>
            </w:r>
          </w:p>
        </w:tc>
        <w:tc>
          <w:tcPr>
            <w:tcW w:w="732" w:type="pct"/>
            <w:shd w:val="clear"/>
            <w:noWrap/>
            <w:vAlign w:val="center"/>
          </w:tcPr>
          <w:p w14:paraId="3EA20167">
            <w:pPr>
              <w:pStyle w:val="24"/>
              <w:bidi w:val="0"/>
              <w:rPr>
                <w:rFonts w:hint="eastAsia"/>
                <w:sz w:val="18"/>
                <w:szCs w:val="18"/>
              </w:rPr>
            </w:pPr>
            <w:r>
              <w:rPr>
                <w:rFonts w:hint="eastAsia"/>
                <w:sz w:val="18"/>
                <w:szCs w:val="18"/>
                <w:lang w:val="en-US" w:eastAsia="zh-CN"/>
              </w:rPr>
              <w:t>Regorafenib</w:t>
            </w:r>
          </w:p>
        </w:tc>
        <w:tc>
          <w:tcPr>
            <w:tcW w:w="732" w:type="pct"/>
            <w:shd w:val="clear"/>
            <w:noWrap/>
            <w:vAlign w:val="center"/>
          </w:tcPr>
          <w:p w14:paraId="0857D32E">
            <w:pPr>
              <w:pStyle w:val="24"/>
              <w:bidi w:val="0"/>
              <w:rPr>
                <w:rFonts w:hint="eastAsia"/>
                <w:sz w:val="18"/>
                <w:szCs w:val="18"/>
              </w:rPr>
            </w:pPr>
            <w:r>
              <w:rPr>
                <w:rFonts w:hint="eastAsia"/>
                <w:sz w:val="18"/>
                <w:szCs w:val="18"/>
                <w:lang w:val="en-US" w:eastAsia="zh-CN"/>
              </w:rPr>
              <w:t>TAS-102</w:t>
            </w:r>
          </w:p>
        </w:tc>
        <w:tc>
          <w:tcPr>
            <w:tcW w:w="1058" w:type="pct"/>
            <w:shd w:val="clear"/>
            <w:noWrap/>
            <w:vAlign w:val="center"/>
          </w:tcPr>
          <w:p w14:paraId="325F9393">
            <w:pPr>
              <w:pStyle w:val="24"/>
              <w:bidi w:val="0"/>
              <w:rPr>
                <w:rFonts w:hint="eastAsia"/>
                <w:sz w:val="18"/>
                <w:szCs w:val="18"/>
              </w:rPr>
            </w:pPr>
          </w:p>
        </w:tc>
      </w:tr>
      <w:tr w14:paraId="72E8C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6E1AF493">
            <w:pPr>
              <w:pStyle w:val="24"/>
              <w:bidi w:val="0"/>
              <w:rPr>
                <w:rFonts w:hint="eastAsia"/>
                <w:sz w:val="18"/>
                <w:szCs w:val="18"/>
              </w:rPr>
            </w:pPr>
            <w:r>
              <w:rPr>
                <w:rFonts w:hint="eastAsia"/>
                <w:sz w:val="18"/>
                <w:szCs w:val="18"/>
                <w:lang w:val="en-US" w:eastAsia="zh-CN"/>
              </w:rPr>
              <w:t>BSC</w:t>
            </w:r>
          </w:p>
        </w:tc>
        <w:tc>
          <w:tcPr>
            <w:tcW w:w="732" w:type="pct"/>
            <w:shd w:val="clear"/>
            <w:noWrap/>
            <w:vAlign w:val="center"/>
          </w:tcPr>
          <w:p w14:paraId="34B84AD6">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2D4E6857">
            <w:pPr>
              <w:pStyle w:val="24"/>
              <w:bidi w:val="0"/>
              <w:rPr>
                <w:rFonts w:hint="eastAsia"/>
                <w:sz w:val="18"/>
                <w:szCs w:val="18"/>
              </w:rPr>
            </w:pPr>
            <w:r>
              <w:rPr>
                <w:rFonts w:hint="eastAsia"/>
                <w:sz w:val="18"/>
                <w:szCs w:val="18"/>
                <w:lang w:val="en-US" w:eastAsia="zh-CN"/>
              </w:rPr>
              <w:t>1.51 [1.21; 1.87]</w:t>
            </w:r>
          </w:p>
        </w:tc>
        <w:tc>
          <w:tcPr>
            <w:tcW w:w="732" w:type="pct"/>
            <w:shd w:val="clear"/>
            <w:noWrap/>
            <w:vAlign w:val="center"/>
          </w:tcPr>
          <w:p w14:paraId="40F7AD10">
            <w:pPr>
              <w:pStyle w:val="24"/>
              <w:bidi w:val="0"/>
              <w:rPr>
                <w:rFonts w:hint="eastAsia"/>
                <w:sz w:val="18"/>
                <w:szCs w:val="18"/>
              </w:rPr>
            </w:pPr>
            <w:r>
              <w:rPr>
                <w:rFonts w:hint="eastAsia"/>
                <w:sz w:val="18"/>
                <w:szCs w:val="18"/>
                <w:lang w:val="en-US" w:eastAsia="zh-CN"/>
              </w:rPr>
              <w:t>1.46 [1.12; 1.90]</w:t>
            </w:r>
          </w:p>
        </w:tc>
        <w:tc>
          <w:tcPr>
            <w:tcW w:w="732" w:type="pct"/>
            <w:shd w:val="clear"/>
            <w:noWrap/>
            <w:vAlign w:val="center"/>
          </w:tcPr>
          <w:p w14:paraId="033AEE24">
            <w:pPr>
              <w:pStyle w:val="24"/>
              <w:bidi w:val="0"/>
              <w:rPr>
                <w:rFonts w:hint="eastAsia"/>
                <w:sz w:val="18"/>
                <w:szCs w:val="18"/>
              </w:rPr>
            </w:pPr>
            <w:r>
              <w:rPr>
                <w:rFonts w:hint="eastAsia"/>
                <w:sz w:val="18"/>
                <w:szCs w:val="18"/>
                <w:lang w:val="en-US" w:eastAsia="zh-CN"/>
              </w:rPr>
              <w:t>1.30 [0.98; 1.73]</w:t>
            </w:r>
          </w:p>
        </w:tc>
        <w:tc>
          <w:tcPr>
            <w:tcW w:w="1058" w:type="pct"/>
            <w:shd w:val="clear"/>
            <w:noWrap/>
            <w:vAlign w:val="center"/>
          </w:tcPr>
          <w:p w14:paraId="0AEFA165">
            <w:pPr>
              <w:pStyle w:val="24"/>
              <w:bidi w:val="0"/>
              <w:rPr>
                <w:rFonts w:hint="eastAsia"/>
                <w:sz w:val="18"/>
                <w:szCs w:val="18"/>
              </w:rPr>
            </w:pPr>
          </w:p>
        </w:tc>
      </w:tr>
      <w:tr w14:paraId="4FFA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1011" w:type="pct"/>
            <w:shd w:val="clear"/>
            <w:noWrap/>
            <w:vAlign w:val="center"/>
          </w:tcPr>
          <w:p w14:paraId="0C829971">
            <w:pPr>
              <w:pStyle w:val="24"/>
              <w:bidi w:val="0"/>
              <w:rPr>
                <w:rFonts w:hint="eastAsia"/>
                <w:sz w:val="18"/>
                <w:szCs w:val="18"/>
              </w:rPr>
            </w:pPr>
            <w:r>
              <w:rPr>
                <w:rFonts w:hint="eastAsia"/>
                <w:sz w:val="18"/>
                <w:szCs w:val="18"/>
                <w:lang w:val="en-US" w:eastAsia="zh-CN"/>
              </w:rPr>
              <w:t>Fruquintinib</w:t>
            </w:r>
          </w:p>
        </w:tc>
        <w:tc>
          <w:tcPr>
            <w:tcW w:w="732" w:type="pct"/>
            <w:shd w:val="clear"/>
            <w:noWrap/>
            <w:vAlign w:val="center"/>
          </w:tcPr>
          <w:p w14:paraId="3BF7EA66">
            <w:pPr>
              <w:pStyle w:val="24"/>
              <w:bidi w:val="0"/>
              <w:rPr>
                <w:rFonts w:hint="eastAsia"/>
                <w:sz w:val="18"/>
                <w:szCs w:val="18"/>
              </w:rPr>
            </w:pPr>
            <w:r>
              <w:rPr>
                <w:rFonts w:hint="eastAsia"/>
                <w:sz w:val="18"/>
                <w:szCs w:val="18"/>
                <w:lang w:val="en-US" w:eastAsia="zh-CN"/>
              </w:rPr>
              <w:t>0.66 [0.53; 0.83]</w:t>
            </w:r>
          </w:p>
        </w:tc>
        <w:tc>
          <w:tcPr>
            <w:tcW w:w="732" w:type="pct"/>
            <w:shd w:val="clear"/>
            <w:noWrap/>
            <w:vAlign w:val="center"/>
          </w:tcPr>
          <w:p w14:paraId="20AB0142">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08C0736F">
            <w:pPr>
              <w:pStyle w:val="24"/>
              <w:bidi w:val="0"/>
              <w:rPr>
                <w:rFonts w:hint="eastAsia"/>
                <w:sz w:val="18"/>
                <w:szCs w:val="18"/>
              </w:rPr>
            </w:pPr>
            <w:r>
              <w:rPr>
                <w:rFonts w:hint="eastAsia"/>
                <w:sz w:val="18"/>
                <w:szCs w:val="18"/>
                <w:lang w:val="en-US" w:eastAsia="zh-CN"/>
              </w:rPr>
              <w:t>0.97 [0.69; 1.36]</w:t>
            </w:r>
          </w:p>
        </w:tc>
        <w:tc>
          <w:tcPr>
            <w:tcW w:w="732" w:type="pct"/>
            <w:shd w:val="clear"/>
            <w:noWrap/>
            <w:vAlign w:val="center"/>
          </w:tcPr>
          <w:p w14:paraId="0E2C18B1">
            <w:pPr>
              <w:pStyle w:val="24"/>
              <w:bidi w:val="0"/>
              <w:rPr>
                <w:rFonts w:hint="eastAsia"/>
                <w:sz w:val="18"/>
                <w:szCs w:val="18"/>
              </w:rPr>
            </w:pPr>
            <w:r>
              <w:rPr>
                <w:rFonts w:hint="eastAsia"/>
                <w:sz w:val="18"/>
                <w:szCs w:val="18"/>
                <w:lang w:val="en-US" w:eastAsia="zh-CN"/>
              </w:rPr>
              <w:t>0.86 [0.60; 1.24]</w:t>
            </w:r>
          </w:p>
        </w:tc>
        <w:tc>
          <w:tcPr>
            <w:tcW w:w="1058" w:type="pct"/>
            <w:shd w:val="clear"/>
            <w:noWrap/>
            <w:vAlign w:val="center"/>
          </w:tcPr>
          <w:p w14:paraId="7E7B8CCF">
            <w:pPr>
              <w:pStyle w:val="24"/>
              <w:bidi w:val="0"/>
              <w:rPr>
                <w:rFonts w:hint="eastAsia"/>
                <w:sz w:val="18"/>
                <w:szCs w:val="18"/>
              </w:rPr>
            </w:pPr>
          </w:p>
        </w:tc>
      </w:tr>
      <w:tr w14:paraId="359F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19771026">
            <w:pPr>
              <w:pStyle w:val="24"/>
              <w:bidi w:val="0"/>
              <w:rPr>
                <w:rFonts w:hint="eastAsia"/>
                <w:sz w:val="18"/>
                <w:szCs w:val="18"/>
              </w:rPr>
            </w:pPr>
            <w:r>
              <w:rPr>
                <w:rFonts w:hint="eastAsia"/>
                <w:sz w:val="18"/>
                <w:szCs w:val="18"/>
                <w:lang w:val="en-US" w:eastAsia="zh-CN"/>
              </w:rPr>
              <w:t>Regorafenib</w:t>
            </w:r>
          </w:p>
        </w:tc>
        <w:tc>
          <w:tcPr>
            <w:tcW w:w="732" w:type="pct"/>
            <w:shd w:val="clear"/>
            <w:noWrap/>
            <w:vAlign w:val="center"/>
          </w:tcPr>
          <w:p w14:paraId="314F8083">
            <w:pPr>
              <w:pStyle w:val="24"/>
              <w:bidi w:val="0"/>
              <w:rPr>
                <w:rFonts w:hint="eastAsia"/>
                <w:sz w:val="18"/>
                <w:szCs w:val="18"/>
              </w:rPr>
            </w:pPr>
            <w:r>
              <w:rPr>
                <w:rFonts w:hint="eastAsia"/>
                <w:sz w:val="18"/>
                <w:szCs w:val="18"/>
                <w:lang w:val="en-US" w:eastAsia="zh-CN"/>
              </w:rPr>
              <w:t>0.68 [0.53; 0.89]</w:t>
            </w:r>
          </w:p>
        </w:tc>
        <w:tc>
          <w:tcPr>
            <w:tcW w:w="732" w:type="pct"/>
            <w:shd w:val="clear"/>
            <w:noWrap/>
            <w:vAlign w:val="center"/>
          </w:tcPr>
          <w:p w14:paraId="5D5F2DD4">
            <w:pPr>
              <w:pStyle w:val="24"/>
              <w:bidi w:val="0"/>
              <w:rPr>
                <w:rFonts w:hint="eastAsia"/>
                <w:sz w:val="18"/>
                <w:szCs w:val="18"/>
              </w:rPr>
            </w:pPr>
            <w:r>
              <w:rPr>
                <w:rFonts w:hint="eastAsia"/>
                <w:sz w:val="18"/>
                <w:szCs w:val="18"/>
                <w:lang w:val="en-US" w:eastAsia="zh-CN"/>
              </w:rPr>
              <w:t>1.03 [0.74; 1.45]</w:t>
            </w:r>
          </w:p>
        </w:tc>
        <w:tc>
          <w:tcPr>
            <w:tcW w:w="732" w:type="pct"/>
            <w:shd w:val="clear"/>
            <w:noWrap/>
            <w:vAlign w:val="center"/>
          </w:tcPr>
          <w:p w14:paraId="6370E183">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3951BA1B">
            <w:pPr>
              <w:pStyle w:val="24"/>
              <w:bidi w:val="0"/>
              <w:rPr>
                <w:rFonts w:hint="eastAsia"/>
                <w:sz w:val="18"/>
                <w:szCs w:val="18"/>
              </w:rPr>
            </w:pPr>
            <w:r>
              <w:rPr>
                <w:rFonts w:hint="eastAsia"/>
                <w:sz w:val="18"/>
                <w:szCs w:val="18"/>
                <w:lang w:val="en-US" w:eastAsia="zh-CN"/>
              </w:rPr>
              <w:t>0.89 [0.61; 1.31]</w:t>
            </w:r>
          </w:p>
        </w:tc>
        <w:tc>
          <w:tcPr>
            <w:tcW w:w="1058" w:type="pct"/>
            <w:shd w:val="clear"/>
            <w:noWrap/>
            <w:vAlign w:val="center"/>
          </w:tcPr>
          <w:p w14:paraId="7438DF25">
            <w:pPr>
              <w:pStyle w:val="24"/>
              <w:bidi w:val="0"/>
              <w:rPr>
                <w:rFonts w:hint="eastAsia"/>
                <w:sz w:val="18"/>
                <w:szCs w:val="18"/>
              </w:rPr>
            </w:pPr>
          </w:p>
        </w:tc>
      </w:tr>
      <w:tr w14:paraId="6834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1011" w:type="pct"/>
            <w:shd w:val="clear"/>
            <w:noWrap/>
            <w:vAlign w:val="center"/>
          </w:tcPr>
          <w:p w14:paraId="15D64A18">
            <w:pPr>
              <w:pStyle w:val="24"/>
              <w:bidi w:val="0"/>
              <w:rPr>
                <w:rFonts w:hint="eastAsia"/>
                <w:sz w:val="18"/>
                <w:szCs w:val="18"/>
              </w:rPr>
            </w:pPr>
            <w:r>
              <w:rPr>
                <w:rFonts w:hint="eastAsia"/>
                <w:sz w:val="18"/>
                <w:szCs w:val="18"/>
                <w:lang w:val="en-US" w:eastAsia="zh-CN"/>
              </w:rPr>
              <w:t>TAS-102</w:t>
            </w:r>
          </w:p>
        </w:tc>
        <w:tc>
          <w:tcPr>
            <w:tcW w:w="732" w:type="pct"/>
            <w:shd w:val="clear"/>
            <w:noWrap/>
            <w:vAlign w:val="center"/>
          </w:tcPr>
          <w:p w14:paraId="2A0AE6C1">
            <w:pPr>
              <w:pStyle w:val="24"/>
              <w:bidi w:val="0"/>
              <w:rPr>
                <w:rFonts w:hint="eastAsia"/>
                <w:sz w:val="18"/>
                <w:szCs w:val="18"/>
              </w:rPr>
            </w:pPr>
            <w:r>
              <w:rPr>
                <w:rFonts w:hint="eastAsia"/>
                <w:sz w:val="18"/>
                <w:szCs w:val="18"/>
                <w:lang w:val="en-US" w:eastAsia="zh-CN"/>
              </w:rPr>
              <w:t>0.77 [0.58; 1.02]</w:t>
            </w:r>
          </w:p>
        </w:tc>
        <w:tc>
          <w:tcPr>
            <w:tcW w:w="732" w:type="pct"/>
            <w:shd w:val="clear"/>
            <w:noWrap/>
            <w:vAlign w:val="center"/>
          </w:tcPr>
          <w:p w14:paraId="6199F25C">
            <w:pPr>
              <w:pStyle w:val="24"/>
              <w:bidi w:val="0"/>
              <w:rPr>
                <w:rFonts w:hint="eastAsia"/>
                <w:sz w:val="18"/>
                <w:szCs w:val="18"/>
              </w:rPr>
            </w:pPr>
            <w:r>
              <w:rPr>
                <w:rFonts w:hint="eastAsia"/>
                <w:sz w:val="18"/>
                <w:szCs w:val="18"/>
                <w:lang w:val="en-US" w:eastAsia="zh-CN"/>
              </w:rPr>
              <w:t>1.16 [0.81; 1.67]</w:t>
            </w:r>
          </w:p>
        </w:tc>
        <w:tc>
          <w:tcPr>
            <w:tcW w:w="732" w:type="pct"/>
            <w:shd w:val="clear"/>
            <w:noWrap/>
            <w:vAlign w:val="center"/>
          </w:tcPr>
          <w:p w14:paraId="27291778">
            <w:pPr>
              <w:pStyle w:val="24"/>
              <w:bidi w:val="0"/>
              <w:rPr>
                <w:rFonts w:hint="eastAsia"/>
                <w:sz w:val="18"/>
                <w:szCs w:val="18"/>
              </w:rPr>
            </w:pPr>
            <w:r>
              <w:rPr>
                <w:rFonts w:hint="eastAsia"/>
                <w:sz w:val="18"/>
                <w:szCs w:val="18"/>
                <w:lang w:val="en-US" w:eastAsia="zh-CN"/>
              </w:rPr>
              <w:t>1.12 [0.76; 1.64]</w:t>
            </w:r>
          </w:p>
        </w:tc>
        <w:tc>
          <w:tcPr>
            <w:tcW w:w="732" w:type="pct"/>
            <w:shd w:val="clear"/>
            <w:noWrap/>
            <w:vAlign w:val="center"/>
          </w:tcPr>
          <w:p w14:paraId="2F479835">
            <w:pPr>
              <w:pStyle w:val="24"/>
              <w:bidi w:val="0"/>
              <w:rPr>
                <w:rFonts w:hint="eastAsia"/>
                <w:sz w:val="18"/>
                <w:szCs w:val="18"/>
              </w:rPr>
            </w:pPr>
            <w:r>
              <w:rPr>
                <w:rFonts w:hint="eastAsia"/>
                <w:sz w:val="18"/>
                <w:szCs w:val="18"/>
                <w:lang w:val="en-US" w:eastAsia="zh-CN"/>
              </w:rPr>
              <w:t>-</w:t>
            </w:r>
          </w:p>
        </w:tc>
        <w:tc>
          <w:tcPr>
            <w:tcW w:w="1058" w:type="pct"/>
            <w:shd w:val="clear"/>
            <w:noWrap/>
            <w:vAlign w:val="center"/>
          </w:tcPr>
          <w:p w14:paraId="07E5CA70">
            <w:pPr>
              <w:pStyle w:val="24"/>
              <w:bidi w:val="0"/>
              <w:rPr>
                <w:rFonts w:hint="eastAsia"/>
                <w:sz w:val="18"/>
                <w:szCs w:val="18"/>
              </w:rPr>
            </w:pPr>
          </w:p>
        </w:tc>
      </w:tr>
      <w:tr w14:paraId="2A9D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5000" w:type="pct"/>
            <w:gridSpan w:val="6"/>
            <w:shd w:val="clear"/>
            <w:noWrap/>
            <w:vAlign w:val="center"/>
          </w:tcPr>
          <w:p w14:paraId="63411180">
            <w:pPr>
              <w:pStyle w:val="24"/>
              <w:bidi w:val="0"/>
              <w:rPr>
                <w:rFonts w:hint="eastAsia"/>
                <w:sz w:val="18"/>
                <w:szCs w:val="18"/>
              </w:rPr>
            </w:pPr>
            <w:r>
              <w:rPr>
                <w:rFonts w:hint="eastAsia"/>
                <w:sz w:val="18"/>
                <w:szCs w:val="18"/>
                <w:lang w:val="en-US" w:eastAsia="zh-CN"/>
              </w:rPr>
              <w:t>Less than 4 Previous treatment lines for metastatic disease, PFS</w:t>
            </w:r>
          </w:p>
        </w:tc>
      </w:tr>
      <w:tr w14:paraId="326F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1011" w:type="pct"/>
            <w:shd w:val="clear"/>
            <w:noWrap/>
            <w:vAlign w:val="center"/>
          </w:tcPr>
          <w:p w14:paraId="28FF19EE">
            <w:pPr>
              <w:pStyle w:val="24"/>
              <w:bidi w:val="0"/>
              <w:rPr>
                <w:rFonts w:hint="eastAsia"/>
                <w:sz w:val="18"/>
                <w:szCs w:val="18"/>
              </w:rPr>
            </w:pPr>
          </w:p>
        </w:tc>
        <w:tc>
          <w:tcPr>
            <w:tcW w:w="732" w:type="pct"/>
            <w:shd w:val="clear"/>
            <w:noWrap/>
            <w:vAlign w:val="center"/>
          </w:tcPr>
          <w:p w14:paraId="569D32B2">
            <w:pPr>
              <w:pStyle w:val="24"/>
              <w:bidi w:val="0"/>
              <w:rPr>
                <w:rFonts w:hint="eastAsia"/>
                <w:sz w:val="18"/>
                <w:szCs w:val="18"/>
              </w:rPr>
            </w:pPr>
            <w:r>
              <w:rPr>
                <w:rFonts w:hint="eastAsia"/>
                <w:sz w:val="18"/>
                <w:szCs w:val="18"/>
                <w:lang w:val="en-US" w:eastAsia="zh-CN"/>
              </w:rPr>
              <w:t>BSC</w:t>
            </w:r>
          </w:p>
        </w:tc>
        <w:tc>
          <w:tcPr>
            <w:tcW w:w="732" w:type="pct"/>
            <w:shd w:val="clear"/>
            <w:noWrap/>
            <w:vAlign w:val="center"/>
          </w:tcPr>
          <w:p w14:paraId="5A11842E">
            <w:pPr>
              <w:pStyle w:val="24"/>
              <w:bidi w:val="0"/>
              <w:rPr>
                <w:rFonts w:hint="eastAsia"/>
                <w:sz w:val="18"/>
                <w:szCs w:val="18"/>
              </w:rPr>
            </w:pPr>
            <w:r>
              <w:rPr>
                <w:rFonts w:hint="eastAsia"/>
                <w:sz w:val="18"/>
                <w:szCs w:val="18"/>
                <w:lang w:val="en-US" w:eastAsia="zh-CN"/>
              </w:rPr>
              <w:t>Fruquintinib</w:t>
            </w:r>
          </w:p>
        </w:tc>
        <w:tc>
          <w:tcPr>
            <w:tcW w:w="732" w:type="pct"/>
            <w:shd w:val="clear"/>
            <w:noWrap/>
            <w:vAlign w:val="center"/>
          </w:tcPr>
          <w:p w14:paraId="070CF1A5">
            <w:pPr>
              <w:pStyle w:val="24"/>
              <w:bidi w:val="0"/>
              <w:rPr>
                <w:rFonts w:hint="eastAsia"/>
                <w:sz w:val="18"/>
                <w:szCs w:val="18"/>
              </w:rPr>
            </w:pPr>
            <w:r>
              <w:rPr>
                <w:rFonts w:hint="eastAsia"/>
                <w:sz w:val="18"/>
                <w:szCs w:val="18"/>
                <w:lang w:val="en-US" w:eastAsia="zh-CN"/>
              </w:rPr>
              <w:t>Regorafenib</w:t>
            </w:r>
          </w:p>
        </w:tc>
        <w:tc>
          <w:tcPr>
            <w:tcW w:w="732" w:type="pct"/>
            <w:shd w:val="clear"/>
            <w:noWrap/>
            <w:vAlign w:val="center"/>
          </w:tcPr>
          <w:p w14:paraId="3EB08182">
            <w:pPr>
              <w:pStyle w:val="24"/>
              <w:bidi w:val="0"/>
              <w:rPr>
                <w:rFonts w:hint="eastAsia"/>
                <w:sz w:val="18"/>
                <w:szCs w:val="18"/>
              </w:rPr>
            </w:pPr>
            <w:r>
              <w:rPr>
                <w:rFonts w:hint="eastAsia"/>
                <w:sz w:val="18"/>
                <w:szCs w:val="18"/>
                <w:lang w:val="en-US" w:eastAsia="zh-CN"/>
              </w:rPr>
              <w:t>TAS-102</w:t>
            </w:r>
          </w:p>
        </w:tc>
        <w:tc>
          <w:tcPr>
            <w:tcW w:w="1058" w:type="pct"/>
            <w:shd w:val="clear"/>
            <w:noWrap/>
            <w:vAlign w:val="center"/>
          </w:tcPr>
          <w:p w14:paraId="770BCFB0">
            <w:pPr>
              <w:pStyle w:val="24"/>
              <w:bidi w:val="0"/>
              <w:rPr>
                <w:rFonts w:hint="eastAsia"/>
                <w:sz w:val="18"/>
                <w:szCs w:val="18"/>
              </w:rPr>
            </w:pPr>
          </w:p>
        </w:tc>
      </w:tr>
      <w:tr w14:paraId="3BA7F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1011" w:type="pct"/>
            <w:shd w:val="clear"/>
            <w:noWrap/>
            <w:vAlign w:val="center"/>
          </w:tcPr>
          <w:p w14:paraId="05C8AA9C">
            <w:pPr>
              <w:pStyle w:val="24"/>
              <w:bidi w:val="0"/>
              <w:rPr>
                <w:rFonts w:hint="eastAsia"/>
                <w:sz w:val="18"/>
                <w:szCs w:val="18"/>
              </w:rPr>
            </w:pPr>
            <w:r>
              <w:rPr>
                <w:rFonts w:hint="eastAsia"/>
                <w:sz w:val="18"/>
                <w:szCs w:val="18"/>
                <w:lang w:val="en-US" w:eastAsia="zh-CN"/>
              </w:rPr>
              <w:t>BSC</w:t>
            </w:r>
          </w:p>
        </w:tc>
        <w:tc>
          <w:tcPr>
            <w:tcW w:w="732" w:type="pct"/>
            <w:shd w:val="clear"/>
            <w:noWrap/>
            <w:vAlign w:val="center"/>
          </w:tcPr>
          <w:p w14:paraId="03578952">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619ED7F8">
            <w:pPr>
              <w:pStyle w:val="24"/>
              <w:bidi w:val="0"/>
              <w:rPr>
                <w:rFonts w:hint="eastAsia"/>
                <w:sz w:val="18"/>
                <w:szCs w:val="18"/>
              </w:rPr>
            </w:pPr>
            <w:r>
              <w:rPr>
                <w:rFonts w:hint="eastAsia"/>
                <w:sz w:val="18"/>
                <w:szCs w:val="18"/>
                <w:lang w:val="en-US" w:eastAsia="zh-CN"/>
              </w:rPr>
              <w:t>3.66 [2.96; 4.52]</w:t>
            </w:r>
          </w:p>
        </w:tc>
        <w:tc>
          <w:tcPr>
            <w:tcW w:w="732" w:type="pct"/>
            <w:shd w:val="clear"/>
            <w:noWrap/>
            <w:vAlign w:val="center"/>
          </w:tcPr>
          <w:p w14:paraId="7205D542">
            <w:pPr>
              <w:pStyle w:val="24"/>
              <w:bidi w:val="0"/>
              <w:rPr>
                <w:rFonts w:hint="eastAsia"/>
                <w:sz w:val="18"/>
                <w:szCs w:val="18"/>
              </w:rPr>
            </w:pPr>
            <w:r>
              <w:rPr>
                <w:rFonts w:hint="eastAsia"/>
                <w:sz w:val="18"/>
                <w:szCs w:val="18"/>
                <w:lang w:val="en-US" w:eastAsia="zh-CN"/>
              </w:rPr>
              <w:t>2.12 [1.69; 2.67]</w:t>
            </w:r>
          </w:p>
        </w:tc>
        <w:tc>
          <w:tcPr>
            <w:tcW w:w="732" w:type="pct"/>
            <w:shd w:val="clear"/>
            <w:noWrap/>
            <w:vAlign w:val="center"/>
          </w:tcPr>
          <w:p w14:paraId="41249B92">
            <w:pPr>
              <w:pStyle w:val="24"/>
              <w:bidi w:val="0"/>
              <w:rPr>
                <w:rFonts w:hint="eastAsia"/>
                <w:sz w:val="18"/>
                <w:szCs w:val="18"/>
              </w:rPr>
            </w:pPr>
            <w:r>
              <w:rPr>
                <w:rFonts w:hint="eastAsia"/>
                <w:sz w:val="18"/>
                <w:szCs w:val="18"/>
                <w:lang w:val="en-US" w:eastAsia="zh-CN"/>
              </w:rPr>
              <w:t>2.27 [1.57; 3.29]</w:t>
            </w:r>
          </w:p>
        </w:tc>
        <w:tc>
          <w:tcPr>
            <w:tcW w:w="1058" w:type="pct"/>
            <w:shd w:val="clear"/>
            <w:noWrap/>
            <w:vAlign w:val="center"/>
          </w:tcPr>
          <w:p w14:paraId="1B5E0CB9">
            <w:pPr>
              <w:pStyle w:val="24"/>
              <w:bidi w:val="0"/>
              <w:rPr>
                <w:rFonts w:hint="eastAsia"/>
                <w:sz w:val="18"/>
                <w:szCs w:val="18"/>
              </w:rPr>
            </w:pPr>
          </w:p>
        </w:tc>
      </w:tr>
      <w:tr w14:paraId="28BB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11" w:type="pct"/>
            <w:shd w:val="clear"/>
            <w:noWrap/>
            <w:vAlign w:val="center"/>
          </w:tcPr>
          <w:p w14:paraId="3ED7BDDF">
            <w:pPr>
              <w:pStyle w:val="24"/>
              <w:bidi w:val="0"/>
              <w:rPr>
                <w:rFonts w:hint="eastAsia"/>
                <w:sz w:val="18"/>
                <w:szCs w:val="18"/>
              </w:rPr>
            </w:pPr>
            <w:r>
              <w:rPr>
                <w:rFonts w:hint="eastAsia"/>
                <w:sz w:val="18"/>
                <w:szCs w:val="18"/>
                <w:lang w:val="en-US" w:eastAsia="zh-CN"/>
              </w:rPr>
              <w:t>Fruquintinib</w:t>
            </w:r>
          </w:p>
        </w:tc>
        <w:tc>
          <w:tcPr>
            <w:tcW w:w="732" w:type="pct"/>
            <w:shd w:val="clear"/>
            <w:noWrap/>
            <w:vAlign w:val="center"/>
          </w:tcPr>
          <w:p w14:paraId="663262C5">
            <w:pPr>
              <w:pStyle w:val="24"/>
              <w:bidi w:val="0"/>
              <w:rPr>
                <w:rFonts w:hint="eastAsia"/>
                <w:sz w:val="18"/>
                <w:szCs w:val="18"/>
              </w:rPr>
            </w:pPr>
            <w:r>
              <w:rPr>
                <w:rFonts w:hint="eastAsia"/>
                <w:sz w:val="18"/>
                <w:szCs w:val="18"/>
                <w:lang w:val="en-US" w:eastAsia="zh-CN"/>
              </w:rPr>
              <w:t>0.27 [0.22; 0.34]</w:t>
            </w:r>
          </w:p>
        </w:tc>
        <w:tc>
          <w:tcPr>
            <w:tcW w:w="732" w:type="pct"/>
            <w:shd w:val="clear"/>
            <w:noWrap/>
            <w:vAlign w:val="center"/>
          </w:tcPr>
          <w:p w14:paraId="00F420E7">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7F36813F">
            <w:pPr>
              <w:pStyle w:val="24"/>
              <w:bidi w:val="0"/>
              <w:rPr>
                <w:rFonts w:hint="eastAsia"/>
                <w:sz w:val="18"/>
                <w:szCs w:val="18"/>
              </w:rPr>
            </w:pPr>
            <w:r>
              <w:rPr>
                <w:rFonts w:hint="eastAsia"/>
                <w:sz w:val="18"/>
                <w:szCs w:val="18"/>
                <w:lang w:val="en-US" w:eastAsia="zh-CN"/>
              </w:rPr>
              <w:t>0.58 [0.42; 0.79]</w:t>
            </w:r>
          </w:p>
        </w:tc>
        <w:tc>
          <w:tcPr>
            <w:tcW w:w="732" w:type="pct"/>
            <w:shd w:val="clear"/>
            <w:noWrap/>
            <w:vAlign w:val="center"/>
          </w:tcPr>
          <w:p w14:paraId="589E3A40">
            <w:pPr>
              <w:pStyle w:val="24"/>
              <w:bidi w:val="0"/>
              <w:rPr>
                <w:rFonts w:hint="eastAsia"/>
                <w:sz w:val="18"/>
                <w:szCs w:val="18"/>
              </w:rPr>
            </w:pPr>
            <w:r>
              <w:rPr>
                <w:rFonts w:hint="eastAsia"/>
                <w:sz w:val="18"/>
                <w:szCs w:val="18"/>
                <w:lang w:val="en-US" w:eastAsia="zh-CN"/>
              </w:rPr>
              <w:t>0.62 [0.40; 0.95]</w:t>
            </w:r>
          </w:p>
        </w:tc>
        <w:tc>
          <w:tcPr>
            <w:tcW w:w="1058" w:type="pct"/>
            <w:shd w:val="clear"/>
            <w:noWrap/>
            <w:vAlign w:val="center"/>
          </w:tcPr>
          <w:p w14:paraId="314943BD">
            <w:pPr>
              <w:pStyle w:val="24"/>
              <w:bidi w:val="0"/>
              <w:rPr>
                <w:rFonts w:hint="eastAsia"/>
                <w:sz w:val="18"/>
                <w:szCs w:val="18"/>
              </w:rPr>
            </w:pPr>
          </w:p>
        </w:tc>
      </w:tr>
      <w:tr w14:paraId="5890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1011" w:type="pct"/>
            <w:shd w:val="clear"/>
            <w:noWrap/>
            <w:vAlign w:val="center"/>
          </w:tcPr>
          <w:p w14:paraId="129E9C8F">
            <w:pPr>
              <w:pStyle w:val="24"/>
              <w:bidi w:val="0"/>
              <w:rPr>
                <w:rFonts w:hint="eastAsia"/>
                <w:sz w:val="18"/>
                <w:szCs w:val="18"/>
              </w:rPr>
            </w:pPr>
            <w:r>
              <w:rPr>
                <w:rFonts w:hint="eastAsia"/>
                <w:sz w:val="18"/>
                <w:szCs w:val="18"/>
                <w:lang w:val="en-US" w:eastAsia="zh-CN"/>
              </w:rPr>
              <w:t>Regorafenib</w:t>
            </w:r>
          </w:p>
        </w:tc>
        <w:tc>
          <w:tcPr>
            <w:tcW w:w="732" w:type="pct"/>
            <w:shd w:val="clear"/>
            <w:noWrap/>
            <w:vAlign w:val="center"/>
          </w:tcPr>
          <w:p w14:paraId="529D8A28">
            <w:pPr>
              <w:pStyle w:val="24"/>
              <w:bidi w:val="0"/>
              <w:rPr>
                <w:rFonts w:hint="eastAsia"/>
                <w:sz w:val="18"/>
                <w:szCs w:val="18"/>
              </w:rPr>
            </w:pPr>
            <w:r>
              <w:rPr>
                <w:rFonts w:hint="eastAsia"/>
                <w:sz w:val="18"/>
                <w:szCs w:val="18"/>
                <w:lang w:val="en-US" w:eastAsia="zh-CN"/>
              </w:rPr>
              <w:t>0.47 [0.37; 0.59]</w:t>
            </w:r>
          </w:p>
        </w:tc>
        <w:tc>
          <w:tcPr>
            <w:tcW w:w="732" w:type="pct"/>
            <w:shd w:val="clear"/>
            <w:noWrap/>
            <w:vAlign w:val="center"/>
          </w:tcPr>
          <w:p w14:paraId="41ECC90C">
            <w:pPr>
              <w:pStyle w:val="24"/>
              <w:bidi w:val="0"/>
              <w:rPr>
                <w:rFonts w:hint="eastAsia"/>
                <w:sz w:val="18"/>
                <w:szCs w:val="18"/>
              </w:rPr>
            </w:pPr>
            <w:r>
              <w:rPr>
                <w:rFonts w:hint="eastAsia"/>
                <w:sz w:val="18"/>
                <w:szCs w:val="18"/>
                <w:lang w:val="en-US" w:eastAsia="zh-CN"/>
              </w:rPr>
              <w:t>1.72 [1.27; 2.38]</w:t>
            </w:r>
          </w:p>
        </w:tc>
        <w:tc>
          <w:tcPr>
            <w:tcW w:w="732" w:type="pct"/>
            <w:shd w:val="clear"/>
            <w:noWrap/>
            <w:vAlign w:val="center"/>
          </w:tcPr>
          <w:p w14:paraId="43F2A479">
            <w:pPr>
              <w:pStyle w:val="24"/>
              <w:bidi w:val="0"/>
              <w:rPr>
                <w:rFonts w:hint="eastAsia"/>
                <w:sz w:val="18"/>
                <w:szCs w:val="18"/>
              </w:rPr>
            </w:pPr>
            <w:r>
              <w:rPr>
                <w:rFonts w:hint="eastAsia"/>
                <w:sz w:val="18"/>
                <w:szCs w:val="18"/>
                <w:lang w:val="en-US" w:eastAsia="zh-CN"/>
              </w:rPr>
              <w:t>-</w:t>
            </w:r>
          </w:p>
        </w:tc>
        <w:tc>
          <w:tcPr>
            <w:tcW w:w="732" w:type="pct"/>
            <w:shd w:val="clear"/>
            <w:noWrap/>
            <w:vAlign w:val="center"/>
          </w:tcPr>
          <w:p w14:paraId="7609603F">
            <w:pPr>
              <w:pStyle w:val="24"/>
              <w:bidi w:val="0"/>
              <w:rPr>
                <w:rFonts w:hint="eastAsia"/>
                <w:sz w:val="18"/>
                <w:szCs w:val="18"/>
              </w:rPr>
            </w:pPr>
            <w:r>
              <w:rPr>
                <w:rFonts w:hint="eastAsia"/>
                <w:sz w:val="18"/>
                <w:szCs w:val="18"/>
                <w:lang w:val="en-US" w:eastAsia="zh-CN"/>
              </w:rPr>
              <w:t>1.07 [0.69; 1.66]</w:t>
            </w:r>
          </w:p>
        </w:tc>
        <w:tc>
          <w:tcPr>
            <w:tcW w:w="1058" w:type="pct"/>
            <w:shd w:val="clear"/>
            <w:noWrap/>
            <w:vAlign w:val="center"/>
          </w:tcPr>
          <w:p w14:paraId="2015EC3B">
            <w:pPr>
              <w:pStyle w:val="24"/>
              <w:bidi w:val="0"/>
              <w:rPr>
                <w:rFonts w:hint="eastAsia"/>
                <w:sz w:val="18"/>
                <w:szCs w:val="18"/>
              </w:rPr>
            </w:pPr>
          </w:p>
        </w:tc>
      </w:tr>
      <w:tr w14:paraId="3F6A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 w:hRule="atLeast"/>
        </w:trPr>
        <w:tc>
          <w:tcPr>
            <w:tcW w:w="1011" w:type="pct"/>
            <w:shd w:val="clear"/>
            <w:noWrap/>
            <w:vAlign w:val="center"/>
          </w:tcPr>
          <w:p w14:paraId="7E6C4939">
            <w:pPr>
              <w:pStyle w:val="24"/>
              <w:bidi w:val="0"/>
              <w:rPr>
                <w:rFonts w:hint="eastAsia"/>
                <w:sz w:val="18"/>
                <w:szCs w:val="18"/>
              </w:rPr>
            </w:pPr>
            <w:r>
              <w:rPr>
                <w:rFonts w:hint="eastAsia"/>
                <w:sz w:val="18"/>
                <w:szCs w:val="18"/>
                <w:lang w:val="en-US" w:eastAsia="zh-CN"/>
              </w:rPr>
              <w:t>TAS-102</w:t>
            </w:r>
          </w:p>
        </w:tc>
        <w:tc>
          <w:tcPr>
            <w:tcW w:w="732" w:type="pct"/>
            <w:shd w:val="clear"/>
            <w:noWrap/>
            <w:vAlign w:val="center"/>
          </w:tcPr>
          <w:p w14:paraId="4EDD3A74">
            <w:pPr>
              <w:pStyle w:val="24"/>
              <w:bidi w:val="0"/>
              <w:rPr>
                <w:rFonts w:hint="eastAsia"/>
                <w:sz w:val="18"/>
                <w:szCs w:val="18"/>
              </w:rPr>
            </w:pPr>
            <w:r>
              <w:rPr>
                <w:rFonts w:hint="eastAsia"/>
                <w:sz w:val="18"/>
                <w:szCs w:val="18"/>
                <w:lang w:val="en-US" w:eastAsia="zh-CN"/>
              </w:rPr>
              <w:t>0.44 [0.30; 0.64]</w:t>
            </w:r>
          </w:p>
        </w:tc>
        <w:tc>
          <w:tcPr>
            <w:tcW w:w="732" w:type="pct"/>
            <w:shd w:val="clear"/>
            <w:noWrap/>
            <w:vAlign w:val="center"/>
          </w:tcPr>
          <w:p w14:paraId="6E9D115D">
            <w:pPr>
              <w:pStyle w:val="24"/>
              <w:bidi w:val="0"/>
              <w:rPr>
                <w:rFonts w:hint="eastAsia"/>
                <w:sz w:val="18"/>
                <w:szCs w:val="18"/>
              </w:rPr>
            </w:pPr>
            <w:r>
              <w:rPr>
                <w:rFonts w:hint="eastAsia"/>
                <w:sz w:val="18"/>
                <w:szCs w:val="18"/>
                <w:lang w:val="en-US" w:eastAsia="zh-CN"/>
              </w:rPr>
              <w:t>1.61 [1.05; 2.50]</w:t>
            </w:r>
          </w:p>
        </w:tc>
        <w:tc>
          <w:tcPr>
            <w:tcW w:w="732" w:type="pct"/>
            <w:shd w:val="clear"/>
            <w:noWrap/>
            <w:vAlign w:val="center"/>
          </w:tcPr>
          <w:p w14:paraId="345F8FD1">
            <w:pPr>
              <w:pStyle w:val="24"/>
              <w:bidi w:val="0"/>
              <w:rPr>
                <w:rFonts w:hint="eastAsia"/>
                <w:sz w:val="18"/>
                <w:szCs w:val="18"/>
              </w:rPr>
            </w:pPr>
            <w:r>
              <w:rPr>
                <w:rFonts w:hint="eastAsia"/>
                <w:sz w:val="18"/>
                <w:szCs w:val="18"/>
                <w:lang w:val="en-US" w:eastAsia="zh-CN"/>
              </w:rPr>
              <w:t>0.93 [0.60; 1.45]</w:t>
            </w:r>
          </w:p>
        </w:tc>
        <w:tc>
          <w:tcPr>
            <w:tcW w:w="732" w:type="pct"/>
            <w:shd w:val="clear"/>
            <w:noWrap/>
            <w:vAlign w:val="center"/>
          </w:tcPr>
          <w:p w14:paraId="24EFC8C8">
            <w:pPr>
              <w:pStyle w:val="24"/>
              <w:bidi w:val="0"/>
              <w:rPr>
                <w:rFonts w:hint="eastAsia"/>
                <w:sz w:val="18"/>
                <w:szCs w:val="18"/>
              </w:rPr>
            </w:pPr>
            <w:r>
              <w:rPr>
                <w:rFonts w:hint="eastAsia"/>
                <w:sz w:val="18"/>
                <w:szCs w:val="18"/>
                <w:lang w:val="en-US" w:eastAsia="zh-CN"/>
              </w:rPr>
              <w:t>-</w:t>
            </w:r>
          </w:p>
        </w:tc>
        <w:tc>
          <w:tcPr>
            <w:tcW w:w="1058" w:type="pct"/>
            <w:shd w:val="clear"/>
            <w:noWrap/>
            <w:vAlign w:val="center"/>
          </w:tcPr>
          <w:p w14:paraId="61BCED18">
            <w:pPr>
              <w:pStyle w:val="24"/>
              <w:bidi w:val="0"/>
              <w:rPr>
                <w:rFonts w:hint="eastAsia"/>
                <w:sz w:val="18"/>
                <w:szCs w:val="18"/>
              </w:rPr>
            </w:pPr>
          </w:p>
        </w:tc>
      </w:tr>
    </w:tbl>
    <w:p w14:paraId="07AA9D0C">
      <w:pPr>
        <w:autoSpaceDE w:val="0"/>
        <w:autoSpaceDN w:val="0"/>
        <w:adjustRightInd w:val="0"/>
        <w:rPr>
          <w:rFonts w:hint="default" w:eastAsia="宋体" w:cs="Times New Roman"/>
          <w:szCs w:val="20"/>
          <w:lang w:val="en-US" w:eastAsia="zh-CN"/>
        </w:rPr>
        <w:sectPr>
          <w:pgSz w:w="16838" w:h="11906" w:orient="landscape"/>
          <w:pgMar w:top="1800" w:right="1440" w:bottom="1800" w:left="1440" w:header="851" w:footer="992" w:gutter="0"/>
          <w:cols w:space="425" w:num="1"/>
          <w:titlePg/>
          <w:docGrid w:type="lines" w:linePitch="326" w:charSpace="0"/>
        </w:sectPr>
      </w:pPr>
      <w:r>
        <w:rPr>
          <w:rFonts w:hint="eastAsia" w:eastAsia="宋体" w:cs="Times New Roman"/>
          <w:szCs w:val="20"/>
          <w:lang w:val="en-US" w:eastAsia="zh-CN"/>
        </w:rPr>
        <w:t>Note that in this league table, each cell presents the relative hazard ratio and its 95% confidence interval for each pairwise comparison of treatment strategies.</w:t>
      </w:r>
    </w:p>
    <w:p w14:paraId="24F1793F">
      <w:pPr>
        <w:autoSpaceDE w:val="0"/>
        <w:autoSpaceDN w:val="0"/>
        <w:adjustRightInd w:val="0"/>
        <w:rPr>
          <w:rFonts w:eastAsia="宋体" w:cs="Times New Roman"/>
          <w:kern w:val="0"/>
          <w:sz w:val="24"/>
          <w:szCs w:val="24"/>
        </w:rPr>
      </w:pPr>
      <w:r>
        <w:rPr>
          <w:rFonts w:cs="Times New Roman"/>
          <w:szCs w:val="20"/>
        </w:rPr>
        <w:fldChar w:fldCharType="begin"/>
      </w:r>
      <w:r>
        <w:rPr>
          <w:rFonts w:cs="Times New Roman"/>
          <w:szCs w:val="20"/>
        </w:rPr>
        <w:instrText xml:space="preserve"> ADDIN NE.Bib</w:instrText>
      </w:r>
      <w:r>
        <w:rPr>
          <w:rFonts w:cs="Times New Roman"/>
          <w:szCs w:val="20"/>
        </w:rPr>
        <w:fldChar w:fldCharType="separate"/>
      </w:r>
    </w:p>
    <w:p w14:paraId="3CE656CB">
      <w:pPr>
        <w:jc w:val="center"/>
        <w:rPr>
          <w:rFonts w:eastAsia="宋体" w:cs="Times New Roman"/>
          <w:kern w:val="0"/>
          <w:sz w:val="24"/>
          <w:szCs w:val="24"/>
        </w:rPr>
      </w:pPr>
      <w:r>
        <w:rPr>
          <w:rFonts w:eastAsia="宋体" w:cs="Times New Roman"/>
          <w:b/>
          <w:bCs/>
          <w:color w:val="000000"/>
          <w:kern w:val="0"/>
          <w:sz w:val="40"/>
          <w:szCs w:val="40"/>
        </w:rPr>
        <w:t>References</w:t>
      </w:r>
    </w:p>
    <w:p w14:paraId="20C73CB0">
      <w:pPr>
        <w:autoSpaceDE w:val="0"/>
        <w:autoSpaceDN w:val="0"/>
        <w:adjustRightInd w:val="0"/>
        <w:jc w:val="both"/>
        <w:rPr>
          <w:rFonts w:eastAsia="宋体" w:cs="Times New Roman"/>
          <w:kern w:val="0"/>
          <w:sz w:val="24"/>
          <w:szCs w:val="24"/>
        </w:rPr>
      </w:pPr>
      <w:r>
        <w:rPr>
          <w:rFonts w:eastAsia="宋体" w:cs="Times New Roman"/>
          <w:color w:val="000000"/>
          <w:kern w:val="0"/>
          <w:szCs w:val="20"/>
        </w:rPr>
        <w:t xml:space="preserve"> [1].</w:t>
      </w:r>
      <w:r>
        <w:rPr>
          <w:rFonts w:eastAsia="宋体" w:cs="Times New Roman"/>
          <w:color w:val="000000"/>
          <w:kern w:val="0"/>
          <w:szCs w:val="20"/>
        </w:rPr>
        <w:tab/>
      </w:r>
      <w:bookmarkStart w:id="11" w:name="_neb443D8660_0E79_4CC3_9241_4472B0EDEF70"/>
      <w:r>
        <w:rPr>
          <w:rFonts w:eastAsia="宋体" w:cs="Times New Roman"/>
          <w:color w:val="000000"/>
          <w:kern w:val="0"/>
          <w:szCs w:val="20"/>
        </w:rPr>
        <w:t>VA Federal Supply Schedule Price. https://www.vendorportal.ecms.va.gov/NAC/Pharma/List,Feb 1, 2024.</w:t>
      </w:r>
      <w:bookmarkEnd w:id="11"/>
    </w:p>
    <w:p w14:paraId="6C95B92D">
      <w:pPr>
        <w:autoSpaceDE w:val="0"/>
        <w:autoSpaceDN w:val="0"/>
        <w:adjustRightInd w:val="0"/>
        <w:jc w:val="both"/>
        <w:rPr>
          <w:rFonts w:eastAsia="宋体" w:cs="Times New Roman"/>
          <w:kern w:val="0"/>
          <w:sz w:val="24"/>
          <w:szCs w:val="24"/>
        </w:rPr>
      </w:pPr>
      <w:r>
        <w:rPr>
          <w:rFonts w:eastAsia="宋体" w:cs="Times New Roman"/>
          <w:color w:val="000000"/>
          <w:kern w:val="0"/>
          <w:szCs w:val="20"/>
        </w:rPr>
        <w:t xml:space="preserve"> [2].</w:t>
      </w:r>
      <w:r>
        <w:rPr>
          <w:rFonts w:eastAsia="宋体" w:cs="Times New Roman"/>
          <w:color w:val="000000"/>
          <w:kern w:val="0"/>
          <w:szCs w:val="20"/>
        </w:rPr>
        <w:tab/>
      </w:r>
      <w:bookmarkStart w:id="12" w:name="_neb6B7A55AC_506D_4096_87B9_1BE06A0F4403"/>
      <w:r>
        <w:rPr>
          <w:rFonts w:eastAsia="宋体" w:cs="Times New Roman"/>
          <w:color w:val="000000"/>
          <w:kern w:val="0"/>
          <w:szCs w:val="20"/>
        </w:rPr>
        <w:t>Centers for Medicare &amp; Medicaid Services. https://www.cms.gov/Medicare/Medicare-Fee-for-Service-Payment,Accessed Feb 1, 2024.</w:t>
      </w:r>
      <w:bookmarkEnd w:id="12"/>
    </w:p>
    <w:p w14:paraId="0778E559">
      <w:pPr>
        <w:autoSpaceDE w:val="0"/>
        <w:autoSpaceDN w:val="0"/>
        <w:adjustRightInd w:val="0"/>
        <w:jc w:val="both"/>
        <w:rPr>
          <w:rFonts w:eastAsia="宋体" w:cs="Times New Roman"/>
          <w:kern w:val="0"/>
          <w:sz w:val="24"/>
          <w:szCs w:val="24"/>
        </w:rPr>
      </w:pPr>
      <w:r>
        <w:rPr>
          <w:rFonts w:eastAsia="宋体" w:cs="Times New Roman"/>
          <w:color w:val="000000"/>
          <w:kern w:val="0"/>
          <w:szCs w:val="20"/>
        </w:rPr>
        <w:t xml:space="preserve"> [3].</w:t>
      </w:r>
      <w:r>
        <w:rPr>
          <w:rFonts w:eastAsia="宋体" w:cs="Times New Roman"/>
          <w:color w:val="000000"/>
          <w:kern w:val="0"/>
          <w:szCs w:val="20"/>
        </w:rPr>
        <w:tab/>
      </w:r>
      <w:bookmarkStart w:id="13" w:name="_neb78B5BC73_2FCE_45C8_9813_4AD5D20274FD"/>
      <w:r>
        <w:rPr>
          <w:rFonts w:eastAsia="宋体" w:cs="Times New Roman"/>
          <w:color w:val="000000"/>
          <w:kern w:val="0"/>
          <w:szCs w:val="20"/>
        </w:rPr>
        <w:t>Cho, S.K., J.W. Hay and A. Barzi, Cost-effectiveness Analysis of Regorafenib and TAS-102 in Refractory Metastatic  Colorectal Cancer in the United States. Clin Colorectal Cancer, 2018. 17(4): p. e751-e761.</w:t>
      </w:r>
      <w:bookmarkEnd w:id="13"/>
    </w:p>
    <w:p w14:paraId="722B9932">
      <w:pPr>
        <w:autoSpaceDE w:val="0"/>
        <w:autoSpaceDN w:val="0"/>
        <w:adjustRightInd w:val="0"/>
        <w:jc w:val="both"/>
        <w:rPr>
          <w:rFonts w:eastAsia="宋体" w:cs="Times New Roman"/>
          <w:kern w:val="0"/>
          <w:sz w:val="24"/>
          <w:szCs w:val="24"/>
        </w:rPr>
      </w:pPr>
      <w:r>
        <w:rPr>
          <w:rFonts w:eastAsia="宋体" w:cs="Times New Roman"/>
          <w:color w:val="000000"/>
          <w:kern w:val="0"/>
          <w:szCs w:val="20"/>
        </w:rPr>
        <w:t xml:space="preserve"> [4].</w:t>
      </w:r>
      <w:r>
        <w:rPr>
          <w:rFonts w:eastAsia="宋体" w:cs="Times New Roman"/>
          <w:color w:val="000000"/>
          <w:kern w:val="0"/>
          <w:szCs w:val="20"/>
        </w:rPr>
        <w:tab/>
      </w:r>
      <w:bookmarkStart w:id="14" w:name="_nebFC01DC97_7D4C_4C9D_9151_12C0AE958C20"/>
      <w:r>
        <w:rPr>
          <w:rFonts w:eastAsia="宋体" w:cs="Times New Roman"/>
          <w:color w:val="000000"/>
          <w:kern w:val="0"/>
          <w:szCs w:val="20"/>
        </w:rPr>
        <w:t>National Institute for Health and Care Excellence. Regorafenib for previously treated metastatic colorectal cancer [ID4002]. https://www.nice.org.uk/guidance(Accessed Feb 2, 2024)..</w:t>
      </w:r>
      <w:bookmarkEnd w:id="14"/>
    </w:p>
    <w:p w14:paraId="111A410B">
      <w:pPr>
        <w:autoSpaceDE w:val="0"/>
        <w:autoSpaceDN w:val="0"/>
        <w:adjustRightInd w:val="0"/>
        <w:jc w:val="both"/>
        <w:rPr>
          <w:rFonts w:eastAsia="宋体" w:cs="Times New Roman"/>
          <w:kern w:val="0"/>
          <w:sz w:val="24"/>
          <w:szCs w:val="24"/>
        </w:rPr>
      </w:pPr>
      <w:r>
        <w:rPr>
          <w:rFonts w:eastAsia="宋体" w:cs="Times New Roman"/>
          <w:color w:val="000000"/>
          <w:kern w:val="0"/>
          <w:szCs w:val="20"/>
        </w:rPr>
        <w:t xml:space="preserve"> [5].</w:t>
      </w:r>
      <w:r>
        <w:rPr>
          <w:rFonts w:eastAsia="宋体" w:cs="Times New Roman"/>
          <w:color w:val="000000"/>
          <w:kern w:val="0"/>
          <w:szCs w:val="20"/>
        </w:rPr>
        <w:tab/>
      </w:r>
      <w:bookmarkStart w:id="15" w:name="_nebADFDBF1C_A43E_44DE_AF69_C6C0BE4ED953"/>
      <w:r>
        <w:rPr>
          <w:rFonts w:eastAsia="宋体" w:cs="Times New Roman"/>
          <w:color w:val="000000"/>
          <w:kern w:val="0"/>
          <w:szCs w:val="20"/>
        </w:rPr>
        <w:t>Chu, J.N., et al., Cost-effectiveness of immune checkpoint inhibitors for microsatellite  instability-high/mismatch repair-deficient metastatic colorectal cancer. Cancer, 2019. 125(2): p. 278-289.</w:t>
      </w:r>
      <w:bookmarkEnd w:id="15"/>
    </w:p>
    <w:p w14:paraId="42828A15">
      <w:pPr>
        <w:autoSpaceDE w:val="0"/>
        <w:autoSpaceDN w:val="0"/>
        <w:adjustRightInd w:val="0"/>
        <w:jc w:val="both"/>
        <w:rPr>
          <w:rFonts w:eastAsia="宋体" w:cs="Times New Roman"/>
          <w:kern w:val="0"/>
          <w:sz w:val="24"/>
          <w:szCs w:val="24"/>
        </w:rPr>
      </w:pPr>
      <w:r>
        <w:rPr>
          <w:rFonts w:eastAsia="宋体" w:cs="Times New Roman"/>
          <w:color w:val="000000"/>
          <w:kern w:val="0"/>
          <w:szCs w:val="20"/>
        </w:rPr>
        <w:t xml:space="preserve"> [6].</w:t>
      </w:r>
      <w:r>
        <w:rPr>
          <w:rFonts w:eastAsia="宋体" w:cs="Times New Roman"/>
          <w:color w:val="000000"/>
          <w:kern w:val="0"/>
          <w:szCs w:val="20"/>
        </w:rPr>
        <w:tab/>
      </w:r>
      <w:bookmarkStart w:id="16" w:name="_nebDEB91D0C_1698_4DAA_BD17_E81964B2A9BA"/>
      <w:r>
        <w:rPr>
          <w:rFonts w:eastAsia="宋体" w:cs="Times New Roman"/>
          <w:color w:val="000000"/>
          <w:kern w:val="0"/>
          <w:szCs w:val="20"/>
        </w:rPr>
        <w:t>Seal, B.S., et al., Medical costs associated with use of systemic therapy in adults with colorectal  cancer. J Manag Care Pharm, 2013. 19(6): p. 461-7.</w:t>
      </w:r>
      <w:bookmarkEnd w:id="16"/>
    </w:p>
    <w:p w14:paraId="311DD70F">
      <w:pPr>
        <w:autoSpaceDE w:val="0"/>
        <w:autoSpaceDN w:val="0"/>
        <w:adjustRightInd w:val="0"/>
        <w:jc w:val="both"/>
        <w:rPr>
          <w:rFonts w:eastAsia="宋体" w:cs="Times New Roman"/>
          <w:kern w:val="0"/>
          <w:sz w:val="24"/>
          <w:szCs w:val="24"/>
        </w:rPr>
      </w:pPr>
      <w:r>
        <w:rPr>
          <w:rFonts w:eastAsia="宋体" w:cs="Times New Roman"/>
          <w:color w:val="000000"/>
          <w:kern w:val="0"/>
          <w:szCs w:val="20"/>
        </w:rPr>
        <w:t xml:space="preserve"> [7].</w:t>
      </w:r>
      <w:r>
        <w:rPr>
          <w:rFonts w:eastAsia="宋体" w:cs="Times New Roman"/>
          <w:color w:val="000000"/>
          <w:kern w:val="0"/>
          <w:szCs w:val="20"/>
        </w:rPr>
        <w:tab/>
      </w:r>
      <w:bookmarkStart w:id="17" w:name="_neb4B0A74AA_75B0_47E3_9506_7EFA2A9259BF"/>
      <w:r>
        <w:rPr>
          <w:rFonts w:eastAsia="宋体" w:cs="Times New Roman"/>
          <w:color w:val="000000"/>
          <w:kern w:val="0"/>
          <w:szCs w:val="20"/>
        </w:rPr>
        <w:t>Yi, D., et al., Drivers of care costs and quality in the last 3 months of life among older people  receiving palliative care: A multinational mortality follow-back survey across  England, Ireland and the United States. Palliat Med, 2020. 34(4): p. 513-523.</w:t>
      </w:r>
      <w:bookmarkEnd w:id="17"/>
    </w:p>
    <w:p w14:paraId="4DE3B4F2">
      <w:pPr>
        <w:autoSpaceDE w:val="0"/>
        <w:autoSpaceDN w:val="0"/>
        <w:adjustRightInd w:val="0"/>
        <w:jc w:val="both"/>
        <w:rPr>
          <w:rFonts w:eastAsia="宋体" w:cs="Times New Roman"/>
          <w:kern w:val="0"/>
          <w:sz w:val="24"/>
          <w:szCs w:val="24"/>
        </w:rPr>
      </w:pPr>
      <w:r>
        <w:rPr>
          <w:rFonts w:eastAsia="宋体" w:cs="Times New Roman"/>
          <w:color w:val="000000"/>
          <w:kern w:val="0"/>
          <w:szCs w:val="20"/>
        </w:rPr>
        <w:t xml:space="preserve"> [8].</w:t>
      </w:r>
      <w:r>
        <w:rPr>
          <w:rFonts w:eastAsia="宋体" w:cs="Times New Roman"/>
          <w:color w:val="000000"/>
          <w:kern w:val="0"/>
          <w:szCs w:val="20"/>
        </w:rPr>
        <w:tab/>
      </w:r>
      <w:bookmarkStart w:id="18" w:name="_neb56DD7FBA_BD8A_4208_91D8_D983F4127BD2"/>
      <w:r>
        <w:rPr>
          <w:rFonts w:eastAsia="宋体" w:cs="Times New Roman"/>
          <w:color w:val="000000"/>
          <w:kern w:val="0"/>
          <w:szCs w:val="20"/>
        </w:rPr>
        <w:t>AHRQ, HCUPnet(Agency for Healthcare Research &amp; Quality+Healthcare Common Procedure Coding System). https://datatools.ahrq.gov/hcupnet/.</w:t>
      </w:r>
      <w:bookmarkEnd w:id="18"/>
    </w:p>
    <w:p w14:paraId="5B12B3B3">
      <w:pPr>
        <w:autoSpaceDE w:val="0"/>
        <w:autoSpaceDN w:val="0"/>
        <w:adjustRightInd w:val="0"/>
        <w:jc w:val="both"/>
        <w:rPr>
          <w:rFonts w:eastAsia="宋体" w:cs="Times New Roman"/>
          <w:kern w:val="0"/>
          <w:sz w:val="24"/>
          <w:szCs w:val="24"/>
        </w:rPr>
      </w:pPr>
      <w:r>
        <w:rPr>
          <w:rFonts w:eastAsia="宋体" w:cs="Times New Roman"/>
          <w:color w:val="000000"/>
          <w:kern w:val="0"/>
          <w:szCs w:val="20"/>
        </w:rPr>
        <w:t xml:space="preserve"> [9].</w:t>
      </w:r>
      <w:r>
        <w:rPr>
          <w:rFonts w:eastAsia="宋体" w:cs="Times New Roman"/>
          <w:color w:val="000000"/>
          <w:kern w:val="0"/>
          <w:szCs w:val="20"/>
        </w:rPr>
        <w:tab/>
      </w:r>
      <w:bookmarkStart w:id="19" w:name="_nebB49664B4_24D0_4B1A_BA4A_257BBCE0E64E"/>
      <w:r>
        <w:rPr>
          <w:rFonts w:eastAsia="宋体" w:cs="Times New Roman"/>
          <w:color w:val="000000"/>
          <w:kern w:val="0"/>
          <w:szCs w:val="20"/>
        </w:rPr>
        <w:t>Baker, T., et al., Cost-Utility of Nivolumab Plus Ipilimumab in First-Line Treatment of Advanced  Melanoma in the United States: An Analysis Using Long-Term Overall Survival Data  from Checkmate 067. Pharmacoecon Open, 2022. 6(5): p. 697-710.</w:t>
      </w:r>
      <w:bookmarkEnd w:id="19"/>
    </w:p>
    <w:p w14:paraId="02464A94">
      <w:pPr>
        <w:autoSpaceDE w:val="0"/>
        <w:autoSpaceDN w:val="0"/>
        <w:adjustRightInd w:val="0"/>
        <w:jc w:val="both"/>
        <w:rPr>
          <w:rFonts w:eastAsia="宋体" w:cs="Times New Roman"/>
          <w:kern w:val="0"/>
          <w:sz w:val="24"/>
          <w:szCs w:val="24"/>
        </w:rPr>
      </w:pPr>
      <w:r>
        <w:rPr>
          <w:rFonts w:eastAsia="宋体" w:cs="Times New Roman"/>
          <w:color w:val="000000"/>
          <w:kern w:val="0"/>
          <w:szCs w:val="20"/>
        </w:rPr>
        <w:t>[10].</w:t>
      </w:r>
      <w:r>
        <w:rPr>
          <w:rFonts w:eastAsia="宋体" w:cs="Times New Roman"/>
          <w:color w:val="000000"/>
          <w:kern w:val="0"/>
          <w:szCs w:val="20"/>
        </w:rPr>
        <w:tab/>
      </w:r>
      <w:bookmarkStart w:id="20" w:name="_neb68408DB7_11CC_4A97_A8C9_A5D38548BD6C"/>
      <w:r>
        <w:rPr>
          <w:rFonts w:eastAsia="宋体" w:cs="Times New Roman"/>
          <w:color w:val="000000"/>
          <w:kern w:val="0"/>
          <w:szCs w:val="20"/>
        </w:rPr>
        <w:t>Cai, C., I. Yunusa and A. Tarhini, Estimated Cost-effectiveness of Atezolizumab Plus Cobimetinib and Vemurafenib for  Treatment of BRAF V600 Variation Metastatic Melanoma. JAMA Netw Open, 2021. 4(11): p. e2132262.</w:t>
      </w:r>
      <w:bookmarkEnd w:id="20"/>
    </w:p>
    <w:p w14:paraId="1103372C">
      <w:pPr>
        <w:autoSpaceDE w:val="0"/>
        <w:autoSpaceDN w:val="0"/>
        <w:adjustRightInd w:val="0"/>
        <w:jc w:val="both"/>
        <w:rPr>
          <w:rFonts w:eastAsia="宋体" w:cs="Times New Roman"/>
          <w:kern w:val="0"/>
          <w:sz w:val="24"/>
          <w:szCs w:val="24"/>
        </w:rPr>
      </w:pPr>
      <w:r>
        <w:rPr>
          <w:rFonts w:eastAsia="宋体" w:cs="Times New Roman"/>
          <w:color w:val="000000"/>
          <w:kern w:val="0"/>
          <w:szCs w:val="20"/>
        </w:rPr>
        <w:t>[11].</w:t>
      </w:r>
      <w:r>
        <w:rPr>
          <w:rFonts w:eastAsia="宋体" w:cs="Times New Roman"/>
          <w:color w:val="000000"/>
          <w:kern w:val="0"/>
          <w:szCs w:val="20"/>
        </w:rPr>
        <w:tab/>
      </w:r>
      <w:bookmarkStart w:id="21" w:name="_nebD6984E2B_3D92_48A6_A43F_C426091CFFB0"/>
      <w:r>
        <w:rPr>
          <w:rFonts w:eastAsia="宋体" w:cs="Times New Roman"/>
          <w:color w:val="000000"/>
          <w:kern w:val="0"/>
          <w:szCs w:val="20"/>
        </w:rPr>
        <w:t>Stellato, D., et al., Budget Impact of Dabrafenib and Trametinib in Combination as Adjuvant Treatment  of BRAF V600E/K Mutation-Positive Melanoma from a U.S. Commercial Payer  Perspective. J Manag Care Spec Pharm, 2019. 25(11): p. 1227-1237.</w:t>
      </w:r>
      <w:bookmarkEnd w:id="21"/>
    </w:p>
    <w:p w14:paraId="5ED6C6FA">
      <w:pPr>
        <w:autoSpaceDE w:val="0"/>
        <w:autoSpaceDN w:val="0"/>
        <w:adjustRightInd w:val="0"/>
        <w:jc w:val="both"/>
        <w:rPr>
          <w:rFonts w:eastAsia="宋体" w:cs="Times New Roman"/>
          <w:kern w:val="0"/>
          <w:sz w:val="24"/>
          <w:szCs w:val="24"/>
        </w:rPr>
      </w:pPr>
      <w:r>
        <w:rPr>
          <w:rFonts w:eastAsia="宋体" w:cs="Times New Roman"/>
          <w:color w:val="000000"/>
          <w:kern w:val="0"/>
          <w:szCs w:val="20"/>
        </w:rPr>
        <w:t>[12].</w:t>
      </w:r>
      <w:r>
        <w:rPr>
          <w:rFonts w:eastAsia="宋体" w:cs="Times New Roman"/>
          <w:color w:val="000000"/>
          <w:kern w:val="0"/>
          <w:szCs w:val="20"/>
        </w:rPr>
        <w:tab/>
      </w:r>
      <w:bookmarkStart w:id="22" w:name="_nebAC85D677_102F_4D7C_8CEF_8512683D25B2"/>
      <w:r>
        <w:rPr>
          <w:rFonts w:eastAsia="宋体" w:cs="Times New Roman"/>
          <w:color w:val="000000"/>
          <w:kern w:val="0"/>
          <w:szCs w:val="20"/>
        </w:rPr>
        <w:t>Ambavane, A., et al., Clinical and economic outcomes of treatment sequences for intermediate- to  poor-risk advanced renal cell carcinoma. Immunotherapy, 2020. 12(1): p. 37-51.</w:t>
      </w:r>
      <w:bookmarkEnd w:id="22"/>
    </w:p>
    <w:p w14:paraId="24B0AD03">
      <w:pPr>
        <w:autoSpaceDE w:val="0"/>
        <w:autoSpaceDN w:val="0"/>
        <w:adjustRightInd w:val="0"/>
        <w:jc w:val="both"/>
        <w:rPr>
          <w:rFonts w:eastAsia="宋体" w:cs="Times New Roman"/>
          <w:kern w:val="0"/>
          <w:sz w:val="24"/>
          <w:szCs w:val="24"/>
        </w:rPr>
      </w:pPr>
      <w:r>
        <w:rPr>
          <w:rFonts w:eastAsia="宋体" w:cs="Times New Roman"/>
          <w:color w:val="000000"/>
          <w:kern w:val="0"/>
          <w:szCs w:val="20"/>
        </w:rPr>
        <w:t>[13].</w:t>
      </w:r>
      <w:r>
        <w:rPr>
          <w:rFonts w:eastAsia="宋体" w:cs="Times New Roman"/>
          <w:color w:val="000000"/>
          <w:kern w:val="0"/>
          <w:szCs w:val="20"/>
        </w:rPr>
        <w:tab/>
      </w:r>
      <w:bookmarkStart w:id="23" w:name="_neb85EF900F_160A_4341_B49B_1EDF60D8C689"/>
      <w:r>
        <w:rPr>
          <w:rFonts w:eastAsia="宋体" w:cs="Times New Roman"/>
          <w:color w:val="000000"/>
          <w:kern w:val="0"/>
          <w:szCs w:val="20"/>
        </w:rPr>
        <w:t>Halloush, S., et al., Economic Evaluation of Three BRAF + MEK Inhibitors for the Treatment of Advanced  Unresectable Melanoma With BRAF Mutation From a US Payer Perspective. Ann Pharmacother, 2023. 57(9): p. 1016-1024.</w:t>
      </w:r>
      <w:bookmarkEnd w:id="23"/>
    </w:p>
    <w:p w14:paraId="01619C36">
      <w:pPr>
        <w:autoSpaceDE w:val="0"/>
        <w:autoSpaceDN w:val="0"/>
        <w:adjustRightInd w:val="0"/>
        <w:jc w:val="both"/>
        <w:rPr>
          <w:rFonts w:eastAsia="宋体" w:cs="Times New Roman"/>
          <w:kern w:val="0"/>
          <w:sz w:val="24"/>
          <w:szCs w:val="24"/>
        </w:rPr>
      </w:pPr>
      <w:r>
        <w:rPr>
          <w:rFonts w:eastAsia="宋体" w:cs="Times New Roman"/>
          <w:color w:val="000000"/>
          <w:kern w:val="0"/>
          <w:szCs w:val="20"/>
        </w:rPr>
        <w:t>[14].</w:t>
      </w:r>
      <w:r>
        <w:rPr>
          <w:rFonts w:eastAsia="宋体" w:cs="Times New Roman"/>
          <w:color w:val="000000"/>
          <w:kern w:val="0"/>
          <w:szCs w:val="20"/>
        </w:rPr>
        <w:tab/>
      </w:r>
      <w:bookmarkStart w:id="24" w:name="_neb9D487E77_5EA1_4406_A362_455311C023D4"/>
      <w:r>
        <w:rPr>
          <w:rFonts w:eastAsia="宋体" w:cs="Times New Roman"/>
          <w:color w:val="000000"/>
          <w:kern w:val="0"/>
          <w:szCs w:val="20"/>
        </w:rPr>
        <w:t>Dasari, A., et al., Fruquintinib versus placebo in patients with refractory metastatic colorectal  cancer (FRESCO-2): an international, multicentre, randomised, double-blind, phase  3 study. Lancet, 2023. 402(10395): p. 41-53.</w:t>
      </w:r>
      <w:bookmarkEnd w:id="24"/>
    </w:p>
    <w:p w14:paraId="2A5A24E7">
      <w:pPr>
        <w:autoSpaceDE w:val="0"/>
        <w:autoSpaceDN w:val="0"/>
        <w:adjustRightInd w:val="0"/>
        <w:jc w:val="both"/>
        <w:rPr>
          <w:rFonts w:eastAsia="宋体" w:cs="Times New Roman"/>
          <w:kern w:val="0"/>
          <w:sz w:val="24"/>
          <w:szCs w:val="24"/>
        </w:rPr>
      </w:pPr>
      <w:r>
        <w:rPr>
          <w:rFonts w:eastAsia="宋体" w:cs="Times New Roman"/>
          <w:color w:val="000000"/>
          <w:kern w:val="0"/>
          <w:szCs w:val="20"/>
        </w:rPr>
        <w:t>[15].</w:t>
      </w:r>
      <w:r>
        <w:rPr>
          <w:rFonts w:eastAsia="宋体" w:cs="Times New Roman"/>
          <w:color w:val="000000"/>
          <w:kern w:val="0"/>
          <w:szCs w:val="20"/>
        </w:rPr>
        <w:tab/>
      </w:r>
      <w:bookmarkStart w:id="25" w:name="_neb7905DE8C_41C9_4C06_B403_A64C4F664138"/>
      <w:r>
        <w:rPr>
          <w:rFonts w:eastAsia="宋体" w:cs="Times New Roman"/>
          <w:color w:val="000000"/>
          <w:kern w:val="0"/>
          <w:szCs w:val="20"/>
        </w:rPr>
        <w:t>Grothey, A., et al., Regorafenib monotherapy for previously treated metastatic colorectal cancer  (CORRECT): an international, multicentre, randomised, placebo-controlled, phase 3  trial. Lancet, 2013. 381(9863): p. 303-12.</w:t>
      </w:r>
      <w:bookmarkEnd w:id="25"/>
    </w:p>
    <w:p w14:paraId="526102A2">
      <w:pPr>
        <w:autoSpaceDE w:val="0"/>
        <w:autoSpaceDN w:val="0"/>
        <w:adjustRightInd w:val="0"/>
        <w:jc w:val="both"/>
        <w:rPr>
          <w:rFonts w:eastAsia="宋体" w:cs="Times New Roman"/>
          <w:kern w:val="0"/>
          <w:sz w:val="24"/>
          <w:szCs w:val="24"/>
        </w:rPr>
      </w:pPr>
      <w:r>
        <w:rPr>
          <w:rFonts w:eastAsia="宋体" w:cs="Times New Roman"/>
          <w:color w:val="000000"/>
          <w:kern w:val="0"/>
          <w:szCs w:val="20"/>
        </w:rPr>
        <w:t>[16].</w:t>
      </w:r>
      <w:r>
        <w:rPr>
          <w:rFonts w:eastAsia="宋体" w:cs="Times New Roman"/>
          <w:color w:val="000000"/>
          <w:kern w:val="0"/>
          <w:szCs w:val="20"/>
        </w:rPr>
        <w:tab/>
      </w:r>
      <w:bookmarkStart w:id="26" w:name="_nebF2CA6EA4_05F3_414C_BD41_AACD34657658"/>
      <w:r>
        <w:rPr>
          <w:rFonts w:eastAsia="宋体" w:cs="Times New Roman"/>
          <w:color w:val="000000"/>
          <w:kern w:val="0"/>
          <w:szCs w:val="20"/>
        </w:rPr>
        <w:t>Li, J., et al., Regorafenib plus best supportive care versus placebo plus best supportive care in  Asian patients with previously treated metastatic colorectal cancer (CONCUR): a  randomised, double-blind, placebo-controlled, phase 3 trial. Lancet Oncol, 2015. 16(6): p. 619-29.</w:t>
      </w:r>
      <w:bookmarkEnd w:id="26"/>
    </w:p>
    <w:p w14:paraId="1E3BC660">
      <w:pPr>
        <w:autoSpaceDE w:val="0"/>
        <w:autoSpaceDN w:val="0"/>
        <w:adjustRightInd w:val="0"/>
        <w:jc w:val="both"/>
        <w:rPr>
          <w:rFonts w:eastAsia="宋体" w:cs="Times New Roman"/>
          <w:kern w:val="0"/>
          <w:sz w:val="24"/>
          <w:szCs w:val="24"/>
        </w:rPr>
      </w:pPr>
      <w:r>
        <w:rPr>
          <w:rFonts w:eastAsia="宋体" w:cs="Times New Roman"/>
          <w:color w:val="000000"/>
          <w:kern w:val="0"/>
          <w:szCs w:val="20"/>
        </w:rPr>
        <w:t>[17].</w:t>
      </w:r>
      <w:r>
        <w:rPr>
          <w:rFonts w:eastAsia="宋体" w:cs="Times New Roman"/>
          <w:color w:val="000000"/>
          <w:kern w:val="0"/>
          <w:szCs w:val="20"/>
        </w:rPr>
        <w:tab/>
      </w:r>
      <w:bookmarkStart w:id="27" w:name="_neb8D7879C6_E02F_4BBF_846A_12B18892E34B"/>
      <w:r>
        <w:rPr>
          <w:rFonts w:eastAsia="宋体" w:cs="Times New Roman"/>
          <w:color w:val="000000"/>
          <w:kern w:val="0"/>
          <w:szCs w:val="20"/>
        </w:rPr>
        <w:t>Xu, J., et al., Results of a Randomized, Double-Blind, Placebo-Controlled, Phase III Trial of  Trifluridine/Tipiracil (TAS-102) Monotherapy in Asian Patients With Previously  Treated Metastatic Colorectal Cancer: The TERRA Study. J Clin Oncol, 2018. 36(4): p. 350-358.</w:t>
      </w:r>
      <w:bookmarkEnd w:id="27"/>
    </w:p>
    <w:p w14:paraId="592A762F">
      <w:pPr>
        <w:autoSpaceDE w:val="0"/>
        <w:autoSpaceDN w:val="0"/>
        <w:adjustRightInd w:val="0"/>
        <w:jc w:val="both"/>
        <w:rPr>
          <w:rFonts w:eastAsia="宋体" w:cs="Times New Roman"/>
          <w:kern w:val="0"/>
          <w:sz w:val="24"/>
          <w:szCs w:val="24"/>
        </w:rPr>
      </w:pPr>
      <w:r>
        <w:rPr>
          <w:rFonts w:eastAsia="宋体" w:cs="Times New Roman"/>
          <w:color w:val="000000"/>
          <w:kern w:val="0"/>
          <w:szCs w:val="20"/>
        </w:rPr>
        <w:t>[18].</w:t>
      </w:r>
      <w:r>
        <w:rPr>
          <w:rFonts w:eastAsia="宋体" w:cs="Times New Roman"/>
          <w:color w:val="000000"/>
          <w:kern w:val="0"/>
          <w:szCs w:val="20"/>
        </w:rPr>
        <w:tab/>
      </w:r>
      <w:bookmarkStart w:id="28" w:name="_nebE1AFF1CE_834F_47CD_AB65_9B4E05D6B565"/>
      <w:r>
        <w:rPr>
          <w:rFonts w:eastAsia="宋体" w:cs="Times New Roman"/>
          <w:color w:val="000000"/>
          <w:kern w:val="0"/>
          <w:szCs w:val="20"/>
        </w:rPr>
        <w:t>Li, J., et al., Effect of Fruquintinib vs Placebo on Overall Survival in Patients With Previously  Treated Metastatic Colorectal Cancer: The FRESCO Randomized Clinical Trial. JAMA, 2018. 319(24): p. 2486-2496.</w:t>
      </w:r>
      <w:bookmarkEnd w:id="28"/>
    </w:p>
    <w:p w14:paraId="7CF7D5C7">
      <w:pPr>
        <w:autoSpaceDE w:val="0"/>
        <w:autoSpaceDN w:val="0"/>
        <w:adjustRightInd w:val="0"/>
        <w:jc w:val="both"/>
        <w:rPr>
          <w:rFonts w:eastAsia="宋体" w:cs="Times New Roman"/>
          <w:kern w:val="0"/>
          <w:sz w:val="24"/>
          <w:szCs w:val="24"/>
        </w:rPr>
      </w:pPr>
      <w:r>
        <w:rPr>
          <w:rFonts w:eastAsia="宋体" w:cs="Times New Roman"/>
          <w:color w:val="000000"/>
          <w:kern w:val="0"/>
          <w:szCs w:val="20"/>
        </w:rPr>
        <w:t>[19].</w:t>
      </w:r>
      <w:r>
        <w:rPr>
          <w:rFonts w:eastAsia="宋体" w:cs="Times New Roman"/>
          <w:color w:val="000000"/>
          <w:kern w:val="0"/>
          <w:szCs w:val="20"/>
        </w:rPr>
        <w:tab/>
      </w:r>
      <w:bookmarkStart w:id="29" w:name="_neb868BAD0F_CDD8_43EA_979E_3432E1F6A5A0"/>
      <w:r>
        <w:rPr>
          <w:rFonts w:eastAsia="宋体" w:cs="Times New Roman"/>
          <w:color w:val="000000"/>
          <w:kern w:val="0"/>
          <w:szCs w:val="20"/>
        </w:rPr>
        <w:t>Assuming consistency with regorafenib.</w:t>
      </w:r>
      <w:bookmarkEnd w:id="29"/>
    </w:p>
    <w:p w14:paraId="4F6FB9BC">
      <w:pPr>
        <w:autoSpaceDE w:val="0"/>
        <w:autoSpaceDN w:val="0"/>
        <w:adjustRightInd w:val="0"/>
        <w:jc w:val="both"/>
        <w:rPr>
          <w:rFonts w:eastAsia="宋体" w:cs="Times New Roman"/>
          <w:kern w:val="0"/>
          <w:sz w:val="24"/>
          <w:szCs w:val="24"/>
        </w:rPr>
      </w:pPr>
      <w:r>
        <w:rPr>
          <w:rFonts w:eastAsia="宋体" w:cs="Times New Roman"/>
          <w:color w:val="000000"/>
          <w:kern w:val="0"/>
          <w:szCs w:val="20"/>
        </w:rPr>
        <w:t>[20].</w:t>
      </w:r>
      <w:r>
        <w:rPr>
          <w:rFonts w:eastAsia="宋体" w:cs="Times New Roman"/>
          <w:color w:val="000000"/>
          <w:kern w:val="0"/>
          <w:szCs w:val="20"/>
        </w:rPr>
        <w:tab/>
      </w:r>
      <w:bookmarkStart w:id="30" w:name="_neb92A69443_DEB5_4742_9D1E_2BA3CD918B1A"/>
      <w:r>
        <w:rPr>
          <w:rFonts w:eastAsia="宋体" w:cs="Times New Roman"/>
          <w:color w:val="000000"/>
          <w:kern w:val="0"/>
          <w:szCs w:val="20"/>
        </w:rPr>
        <w:t>Assuming consistency with TAS-102.</w:t>
      </w:r>
      <w:bookmarkEnd w:id="30"/>
    </w:p>
    <w:p w14:paraId="3263C90D">
      <w:pPr>
        <w:autoSpaceDE w:val="0"/>
        <w:autoSpaceDN w:val="0"/>
        <w:adjustRightInd w:val="0"/>
        <w:jc w:val="both"/>
        <w:rPr>
          <w:rFonts w:eastAsia="宋体" w:cs="Times New Roman"/>
          <w:kern w:val="0"/>
          <w:sz w:val="24"/>
          <w:szCs w:val="24"/>
        </w:rPr>
      </w:pPr>
      <w:r>
        <w:rPr>
          <w:rFonts w:eastAsia="宋体" w:cs="Times New Roman"/>
          <w:color w:val="000000"/>
          <w:kern w:val="0"/>
          <w:szCs w:val="20"/>
        </w:rPr>
        <w:t>[21].</w:t>
      </w:r>
      <w:r>
        <w:rPr>
          <w:rFonts w:eastAsia="宋体" w:cs="Times New Roman"/>
          <w:color w:val="000000"/>
          <w:kern w:val="0"/>
          <w:szCs w:val="20"/>
        </w:rPr>
        <w:tab/>
      </w:r>
      <w:bookmarkStart w:id="31" w:name="_neb0D1282CD_7978_4F3C_81D0_22B208538A75"/>
      <w:r>
        <w:rPr>
          <w:rFonts w:eastAsia="宋体" w:cs="Times New Roman"/>
          <w:color w:val="000000"/>
          <w:kern w:val="0"/>
          <w:szCs w:val="20"/>
        </w:rPr>
        <w:t>Yoo, M., et al., Cost-effectiveness analysis of 7 treatments in metastatic hormone-sensitive  prostate cancer: a public-payer perspective. J Natl Cancer Inst, 2023. 115(11): p. 1374-1382.</w:t>
      </w:r>
      <w:bookmarkEnd w:id="31"/>
    </w:p>
    <w:p w14:paraId="269E8B69">
      <w:pPr>
        <w:autoSpaceDE w:val="0"/>
        <w:autoSpaceDN w:val="0"/>
        <w:adjustRightInd w:val="0"/>
        <w:jc w:val="both"/>
        <w:rPr>
          <w:rFonts w:eastAsia="宋体" w:cs="Times New Roman"/>
          <w:kern w:val="0"/>
          <w:sz w:val="24"/>
          <w:szCs w:val="24"/>
        </w:rPr>
      </w:pPr>
      <w:r>
        <w:rPr>
          <w:rFonts w:eastAsia="宋体" w:cs="Times New Roman"/>
          <w:color w:val="000000"/>
          <w:kern w:val="0"/>
          <w:szCs w:val="20"/>
        </w:rPr>
        <w:t>[22].</w:t>
      </w:r>
      <w:r>
        <w:rPr>
          <w:rFonts w:eastAsia="宋体" w:cs="Times New Roman"/>
          <w:color w:val="000000"/>
          <w:kern w:val="0"/>
          <w:szCs w:val="20"/>
        </w:rPr>
        <w:tab/>
      </w:r>
      <w:bookmarkStart w:id="32" w:name="_neb717BD1CF_CD3B_48EC_B523_80C0C3A00305"/>
      <w:r>
        <w:rPr>
          <w:rFonts w:eastAsia="宋体" w:cs="Times New Roman"/>
          <w:color w:val="000000"/>
          <w:kern w:val="0"/>
          <w:szCs w:val="20"/>
        </w:rPr>
        <w:t>Lloyd, A., et al., Health state utilities for metastatic breast cancer. Br J Cancer, 2006. 95(6): p. 683-90.</w:t>
      </w:r>
      <w:bookmarkEnd w:id="32"/>
    </w:p>
    <w:p w14:paraId="3F9DB292">
      <w:pPr>
        <w:autoSpaceDE w:val="0"/>
        <w:autoSpaceDN w:val="0"/>
        <w:adjustRightInd w:val="0"/>
        <w:jc w:val="both"/>
        <w:rPr>
          <w:rFonts w:eastAsia="宋体" w:cs="Times New Roman"/>
          <w:kern w:val="0"/>
          <w:sz w:val="24"/>
          <w:szCs w:val="24"/>
        </w:rPr>
      </w:pPr>
      <w:r>
        <w:rPr>
          <w:rFonts w:eastAsia="宋体" w:cs="Times New Roman"/>
          <w:color w:val="000000"/>
          <w:kern w:val="0"/>
          <w:szCs w:val="20"/>
        </w:rPr>
        <w:t>[23].</w:t>
      </w:r>
      <w:r>
        <w:rPr>
          <w:rFonts w:eastAsia="宋体" w:cs="Times New Roman"/>
          <w:color w:val="000000"/>
          <w:kern w:val="0"/>
          <w:szCs w:val="20"/>
        </w:rPr>
        <w:tab/>
      </w:r>
      <w:bookmarkStart w:id="33" w:name="_neb3154A280_2B61_4C36_BD50_ABC671FE750F"/>
      <w:r>
        <w:rPr>
          <w:rFonts w:eastAsia="宋体" w:cs="Times New Roman"/>
          <w:color w:val="000000"/>
          <w:kern w:val="0"/>
          <w:szCs w:val="20"/>
        </w:rPr>
        <w:t>Nafees, B., et al., Health state utilities for non small cell lung cancer. Health Qual Life Outcomes, 2008. 6: p. 84.</w:t>
      </w:r>
      <w:bookmarkEnd w:id="33"/>
    </w:p>
    <w:p w14:paraId="5522CF22">
      <w:pPr>
        <w:autoSpaceDE w:val="0"/>
        <w:autoSpaceDN w:val="0"/>
        <w:adjustRightInd w:val="0"/>
        <w:jc w:val="both"/>
        <w:rPr>
          <w:rFonts w:eastAsia="宋体" w:cs="Times New Roman"/>
          <w:kern w:val="0"/>
          <w:sz w:val="24"/>
          <w:szCs w:val="24"/>
        </w:rPr>
      </w:pPr>
      <w:r>
        <w:rPr>
          <w:rFonts w:eastAsia="宋体" w:cs="Times New Roman"/>
          <w:color w:val="000000"/>
          <w:kern w:val="0"/>
          <w:szCs w:val="20"/>
        </w:rPr>
        <w:t>[24].</w:t>
      </w:r>
      <w:r>
        <w:rPr>
          <w:rFonts w:eastAsia="宋体" w:cs="Times New Roman"/>
          <w:color w:val="000000"/>
          <w:kern w:val="0"/>
          <w:szCs w:val="20"/>
        </w:rPr>
        <w:tab/>
      </w:r>
      <w:bookmarkStart w:id="34" w:name="_nebA7C8F68F_A080_4EDE_9EDD_97387D8D9042"/>
      <w:r>
        <w:rPr>
          <w:rFonts w:eastAsia="宋体" w:cs="Times New Roman"/>
          <w:color w:val="000000"/>
          <w:kern w:val="0"/>
          <w:szCs w:val="20"/>
        </w:rPr>
        <w:t>Beusterien, K.M., et al., Societal preference values for advanced melanoma health states in the United  Kingdom and Australia. Br J Cancer, 2009. 101(3): p. 387-9.</w:t>
      </w:r>
      <w:bookmarkEnd w:id="34"/>
    </w:p>
    <w:p w14:paraId="0C933A9E">
      <w:pPr>
        <w:autoSpaceDE w:val="0"/>
        <w:autoSpaceDN w:val="0"/>
        <w:adjustRightInd w:val="0"/>
        <w:jc w:val="both"/>
        <w:rPr>
          <w:rFonts w:eastAsia="宋体" w:cs="Times New Roman"/>
          <w:kern w:val="0"/>
          <w:sz w:val="24"/>
          <w:szCs w:val="24"/>
        </w:rPr>
      </w:pPr>
      <w:r>
        <w:rPr>
          <w:rFonts w:eastAsia="宋体" w:cs="Times New Roman"/>
          <w:color w:val="000000"/>
          <w:kern w:val="0"/>
          <w:szCs w:val="20"/>
        </w:rPr>
        <w:t>[25].</w:t>
      </w:r>
      <w:r>
        <w:rPr>
          <w:rFonts w:eastAsia="宋体" w:cs="Times New Roman"/>
          <w:color w:val="000000"/>
          <w:kern w:val="0"/>
          <w:szCs w:val="20"/>
        </w:rPr>
        <w:tab/>
      </w:r>
      <w:bookmarkStart w:id="35" w:name="_neb283B1341_C609_4229_84D7_2B0DE5D67427"/>
      <w:r>
        <w:rPr>
          <w:rFonts w:eastAsia="宋体" w:cs="Times New Roman"/>
          <w:color w:val="000000"/>
          <w:kern w:val="0"/>
          <w:szCs w:val="20"/>
        </w:rPr>
        <w:t>Swinburn, P., et al., Elicitation of health state utilities in metastatic renal cell carcinoma. Curr Med Res Opin, 2010. 26(5): p. 1091-6.</w:t>
      </w:r>
      <w:bookmarkEnd w:id="35"/>
    </w:p>
    <w:p w14:paraId="6C122B38">
      <w:pPr>
        <w:autoSpaceDE w:val="0"/>
        <w:autoSpaceDN w:val="0"/>
        <w:adjustRightInd w:val="0"/>
        <w:jc w:val="both"/>
        <w:rPr>
          <w:rFonts w:eastAsia="宋体" w:cs="Times New Roman"/>
          <w:kern w:val="0"/>
          <w:sz w:val="24"/>
          <w:szCs w:val="24"/>
        </w:rPr>
      </w:pPr>
      <w:r>
        <w:rPr>
          <w:rFonts w:eastAsia="宋体" w:cs="Times New Roman"/>
          <w:color w:val="000000"/>
          <w:kern w:val="0"/>
          <w:szCs w:val="20"/>
        </w:rPr>
        <w:t>[26].</w:t>
      </w:r>
      <w:r>
        <w:rPr>
          <w:rFonts w:eastAsia="宋体" w:cs="Times New Roman"/>
          <w:color w:val="000000"/>
          <w:kern w:val="0"/>
          <w:szCs w:val="20"/>
        </w:rPr>
        <w:tab/>
      </w:r>
      <w:bookmarkStart w:id="36" w:name="_neb4EB3357F_BA4D_4D5B_A0A9_74C215D12141"/>
      <w:r>
        <w:rPr>
          <w:rFonts w:eastAsia="宋体" w:cs="Times New Roman"/>
          <w:color w:val="000000"/>
          <w:kern w:val="0"/>
          <w:szCs w:val="20"/>
        </w:rPr>
        <w:t>Pfeiffer, P., et al., TAS-102 with or without bevacizumab in patients with chemorefractory metastatic  colorectal cancer: an investigator-initiated, open-label, randomised, phase 2  trial. Lancet Oncol, 2020. 21(3): p. 412-420.</w:t>
      </w:r>
      <w:bookmarkEnd w:id="36"/>
    </w:p>
    <w:p w14:paraId="2EE9A521">
      <w:pPr>
        <w:autoSpaceDE w:val="0"/>
        <w:autoSpaceDN w:val="0"/>
        <w:adjustRightInd w:val="0"/>
        <w:jc w:val="both"/>
        <w:rPr>
          <w:rFonts w:eastAsia="宋体" w:cs="Times New Roman"/>
          <w:kern w:val="0"/>
          <w:sz w:val="24"/>
          <w:szCs w:val="24"/>
        </w:rPr>
      </w:pPr>
      <w:r>
        <w:rPr>
          <w:rFonts w:eastAsia="宋体" w:cs="Times New Roman"/>
          <w:color w:val="000000"/>
          <w:kern w:val="0"/>
          <w:szCs w:val="20"/>
        </w:rPr>
        <w:t>[27].</w:t>
      </w:r>
      <w:r>
        <w:rPr>
          <w:rFonts w:eastAsia="宋体" w:cs="Times New Roman"/>
          <w:color w:val="000000"/>
          <w:kern w:val="0"/>
          <w:szCs w:val="20"/>
        </w:rPr>
        <w:tab/>
      </w:r>
      <w:bookmarkStart w:id="37" w:name="_nebC71E83FD_1A2C_4A60_AA24_0B9F95D5B74A"/>
      <w:r>
        <w:rPr>
          <w:rFonts w:eastAsia="宋体" w:cs="Times New Roman"/>
          <w:color w:val="000000"/>
          <w:kern w:val="0"/>
          <w:szCs w:val="20"/>
        </w:rPr>
        <w:t>Bekaii-Saab, T.S., et al., Regorafenib dose-optimisation in patients with refractory metastatic colorectal  cancer (ReDOS): a randomised, multicentre, open-label, phase 2 study. Lancet Oncol, 2019. 20(8): p. 1070-1082.</w:t>
      </w:r>
      <w:bookmarkEnd w:id="37"/>
    </w:p>
    <w:p w14:paraId="3D05F05E">
      <w:pPr>
        <w:autoSpaceDE w:val="0"/>
        <w:autoSpaceDN w:val="0"/>
        <w:adjustRightInd w:val="0"/>
        <w:jc w:val="both"/>
        <w:rPr>
          <w:rFonts w:eastAsia="宋体" w:cs="Times New Roman"/>
          <w:kern w:val="0"/>
          <w:sz w:val="24"/>
          <w:szCs w:val="24"/>
        </w:rPr>
      </w:pPr>
      <w:r>
        <w:rPr>
          <w:rFonts w:eastAsia="宋体" w:cs="Times New Roman"/>
          <w:color w:val="000000"/>
          <w:kern w:val="0"/>
          <w:szCs w:val="20"/>
        </w:rPr>
        <w:t>[28].</w:t>
      </w:r>
      <w:r>
        <w:rPr>
          <w:rFonts w:eastAsia="宋体" w:cs="Times New Roman"/>
          <w:color w:val="000000"/>
          <w:kern w:val="0"/>
          <w:szCs w:val="20"/>
        </w:rPr>
        <w:tab/>
      </w:r>
      <w:bookmarkStart w:id="38" w:name="_neb12CFE959_BA0C_4B0F_9FC7_BC274E9B194E"/>
      <w:r>
        <w:rPr>
          <w:rFonts w:eastAsia="宋体" w:cs="Times New Roman"/>
          <w:color w:val="000000"/>
          <w:kern w:val="0"/>
          <w:szCs w:val="20"/>
        </w:rPr>
        <w:t>Kuznik, A., et al., Cost-Effectiveness of Cemiplimab Versus Standard of Care in the United States for  First-Line Treatment of Advanced Non-small Cell Lung Cancer With Programmed  Death-Ligand 1 Expression ≥50. Value Health, 2022. 25(2): p. 203-214.</w:t>
      </w:r>
      <w:bookmarkEnd w:id="38"/>
    </w:p>
    <w:p w14:paraId="10F38B2C">
      <w:pPr>
        <w:rPr>
          <w:rFonts w:cs="Times New Roman"/>
          <w:szCs w:val="20"/>
        </w:rPr>
      </w:pPr>
      <w:r>
        <w:rPr>
          <w:rFonts w:cs="Times New Roman"/>
          <w:szCs w:val="20"/>
        </w:rPr>
        <w:fldChar w:fldCharType="end"/>
      </w:r>
    </w:p>
    <w:sectPr>
      <w:pgSz w:w="11906" w:h="16838"/>
      <w:pgMar w:top="1440" w:right="1800" w:bottom="1440" w:left="1800" w:header="851" w:footer="992" w:gutter="0"/>
      <w:cols w:space="425" w:num="1"/>
      <w:titlePg/>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0A19F">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82A25">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B1436">
    <w:pPr>
      <w:pStyle w:val="10"/>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F1173">
    <w:pPr>
      <w:pStyle w:val="11"/>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12F1D">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2C2E7">
    <w:pPr>
      <w:pStyle w:val="11"/>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8A955D"/>
    <w:multiLevelType w:val="singleLevel"/>
    <w:tmpl w:val="C38A955D"/>
    <w:lvl w:ilvl="0" w:tentative="0">
      <w:start w:val="1"/>
      <w:numFmt w:val="decimal"/>
      <w:suff w:val="space"/>
      <w:lvlText w:val="%1."/>
      <w:lvlJc w:val="left"/>
    </w:lvl>
  </w:abstractNum>
  <w:abstractNum w:abstractNumId="1">
    <w:nsid w:val="D17543FD"/>
    <w:multiLevelType w:val="singleLevel"/>
    <w:tmpl w:val="D17543FD"/>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djNzJiNTk5NmRmYmYzZDlmNjhlMTAzYTRmYjYyYTkifQ=="/>
    <w:docVar w:name="NE.Ref{0077D0E9-CB59-4FA7-906B-009614B27F0D}" w:val=" ADDIN NE.Ref.{0077D0E9-CB59-4FA7-906B-009614B27F0D}&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012F0D4F-DCF5-41B2-861E-87F1B1C044BD}" w:val=" ADDIN NE.Ref.{012F0D4F-DCF5-41B2-861E-87F1B1C044BD}&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Citation&gt;_x000a_"/>
    <w:docVar w:name="NE.Ref{01518AA7-B1DF-4D56-98FF-82A04C27048A}" w:val=" ADDIN NE.Ref.{01518AA7-B1DF-4D56-98FF-82A04C27048A}&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01C5FA2D-29D6-4C08-9A80-A4D7E2BE6FF6}" w:val=" ADDIN NE.Ref.{01C5FA2D-29D6-4C08-9A80-A4D7E2BE6FF6}&lt;Citation&gt;&lt;Group&gt;&lt;References&gt;&lt;Item&gt;&lt;ID&gt;4692&lt;/ID&gt;&lt;UID&gt;{77298474-DFB0-498C-A536-A991B35D80AE}&lt;/UID&gt;&lt;Title&gt;Final results from a randomized phase 3 study of FOLFIRI {+/-} panitumumab for  second-line treatment of metastatic colorectal cancer&lt;/Title&gt;&lt;Template&gt;Journal Article&lt;/Template&gt;&lt;Star&gt;0&lt;/Star&gt;&lt;Tag&gt;0&lt;/Tag&gt;&lt;Author&gt;Peeters, M; Price, T J; Cervantes, A; Sobrero, A F; Ducreux, M; Hotko, Y; André, T; Chan, E; Lordick, F; Punt, C J; Strickland, A H; Wilson, G; Ciuleanu, T E; Roman, L; Van Cutsem, E; Tian, Y; Sidhu, R&lt;/Author&gt;&lt;Year&gt;2014&lt;/Year&gt;&lt;Details&gt;&lt;_accession_num&gt;24356622&lt;/_accession_num&gt;&lt;_author_adr&gt;Department of Oncology, University Hospital Antwerp, Antwerp, Belgium.&lt;/_author_adr&gt;&lt;_date_display&gt;2014 Jan&lt;/_date_display&gt;&lt;_date&gt;2014-01-01&lt;/_date&gt;&lt;_doi&gt;10.1093/annonc/mdt523&lt;/_doi&gt;&lt;_isbn&gt;1569-8041 (Electronic); 0923-7534 (Linking)&lt;/_isbn&gt;&lt;_issue&gt;1&lt;/_issue&gt;&lt;_journal&gt;Ann Oncol&lt;/_journal&gt;&lt;_keywords&gt;FOLFIRI; antibody; chemotherapy; metastatic colorectal cancer; panitumumab&lt;/_keywords&gt;&lt;_language&gt;eng&lt;/_language&gt;&lt;_pages&gt;107-16&lt;/_pages&gt;&lt;_subject_headings&gt;Adult; Aged; Aged, 80 and over; Antibodies, Monoclonal/administration &amp;amp; dosage; Antineoplastic Combined Chemotherapy Protocols/adverse effects/*therapeutic use; Camptothecin/adverse effects/*analogs &amp;amp; derivatives/therapeutic use; Colorectal Neoplasms/*drug therapy/mortality/pathology; Disease-Free Survival; Female; Fluorouracil/adverse effects/therapeutic use; Humans; Kaplan-Meier Estimate; Leucovorin/adverse effects/therapeutic use; Liver Neoplasms/*drug therapy/mortality/secondary; Male; Middle Aged; Panitumumab; Quality of Life; Skin Diseases/chemically induced; Treatment Outcome&lt;/_subject_headings&gt;&lt;_tertiary_title&gt;Annals of oncology : official journal of the European Society for Medical _x000d__x000a_      Oncology&lt;/_tertiary_title&gt;&lt;_type_work&gt;Clinical Trial, Phase III; Comparative Study; Journal Article; Randomized Controlled Trial; Research Support, Non-U.S. Gov&amp;apos;t&lt;/_type_work&gt;&lt;_url&gt;http://www.ncbi.nlm.nih.gov/entrez/query.fcgi?cmd=Retrieve&amp;amp;db=pubmed&amp;amp;dopt=Abstract&amp;amp;list_uids=24356622&amp;amp;query_hl=1&lt;/_url&gt;&lt;_volume&gt;25&lt;/_volume&gt;&lt;_created&gt;65020956&lt;/_created&gt;&lt;_modified&gt;65020956&lt;/_modified&gt;&lt;_impact_factor&gt;  51.769&lt;/_impact_factor&gt;&lt;_social_category&gt;医学(1)&lt;/_social_category&gt;&lt;_collection_scope&gt;SCIE&lt;/_collection_scope&gt;&lt;/Details&gt;&lt;Extra&gt;&lt;DBUID&gt;{F96A950B-833F-4880-A151-76DA2D6A2879}&lt;/DBUID&gt;&lt;/Extra&gt;&lt;/Item&gt;&lt;/References&gt;&lt;/Group&gt;&lt;/Citation&gt;_x000a_"/>
    <w:docVar w:name="NE.Ref{020499BA-785A-4FDD-B4A5-D2539CF57F3D}" w:val=" ADDIN NE.Ref.{020499BA-785A-4FDD-B4A5-D2539CF57F3D}&lt;Citation&gt;&lt;Group&gt;&lt;References&gt;&lt;Item&gt;&lt;ID&gt;2932&lt;/ID&gt;&lt;UID&gt;{2FCD3E14-E0C2-4C1F-B7F4-99ADDA13119F}&lt;/UID&gt;&lt;Title&gt;Alectinib versus chemotherapy in crizotinib-pretreated anaplastic lymphoma kinase (ALK)-positive non-small-cell lung cancer: results from the phase III ALUR study&lt;/Title&gt;&lt;Template&gt;Journal Article&lt;/Template&gt;&lt;Star&gt;1&lt;/Star&gt;&lt;Tag&gt;0&lt;/Tag&gt;&lt;Author&gt;Novello, S; Mazieres, J; Oh, I J; de Castro, J; Migliorino, M R; Helland, A; Dziadziuszko, R; Griesinger, F; Kotb, A; Zeaiter, A; Cardona, A; Balas, B; Johannsdottir, H K; Das-Gupta, A; Wolf, J&lt;/Author&gt;&lt;Year&gt;2018&lt;/Year&gt;&lt;Details&gt;&lt;_accessed&gt;64631487&lt;/_accessed&gt;&lt;_accession_num&gt;29668860&lt;/_accession_num&gt;&lt;_author_adr&gt;Department of Oncology, University of Turin, Turin, Italy.; Department of Pneumology, Toulouse University Hospital, Paul Sabatier University, Toulouse, France.; Department of Internal Medicine, Chonnam National University Hwasun Hospital, Hwasun-gun Jeollanam-do, Republic of Korea.; Department of Translational Oncology, La Paz University Hospital, Madrid, Spain.; Azienda Ospedaliera San Camillo Forlanini Hospital, Rome, Italy.; Department of Cancer Genetics and Department of Oncology, Institute for Cancer Research, Oslo University Hospital, Oslo, Norway.; Department of Oncology and Radiotherapy, Medical University of Gdansk, Gdansk, Poland.; Department of Hematology and Oncology, Pius Hospital, Medical Campus University of Oldenburg, Oldenburg, Germany.; F. Hoffmann-La Roche Ltd., Basel, Switzerland.; F. Hoffmann-La Roche Ltd., Basel, Switzerland.; F. Hoffmann-La Roche Ltd., Basel, Switzerland.; F. Hoffmann-La Roche Ltd., Basel, Switzerland.; F. Hoffmann-La Roche Ltd., Basel, Switzerland.; F. Hoffmann-La Roche Ltd., Basel, Switzerland.; Department I of Internal Medicine, Center for Integrated Oncology, University Hospital Cologne, Cologne, Germany. Electronic address: juergen.wolf@uk-koeln.de.&lt;/_author_adr&gt;&lt;_collection_scope&gt;SCIE&lt;/_collection_scope&gt;&lt;_created&gt;64630952&lt;/_created&gt;&lt;_date&gt;2018-06-01&lt;/_date&gt;&lt;_date_display&gt;2018 Jun 1&lt;/_date_display&gt;&lt;_db_updated&gt;PubMed&lt;/_db_updated&gt;&lt;_doi&gt;10.1093/annonc/mdy121&lt;/_doi&gt;&lt;_impact_factor&gt;  51.769&lt;/_impact_factor&gt;&lt;_isbn&gt;1569-8041 (Electronic); 0923-7534 (Linking)&lt;/_isbn&gt;&lt;_issue&gt;6&lt;/_issue&gt;&lt;_journal&gt;Ann Oncol&lt;/_journal&gt;&lt;_language&gt;eng&lt;/_language&gt;&lt;_modified&gt;64740725&lt;/_modified&gt;&lt;_pages&gt;1409-1416&lt;/_pages&gt;&lt;_social_category&gt;医学(1)&lt;/_social_category&gt;&lt;_subject_headings&gt;Adenocarcinoma/*drug therapy/secondary; Adult; Aged; Aged, 80 and over; Antineoplastic Combined Chemotherapy Protocols/*therapeutic use; Carbazoles/administration &amp;amp; dosage; Carcinoma, Non-Small-Cell Lung/*drug therapy/pathology; Central Nervous System Neoplasms/*drug therapy/secondary; Crizotinib/administration &amp;amp; dosage; Drug Resistance, Neoplasm/*drug effects; Female; Follow-Up Studies; Humans; Lung Neoplasms/*drug therapy/pathology; Lymphatic Metastasis; Male; Middle Aged; Pemetrexed/administration &amp;amp; dosage; Piperidines/administration &amp;amp; dosage; Prognosis; *Salvage Therapy; Survival Rate&lt;/_subject_headings&gt;&lt;_tertiary_title&gt;Annals of oncology : official journal of the European Society for Medical_x000d__x000a_      Oncology&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668860&amp;amp;query_hl=1 _x000d__x000a_https://www.ncbi.nlm.nih.gov/pmc/articles/PMC6005013/pdf/mdy121.pdf _x000d__x000a_&lt;/_url&gt;&lt;_volume&gt;29&lt;/_volume&gt;&lt;/Details&gt;&lt;Extra&gt;&lt;DBUID&gt;{F96A950B-833F-4880-A151-76DA2D6A2879}&lt;/DBUID&gt;&lt;/Extra&gt;&lt;/Item&gt;&lt;/References&gt;&lt;/Group&gt;&lt;Group&gt;&lt;References&gt;&lt;Item&gt;&lt;ID&gt;2933&lt;/ID&gt;&lt;UID&gt;{BB1EFCAB-3F2B-476E-B436-837F9B9CB4F6}&lt;/UID&gt;&lt;Title&gt;Alectinib versus crizotinib in patients with ALK-positive non-small-cell lung cancer (J-ALEX): an open-label, randomised phase 3 trial&lt;/Title&gt;&lt;Template&gt;Journal Article&lt;/Template&gt;&lt;Star&gt;0&lt;/Star&gt;&lt;Tag&gt;0&lt;/Tag&gt;&lt;Author&gt;Hida, T; Nokihara, H; Kondo, M; Kim, Y H; Azuma, K; Seto, T; Takiguchi, Y; Nishio, M; Yoshioka, H; Imamura, F; Hotta, K; Watanabe, S; Goto, K; Satouchi, M; Kozuki, T; Shukuya, T; Nakagawa, K; Mitsudomi, T; Yamamoto, N; Asakawa, T; Asabe, R; Tanaka, T; Tamura, T&lt;/Author&gt;&lt;Year&gt;2017&lt;/Year&gt;&lt;Details&gt;&lt;_accessed&gt;64631491&lt;/_accessed&gt;&lt;_accession_num&gt;28501140&lt;/_accession_num&gt;&lt;_author_adr&gt;Department of Thoracic Oncology, Aichi Cancer Center, Nagoya, Japan.; Department of Thoracic Oncology, National Cancer Center Hospital, Tokyo, Japan.; Department of Respiratory Medicine, Nagoya University Graduate School of Medicine, Nagoya, Japan.; Department of Respiratory Medicine, Kyoto University, Kyoto, Japan.; Institution Division of Respirology, Neurology, and Rheumatology, Department of Internal Medicine, Kurume University School of Medicine, Kurume, Japan.; Department of Thoracic Oncology, National Kyushu Cancer Center, Fukuoka, Japan.; Department of Medical Oncology, Graduate School of Medicine, Chiba University, Chiba, Japan.; Department of Thoracic Medical Oncology, The Cancer Institute Hospital of Japanese Foundation for Cancer Research, Tokyo, Japan.; Department of Respiratory Medicine, Kurashiki Central Hospital, Kurashiki, Japan.; Department of Thoracic Oncology, Osaka Medical Center for Cancer and Cardiovascular Diseases, Osaka, Japan.; Center for Innovative Clinical Medicine, Okayama University Hospital, Okayama, Japan.; Department of Respiratory Medicine and Infectious Diseases, Niigata University Graduate School of Medical and Dental Sciences, Niigata, Japan.; Department of Thoracic Oncology, National Cancer Center Hospital East, Kashiwa, Japan.; Department of Thoracic Oncology, Hyogo Cancer Center, Akashi, Japan.; Department of Thoracic Oncology and Medicine, Shikoku Cancer Center, Matsuyama, Japan.; Department of Respiratory Medicine, Juntendo University, Tokyo, Japan.; Department of Medical Oncology, Kindai University Faculty of Medicine, Osaka-Sayama, Japan.; Division of Thoracic Surgery, Department of Surgery, Kindai University Faculty of Medicine, Osaka-Sayama, Japan.; Third Department of Internal Medicine, Wakayama Medical University, Wakayama, Japan.; Clinical Science and Strategy Department, Chugai Pharmaceutical, Tokyo, Japan.; Clinical Study Management Department, Chugai Pharmaceutical, Tokyo, Japan.; Clinical Science and Strategy Department, Chugai Pharmaceutical, Tokyo, Japan.; Thoracic Center, St. Luke&amp;apos;s International Hospital, Tokyo, Japan. Electronic address: tamuratomohide@gmail.com.&lt;/_author_adr&gt;&lt;_collection_scope&gt;SCIE&lt;/_collection_scope&gt;&lt;_created&gt;64630955&lt;/_created&gt;&lt;_date&gt;2017-07-01&lt;/_date&gt;&lt;_date_display&gt;2017 Jul 1&lt;/_date_display&gt;&lt;_db_updated&gt;PubMed&lt;/_db_updated&gt;&lt;_doi&gt;10.1016/S0140-6736(17)30565-2&lt;/_doi&gt;&lt;_impact_factor&gt; 202.731&lt;/_impact_factor&gt;&lt;_isbn&gt;1474-547X (Electronic); 0140-6736 (Linking)&lt;/_isbn&gt;&lt;_issue&gt;10089&lt;/_issue&gt;&lt;_journal&gt;Lancet&lt;/_journal&gt;&lt;_language&gt;eng&lt;/_language&gt;&lt;_modified&gt;64740725&lt;/_modified&gt;&lt;_ori_publication&gt;Copyright (c) 2017 Elsevier Ltd. All rights reserved.&lt;/_ori_publication&gt;&lt;_pages&gt;29-39&lt;/_pages&gt;&lt;_social_category&gt;医学(1)&lt;/_social_category&gt;&lt;_subject_headings&gt;Adult; Aged; Aged, 80 and over; Anaplastic Lymphoma Kinase; Antineoplastic Agents/adverse effects/blood/*therapeutic use; Brain Neoplasms/secondary; Carbazoles/adverse effects/blood/*therapeutic use; Carcinoma, Non-Small-Cell Lung/*drug therapy/enzymology/pathology/secondary; Crizotinib; Female; Humans; Kaplan-Meier Estimate; Lung Neoplasms/*drug therapy/enzymology/pathology; Male; Middle Aged; Neoplasm Grading; Piperidines/adverse effects/blood/*therapeutic use; Protein Kinase Inhibitors/adverse effects/blood/therapeutic use; Pyrazoles/adverse effects/blood/*therapeutic use; Pyridines/adverse effects/blood/*therapeutic use; Receptor Protein-Tyrosine Kinases/antagonists &amp;amp; inhibitors/*metabolism; Single-Blind Method&lt;/_subject_headings&gt;&lt;_tertiary_title&gt;Lancet (London, England)&lt;/_tertiary_title&gt;&lt;_type_work&gt;Clinical Trial, Phase III; Comparative Study; Journal Article; Multicenter Study; Randomized Controlled Trial&lt;/_type_work&gt;&lt;_url&gt;http://www.ncbi.nlm.nih.gov/entrez/query.fcgi?cmd=Retrieve&amp;amp;db=pubmed&amp;amp;dopt=Abstract&amp;amp;list_uids=28501140&amp;amp;query_hl=1&lt;/_url&gt;&lt;_volume&gt;390&lt;/_volume&gt;&lt;/Details&gt;&lt;Extra&gt;&lt;DBUID&gt;{F96A950B-833F-4880-A151-76DA2D6A2879}&lt;/DBUID&gt;&lt;/Extra&gt;&lt;/Item&gt;&lt;/References&gt;&lt;/Group&gt;&lt;Group&gt;&lt;References&gt;&lt;Item&gt;&lt;ID&gt;2934&lt;/ID&gt;&lt;UID&gt;{586E131D-C588-43D7-A714-E02652E97574}&lt;/UID&gt;&lt;Title&gt;Alectinib versus Crizotinib in Untreated ALK-Positive Non-Small-Cell Lung Cancer&lt;/Title&gt;&lt;Template&gt;Journal Article&lt;/Template&gt;&lt;Star&gt;0&lt;/Star&gt;&lt;Tag&gt;0&lt;/Tag&gt;&lt;Author&gt;Peters, S; Camidge, D R; Shaw, A T; Gadgeel, S; Ahn, J S; Kim, D W; Ou, S I; Perol, M; Dziadziuszko, R; Rosell, R; Zeaiter, A; Mitry, E; Golding, S; Balas, B; Noe, J; Morcos, P N; Mok, T&lt;/Author&gt;&lt;Year&gt;2017&lt;/Year&gt;&lt;Details&gt;&lt;_accessed&gt;64632453&lt;/_accessed&gt;&lt;_accession_num&gt;28586279&lt;/_accession_num&gt;&lt;_collection_scope&gt;SCIE&lt;/_collection_scope&gt;&lt;_created&gt;64630944&lt;/_created&gt;&lt;_date&gt;2017-08-31&lt;/_date&gt;&lt;_date_display&gt;2017 Aug 31&lt;/_date_display&gt;&lt;_db_updated&gt;PubMed&lt;/_db_updated&gt;&lt;_doi&gt;10.1056/NEJMoa1704795&lt;/_doi&gt;&lt;_impact_factor&gt; 176.079&lt;/_impact_factor&gt;&lt;_isbn&gt;1533-4406 (Electronic); 0028-4793 (Linking)&lt;/_isbn&gt;&lt;_issue&gt;9&lt;/_issue&gt;&lt;_journal&gt;N Engl J Med&lt;/_journal&gt;&lt;_language&gt;eng&lt;/_language&gt;&lt;_modified&gt;64740725&lt;/_modified&gt;&lt;_pages&gt;829-838&lt;/_pages&gt;&lt;_social_category&gt;医学(1)&lt;/_social_category&gt;&lt;_subject_headings&gt;Adult; Aged, 80 and over; Anaplastic Lymphoma Kinase; Animals; Antineoplastic Agents/adverse effects/therapeutic use; Carbazoles/adverse effects/*therapeutic use; Carcinoma, Non-Small-Cell Lung/*drug therapy/mortality; Central Nervous System Neoplasms/drug therapy/*secondary; Crizotinib; Disease-Free Survival; Female; Follow-Up Studies; Humans; Intention to Treat Analysis; Kaplan-Meier Estimate; Lung Neoplasms/*drug therapy/mortality; Male; Middle Aged; Piperidines/adverse effects/*therapeutic use; Protein Kinase Inhibitors/adverse effects/*therapeutic use; Pyrazoles/adverse effects/*therapeutic use; Pyridines/adverse effects/*therapeutic use; Receptor Protein-Tyrosine Kinases/analysis/antagonists &amp;amp; inhibitors; Young Adult&lt;/_subject_headings&gt;&lt;_tertiary_title&gt;The New England journal of medicine&lt;/_tertiary_title&gt;&lt;_type_work&gt;Clinical Trial, Phase III; Comparative Study; Journal Article; Multicenter Study; Randomized Controlled Trial&lt;/_type_work&gt;&lt;_url&gt;http://www.ncbi.nlm.nih.gov/entrez/query.fcgi?cmd=Retrieve&amp;amp;db=pubmed&amp;amp;dopt=Abstract&amp;amp;list_uids=28586279&amp;amp;query_hl=1&lt;/_url&gt;&lt;_volume&gt;377&lt;/_volume&gt;&lt;/Details&gt;&lt;Extra&gt;&lt;DBUID&gt;{F96A950B-833F-4880-A151-76DA2D6A2879}&lt;/DBUID&gt;&lt;/Extra&gt;&lt;/Item&gt;&lt;/References&gt;&lt;/Group&gt;&lt;Group&gt;&lt;References&gt;&lt;Item&gt;&lt;ID&gt;2935&lt;/ID&gt;&lt;UID&gt;{B0504476-4168-4965-B93D-4CDB38F64EAD}&lt;/UID&gt;&lt;Title&gt;Alectinib versus crizotinib in untreated Asian patients with anaplastic lymphoma  kinase-positive non-small-cell lung cancer (ALESIA): a randomised phase 3 study&lt;/Title&gt;&lt;Template&gt;Journal Article&lt;/Template&gt;&lt;Star&gt;0&lt;/Star&gt;&lt;Tag&gt;0&lt;/Tag&gt;&lt;Author&gt;Zhou, C; Kim, S W; Reungwetwattana, T; Zhou, J; Zhang, Y; He, J; Yang, J J; Cheng, Y; Lee, S H; Bu, L; Xu, T; Yang, L; Wang, C; Liu, T; Morcos, P N; Lu, Y; Zhang, L&lt;/Author&gt;&lt;Year&gt;2019&lt;/Year&gt;&lt;Details&gt;&lt;_accessed&gt;64632481&lt;/_accessed&gt;&lt;_accession_num&gt;30981696&lt;/_accession_num&gt;&lt;_author_adr&gt;Shanghai Pulmonary Hospital, Tongji University School of Medicine, Shanghai, China.; Asan Medical Center, Seoul, South Korea.; Faculty of Medicine Ramathibodi Hospital, Mahidol University, Bangkok, Thailand.; The First Affiliated Hospital of College of Medicine, Zhejiang University, Hangzhou, China.; Zhejiang Cancer Hospital, Hangzhou, China.; The First Affiliated Hospital of College of Medicine, Zhejiang University, Hangzhou, China.; Guangdong General Hospital, Guangzhou, China.; The First Affiliated Hospital of Guangzhou Medical University, Guangzhou, China;  Jilin Cancer Hospital, Changchun, China.; Samsung Medical Center, Sungkyunkwan University School of Medicine, Seoul, South  Korea.; Roche Pharma Development, Shanghai, China.; Roche Pharma Development, Shanghai, China.; Roche Pharma Development, Shanghai, China.; Roche Pharma Development, Shanghai, China.; F Hoffmann-La Roche, Basel, Switzerland.; Roche Innovation Center, New York, NY, USA.; West China Hospital, Sichuan University, Chengdu, China.; Sun Yat-sen University Cancer Center, State Key Laboratory of Oncology in South China, Collaborative Innovation Center for Cancer Medicine, Guangzhou, China. Electronic address: ChinazhangLi6@mail.sysu.edu.cn.&lt;/_author_adr&gt;&lt;_collection_scope&gt;SCIE&lt;/_collection_scope&gt;&lt;_created&gt;64630941&lt;/_created&gt;&lt;_date&gt;2019-05-01&lt;/_date&gt;&lt;_date_display&gt;2019 May&lt;/_date_display&gt;&lt;_db_updated&gt;PubMed&lt;/_db_updated&gt;&lt;_doi&gt;10.1016/S2213-2600(19)30053-0&lt;/_doi&gt;&lt;_impact_factor&gt; 102.642&lt;/_impact_factor&gt;&lt;_isbn&gt;2213-2619 (Electronic); 2213-2600 (Linking)&lt;/_isbn&gt;&lt;_issue&gt;5&lt;/_issue&gt;&lt;_journal&gt;Lancet Respir Med&lt;/_journal&gt;&lt;_language&gt;eng&lt;/_language&gt;&lt;_modified&gt;64740725&lt;/_modified&gt;&lt;_ori_publication&gt;Copyright (c) 2019 Elsevier Ltd. All rights reserved.&lt;/_ori_publication&gt;&lt;_pages&gt;437-446&lt;/_pages&gt;&lt;_social_category&gt;医学(1)&lt;/_social_category&gt;&lt;_subject_headings&gt;Adult; *Anaplastic Lymphoma Kinase; Carbazoles/*therapeutic use; Carcinoma, Non-Small-Cell Lung/*drug therapy; China; Crizotinib/*therapeutic use; Female; Humans; Lung Neoplasms/*drug therapy; Male; Middle Aged; Piperidines/*therapeutic use; Protein Kinase Inhibitors/*therapeutic use; Republic of Korea; Thailand; Treatment Outcome&lt;/_subject_headings&gt;&lt;_tertiary_title&gt;The Lancet. Respiratory medicine&lt;/_tertiary_title&gt;&lt;_type_work&gt;Clinical Trial, Phase III; Comparative Study; Journal Article; Randomized Controlled Trial; Research Support, Non-U.S. Gov&amp;apos;t&lt;/_type_work&gt;&lt;_url&gt;http://www.ncbi.nlm.nih.gov/entrez/query.fcgi?cmd=Retrieve&amp;amp;db=pubmed&amp;amp;dopt=Abstract&amp;amp;list_uids=30981696&amp;amp;query_hl=1&lt;/_url&gt;&lt;_volume&gt;7&lt;/_volume&gt;&lt;/Details&gt;&lt;Extra&gt;&lt;DBUID&gt;{F96A950B-833F-4880-A151-76DA2D6A2879}&lt;/DBUID&gt;&lt;/Extra&gt;&lt;/Item&gt;&lt;/References&gt;&lt;/Group&gt;&lt;Group&gt;&lt;References&gt;&lt;Item&gt;&lt;ID&gt;2936&lt;/ID&gt;&lt;UID&gt;{6486069A-5ADE-41FB-AF35-61BCA73A8DA5}&lt;/UID&gt;&lt;Title&gt;Brigatinib Versus Crizotinib in Advanced ALK Inhibitor-Naive ALK-Positive Non-Small Cell Lung Cancer: Second Interim Analysis of the Phase III ALTA-1L Trial&lt;/Title&gt;&lt;Template&gt;Journal Article&lt;/Template&gt;&lt;Star&gt;0&lt;/Star&gt;&lt;Tag&gt;0&lt;/Tag&gt;&lt;Author&gt;Camidge, D R; Kim, H R; Ahn, M J; Yang, JCH; Han, J Y; Hochmair, M J; Lee, K H; Delmonte, A; Garcia, Campelo MR; Kim, D W; Griesinger, F; Felip, E; Califano, R; Spira, A; Gettinger, S N; Tiseo, M; Lin, H M; Gupta, N; Hanley, M J; Ni, Q; Zhang, P; Popat, S&lt;/Author&gt;&lt;Year&gt;2020&lt;/Year&gt;&lt;Details&gt;&lt;_accessed&gt;64631482&lt;/_accessed&gt;&lt;_accession_num&gt;32780660&lt;/_accession_num&gt;&lt;_author_adr&gt;University of Colorado Cancer Center, Aurora, CO.; Division of Medical Oncology, Department of Internal Medicine, Yonsei Cancer Center, Yonsei University College of Medicine, Seoul, South Korea.; Samsung Medical Center, Seoul, South Korea.; National Taiwan University Hospital, Taipei, Taiwan.; National Cancer Center, Goyang, South Korea.; Department of Respiratory and Critical Care Medicine, Krankenhaus Nord-Klinik Floridsdorf, Vienna, Austria.; Chungbuk National University Hospital, Cheongju, South Korea.; Istituto Scientifico Romagnolo per lo Studio e la Cura dei Tumori (IRST), IRCCS,  Meldola, Italy.; Complejo Hospitalario Universitario A Coruna, Coruna, Spain.; Seoul National University Hospital, Seoul, South Korea.; Pius-Hospital Oldenburg, University of Oldenburg, Oldenburg, Germany.; Vall d&amp;apos;Hebron University Hospital, Barcelona, Spain.; The Christie NHS Foundation Trust and Division of Cancer Sciences, University of  Manchester, Manchester, United Kingdom.; Virginia Cancer Specialists and US Oncology Research, The Woodlands, TX.; Yale Cancer Center, New Haven, CT.; University Hospital of Parma, Parma, Italy.; Millennium Pharmaceuticals, Cambridge, MA.; Millennium Pharmaceuticals, Cambridge, MA.; Millennium Pharmaceuticals, Cambridge, MA.; Millennium Pharmaceuticals, Cambridge, MA.; Millennium Pharmaceuticals, Cambridge, MA.; Royal Marsden Hospital, London, United Kingdom.; The Institute of Cancer Research, London, United Kingdom.&lt;/_author_adr&gt;&lt;_collection_scope&gt;SCIE&lt;/_collection_scope&gt;&lt;_created&gt;64630941&lt;/_created&gt;&lt;_date&gt;2020-11-01&lt;/_date&gt;&lt;_date_display&gt;2020 Nov 1&lt;/_date_display&gt;&lt;_db_updated&gt;PubMed&lt;/_db_updated&gt;&lt;_doi&gt;10.1200/JCO.20.00505&lt;/_doi&gt;&lt;_impact_factor&gt;  50.717&lt;/_impact_factor&gt;&lt;_isbn&gt;1527-7755 (Electronic); 0732-183X (Linking)&lt;/_isbn&gt;&lt;_issue&gt;31&lt;/_issue&gt;&lt;_journal&gt;J Clin Oncol&lt;/_journal&gt;&lt;_language&gt;eng&lt;/_language&gt;&lt;_modified&gt;64740725&lt;/_modified&gt;&lt;_pages&gt;3592-3603&lt;/_pages&gt;&lt;_social_category&gt;医学(1)&lt;/_social_category&gt;&lt;_subject_headings&gt;Adolescent; Adult; Aged; Anaplastic Lymphoma Kinase/antagonists &amp;amp; inhibitors/metabolism; Antineoplastic Agents/adverse effects/blood/pharmacokinetics/*therapeutic use; Carcinoma, Non-Small-Cell Lung/*drug therapy/metabolism; Crizotinib/adverse effects/blood/pharmacokinetics/*therapeutic use; Female; Humans; Lung Neoplasms/*drug therapy/metabolism; Male; Middle Aged; Organophosphorus Compounds/adverse effects/blood/pharmacokinetics/*therapeutic_x000d__x000a_      use; Progression-Free Survival; Pyrimidines/adverse effects/blood/pharmacokinetics/*therapeutic use; Quality of Life; Survival Rate; Young Adult&lt;/_subject_headings&gt;&lt;_tertiary_title&gt;Journal of clinical oncology : official journal of the American Society of_x000d__x000a_      Clinical Oncology&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2780660&amp;amp;query_hl=1 _x000d__x000a_https://www.ncbi.nlm.nih.gov/pmc/articles/PMC7605398/pdf/JCO.20.00505.pdf _x000d__x000a_&lt;/_url&gt;&lt;_volume&gt;38&lt;/_volume&gt;&lt;/Details&gt;&lt;Extra&gt;&lt;DBUID&gt;{F96A950B-833F-4880-A151-76DA2D6A2879}&lt;/DBUID&gt;&lt;/Extra&gt;&lt;/Item&gt;&lt;/References&gt;&lt;/Group&gt;&lt;Group&gt;&lt;References&gt;&lt;Item&gt;&lt;ID&gt;2937&lt;/ID&gt;&lt;UID&gt;{4187981C-5EBE-4475-A9E2-FFF593DEC13A}&lt;/UID&gt;&lt;Title&gt;Ceritinib versus chemotherapy in patients with ALK-rearranged non-small-cell lung cancer previously given chemotherapy and crizotinib (ASCEND-5): a randomised, controlled, open-label, phase 3 trial&lt;/Title&gt;&lt;Template&gt;Journal Article&lt;/Template&gt;&lt;Star&gt;1&lt;/Star&gt;&lt;Tag&gt;0&lt;/Tag&gt;&lt;Author&gt;Shaw, A T; Kim, T M; Crino, L; Gridelli, C; Kiura, K; Liu, G; Novello, S; Bearz, A; Gautschi, O; Mok, T; Nishio, M; Scagliotti, G; Spigel, D R; Deudon, S; Zheng, C; Pantano, S; Urban, P; Massacesi, C; Viraswami-Appanna, K; Felip, E&lt;/Author&gt;&lt;Year&gt;2017&lt;/Year&gt;&lt;Details&gt;&lt;_accessed&gt;64632463&lt;/_accessed&gt;&lt;_accession_num&gt;28602779&lt;/_accession_num&gt;&lt;_author_adr&gt;Massachusetts General Hospital, Boston, MA, USA. Electronic address: ashaw1@mgh.harvard.edu.; Seoul National University Hospital, Seoul, Korea.; Istituto Scientifico Romagnolo per lo Studio e la Cura dei Tumori, Istituto di Ricovero e Cura a Carattere Scientifico, Meldola, Italy.; SG Moscati Hospital, Citta Ospedaliera, Contrada Amoretta, Avellino, Italy.; Okayama University Hospital, Okayama, Japan.; Princess Margaret Cancer Centre, Toronto, ON, Canada.; University of Torino, Torino, Italy.; Istituto di Ricovero e Cura a Carattere Scientifico-Centro di Riferimento Oncologico, Aviano, Italy.; Cantonal Hospital Lucerne, Lucerne, Switzerland.; State Key Laboratory of South China, Chinese University of Hong Kong, Shatin, China.; Cancer Institute Hospital of Japanese Foundation for Cancer Research, Tokyo, Japan.; University of Torino, Torino, Italy.; Sarah Cannon Research Institute, Nashville, TN, USA.; Novartis, Basel, Switzerland.; Novartis, East Hanover, NJ, USA.; Novartis, Basel, Switzerland.; Novartis, Basel, Switzerland.; Novartis, Basel, Switzerland.; Novartis, East Hanover, NJ, USA.; Vall d&amp;apos;Hebron University Hospital, Barcelona, Spain; Vall d&amp;apos;Hebron Institute of Oncology, Barcelona, Spain.&lt;/_author_adr&gt;&lt;_collection_scope&gt;SCIE&lt;/_collection_scope&gt;&lt;_created&gt;64630954&lt;/_created&gt;&lt;_date&gt;2017-07-01&lt;/_date&gt;&lt;_date_display&gt;2017 Jul&lt;/_date_display&gt;&lt;_db_updated&gt;PubMed&lt;/_db_updated&gt;&lt;_doi&gt;10.1016/S1470-2045(17)30339-X&lt;/_doi&gt;&lt;_impact_factor&gt;  54.433&lt;/_impact_factor&gt;&lt;_isbn&gt;1474-5488 (Electronic); 1470-2045 (Linking)&lt;/_isbn&gt;&lt;_issue&gt;7&lt;/_issue&gt;&lt;_journal&gt;Lancet Oncol&lt;/_journal&gt;&lt;_language&gt;eng&lt;/_language&gt;&lt;_modified&gt;64740725&lt;/_modified&gt;&lt;_ori_publication&gt;Copyright (c) 2017 Elsevier Ltd. All rights reserved.&lt;/_ori_publication&gt;&lt;_pages&gt;874-886&lt;/_pages&gt;&lt;_social_category&gt;医学(1)&lt;/_social_category&gt;&lt;_subject_headings&gt;Adult; Alanine Transaminase/blood; Anaplastic Lymphoma Kinase; Antineoplastic Agents/*therapeutic use; Antineoplastic Combined Chemotherapy Protocols/therapeutic use; Aspartate Aminotransferases/blood; Carcinoma, Non-Small-Cell Lung/*drug therapy/genetics/secondary; Crizotinib; Disease Progression; Disease-Free Survival; Docetaxel; Female; Gene Rearrangement; Humans; Lung Neoplasms/*drug therapy/genetics/pathology; Male; Middle Aged; Neoplasm Staging; Pemetrexed/*therapeutic use; Platinum Compounds/administration &amp;amp; dosage; Pyrazoles/therapeutic use; Pyridines/therapeutic use; Pyrimidines/adverse effects/*therapeutic use; Receptor Protein-Tyrosine Kinases/*genetics; Response Evaluation Criteria in Solid Tumors; Retreatment; Sulfones/adverse effects/*therapeutic use; Taxoids/*therapeutic use; gamma-Glutamyltransferase/blood&lt;/_subject_headings&gt;&lt;_tertiary_title&gt;The Lancet. Oncology&lt;/_tertiary_title&gt;&lt;_type_work&gt;Clinical Trial, Phase III; Comparative Study; Journal Article; Multicenter Study; Randomized Controlled Trial&lt;/_type_work&gt;&lt;_url&gt;http://www.ncbi.nlm.nih.gov/entrez/query.fcgi?cmd=Retrieve&amp;amp;db=pubmed&amp;amp;dopt=Abstract&amp;amp;list_uids=28602779&amp;amp;query_hl=1&lt;/_url&gt;&lt;_volume&gt;18&lt;/_volume&gt;&lt;/Details&gt;&lt;Extra&gt;&lt;DBUID&gt;{F96A950B-833F-4880-A151-76DA2D6A2879}&lt;/DBUID&gt;&lt;/Extra&gt;&lt;/Item&gt;&lt;/References&gt;&lt;/Group&gt;&lt;Group&gt;&lt;References&gt;&lt;Item&gt;&lt;ID&gt;2938&lt;/ID&gt;&lt;UID&gt;{1F2B4446-25E6-4142-A1A7-C041E3704438}&lt;/UID&gt;&lt;Title&gt;Crizotinib versus chemotherapy in advanced ALK-positive lung cancer&lt;/Title&gt;&lt;Template&gt;Journal Article&lt;/Template&gt;&lt;Star&gt;1&lt;/Star&gt;&lt;Tag&gt;0&lt;/Tag&gt;&lt;Author&gt;Shaw, A T; Kim, D W; Nakagawa, K; Seto, T; Crino, L; Ahn, M J; De Pas, T; Besse, B; Solomon, B J; Blackhall, F; Wu, Y L; Thomas, M; O&amp;apos;Byrne, K J; Moro-Sibilot, D; Camidge, D R; Mok, T; Hirsh, V; Riely, G J; Iyer, S; Tassell, V; Polli, A; Wilner, K D; Janne, P A&lt;/Author&gt;&lt;Year&gt;2013&lt;/Year&gt;&lt;Details&gt;&lt;_accessed&gt;64632466&lt;/_accessed&gt;&lt;_accession_num&gt;23724913&lt;/_accession_num&gt;&lt;_author_adr&gt;Massachusetts General Hospital, Boston, MA 02114, USA. ashaw1@partners.org&lt;/_author_adr&gt;&lt;_collection_scope&gt;SCIE&lt;/_collection_scope&gt;&lt;_created&gt;64630997&lt;/_created&gt;&lt;_date&gt;2013-06-20&lt;/_date&gt;&lt;_date_display&gt;2013 Jun 20&lt;/_date_display&gt;&lt;_db_updated&gt;PubMed&lt;/_db_updated&gt;&lt;_doi&gt;10.1056/NEJMoa1214886&lt;/_doi&gt;&lt;_impact_factor&gt; 176.079&lt;/_impact_factor&gt;&lt;_isbn&gt;1533-4406 (Electronic); 0028-4793 (Linking)&lt;/_isbn&gt;&lt;_issue&gt;25&lt;/_issue&gt;&lt;_journal&gt;N Engl J Med&lt;/_journal&gt;&lt;_language&gt;eng&lt;/_language&gt;&lt;_modified&gt;64740725&lt;/_modified&gt;&lt;_pages&gt;2385-94&lt;/_pages&gt;&lt;_social_category&gt;医学(1)&lt;/_social_category&gt;&lt;_subject_headings&gt;Adult; Aged; Aged, 80 and over; Antineoplastic Agents/adverse effects/*therapeutic use; Carcinoma, Non-Small-Cell Lung/*drug therapy/mortality; Crizotinib; Disease-Free Survival; Docetaxel; Female; Glutamates/adverse effects/therapeutic use; Guanine/adverse effects/analogs &amp;amp; derivatives/therapeutic use; Humans; Kaplan-Meier Estimate; Lung Neoplasms/*drug therapy/mortality; Male; Middle Aged; Pemetrexed; Protein Kinase Inhibitors/adverse effects/*therapeutic use; Pyrazoles/adverse effects/*therapeutic use; Pyridines/adverse effects/*therapeutic use; Quality of Life; Taxoids/adverse effects/therapeutic use; Young Adult&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3724913&amp;amp;query_hl=1&lt;/_url&gt;&lt;_volume&gt;368&lt;/_volume&gt;&lt;/Details&gt;&lt;Extra&gt;&lt;DBUID&gt;{F96A950B-833F-4880-A151-76DA2D6A2879}&lt;/DBUID&gt;&lt;/Extra&gt;&lt;/Item&gt;&lt;/References&gt;&lt;/Group&gt;&lt;Group&gt;&lt;References&gt;&lt;Item&gt;&lt;ID&gt;2939&lt;/ID&gt;&lt;UID&gt;{3C9DD692-F3ED-4B03-B04C-A79E3321804F}&lt;/UID&gt;&lt;Title&gt;Ensartinib vs Crizotinib for Patients With Anaplastic Lymphoma Kinase-Positive Non-Small Cell Lung Cancer: A Randomized Clinical Trial&lt;/Title&gt;&lt;Template&gt;Journal Article&lt;/Template&gt;&lt;Star&gt;0&lt;/Star&gt;&lt;Tag&gt;0&lt;/Tag&gt;&lt;Author&gt;Horn, L; Wang, Z; Wu, G; Poddubskaya, E; Mok, T; Reck, M; Wakelee, H; Chiappori, A A; Lee, D H; Breder, V; Orlov, S; Cicin, I; Cheng, Y; Liu, Y; Fan, Y; Whisenant, J G; Zhou, Y; Oertel, V; Harrow, K; Liang, C; Mao, L; Selvaggi, G; Wu, Y L&lt;/Author&gt;&lt;Year&gt;2021&lt;/Year&gt;&lt;Details&gt;&lt;_accessed&gt;64632481&lt;/_accessed&gt;&lt;_accession_num&gt;34473194&lt;/_accession_num&gt;&lt;_author_adr&gt;Division of Hematology and Oncology, Department of Medicine, Vanderbilt-Ingram Cancer Center, Nashville, Tennessee.; Now with Global Clinical Head for Lung Cancer and Lung Cancer Strategy, AstraZeneca, Nashville, Tennessee.; Department of Thoracic Medical Oncology, Peking University Cancer Hospital and Institute, Beijing, China.; Cancer Center, Union Hospital, Tongji Medical College, Huazhong University of Science and Technology, Wuhan, China.; Clinical Center for Oncology, I. M. Sechenov First Moscow State Medical University (Sechenov University), Moscow, Russia.; Clinical Center VitaMed, Moscow, Russia.; Department of Clinical Oncology, State Key Laboratory of Translational Oncology,  The Chinese University of Hong Kong, Hong Kong, China.; Lung Clinic, Airway Research Center North, German Center for Lung Research, Grosshansdorf, Germany.; Department of Medicine, Division of Oncology and Stanford Cancer Institute, Stanford University, Stanford, California.; Thoracic Oncology Program, Moffitt Cancer Center, Tampa, Florida.; Department of Oncology, University of Ulsan College of Medicine, Asan Medical Center, Seoul, South Korea.; Department of Chemotherapy No. 17, N. N. Blokhin Russian Cancer Research Center,  Moscow, Russia.; Department of Biochemistry, Pavlov First Saint Petersburg State Medical University, St Petersburg, Russia.; Department of Medical Oncology, Faculty of Medicine, Trakya University, Edirne, Turkey.; Department of Thoracic Oncology, Jilin Cancer Hospital, Changchun, China.; Department of Medical Oncology, The First Hospital of China Medical University, Shenyang, Liaoning, China.; Thoracic Tumor Center, Zhejiang Cancer Hospital, Hangzhou, China.; Division of Hematology and Oncology, Department of Medicine, Vanderbilt-Ingram Cancer Center, Nashville, Tennessee.; Biometrics, Xcovery Holdings Inc, Palm Beach Gardens, Florida.; Clinical Operations, Xcovery Holdings Inc, Palm Beach Gardens, Florida.; Clinical Operations, Xcovery Holdings Inc, Palm Beach Gardens, Florida.; Now with EQRx, Cambridge, Massachusetts.; Clinical Science, Xcovery Holdings Inc, Palm Beach Gardens, Florida.; Clinical Development, Xcovery Holdings Inc, Palm Beach Gardens, Florida.; Now with Sino Biopharmaceutical Ltd, Beijing, China.; Clinical Development, Xcovery Holdings Inc, Palm Beach Gardens, Florida.; Guangdong Lung Cancer Institute, Guangdong Provincial People&amp;apos;s Hospital and Guangdong Academy of Medical Sciences, Guangzhou, China.&lt;/_author_adr&gt;&lt;_collection_scope&gt;SCIE&lt;/_collection_scope&gt;&lt;_created&gt;64630949&lt;/_created&gt;&lt;_date&gt;2021-11-01&lt;/_date&gt;&lt;_date_display&gt;2021 Nov 1&lt;/_date_display&gt;&lt;_db_updated&gt;PubMed&lt;/_db_updated&gt;&lt;_doi&gt;10.1001/jamaoncol.2021.3523&lt;/_doi&gt;&lt;_impact_factor&gt;  33.006&lt;/_impact_factor&gt;&lt;_isbn&gt;2374-2445 (Electronic); 2374-2437 (Linking)&lt;/_isbn&gt;&lt;_issue&gt;11&lt;/_issue&gt;&lt;_journal&gt;JAMA Oncol&lt;/_journal&gt;&lt;_language&gt;eng&lt;/_language&gt;&lt;_modified&gt;64740725&lt;/_modified&gt;&lt;_pages&gt;1617-1625&lt;/_pages&gt;&lt;_social_category&gt;医学(1)&lt;/_social_category&gt;&lt;_subject_headings&gt;Adolescent; Adult; Anaplastic Lymphoma Kinase; *Carcinoma, Non-Small-Cell Lung/pathology; Crizotinib/adverse effects; Humans; *Lung Neoplasms/pathology; Male; Middle Aged; Piperazines; Protein Kinase Inhibitors/adverse effects; Pyridazines&lt;/_subject_headings&gt;&lt;_tertiary_title&gt;JAMA oncology&lt;/_tertiary_title&gt;&lt;_type_work&gt;Journal Article; Multicenter Study; Randomized Controlled Trial; Research Support, Non-U.S. Gov&amp;apos;t&lt;/_type_work&gt;&lt;_url&gt;http://www.ncbi.nlm.nih.gov/entrez/query.fcgi?cmd=Retrieve&amp;amp;db=pubmed&amp;amp;dopt=Abstract&amp;amp;list_uids=34473194&amp;amp;query_hl=1&lt;/_url&gt;&lt;_volume&gt;7&lt;/_volume&gt;&lt;/Details&gt;&lt;Extra&gt;&lt;DBUID&gt;{F96A950B-833F-4880-A151-76DA2D6A2879}&lt;/DBUID&gt;&lt;/Extra&gt;&lt;/Item&gt;&lt;/References&gt;&lt;/Group&gt;&lt;Group&gt;&lt;References&gt;&lt;Item&gt;&lt;ID&gt;2940&lt;/ID&gt;&lt;UID&gt;{D6C06050-DB1B-4551-AB33-6D99B054BC41}&lt;/UID&gt;&lt;Title&gt;First-line ceritinib versus platinum-based chemotherapy in advanced ALK-rearranged non-small-cell lung cancer (ASCEND-4): a randomised, open-label, phase 3 study&lt;/Title&gt;&lt;Template&gt;Journal Article&lt;/Template&gt;&lt;Star&gt;0&lt;/Star&gt;&lt;Tag&gt;0&lt;/Tag&gt;&lt;Author&gt;Soria, J C; Tan, DSW; Chiari, R; Wu, Y L; Paz-Ares, L; Wolf, J; Geater, S L; Orlov, S; Cortinovis, D; Yu, C J; Hochmair, M; Cortot, A B; Tsai, C M; Moro-Sibilot, D; Campelo, R G; McCulloch, T; Sen, P; Dugan, M; Pantano, S; Branle, F; Massacesi, C; de Castro, G Jr&lt;/Author&gt;&lt;Year&gt;2017&lt;/Year&gt;&lt;Details&gt;&lt;_accessed&gt;64631489&lt;/_accessed&gt;&lt;_accession_num&gt;28126333&lt;/_accession_num&gt;&lt;_author_adr&gt;University Paris-Sud, Orsay, France; Institut Gustave Roussy, Villejuif, France.  Electronic address: Jean-Charles.Soria@gustaveroussy.fr.; National Cancer Centre Singapore and Genome Institute of Singapore, Singapore.; Azienda Ospedale Perugia, Perugia, Italy.; Guangdong Lung Cancer Institute, Guangdong General Hospital &amp;amp; Guangdong Academy of Medical Sciences, Guangzhou, China.; University Hospital Virgen del RocioDoce de Octubre, Universidad Complutense &amp;amp; CNIO, Madrid, Spain.; University Hospital Cologne, Cologne, Germany.; Songklanagarind Hospital, Songkla, Thailand.; State Pavlov Medical University, St Petersburg, Russia.; Az. Ospedaliera San Gerardo, Monza, Italy.; National Taiwan University Hospital, Taipei, Taiwan.; Respiratory Oncology Unit, Department of Respiratory and Critical Care Medicine,  Otto-Wagner-Spital, Vienna, Austria.; CHU de LILLE, Lille, France.; Taipei Veterans General Hospital, Taipei, Taiwan.; Hopital Albert Michallon, Grenoble, France.; University Hospital A Coruna, La Coruna, Spain.; Novartis Pharmaceuticals Corporation, East Hanover, NJ, USA.; Novartis Pharmaceuticals Corporation, East Hanover, NJ, USA.; Novartis Pharmaceuticals Corporation, East Hanover, NJ, USA.; Novartis Pharma AG, Basel, Switzerland.; Novartis Pharma AG, Basel, Switzerland.; Novartis Pharma AG, Basel, Switzerland.; Instituto do Cancer do Estado de Sao Paulo, Sao Paulo, Brazil.&lt;/_author_adr&gt;&lt;_collection_scope&gt;SCIE&lt;/_collection_scope&gt;&lt;_created&gt;64630940&lt;/_created&gt;&lt;_date&gt;2017-03-04&lt;/_date&gt;&lt;_date_display&gt;2017 Mar 4&lt;/_date_display&gt;&lt;_db_updated&gt;PubMed&lt;/_db_updated&gt;&lt;_doi&gt;10.1016/S0140-6736(17)30123-X&lt;/_doi&gt;&lt;_impact_factor&gt; 202.731&lt;/_impact_factor&gt;&lt;_isbn&gt;1474-547X (Electronic); 0140-6736 (Linking)&lt;/_isbn&gt;&lt;_issue&gt;10072&lt;/_issue&gt;&lt;_journal&gt;Lancet&lt;/_journal&gt;&lt;_language&gt;eng&lt;/_language&gt;&lt;_modified&gt;64740725&lt;/_modified&gt;&lt;_ori_publication&gt;Copyright (c) 2017 Elsevier Ltd. All rights reserved.&lt;/_ori_publication&gt;&lt;_pages&gt;917-929&lt;/_pages&gt;&lt;_social_category&gt;医学(1)&lt;/_social_category&gt;&lt;_subject_headings&gt;Adult; Aged; Aged, 80 and over; Antineoplastic Agents/*administration &amp;amp; dosage/adverse effects; Antineoplastic Combined Chemotherapy Protocols/therapeutic use; Carboplatin/administration &amp;amp; dosage/adverse effects; Carcinoma, Non-Small-Cell Lung/*drug therapy/mortality; Cisplatin/administration &amp;amp; dosage/adverse effects; Disease-Free Survival; Female; Humans; Kaplan-Meier Estimate; Lung Neoplasms/*drug therapy/mortality; Male; Middle Aged; Pemetrexed/administration &amp;amp; dosage/adverse effects; Pyrimidines/*administration &amp;amp; dosage/adverse effects; Sulfones/*administration &amp;amp; dosage/adverse effects; Treatment Outcome; Young Adult&lt;/_subject_headings&gt;&lt;_tertiary_title&gt;Lancet (London, England)&lt;/_tertiary_title&gt;&lt;_type_work&gt;Clinical Trial, Phase III; Comparative Study; Journal Article; Multicenter Study; Randomized Controlled Trial&lt;/_type_work&gt;&lt;_url&gt;http://www.ncbi.nlm.nih.gov/entrez/query.fcgi?cmd=Retrieve&amp;amp;db=pubmed&amp;amp;dopt=Abstract&amp;amp;list_uids=28126333&amp;amp;query_hl=1&lt;/_url&gt;&lt;_volume&gt;389&lt;/_volume&gt;&lt;/Details&gt;&lt;Extra&gt;&lt;DBUID&gt;{F96A950B-833F-4880-A151-76DA2D6A2879}&lt;/DBUID&gt;&lt;/Extra&gt;&lt;/Item&gt;&lt;/References&gt;&lt;/Group&gt;&lt;Group&gt;&lt;References&gt;&lt;Item&gt;&lt;ID&gt;2941&lt;/ID&gt;&lt;UID&gt;{B086EC0A-7A4B-4D90-B70F-DDBF0A775389}&lt;/UID&gt;&lt;Title&gt;First-line crizotinib versus chemotherapy in ALK-positive lung cancer&lt;/Title&gt;&lt;Template&gt;Journal Article&lt;/Template&gt;&lt;Star&gt;0&lt;/Star&gt;&lt;Tag&gt;0&lt;/Tag&gt;&lt;Author&gt;Solomon, B J; Mok, T; Kim, D W; Wu, Y L; Nakagawa, K; Mekhail, T; Felip, E; Cappuzzo, F; Paolini, J; Usari, T; Iyer, S; Reisman, A; Wilner, K D; Tursi, J; Blackhall, F&lt;/Author&gt;&lt;Year&gt;2014&lt;/Year&gt;&lt;Details&gt;&lt;_accessed&gt;64632481&lt;/_accessed&gt;&lt;_accession_num&gt;25470694&lt;/_accession_num&gt;&lt;_collection_scope&gt;SCIE&lt;/_collection_scope&gt;&lt;_created&gt;64630940&lt;/_created&gt;&lt;_date&gt;2014-12-04&lt;/_date&gt;&lt;_date_display&gt;2014 Dec 4&lt;/_date_display&gt;&lt;_db_updated&gt;PubMed&lt;/_db_updated&gt;&lt;_doi&gt;10.1056/NEJMoa1408440&lt;/_doi&gt;&lt;_impact_factor&gt; 176.079&lt;/_impact_factor&gt;&lt;_isbn&gt;1533-4406 (Electronic); 0028-4793 (Linking)&lt;/_isbn&gt;&lt;_issue&gt;23&lt;/_issue&gt;&lt;_journal&gt;N Engl J Med&lt;/_journal&gt;&lt;_language&gt;eng&lt;/_language&gt;&lt;_modified&gt;64740725&lt;/_modified&gt;&lt;_pages&gt;2167-77&lt;/_pages&gt;&lt;_social_category&gt;医学(1)&lt;/_social_category&gt;&lt;_subject_headings&gt;Adenocarcinoma/drug therapy/mortality; Adult; Aged; Anaplastic Lymphoma Kinase; Antineoplastic Combined Chemotherapy Protocols/adverse effects/*therapeutic use; Carboplatin/administration &amp;amp; dosage; Carcinoma, Non-Small-Cell Lung/*drug therapy/mortality; Cisplatin/administration &amp;amp; dosage; Crizotinib; Disease-Free Survival; Female; Glutamates/administration &amp;amp; dosage; Guanine/administration &amp;amp; dosage/analogs &amp;amp; derivatives; Humans; Kaplan-Meier Estimate; Lung Neoplasms/*drug therapy/mortality; Male; Middle Aged; Pemetrexed; Protein Kinase Inhibitors/adverse effects/*therapeutic use; Pyrazoles/adverse effects/*therapeutic use; Pyridines/adverse effects/*therapeutic use; Receptor Protein-Tyrosine Kinases/*antagonists &amp;amp; inhibitor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5470694&amp;amp;query_hl=1&lt;/_url&gt;&lt;_volume&gt;371&lt;/_volume&gt;&lt;/Details&gt;&lt;Extra&gt;&lt;DBUID&gt;{F96A950B-833F-4880-A151-76DA2D6A2879}&lt;/DBUID&gt;&lt;/Extra&gt;&lt;/Item&gt;&lt;/References&gt;&lt;/Group&gt;&lt;Group&gt;&lt;References&gt;&lt;Item&gt;&lt;ID&gt;2942&lt;/ID&gt;&lt;UID&gt;{C149040B-D728-45B4-A3C4-E825FCCB700A}&lt;/UID&gt;&lt;Title&gt;First-Line Lorlatinib or Crizotinib in Advanced ALK-Positive Lung Cancer&lt;/Title&gt;&lt;Template&gt;Journal Article&lt;/Template&gt;&lt;Star&gt;0&lt;/Star&gt;&lt;Tag&gt;0&lt;/Tag&gt;&lt;Author&gt;Shaw, A T; Bauer, T M; de Marinis, F; Felip, E; Goto, Y; Liu, G; Mazieres, J; Kim, D W; Mok, T; Polli, A; Thurm, H; Calella, A M; Peltz, G; Solomon, B J&lt;/Author&gt;&lt;Year&gt;2020&lt;/Year&gt;&lt;Details&gt;&lt;_accessed&gt;64632463&lt;/_accessed&gt;&lt;_accession_num&gt;33207094&lt;/_accession_num&gt;&lt;_collection_scope&gt;SCIE&lt;/_collection_scope&gt;&lt;_created&gt;64630950&lt;/_created&gt;&lt;_date&gt;2020-11-19&lt;/_date&gt;&lt;_date_display&gt;2020 Nov 19&lt;/_date_display&gt;&lt;_db_updated&gt;PubMed&lt;/_db_updated&gt;&lt;_doi&gt;10.1056/NEJMoa2027187&lt;/_doi&gt;&lt;_impact_factor&gt; 176.079&lt;/_impact_factor&gt;&lt;_isbn&gt;1533-4406 (Electronic); 0028-4793 (Linking)&lt;/_isbn&gt;&lt;_issue&gt;21&lt;/_issue&gt;&lt;_journal&gt;N Engl J Med&lt;/_journal&gt;&lt;_language&gt;eng&lt;/_language&gt;&lt;_modified&gt;64740725&lt;/_modified&gt;&lt;_ori_publication&gt;Copyright (c) 2020 Massachusetts Medical Society.&lt;/_ori_publication&gt;&lt;_pages&gt;2018-2029&lt;/_pages&gt;&lt;_social_category&gt;医学(1)&lt;/_social_category&gt;&lt;_subject_headings&gt;Adult; Aged; Aminopyridines; Anaplastic Lymphoma Kinase/*antagonists &amp;amp; inhibitors/genetics; Antineoplastic Agents/adverse effects/*therapeutic use; Carcinoma, Non-Small-Cell Lung/*drug therapy/genetics/mortality; Crizotinib/adverse effects/*therapeutic use; Female; Humans; Hyperlipidemias/chemically induced; Intention to Treat Analysis; Lactams; Lactams, Macrocyclic/adverse effects/*therapeutic use; Lung Neoplasms/*drug therapy/genetics/mortality; Male; Middle Aged; Mutation; Pyrazoles; Survival Analysi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3207094&amp;amp;query_hl=1&lt;/_url&gt;&lt;_volume&gt;383&lt;/_volume&gt;&lt;/Details&gt;&lt;Extra&gt;&lt;DBUID&gt;{F96A950B-833F-4880-A151-76DA2D6A2879}&lt;/DBUID&gt;&lt;/Extra&gt;&lt;/Item&gt;&lt;/References&gt;&lt;/Group&gt;&lt;Group&gt;&lt;References&gt;&lt;Item&gt;&lt;ID&gt;2943&lt;/ID&gt;&lt;UID&gt;{64A7A28E-9A3C-4B8D-BDBE-C1F54B193CD1}&lt;/UID&gt;&lt;Title&gt;Results of PROFILE 1029, a Phase III Comparison of First-Line Crizotinib versus Chemotherapy in East Asian Patients with ALK-Positive Advanced Non-Small Cell Lung Cancer&lt;/Title&gt;&lt;Template&gt;Journal Article&lt;/Template&gt;&lt;Star&gt;0&lt;/Star&gt;&lt;Tag&gt;0&lt;/Tag&gt;&lt;Author&gt;Wu, Y L; Lu, S; Lu, Y; Zhou, J; Shi, Y K; Sriuranpong, V; Ho, JCM; Ong, C K; Tsai, C M; Chung, C H; Wilner, K D; Tang, Y; Masters, E T; Selaru, P; Mok, T S&lt;/Author&gt;&lt;Year&gt;2018&lt;/Year&gt;&lt;Details&gt;&lt;_accessed&gt;64632481&lt;/_accessed&gt;&lt;_accession_num&gt;29966800&lt;/_accession_num&gt;&lt;_author_adr&gt;Guangdong Lung Cancer Institute, Guangdong General Hospital and Guangdong Academy of Medical Sciences, Guangzhou, People&amp;apos;s Republic of China. Electronic address: syylwu@live.cn.; Department of Shanghai Lung Cancer Center, Shanghai Chest Hospital, Jiao Tong University, Shanghai, People&amp;apos;s Republic of China.; Department of Thoracic Oncology, West China Hospital, Sichuan University, Chengdu, People&amp;apos;s Republic of China.; Respiratory Department, First Affiliated Hospital, School of Medicine, Zhejiang University, Hangzhou, People&amp;apos;s Republic of China.; Department of Medical Oncology, Beijing Key Laboratory of Clinical Study on Anticancer Molecular Targeted Drugs, National Cancer Center/Cancer Hospital, Chinese Academy of Medical Sciences and Peking Union Medical College, Beijing, People&amp;apos;s Republic of China.; Medical Oncology Unit, Department of Medicine, Chulalongkorn University and the King Chulalongkorn Memorial Hospital, Bangkok, Thailand.; Department of Medicine, The University of Hong Kong, Hong Kong, People&amp;apos;s Republic of China.; Department of Respiratory Medicine, Hospital Pulau Pinang, Pulau Pinang, Malaysia.; Department of Oncology, Taipei Veterans General Hospital, Taipei, Taiwan, Republic of China.; Pfizer Oncology, New York, New York.; Pfizer Oncology, La Jolla, California.; Pfizer Oncology, La Jolla, California.; Pfizer Oncology, New York, New York.; Pfizer Oncology, La Jolla, California.; Department of Clinical Oncology, State Laboratory of South China, The Chinese University of Hong Kong, Hong Kong, People&amp;apos;s Republic of China.&lt;/_author_adr&gt;&lt;_collection_scope&gt;SCIE&lt;/_collection_scope&gt;&lt;_created&gt;64630945&lt;/_created&gt;&lt;_date&gt;2018-10-01&lt;/_date&gt;&lt;_date_display&gt;2018 Oct&lt;/_date_display&gt;&lt;_db_updated&gt;PubMed&lt;/_db_updated&gt;&lt;_doi&gt;10.1016/j.jtho.2018.06.012&lt;/_doi&gt;&lt;_impact_factor&gt;  20.121&lt;/_impact_factor&gt;&lt;_isbn&gt;1556-1380 (Electronic); 1556-0864 (Linking)&lt;/_isbn&gt;&lt;_issue&gt;10&lt;/_issue&gt;&lt;_journal&gt;J Thorac Oncol&lt;/_journal&gt;&lt;_keywords&gt;ALK-positive advanced non-small cell lung cancer; chemotherapy; crizotinib; phase III&lt;/_keywords&gt;&lt;_language&gt;eng&lt;/_language&gt;&lt;_modified&gt;64740725&lt;/_modified&gt;&lt;_ori_publication&gt;Copyright (c) 2018 International Association for the Study of Lung Cancer._x000d__x000a_      Published by Elsevier Inc. All rights reserved.&lt;/_ori_publication&gt;&lt;_pages&gt;1539-1548&lt;/_pages&gt;&lt;_social_category&gt;医学(1)&lt;/_social_category&gt;&lt;_subject_headings&gt;Adult; Aged; Antineoplastic Combined Chemotherapy Protocols/pharmacology/*therapeutic use; Asians; Carcinoma, Non-Small-Cell Lung/*drug therapy/pathology; Crizotinib/pharmacology/*therapeutic use; Female; Humans; Lung Neoplasms/*drug therapy/pathology; Male; Middle Aged; Young Adult&lt;/_subject_headings&gt;&lt;_tertiary_title&gt;Journal of thoracic oncology : official publication of the International_x000d__x000a_      Association for the Study of Lung Cancer&lt;/_tertiary_title&gt;&lt;_type_work&gt;Clinical Trial, Phase III; Journal Article; Research Support, Non-U.S. Gov&amp;apos;t&lt;/_type_work&gt;&lt;_url&gt;http://www.ncbi.nlm.nih.gov/entrez/query.fcgi?cmd=Retrieve&amp;amp;db=pubmed&amp;amp;dopt=Abstract&amp;amp;list_uids=29966800&amp;amp;query_hl=1&lt;/_url&gt;&lt;_volume&gt;13&lt;/_volume&gt;&lt;/Details&gt;&lt;Extra&gt;&lt;DBUID&gt;{F96A950B-833F-4880-A151-76DA2D6A2879}&lt;/DBUID&gt;&lt;/Extra&gt;&lt;/Item&gt;&lt;/References&gt;&lt;/Group&gt;&lt;Group&gt;&lt;References&gt;&lt;Item&gt;&lt;ID&gt;2944&lt;/ID&gt;&lt;UID&gt;{9335A8BA-E25B-4BB2-8F34-2A586969BB7C}&lt;/UID&gt;&lt;Title&gt;319O ALTA-3: A randomized trial of brigatinib (BRG) vs alectinib (ALC) in crizotinib (CRZ)-refractory advanced ALK+ NSCLC&lt;/Title&gt;&lt;Template&gt;Journal Article&lt;/Template&gt;&lt;Star&gt;0&lt;/Star&gt;&lt;Tag&gt;0&lt;/Tag&gt;&lt;Author&gt;Yang, J C-H.; Liu, G; Lu, S; He, J; Burotto, M; Vincent, S; Yin, J; Ma, X; Popat, S&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6&lt;/_doi&gt;&lt;_impact_factor&gt;  51.769&lt;/_impact_factor&gt;&lt;_isbn&gt;0923-7534&lt;/_isbn&gt;&lt;_journal&gt;Annals of Oncology&lt;/_journal&gt;&lt;_modified&gt;64740725&lt;/_modified&gt;&lt;_pages&gt;S1564&lt;/_pages&gt;&lt;_social_category&gt;医学(1)&lt;/_social_category&gt;&lt;_url&gt;https://www.sciencedirect.com/science/article/pii/S0923753422045471&lt;/_url&gt;&lt;_volume&gt;33&lt;/_volume&gt;&lt;/Details&gt;&lt;Extra&gt;&lt;DBUID&gt;{F96A950B-833F-4880-A151-76DA2D6A2879}&lt;/DBUID&gt;&lt;/Extra&gt;&lt;/Item&gt;&lt;/References&gt;&lt;/Group&gt;&lt;Group&gt;&lt;References&gt;&lt;Item&gt;&lt;ID&gt;2945&lt;/ID&gt;&lt;UID&gt;{5FD3A1C7-4AB1-45F9-B4F7-1F5782B390A7}&lt;/UID&gt;&lt;Title&gt;320MO Envonalkib vs crizotinib in treatment-naïve advanced ALK-positive NSCLC: A randomized, multicenter, phase III trial&lt;/Title&gt;&lt;Template&gt;Journal Article&lt;/Template&gt;&lt;Star&gt;0&lt;/Star&gt;&lt;Tag&gt;0&lt;/Tag&gt;&lt;Author&gt;Zhang, L; Fang, W; Min, J; Yang, N; Yu, Q; Cheng, Y; Zhao, Y; Li, M; Chen, H; Ren, S; Zhou, J; Zhuang, W; Qin, X; Cao, L; Yu, Y; Zhang, J; He, J; Feng, J; Yu, H&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7&lt;/_doi&gt;&lt;_impact_factor&gt;  51.769&lt;/_impact_factor&gt;&lt;_isbn&gt;0923-7534&lt;/_isbn&gt;&lt;_journal&gt;Annals of Oncology&lt;/_journal&gt;&lt;_modified&gt;64740725&lt;/_modified&gt;&lt;_pages&gt;S1564-S1565&lt;/_pages&gt;&lt;_social_category&gt;医学(1)&lt;/_social_category&gt;&lt;_url&gt;https://www.sciencedirect.com/science/article/pii/S0923753422045483&lt;/_url&gt;&lt;_volume&gt;33&lt;/_volume&gt;&lt;/Details&gt;&lt;Extra&gt;&lt;DBUID&gt;{F96A950B-833F-4880-A151-76DA2D6A2879}&lt;/DBUID&gt;&lt;/Extra&gt;&lt;/Item&gt;&lt;/References&gt;&lt;/Group&gt;&lt;/Citation&gt;_x000a_"/>
    <w:docVar w:name="NE.Ref{0421FB2D-7CAB-4F90-9048-3B677EF166B3}" w:val=" ADDIN NE.Ref.{0421FB2D-7CAB-4F90-9048-3B677EF166B3}&lt;Citation&gt;&lt;Group&gt;&lt;References&gt;&lt;Item&gt;&lt;ID&gt;2992&lt;/ID&gt;&lt;UID&gt;{53DE58B0-A8B7-4AE9-A903-F200EAD6F00E}&lt;/UID&gt;&lt;Title&gt;992P Updated analyses from the CROWN study of first-line lorlatinib vs crizotinib in Asian patients with ALK-positive non-small cell lung cancer (NSCLC)&lt;/Title&gt;&lt;Template&gt;Journal Article&lt;/Template&gt;&lt;Star&gt;0&lt;/Star&gt;&lt;Tag&gt;0&lt;/Tag&gt;&lt;Author&gt;Qing, Z; Kim, H R; Soo, R A; Chiu, C H; Hayashi, H; Kim, S-W.; Teraoka, S; Kim, D-W.; Zhan, H; Zhao, H; Li, H; Mok, T S K; Wu, Y-L.&lt;/Author&gt;&lt;Year&gt;2022&lt;/Year&gt;&lt;Details&gt;&lt;_alternate_title&gt;Annals of OncologyAbstract Book of the ESMO Congress 2022, 9 - 13 September 2022&lt;/_alternate_title&gt;&lt;_date_display&gt;2022&lt;/_date_display&gt;&lt;_date&gt;2022-01-01&lt;/_date&gt;&lt;_doi&gt;https://doi.org/10.1016/j.annonc.2022.07.1119&lt;/_doi&gt;&lt;_isbn&gt;0923-7534&lt;/_isbn&gt;&lt;_journal&gt;Annals of Oncology&lt;/_journal&gt;&lt;_pages&gt;S1007&lt;/_pages&gt;&lt;_url&gt;https://www.sciencedirect.com/science/article/pii/S0923753422029702&lt;/_url&gt;&lt;_volume&gt;33&lt;/_volume&gt;&lt;_created&gt;64740325&lt;/_created&gt;&lt;_modified&gt;64740730&lt;/_modified&gt;&lt;_impact_factor&gt;  51.769&lt;/_impact_factor&gt;&lt;_social_category&gt;医学(1)&lt;/_social_category&gt;&lt;_collection_scope&gt;SCIE&lt;/_collection_scope&gt;&lt;/Details&gt;&lt;Extra&gt;&lt;DBUID&gt;{F96A950B-833F-4880-A151-76DA2D6A2879}&lt;/DBUID&gt;&lt;/Extra&gt;&lt;/Item&gt;&lt;/References&gt;&lt;/Group&gt;&lt;Group&gt;&lt;References&gt;&lt;Item&gt;&lt;ID&gt;2993&lt;/ID&gt;&lt;UID&gt;{DA27026F-3B78-410C-98B7-2586FADE563F}&lt;/UID&gt;&lt;Title&gt;Efficacy and safety of first-line lorlatinib versus crizotinib in patients with  advanced, ALK-positive non-small-cell lung cancer: updated analysis of data from  the phase 3, randomised, open-label CROWN study&lt;/Title&gt;&lt;Template&gt;Journal Article&lt;/Template&gt;&lt;Star&gt;0&lt;/Star&gt;&lt;Tag&gt;0&lt;/Tag&gt;&lt;Author&gt;Solomon, B J; Bauer, T M; Mok, TSK; Liu, G; Mazieres, J; de Marinis, F; Goto, Y; Kim, D W; Wu, Y L; Jassem, J; Lopez, F L; Soo, R A; Shaw, A T; Polli, A; Messina, R; Iadeluca, L; Toffalorio, F; Felip, E&lt;/Author&gt;&lt;Year&gt;2022&lt;/Year&gt;&lt;Details&gt;&lt;_accession_num&gt;36535300&lt;/_accession_num&gt;&lt;_author_adr&gt;Peter MacCallum Cancer Centre, Melbourne, VIC, Australia. Electronic address:  ben.solomon@petermac.org.; Sarah Cannon Research Institute/Tennessee Oncology, Nashville, TN, USA.; State Key Laboratory of South China, Chinese University of Hong Kong, Hong Kong  Special Administrative Region of China, China.; University Health Network, Toronto, ON, Canada.; Thoracic Oncology Department, Toulouse University Hospital, Toulouse, France.; European Institute of Oncology, IRCCS, Milan, Italy.; Department of Thoracic Oncology, National Cancer Center Hospital, Tokyo, Japan.; Seoul National University College of Medicine and Department of Internal  Medicine, Seoul National University Hospital, Seoul, South Korea.; Guangdong Lung Cancer Institute, Guangdong Provincial People&amp;apos;s Hospital and  Guangdong Academy of Medical Sciences, Guangdong, China.; Department of Oncology and Radiotherapy, Medical University of Gdansk, Gdansk,  Poland.; San Peregrino Cancer Center, Aguascalientes, Mexico.; National University Cancer Institute, Singapore.; Massachusetts General Hospital Cancer Center, Boston, MA, USA.; Pfizer, Milan, Italy.; Pfizer, Milan, Italy.; Pfizer, New York, NY, USA.; Pfizer, Milan, Italy.; Vall d&amp;apos;Hebron University Hospital, Vall d&amp;apos;Hebron Institute of Oncology,  Barcelona, Spain.&lt;/_author_adr&gt;&lt;_collection_scope&gt;SCIE&lt;/_collection_scope&gt;&lt;_created&gt;64739403&lt;/_created&gt;&lt;_date&gt;2022-12-16&lt;/_date&gt;&lt;_date_display&gt;2022 Dec 16&lt;/_date_display&gt;&lt;_db_updated&gt;PubMed&lt;/_db_updated&gt;&lt;_doi&gt;10.1016/S2213-2600(22)00437-4&lt;/_doi&gt;&lt;_impact_factor&gt; 102.642&lt;/_impact_factor&gt;&lt;_isbn&gt;2213-2619 (Electronic); 2213-2600 (Linking)&lt;/_isbn&gt;&lt;_journal&gt;Lancet Respir Med&lt;/_journal&gt;&lt;_language&gt;eng&lt;/_language&gt;&lt;_modified&gt;64740730&lt;/_modified&gt;&lt;_ori_publication&gt;Copyright (c) 2022 Elsevier Ltd. All rights reserved.&lt;/_ori_publication&gt;&lt;_social_category&gt;医学(1)&lt;/_social_category&gt;&lt;_tertiary_title&gt;The Lancet. Respiratory medicine&lt;/_tertiary_title&gt;&lt;_type_work&gt;Journal Article&lt;/_type_work&gt;&lt;_url&gt;http://www.ncbi.nlm.nih.gov/entrez/query.fcgi?cmd=Retrieve&amp;amp;db=pubmed&amp;amp;dopt=Abstract&amp;amp;list_uids=36535300&amp;amp;query_hl=1&lt;/_url&gt;&lt;/Details&gt;&lt;Extra&gt;&lt;DBUID&gt;{F96A950B-833F-4880-A151-76DA2D6A2879}&lt;/DBUID&gt;&lt;/Extra&gt;&lt;/Item&gt;&lt;/References&gt;&lt;/Group&gt;&lt;Group&gt;&lt;References&gt;&lt;Item&gt;&lt;ID&gt;2994&lt;/ID&gt;&lt;UID&gt;{C5F928ED-3171-4414-BDBA-515DE60795AC}&lt;/UID&gt;&lt;Title&gt;First-Line Lorlatinib or Crizotinib in Advanced ALK-Positive Lung Cancer&lt;/Title&gt;&lt;Template&gt;Journal Article&lt;/Template&gt;&lt;Star&gt;0&lt;/Star&gt;&lt;Tag&gt;0&lt;/Tag&gt;&lt;Author&gt;Shaw, A T; Bauer, T M; de Marinis, F; Felip, E; Goto, Y; Liu, G; Mazieres, J; Kim, D W; Mok, T; Polli, A; Thurm, H; Calella, A M; Peltz, G; Solomon, B J&lt;/Author&gt;&lt;Year&gt;2020&lt;/Year&gt;&lt;Details&gt;&lt;_accessed&gt;64632463&lt;/_accessed&gt;&lt;_accession_num&gt;33207094&lt;/_accession_num&gt;&lt;_collection_scope&gt;SCIE&lt;/_collection_scope&gt;&lt;_created&gt;64630950&lt;/_created&gt;&lt;_date&gt;2020-11-19&lt;/_date&gt;&lt;_date_display&gt;2020 Nov 19&lt;/_date_display&gt;&lt;_db_updated&gt;PubMed&lt;/_db_updated&gt;&lt;_doi&gt;10.1056/NEJMoa2027187&lt;/_doi&gt;&lt;_impact_factor&gt; 176.079&lt;/_impact_factor&gt;&lt;_isbn&gt;1533-4406 (Electronic); 0028-4793 (Linking)&lt;/_isbn&gt;&lt;_issue&gt;21&lt;/_issue&gt;&lt;_journal&gt;N Engl J Med&lt;/_journal&gt;&lt;_language&gt;eng&lt;/_language&gt;&lt;_modified&gt;64740730&lt;/_modified&gt;&lt;_ori_publication&gt;Copyright (c) 2020 Massachusetts Medical Society.&lt;/_ori_publication&gt;&lt;_pages&gt;2018-2029&lt;/_pages&gt;&lt;_social_category&gt;医学(1)&lt;/_social_category&gt;&lt;_subject_headings&gt;Adult; Aged; Aminopyridines; Anaplastic Lymphoma Kinase/*antagonists &amp;amp; inhibitors/genetics; Antineoplastic Agents/adverse effects/*therapeutic use; Carcinoma, Non-Small-Cell Lung/*drug therapy/genetics/mortality; Crizotinib/adverse effects/*therapeutic use; Female; Humans; Hyperlipidemias/chemically induced; Intention to Treat Analysis; Lactams; Lactams, Macrocyclic/adverse effects/*therapeutic use; Lung Neoplasms/*drug therapy/genetics/mortality; Male; Middle Aged; Mutation; Pyrazoles; Survival Analysi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3207094&amp;amp;query_hl=1&lt;/_url&gt;&lt;_volume&gt;383&lt;/_volume&gt;&lt;/Details&gt;&lt;Extra&gt;&lt;DBUID&gt;{F96A950B-833F-4880-A151-76DA2D6A2879}&lt;/DBUID&gt;&lt;/Extra&gt;&lt;/Item&gt;&lt;/References&gt;&lt;/Group&gt;&lt;Group&gt;&lt;References&gt;&lt;Item&gt;&lt;ID&gt;2995&lt;/ID&gt;&lt;UID&gt;{31D34A44-28A5-4B15-ABE7-F59028AC196D}&lt;/UID&gt;&lt;Title&gt;Patient-reported outcomes from the randomized phase 3 CROWN study of first-line  lorlatinib versus crizotinib in advanced ALK-positive non-small cell lung cancer&lt;/Title&gt;&lt;Template&gt;Journal Article&lt;/Template&gt;&lt;Star&gt;0&lt;/Star&gt;&lt;Tag&gt;0&lt;/Tag&gt;&lt;Author&gt;Mazieres, J; Iadeluca, L; Shaw, A T; Solomon, B J; Bauer, T M; de Marinis, F; Felip, E; Goto, Y; Kim, D W; Mok, T; Reisman, A; Thurm, H; Polli, A M; Liu, G&lt;/Author&gt;&lt;Year&gt;2022&lt;/Year&gt;&lt;Details&gt;&lt;_accession_num&gt;36410210&lt;/_accession_num&gt;&lt;_author_adr&gt;Toulouse University Hospital, Toulouse, France. Electronic address:  mazieres.j@chu-toulouse.fr.; Pfizer Inc, New York, NY, USA.; Massachusetts General Hospital Cancer Center, Boston, MA, USA.; Peter MacCallum Cancer Centre, Melbourne, Victoria, Australia.; Sarah Cannon Research Institute/Tennessee Oncology, PLLC, Nashville, TN, USA.; European Institute of Oncology, IRCCS, Milan, Italy.; Vall d&amp;apos;Hebron University Hospital and Institute of Oncology (VHIO), IOB-Quiron,  Barcelona, Spain.; National Cancer Center Hospital, Tokyo, Japan.; Seoul National University College of Medicine and Seoul National University  Hospital, Seoul, South Korea.; State Key Laboratory of Translational Oncology, Chinese University of Hong Kong,  Hong Kong.; Pfizer Inc, New York, NY, USA.; Pfizer Inc, La Jolla, CA, USA.; Pfizer Inc, Milan, Italy.; Princess Margaret Cancer Centre, University of Toronto, Toronto, Canada.&lt;/_author_adr&gt;&lt;_collection_scope&gt;SCIE&lt;/_collection_scope&gt;&lt;_created&gt;64739406&lt;/_created&gt;&lt;_date&gt;2022-12-01&lt;/_date&gt;&lt;_date_display&gt;2022 Dec&lt;/_date_display&gt;&lt;_db_updated&gt;PubMed&lt;/_db_updated&gt;&lt;_doi&gt;10.1016/j.lungcan.2022.11.004&lt;/_doi&gt;&lt;_impact_factor&gt;   6.081&lt;/_impact_factor&gt;&lt;_isbn&gt;1872-8332 (Electronic); 0169-5002 (Linking)&lt;/_isbn&gt;&lt;_journal&gt;Lung Cancer&lt;/_journal&gt;&lt;_keywords&gt;Crizotinib; Lorlatinib; NSCLC; Patient-reported outcomes&lt;/_keywords&gt;&lt;_language&gt;eng&lt;/_language&gt;&lt;_modified&gt;64740730&lt;/_modified&gt;&lt;_ori_publication&gt;Copyright (c) 2022 The Authors. Published by Elsevier B.V. All rights reserved.&lt;/_ori_publication&gt;&lt;_pages&gt;146-156&lt;/_pages&gt;&lt;_social_category&gt;医学(2)&lt;/_social_category&gt;&lt;_subject_headings&gt;Humans; *Carcinoma, Non-Small-Cell Lung/pathology; Crizotinib/therapeutic use; Quality of Life; *Lung Neoplasms/pathology; Anaplastic Lymphoma Kinase; Lactams, Macrocyclic/therapeutic use; *Brain Neoplasms/secondary; Patient Reported Outcome Measures; Protein Kinase Inhibitors/therapeutic use&lt;/_subject_headings&gt;&lt;_tertiary_title&gt;Lung cancer (Amsterdam, Netherlands)&lt;/_tertiary_title&gt;&lt;_type_work&gt;Clinical Trial, Phase III; Journal Article; Randomized Controlled Trial&lt;/_type_work&gt;&lt;_url&gt;http://www.ncbi.nlm.nih.gov/entrez/query.fcgi?cmd=Retrieve&amp;amp;db=pubmed&amp;amp;dopt=Abstract&amp;amp;list_uids=36410210&amp;amp;query_hl=1&lt;/_url&gt;&lt;_volume&gt;174&lt;/_volume&gt;&lt;/Details&gt;&lt;Extra&gt;&lt;DBUID&gt;{F96A950B-833F-4880-A151-76DA2D6A2879}&lt;/DBUID&gt;&lt;/Extra&gt;&lt;/Item&gt;&lt;/References&gt;&lt;/Group&gt;&lt;Group&gt;&lt;References&gt;&lt;Item&gt;&lt;ID&gt;2996&lt;/ID&gt;&lt;UID&gt;{94C8F2FF-17AC-46DC-A02F-9569EA0FDDD3}&lt;/UID&gt;&lt;Title&gt;Post Hoc Analysis of Lorlatinib Intracranial Efficacy and Safety in Patients With ALK-Positive Advanced Non-Small-Cell Lung Cancer From the Phase III CROWN Study&lt;/Title&gt;&lt;Template&gt;Journal Article&lt;/Template&gt;&lt;Star&gt;0&lt;/Star&gt;&lt;Tag&gt;0&lt;/Tag&gt;&lt;Author&gt;Solomon, B J; Bauer, T M; Ignatius, Ou SH; Liu, G; Hayashi, H; Bearz, A; Penkov, K; Wu, Y L; Arrieta, O; Jassem, J; Calella, A M; Peltz, G; Polli, A; Thurm, H; Mok, T&lt;/Author&gt;&lt;Year&gt;2022&lt;/Year&gt;&lt;Details&gt;&lt;_accessed&gt;64632502&lt;/_accessed&gt;&lt;_accession_num&gt;35605188&lt;/_accession_num&gt;&lt;_author_adr&gt;Peter MacCallum Cancer Centre, Melbourne, VIC, Australia.; Sarah Cannon Research Institute/Tennessee Oncology, PLLC, Nashville, TN.; University of California Irvine School of Medicine, Orange, CA.; Princess Margaret Cancer Centre, Toronto, Canada.; Kindai University Faculty of Medicine, Osaka-Sayama, Osaka, Japan.; Centro di Riferimento Oncologico, Istituto Nazionale Tumori, IRCCS, Aviano, Italy.; Private Medical Institution Euromedservice, St Petersburg, Russian Federation.; Guangdong Lung Cancer Institute, Guangdong Provincial People&amp;apos;s Hospital and Guangdong Academy of Medical Sciences, Guangzhou, China.; Instituto Nacional de Cancerologia (INCan), Mexico City, Mexico.; Medical University of Gdansk, Gdansk, Poland.; Pfizer Oncology, Milan, Italy.; Pfizer Oncology, Groton, CT.; Pfizer Oncology, Milan, Italy.; Pfizer Oncology, La Jolla, CA.; State Key Laboratory of Translational Oncology, Chinese University of Hong Kong,  Shatin, Hong Kong.&lt;/_author_adr&gt;&lt;_collection_scope&gt;SCIE&lt;/_collection_scope&gt;&lt;_created&gt;64630993&lt;/_created&gt;&lt;_date&gt;2022-11-01&lt;/_date&gt;&lt;_date_display&gt;2022 Nov 1&lt;/_date_display&gt;&lt;_db_updated&gt;PubMed&lt;/_db_updated&gt;&lt;_doi&gt;10.1200/JCO.21.02278&lt;/_doi&gt;&lt;_impact_factor&gt;  50.717&lt;/_impact_factor&gt;&lt;_isbn&gt;1527-7755 (Electronic); 0732-183X (Linking)&lt;/_isbn&gt;&lt;_issue&gt;31&lt;/_issue&gt;&lt;_journal&gt;J Clin Oncol&lt;/_journal&gt;&lt;_language&gt;eng&lt;/_language&gt;&lt;_modified&gt;64740730&lt;/_modified&gt;&lt;_pages&gt;3593-3602&lt;/_pages&gt;&lt;_social_category&gt;医学(1)&lt;/_social_category&gt;&lt;_subject_headings&gt;Humans; *Carcinoma, Non-Small-Cell Lung/drug therapy/genetics; Crizotinib/adverse effects; Anaplastic Lymphoma Kinase; *Lung Neoplasms/drug therapy/genetics; Quality of Life; Lactams, Macrocyclic/adverse effects; *Brain Neoplasms/drug therapy/secondary; Protein Kinase Inhibitors/therapeutic use&lt;/_subject_headings&gt;&lt;_tertiary_title&gt;Journal of clinical oncology : official journal of the American Society of_x000d__x000a_      Clinical Oncology&lt;/_tertiary_title&gt;&lt;_type_work&gt;Randomized Controlled Trial; Journal Article&lt;/_type_work&gt;&lt;_url&gt;http://www.ncbi.nlm.nih.gov/entrez/query.fcgi?cmd=Retrieve&amp;amp;db=pubmed&amp;amp;dopt=Abstract&amp;amp;list_uids=35605188&amp;amp;query_hl=1 _x000d__x000a_https://www.ncbi.nlm.nih.gov/pmc/articles/PMC9622589/pdf/jco-40-3593.pdf _x000d__x000a_&lt;/_url&gt;&lt;_volume&gt;40&lt;/_volume&gt;&lt;/Details&gt;&lt;Extra&gt;&lt;DBUID&gt;{F96A950B-833F-4880-A151-76DA2D6A2879}&lt;/DBUID&gt;&lt;/Extra&gt;&lt;/Item&gt;&lt;/References&gt;&lt;/Group&gt;&lt;/Citation&gt;_x000a_"/>
    <w:docVar w:name="NE.Ref{052419D9-42C7-44A7-BD95-9A75E4D0066C}" w:val=" ADDIN NE.Ref.{052419D9-42C7-44A7-BD95-9A75E4D0066C}&lt;Citation&gt;&lt;Group&gt;&lt;References&gt;&lt;Item&gt;&lt;ID&gt;5021&lt;/ID&gt;&lt;UID&gt;{FC01DC97-7D4C-4C9D-9151-12C0AE958C20}&lt;/UID&gt;&lt;Title&gt;National Institute for Health and Care Excellence. Regorafenib for previously treated metastatic colorectal cancer [ID4002]. https://www.nice.org.uk/guidance(Accessed Feb 2, 2024).&lt;/Title&gt;&lt;Template&gt;Web Page&lt;/Template&gt;&lt;Star&gt;0&lt;/Star&gt;&lt;Tag&gt;0&lt;/Tag&gt;&lt;Author/&gt;&lt;Year&gt;0&lt;/Year&gt;&lt;Details&gt;&lt;_accessed&gt;65330793&lt;/_accessed&gt;&lt;_created&gt;65329711&lt;/_created&gt;&lt;_modified&gt;65329715&lt;/_modified&gt;&lt;/Details&gt;&lt;Extra&gt;&lt;DBUID&gt;{F96A950B-833F-4880-A151-76DA2D6A2879}&lt;/DBUID&gt;&lt;/Extra&gt;&lt;/Item&gt;&lt;/References&gt;&lt;/Group&gt;&lt;/Citation&gt;_x000a_"/>
    <w:docVar w:name="NE.Ref{0531FC11-2D2D-4982-97D3-A80F367E81E6}" w:val=" ADDIN NE.Ref.{0531FC11-2D2D-4982-97D3-A80F367E81E6}&lt;Citation&gt;&lt;Group&gt;&lt;References&gt;&lt;Item&gt;&lt;ID&gt;4706&lt;/ID&gt;&lt;UID&gt;{4B2BE16E-3D53-4D73-BFE2-7D6AE4D18D1B}&lt;/UID&gt;&lt;Title&gt;Quality of life in the FOXFIRE, SIRFLOX and FOXFIRE-global randomised trials of  selective internal radiotherapy for metastatic colorectal cancer&lt;/Title&gt;&lt;Template&gt;Journal Article&lt;/Template&gt;&lt;Star&gt;0&lt;/Star&gt;&lt;Tag&gt;0&lt;/Tag&gt;&lt;Author&gt;Wolstenholme, J; Fusco, F; Gray, A M; Moschandreas, J; Virdee, P S; Love, S; Van Hazel, G; Gibbs, P; Wasan, H S; Sharma, R A&lt;/Author&gt;&lt;Year&gt;2020&lt;/Year&gt;&lt;Details&gt;&lt;_accession_num&gt;31840815&lt;/_accession_num&gt;&lt;_author_adr&gt;Health Economics Research Centre, Nuffield Department of Population Health,  University of Oxford, Oxford, United Kingdom.; Health Economics Research Centre, Nuffield Department of Population Health,  University of Oxford, Oxford, United Kingdom.; Centre for Health Economics, University of York, York, United Kingdom.; Health Economics Research Centre, Nuffield Department of Population Health,  University of Oxford, Oxford, United Kingdom.; Centre for Statistics in Medicine, University of Oxford, Oxford, United Kingdom.; Centre for the Prevention of Stroke and Dementia, Nuffield Department of Clinical  Neurosciences, University of Oxford, Oxford, United Kingdom.; Centre for Statistics in Medicine, University of Oxford, Oxford, United Kingdom.; Centre for Statistics in Medicine, University of Oxford, Oxford, United Kingdom.; University of Western Australia, Perth, WA, Australia.; Western Hospital, Footscray, VIC, Australia.; Department of Oncology and Cancer Medicine, Imperial College Healthcare NHS Trust  &amp;amp; Imperial College, London, United Kingdom.; University College London Hospitals Biomedical Research Centre, NIHR, UCL Cancer  Institute, University College London, London, United Kingdom.&lt;/_author_adr&gt;&lt;_date_display&gt;2020 Aug 15&lt;/_date_display&gt;&lt;_date&gt;2020-08-15&lt;/_date&gt;&lt;_doi&gt;10.1002/ijc.32828&lt;/_doi&gt;&lt;_isbn&gt;1097-0215 (Electronic); 0020-7136 (Linking)&lt;/_isbn&gt;&lt;_issue&gt;4&lt;/_issue&gt;&lt;_journal&gt;Int J Cancer&lt;/_journal&gt;&lt;_keywords&gt;colorectal adenocarcinoma; liver; metastasis; quality of life; radiotherapy&lt;/_keywords&gt;&lt;_language&gt;eng&lt;/_language&gt;&lt;_ori_publication&gt;© 2019 UICC.&lt;/_ori_publication&gt;&lt;_pages&gt;1078-1085&lt;/_pages&gt;&lt;_subject_headings&gt;Adult; Aged; Antineoplastic Combined Chemotherapy Protocols/adverse effects/*therapeutic use; Chemoradiotherapy/adverse effects/methods; Colorectal Neoplasms/*drug therapy/pathology; Fatigue/etiology; Female; Humans; Liver Neoplasms/*drug therapy/*radiotherapy/secondary; Male; Middle Aged; Nausea/etiology; *Quality of Life; Surveys and Questionnaires; Vomiting/etiology; Yttrium Radioisotopes/adverse effects/*therapeutic use&lt;/_subject_headings&gt;&lt;_tertiary_title&gt;International journal of cancer&lt;/_tertiary_title&gt;&lt;_type_work&gt;Clinical Trial, Phase III; Journal Article; Multicenter Study; Randomized Controlled Trial; Research Support, Non-U.S. Gov&amp;apos;t&lt;/_type_work&gt;&lt;_url&gt;http://www.ncbi.nlm.nih.gov/entrez/query.fcgi?cmd=Retrieve&amp;amp;db=pubmed&amp;amp;dopt=Abstract&amp;amp;list_uids=31840815&amp;amp;query_hl=1&lt;/_url&gt;&lt;_volume&gt;147&lt;/_volume&gt;&lt;_created&gt;65020956&lt;/_created&gt;&lt;_modified&gt;65020956&lt;/_modified&gt;&lt;_impact_factor&gt;   7.316&lt;/_impact_factor&gt;&lt;_social_category&gt;医学(1)&lt;/_social_category&gt;&lt;_collection_scope&gt;SCIE&lt;/_collection_scope&gt;&lt;/Details&gt;&lt;Extra&gt;&lt;DBUID&gt;{F96A950B-833F-4880-A151-76DA2D6A2879}&lt;/DBUID&gt;&lt;/Extra&gt;&lt;/Item&gt;&lt;/References&gt;&lt;/Group&gt;&lt;/Citation&gt;_x000a_"/>
    <w:docVar w:name="NE.Ref{060420F5-10BC-4705-BCE8-525F3F4E53A7}" w:val=" ADDIN NE.Ref.{060420F5-10BC-4705-BCE8-525F3F4E53A7}&lt;Citation&gt;&lt;Group&gt;&lt;References&gt;&lt;Item&gt;&lt;ID&gt;2984&lt;/ID&gt;&lt;UID&gt;{B6C9DA8D-9737-403F-A35D-7488903425D9}&lt;/UID&gt;&lt;Title&gt;Genetic alterations defining NSCLC subtypes and their therapeutic implications&lt;/Title&gt;&lt;Template&gt;Journal Article&lt;/Template&gt;&lt;Star&gt;0&lt;/Star&gt;&lt;Tag&gt;0&lt;/Tag&gt;&lt;Author&gt;Pikor, L A; Ramnarine, V R; Lam, S; Lam, W L&lt;/Author&gt;&lt;Year&gt;2013&lt;/Year&gt;&lt;Details&gt;&lt;_accession_num&gt;24011633&lt;/_accession_num&gt;&lt;_author_adr&gt;British Columbia Cancer Research Centre, Vancouver, BC, V5Z 1L3, Canada;  Department of Integrative Oncology, BC Cancer Research Center, Canada. Electronic  address: lpikor@bccrc.ca.&lt;/_author_adr&gt;&lt;_collection_scope&gt;SCIE&lt;/_collection_scope&gt;&lt;_created&gt;64739370&lt;/_created&gt;&lt;_date&gt;2013-11-01&lt;/_date&gt;&lt;_date_display&gt;2013 Nov&lt;/_date_display&gt;&lt;_db_updated&gt;PubMed&lt;/_db_updated&gt;&lt;_doi&gt;10.1016/j.lungcan.2013.07.025&lt;/_doi&gt;&lt;_impact_factor&gt;   6.081&lt;/_impact_factor&gt;&lt;_isbn&gt;1872-8332 (Electronic); 0169-5002 (Linking)&lt;/_isbn&gt;&lt;_issue&gt;2&lt;/_issue&gt;&lt;_journal&gt;Lung Cancer&lt;/_journal&gt;&lt;_keywords&gt;Actionable alterations; Adenocarcinoma; CNA; Histological subtypes; Methylation; Personalized medicine; Sequencing; Squamous cell carcinoma&lt;/_keywords&gt;&lt;_language&gt;eng&lt;/_language&gt;&lt;_modified&gt;64740730&lt;/_modified&gt;&lt;_ori_publication&gt;Copyright (c) 2013 The Authors. Published by Elsevier Ireland Ltd.. All rights _x000d__x000a_      reserved.&lt;/_ori_publication&gt;&lt;_pages&gt;179-89&lt;/_pages&gt;&lt;_social_category&gt;医学(2)&lt;/_social_category&gt;&lt;_subject_headings&gt;Adenocarcinoma/genetics/metabolism/pathology/therapy; Carcinoma, Non-Small-Cell Lung/*genetics/metabolism/pathology/*therapy; Carcinoma, Squamous Cell/genetics/metabolism/pathology/therapy; Humans; Lung Neoplasms/*genetics/metabolism/pathology/*therapy; Molecular Targeted Therapy; Signal Transduction&lt;/_subject_headings&gt;&lt;_tertiary_title&gt;Lung cancer (Amsterdam, Netherlands)&lt;/_tertiary_title&gt;&lt;_type_work&gt;Journal Article; Research Support, Non-U.S. Gov&amp;apos;t; Research Support, U.S. Gov&amp;apos;t, Non-P.H.S.; Review&lt;/_type_work&gt;&lt;_url&gt;http://www.ncbi.nlm.nih.gov/entrez/query.fcgi?cmd=Retrieve&amp;amp;db=pubmed&amp;amp;dopt=Abstract&amp;amp;list_uids=24011633&amp;amp;query_hl=1&lt;/_url&gt;&lt;_volume&gt;82&lt;/_volume&gt;&lt;/Details&gt;&lt;Extra&gt;&lt;DBUID&gt;{F96A950B-833F-4880-A151-76DA2D6A2879}&lt;/DBUID&gt;&lt;/Extra&gt;&lt;/Item&gt;&lt;/References&gt;&lt;/Group&gt;&lt;/Citation&gt;_x000a_"/>
    <w:docVar w:name="NE.Ref{06BD0905-4189-4874-8A4E-4137DFA58D94}" w:val=" ADDIN NE.Ref.{06BD0905-4189-4874-8A4E-4137DFA58D94}&lt;Citation&gt;&lt;Group&gt;&lt;References&gt;&lt;Item&gt;&lt;ID&gt;46209&lt;/ID&gt;&lt;UID&gt;{04031182-E537-4AAA-B75B-2E3E414DC804}&lt;/UID&gt;&lt;Title&gt;网状Meta分析证据质量分级：GRADE方法学前沿与进展&lt;/Title&gt;&lt;Template&gt;Journal Article&lt;/Template&gt;&lt;Star&gt;0&lt;/Star&gt;&lt;Tag&gt;0&lt;/Tag&gt;&lt;Author&gt;王琪; 王建成; 潘蓓; 张迁; 周奇; 田金徽; 陈耀龙; 杨克虎; 吴大嵘; 郭新峰; 杨丽虹; Gordon, Guyatt; 葛龙&lt;/Author&gt;&lt;Year&gt;2020&lt;/Year&gt;&lt;Details&gt;&lt;_author_aff&gt;兰州大学公共卫生学院循证社会科学研究中心;甘肃省人民医院;兰州大学护理学院;兰州大学基础医学院循证医学中心;甘肃省循证医学与临床转化重点实验室;广州中医药大学第二附属医院/广东省中医院;麦克马斯特大学卫生研究方法,证据和影响力系;&lt;/_author_aff&gt;&lt;_cited_count&gt;9&lt;/_cited_count&gt;&lt;_date&gt;2020-08-25&lt;/_date&gt;&lt;_issue&gt;08&lt;/_issue&gt;&lt;_journal&gt;中国循证医学杂志&lt;/_journal&gt;&lt;_keywords&gt;网状Meta分析;GRADE方法;证据质量&lt;/_keywords&gt;&lt;_pages&gt;979-985&lt;/_pages&gt;&lt;_url&gt;https://kns.cnki.net/kcms/detail/detail.aspx?FileName=ZZXZ202008018&amp;amp;DbName=CJFQ2020&lt;/_url&gt;&lt;_volume&gt;20&lt;/_volume&gt;&lt;_created&gt;64632502&lt;/_created&gt;&lt;_modified&gt;64688891&lt;/_modified&gt;&lt;_db_updated&gt;CNKI - Reference&lt;/_db_updated&gt;&lt;_collection_scope&gt;CSCD;PKU&lt;/_collection_scope&gt;&lt;_accessed&gt;64632515&lt;/_accessed&gt;&lt;_translated_author&gt;Wang, Qi;Wang, Jian cheng;Pan, Bei;Zhang, Qian;Zhou, Qi;Tian, Jin hui;Chen, Yao long;Yang, Ke hu;Wu, Da rong;Guo, Xin feng;Yang, Li hong;Gordon, Guyatt;Ge, Long&lt;/_translated_author&gt;&lt;/Details&gt;&lt;Extra&gt;&lt;DBUID&gt;{F96A950B-833F-4880-A151-76DA2D6A2879}&lt;/DBUID&gt;&lt;/Extra&gt;&lt;/Item&gt;&lt;/References&gt;&lt;/Group&gt;&lt;/Citation&gt;_x000a_"/>
    <w:docVar w:name="NE.Ref{09C13B43-040E-4C8B-9D8B-024834FF148A}" w:val=" ADDIN NE.Ref.{09C13B43-040E-4C8B-9D8B-024834FF148A}&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0A6A2DF4-0862-4681-8956-21689D436EC2}" w:val=" ADDIN NE.Ref.{0A6A2DF4-0862-4681-8956-21689D436EC2}&lt;Citation&gt;&lt;Group&gt;&lt;References&gt;&lt;Item&gt;&lt;ID&gt;3025&lt;/ID&gt;&lt;UID&gt;{D2498252-CDBC-472B-86D1-2DA165B6FDEA}&lt;/UID&gt;&lt;Title&gt;A Bayesian network meta-analysis regarding the comparative efficacy of  therapeutics for ALK-positive, brain metastatic non-small cell lung cancer&lt;/Title&gt;&lt;Template&gt;Journal Article&lt;/Template&gt;&lt;Star&gt;0&lt;/Star&gt;&lt;Tag&gt;0&lt;/Tag&gt;&lt;Author&gt;Zhao, B; Han, Y; Wang, Y; Wang, Y; Wang, Y; Xing, H; Dai, C; Wang, Y; Wang, H; Ma, W&lt;/Author&gt;&lt;Year&gt;2021&lt;/Year&gt;&lt;Details&gt;&lt;_accession_num&gt;34626769&lt;/_accession_num&gt;&lt;_author_adr&gt;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State Key Laboratory of Complex Severe and Rare Diseases, Peking Union Medical  College Hospital, Chinese Academy of Medical Science and Peking Union Medical  College, Beijing, PR China; Department of Thoracic Surgery, Peking Union Medical  College Hospital, Peking Union Medical College and Chinese Academy of Medical  Sciences, Beijing, PR China.;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Department of Neurosurgery, Beijing Tongren Hospital, Capital Medical University,  Beijing, PR China.;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Electronic address: ywang@pumch.cn.; State Key Laboratory of Complex Severe and Rare Diseases, Peking Union Medical  College Hospital, Chinese Academy of Medical Science and Peking Union Medical  College, Beijing, PR China; Department of Respiratory Medicine, Peking Union  Medical College Hospital, Chinese Academy of Medical Sciences and Peking Union  Medical College, Beijing, PR China. Electronic address: wanghanping78@163.com.;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China Pituitary Disease Registry Center, Chinese  Pituitary Adenoma Cooperative Group, Beijing, PR China; China Alliance of Rare  Diseases, Beijing, PR China. Electronic address: mawb2001@hotmail.com.&lt;/_author_adr&gt;&lt;_date_display&gt;2021 Dec&lt;/_date_display&gt;&lt;_date&gt;2021-12-01&lt;/_date&gt;&lt;_doi&gt;10.1016/j.phrs.2021.105931&lt;/_doi&gt;&lt;_isbn&gt;1096-1186 (Electronic); 1043-6618 (Linking)&lt;/_isbn&gt;&lt;_journal&gt;Pharmacol Res&lt;/_journal&gt;&lt;_keywords&gt;ALK-positive; Brain metastasis; NSCLC; Network meta-analysis&lt;/_keywords&gt;&lt;_language&gt;eng&lt;/_language&gt;&lt;_ori_publication&gt;Copyright (c) 2021. Published by Elsevier Ltd.&lt;/_ori_publication&gt;&lt;_pages&gt;105931&lt;/_pages&gt;&lt;_subject_headings&gt;Anaplastic Lymphoma Kinase/*antagonists &amp;amp; inhibitors; Antineoplastic Agents/*therapeutic use; Bayes Theorem; Brain Neoplasms/*drug therapy/mortality/secondary; Carcinoma, Non-Small-Cell Lung/*drug therapy/mortality/pathology; Humans; Lung Neoplasms/*drug therapy/mortality/pathology; Network Meta-Analysis; Protein Kinase Inhibitors/*therapeutic use; Randomized Controlled Trials as Topic; Treatment Outcome&lt;/_subject_headings&gt;&lt;_tertiary_title&gt;Pharmacological research&lt;/_tertiary_title&gt;&lt;_type_work&gt;Comparative Study; Journal Article; Meta-Analysis; Research Support, Non-U.S. Gov&amp;apos;t; Systematic Review&lt;/_type_work&gt;&lt;_url&gt;http://www.ncbi.nlm.nih.gov/entrez/query.fcgi?cmd=Retrieve&amp;amp;db=pubmed&amp;amp;dopt=Abstract&amp;amp;list_uids=34626769&amp;amp;query_hl=1&lt;/_url&gt;&lt;_volume&gt;174&lt;/_volume&gt;&lt;_created&gt;64740773&lt;/_created&gt;&lt;_modified&gt;64740773&lt;/_modified&gt;&lt;_db_updated&gt;PubMed&lt;/_db_updated&gt;&lt;_impact_factor&gt;  10.334&lt;/_impact_factor&gt;&lt;_social_category&gt;医学(2)&lt;/_social_category&gt;&lt;_collection_scope&gt;SCIE&lt;/_collection_scope&gt;&lt;/Details&gt;&lt;Extra&gt;&lt;DBUID&gt;{F96A950B-833F-4880-A151-76DA2D6A2879}&lt;/DBUID&gt;&lt;/Extra&gt;&lt;/Item&gt;&lt;/References&gt;&lt;/Group&gt;&lt;Group&gt;&lt;References&gt;&lt;Item&gt;&lt;ID&gt;3022&lt;/ID&gt;&lt;UID&gt;{A5A42D49-8328-490F-89A8-77CE23B4ADAF}&lt;/UID&gt;&lt;Title&gt;ALK inhibitors for non-small cell lung cancer: A systematic review and network  meta-analysis&lt;/Title&gt;&lt;Template&gt;Journal Article&lt;/Template&gt;&lt;Star&gt;0&lt;/Star&gt;&lt;Tag&gt;0&lt;/Tag&gt;&lt;Author&gt;Elliott, J; Bai, Z; Hsieh, S C; Kelly, S E; Chen, L; Skidmore, B; Yousef, S; Zheng, C; Stewart, D J; Wells, G A&lt;/Author&gt;&lt;Year&gt;2020&lt;/Year&gt;&lt;Details&gt;&lt;_accession_num&gt;32074131&lt;/_accession_num&gt;&lt;_author_adr&gt;Cardiovascular Research Methods Centre, University of Ottawa Heart Institute,  Ottawa, Canada.; Cardiovascular Research Methods Centre, University of Ottawa Heart Institute,  Ottawa, Canada.; Cardiovascular Research Methods Centre, University of Ottawa Heart Institute,  Ottawa, Canada.; Cardiovascular Research Methods Centre, University of Ottawa Heart Institute,  Ottawa, Canada.; Cardiovascular Research Methods Centre, University of Ottawa Heart Institute,  Ottawa, Canada.; Independent Information Specialist, Ottawa, Canada.; Cardiovascular Research Methods Centre, University of Ottawa Heart Institute,  Ottawa, Canada.; Cardiovascular Research Methods Centre, University of Ottawa Heart Institute,  Ottawa, Canada.; Division of Medical Oncology, University of Ottawa and The Ottawa Hospital,  Ottawa, Canada.; Cardiovascular Research Methods Centre, University of Ottawa Heart Institute,  Ottawa, Canada.&lt;/_author_adr&gt;&lt;_date_display&gt;2020&lt;/_date_display&gt;&lt;_date&gt;2020-01-20&lt;/_date&gt;&lt;_doi&gt;10.1371/journal.pone.0229179&lt;/_doi&gt;&lt;_isbn&gt;1932-6203 (Electronic); 1932-6203 (Linking)&lt;/_isbn&gt;&lt;_issue&gt;2&lt;/_issue&gt;&lt;_journal&gt;PLoS One&lt;/_journal&gt;&lt;_language&gt;eng&lt;/_language&gt;&lt;_pages&gt;e0229179&lt;/_pages&gt;&lt;_subject_headings&gt;Anaplastic Lymphoma Kinase/*antagonists &amp;amp; inhibitors; Carcinoma, Non-Small-Cell Lung/*drug therapy/enzymology; Humans; Lung Neoplasms/*drug therapy/enzymology; Network Meta-Analysis; Protein Kinase Inhibitors/*pharmacology/therapeutic use&lt;/_subject_headings&gt;&lt;_tertiary_title&gt;PloS one&lt;/_tertiary_title&gt;&lt;_type_work&gt;Journal Article; Meta-Analysis; Research Support, Non-U.S. Gov&amp;apos;t; Systematic Review&lt;/_type_work&gt;&lt;_url&gt;http://www.ncbi.nlm.nih.gov/entrez/query.fcgi?cmd=Retrieve&amp;amp;db=pubmed&amp;amp;dopt=Abstract&amp;amp;list_uids=32074131&amp;amp;query_hl=1&lt;/_url&gt;&lt;_volume&gt;15&lt;/_volume&gt;&lt;_created&gt;64740772&lt;/_created&gt;&lt;_modified&gt;64740772&lt;/_modified&gt;&lt;_db_updated&gt;PubMed&lt;/_db_updated&gt;&lt;_impact_factor&gt;   3.752&lt;/_impact_factor&gt;&lt;_social_category&gt;综合性期刊(3)&lt;/_social_category&gt;&lt;_collection_scope&gt;SCIE&lt;/_collection_scope&gt;&lt;/Details&gt;&lt;Extra&gt;&lt;DBUID&gt;{F96A950B-833F-4880-A151-76DA2D6A2879}&lt;/DBUID&gt;&lt;/Extra&gt;&lt;/Item&gt;&lt;/References&gt;&lt;/Group&gt;&lt;Group&gt;&lt;References&gt;&lt;Item&gt;&lt;ID&gt;3024&lt;/ID&gt;&lt;UID&gt;{569846DF-F6C9-44E8-A2AA-A48A915D9BD3}&lt;/UID&gt;&lt;Title&gt;Comparative efficacy and safety of first-line treatments for advanced non-small  cell lung cancer with ALK-rearranged: a meta-analysis of clinical trials&lt;/Title&gt;&lt;Template&gt;Journal Article&lt;/Template&gt;&lt;Star&gt;0&lt;/Star&gt;&lt;Tag&gt;0&lt;/Tag&gt;&lt;Author&gt;Ma, H C; Liu, Y H; Ding, K L; Liu, Y F; Zhao, W J; Zhu, Y J; Chang, X S; Chen, Y D; Xiao, Z Z; Yu, Y Y; Zhou, R; Zhang, H B&lt;/Author&gt;&lt;Year&gt;2021&lt;/Year&gt;&lt;Details&gt;&lt;_accession_num&gt;34836510&lt;/_accession_num&gt;&lt;_author_adr&gt;Department of Oncology, the Second Affiliated Hospital of Guangzhou University of  Chinese Medicine, Guangdong Provincial Hospital of Traditional Chinese Medicine,  Guangzhou, 510120, China.; The Second Clinical Medical School, Guangzhou University of Chinese Medicine,  Guangzhou, 510120, China.; Department of Oncology, the Second Affiliated Hospital of Guangzhou University of  Chinese Medicine, Guangdong Provincial Hospital of Traditional Chinese Medicine,  Guangzhou, 510120, China.; Department of Oncology, the Second Affiliated Hospital of Guangzhou University of  Chinese Medicine, Guangdong Provincial Hospital of Traditional Chinese Medicine,  Guangzhou, 510120, China.; The Second Clinical Medical School, Guangzhou University of Chinese Medicine,  Guangzhou, 510120, China.; Department of Oncology, the Second Affiliated Hospital of Guangzhou University of  Chinese Medicine, Guangdong Provincial Hospital of Traditional Chinese Medicine,  Guangzhou, 510120, China.; The Second Clinical Medical School, Guangzhou University of Chinese Medicine,  Guangzhou, 510120, China.; Department of Oncology, the Second Affiliated Hospital of Guangzhou University of  Chinese Medicine, Guangdong Provincial Hospital of Traditional Chinese Medicine,  Guangzhou, 510120, China.; The Second Clinical Medical School, Guangzhou University of Chinese Medicine,  Guangzhou, 510120, China.; Department of Oncology, the Second Affiliated Hospital of Guangzhou University of  Chinese Medicine, Guangdong Provincial Hospital of Traditional Chinese Medicine,  Guangzhou, 510120, China.; The Second Clinical Medical School, Guangzhou University of Chinese Medicine,  Guangzhou, 510120, China.; Guangdong-Hong Kong-Macau Joint Lab on Chinese Medicine and Immune Disease  Research, Guangzhou University of Chinese Medicine, Guangzhou, 510120, China.; Guangdong Provincial Key Laboratory, of Clinical Research on Traditional Chinese  Medicine Syndrome, Guangzhou, 510120, China.; Department of Oncology, the Second Affiliated Hospital of Guangzhou University of  Chinese Medicine, Guangdong Provincial Hospital of Traditional Chinese Medicine,  Guangzhou, 510120, China.; The Second Clinical Medical School, Guangzhou University of Chinese Medicine,  Guangzhou, 510120, China.; Department of Oncology, the Second Affiliated Hospital of Guangzhou University of  Chinese Medicine, Guangdong Provincial Hospital of Traditional Chinese Medicine,  Guangzhou, 510120, China.; Department of Oncology, the Second Affiliated Hospital of Guangzhou University of  Chinese Medicine, Guangdong Provincial Hospital of Traditional Chinese Medicine,  Guangzhou, 510120, China.; Department of Oncology, the Second Affiliated Hospital of Guangzhou University of  Chinese Medicine, Guangdong Provincial Hospital of Traditional Chinese Medicine,  Guangzhou, 510120, China.; Department of Oncology, the Second Affiliated Hospital of Guangzhou University of  Chinese Medicine, Guangdong Provincial Hospital of Traditional Chinese Medicine,  Guangzhou, 510120, China.; The Second Clinical Medical School, Guangzhou University of Chinese Medicine,  Guangzhou, 510120, China.; Department of Oncology, the Second Affiliated Hospital of Guangzhou University of  Chinese Medicine, Guangdong Provincial Hospital of Traditional Chinese Medicine,  Guangzhou, 510120, China. haibozh@gzucm.edu.cn.; The Second Clinical Medical School, Guangzhou University of Chinese Medicine,  Guangzhou, 510120, China. haibozh@gzucm.edu.cn.; Guangdong-Hong Kong-Macau Joint Lab on Chinese Medicine and Immune Disease  Research, Guangzhou University of Chinese Medicine, Guangzhou, 510120, China.  haibozh@gzucm.edu.cn.; Guangdong Provincial Key Laboratory, of Clinical Research on Traditional Chinese  Medicine Syndrome, Guangzhou, 510120, China. haibozh@gzucm.edu.cn.; State Key Laboratory of Dampness Syndrome of Chinese Medicine, The Second  Affiliated Hospital of Guangzhou University of Chinese Medicine, Guangzhou,  510120, China. haibozh@gzucm.edu.cn.&lt;/_author_adr&gt;&lt;_date_display&gt;2021 Nov 26&lt;/_date_display&gt;&lt;_date&gt;2021-11-26&lt;/_date&gt;&lt;_doi&gt;10.1186/s12885-021-08977-0&lt;/_doi&gt;&lt;_isbn&gt;1471-2407 (Electronic); 1471-2407 (Linking)&lt;/_isbn&gt;&lt;_issue&gt;1&lt;/_issue&gt;&lt;_journal&gt;BMC Cancer&lt;/_journal&gt;&lt;_keywords&gt;ALK; First-line treatment; Lung cancer; Network meta-analysis&lt;/_keywords&gt;&lt;_language&gt;eng&lt;/_language&gt;&lt;_ori_publication&gt;(c) 2021. The Author(s).&lt;/_ori_publication&gt;&lt;_pages&gt;1278&lt;/_pages&gt;&lt;_subject_headings&gt;Aminopyridines/adverse effects/therapeutic use; Anaplastic Lymphoma Kinase/*genetics; Antineoplastic Agents/adverse effects/*therapeutic use; Carbazoles/adverse effects/therapeutic use; Carcinoma, Non-Small-Cell Lung/*drug therapy/genetics/mortality/pathology; Clinical Trials, Phase II as Topic; Clinical Trials, Phase III as Topic; *Gene Rearrangement; Humans; Lactams/adverse effects/therapeutic use; Lung Neoplasms/*drug therapy/genetics/mortality/pathology; Network Meta-Analysis; Organophosphorus Compounds/adverse effects/therapeutic use; Piperazines/adverse effects/therapeutic use; Piperidines/adverse effects/therapeutic use; Progression-Free Survival; Protein Kinase Inhibitors/adverse effects/*therapeutic use; Pyrazoles/adverse effects/therapeutic use; Pyridazines/adverse effects/therapeutic use; Pyrimidines/adverse effects/therapeutic use; Randomized Controlled Trials as Topic; Treatment Outcome&lt;/_subject_headings&gt;&lt;_tertiary_title&gt;BMC cancer&lt;/_tertiary_title&gt;&lt;_type_work&gt;Comparative Study; Journal Article; Meta-Analysis; Systematic Review&lt;/_type_work&gt;&lt;_url&gt;http://www.ncbi.nlm.nih.gov/entrez/query.fcgi?cmd=Retrieve&amp;amp;db=pubmed&amp;amp;dopt=Abstract&amp;amp;list_uids=34836510&amp;amp;query_hl=1&lt;/_url&gt;&lt;_volume&gt;21&lt;/_volume&gt;&lt;_created&gt;64740773&lt;/_created&gt;&lt;_modified&gt;64740773&lt;/_modified&gt;&lt;_db_updated&gt;PubMed&lt;/_db_updated&gt;&lt;_impact_factor&gt;   4.638&lt;/_impact_factor&gt;&lt;_social_category&gt;医学(2)&lt;/_social_category&gt;&lt;_collection_scope&gt;SCIE&lt;/_collection_scope&gt;&lt;/Details&gt;&lt;Extra&gt;&lt;DBUID&gt;{F96A950B-833F-4880-A151-76DA2D6A2879}&lt;/DBUID&gt;&lt;/Extra&gt;&lt;/Item&gt;&lt;/References&gt;&lt;/Group&gt;&lt;Group&gt;&lt;References&gt;&lt;Item&gt;&lt;ID&gt;3023&lt;/ID&gt;&lt;UID&gt;{96676D07-FADC-4C5D-A9B1-B7A845E829A4}&lt;/UID&gt;&lt;Title&gt;Comparison of lorlatinib, alectinib and brigatinib in ALK  inhibitor-naive/untreated ALK-positive advanced non-small-cell lung cancer: a  systematic review and network meta-analysis&lt;/Title&gt;&lt;Template&gt;Journal Article&lt;/Template&gt;&lt;Star&gt;0&lt;/Star&gt;&lt;Tag&gt;0&lt;/Tag&gt;&lt;Author&gt;Wang, L; Sheng, Z; Zhang, J; Song, J; Teng, L; Liu, L; Li, Q; Wang, B; Li, B&lt;/Author&gt;&lt;Year&gt;2022&lt;/Year&gt;&lt;Details&gt;&lt;_accession_num&gt;34139965&lt;/_accession_num&gt;&lt;_author_adr&gt;Department of E.N.T, Weifang People&amp;apos;s Hospital, Weifang, China.; Department of Hematology, Weifang People&amp;apos;s Hospital, Weifang, China.; Department of Hematology, Weifang People&amp;apos;s Hospital, Weifang, China.; Department of Stomatology, Weifang People&amp;apos;s Hospital, Weifang, China.; Infection Department, Weifang People&amp;apos;s Hospital, Weifang, China.; Department of Hematology, Weifang People&amp;apos;s Hospital, Weifang, China.; Department of Hematology, Weifang People&amp;apos;s Hospital, Weifang, China.; Department of Hematology, Weifang People&amp;apos;s Hospital, Weifang, China.; Department of Respiration, Weifang People&amp;apos;s Hospital, Weifang, China.&lt;/_author_adr&gt;&lt;_date_display&gt;2022 Apr&lt;/_date_display&gt;&lt;_date&gt;2022-04-01&lt;/_date&gt;&lt;_doi&gt;10.1080/1120009X.2021.1937782&lt;/_doi&gt;&lt;_isbn&gt;1973-9478 (Electronic); 1120-009X (Linking)&lt;/_isbn&gt;&lt;_issue&gt;2&lt;/_issue&gt;&lt;_journal&gt;J Chemother&lt;/_journal&gt;&lt;_keywords&gt;Lorlatinib; advanced NSCLC; alectinib; brigatinib; crizotinib; meta-analysis&lt;/_keywords&gt;&lt;_language&gt;eng&lt;/_language&gt;&lt;_pages&gt;87-96&lt;/_pages&gt;&lt;_subject_headings&gt;Aminopyridines; Anaplastic Lymphoma Kinase; Carbazoles; *Carcinoma, Non-Small-Cell Lung/drug therapy; Humans; Lactams; *Lung Neoplasms/drug therapy; Network Meta-Analysis; Organophosphorus Compounds; Piperidines; Protein Kinase Inhibitors/therapeutic use; Pyrazoles; Pyrimidines&lt;/_subject_headings&gt;&lt;_tertiary_title&gt;Journal of chemotherapy (Florence, Italy)&lt;/_tertiary_title&gt;&lt;_type_work&gt;Journal Article; Meta-Analysis; Systematic Review&lt;/_type_work&gt;&lt;_url&gt;http://www.ncbi.nlm.nih.gov/entrez/query.fcgi?cmd=Retrieve&amp;amp;db=pubmed&amp;amp;dopt=Abstract&amp;amp;list_uids=34139965&amp;amp;query_hl=1&lt;/_url&gt;&lt;_volume&gt;34&lt;/_volume&gt;&lt;_created&gt;64740772&lt;/_created&gt;&lt;_modified&gt;64740772&lt;/_modified&gt;&lt;_db_updated&gt;PubMed&lt;/_db_updated&gt;&lt;_impact_factor&gt;   2.385&lt;/_impact_factor&gt;&lt;_social_category&gt;医学(4)&lt;/_social_category&gt;&lt;_collection_scope&gt;SCIE&lt;/_collection_scope&gt;&lt;/Details&gt;&lt;Extra&gt;&lt;DBUID&gt;{F96A950B-833F-4880-A151-76DA2D6A2879}&lt;/DBUID&gt;&lt;/Extra&gt;&lt;/Item&gt;&lt;/References&gt;&lt;/Group&gt;&lt;Group&gt;&lt;References&gt;&lt;Item&gt;&lt;ID&gt;3030&lt;/ID&gt;&lt;UID&gt;{3F8F0BA3-8926-45DE-B5A7-6F8563F582E6}&lt;/UID&gt;&lt;Title&gt;Efficacy and safety of ALK inhibitors in ALK-rearranged non-small cell lung  cancer: A systematic review and meta-analysis&lt;/Title&gt;&lt;Template&gt;Journal Article&lt;/Template&gt;&lt;Star&gt;0&lt;/Star&gt;&lt;Tag&gt;0&lt;/Tag&gt;&lt;Author&gt;Breadner, D; Blanchette, P; Shanmuganathan, S; Boldt, R G; Raphael, J&lt;/Author&gt;&lt;Year&gt;2020&lt;/Year&gt;&lt;Details&gt;&lt;_accession_num&gt;32371261&lt;/_accession_num&gt;&lt;_author_adr&gt;Department of Oncology, London Regional Cancer Program, Schulich School of  Medicine and Dentistry, 800 Commissioners Road East, London, Ontario, N6A5W9,  Canada. Electronic address: daniel.breadner@lhsc.on.ca.; Department of Oncology, London Regional Cancer Program, Schulich School of  Medicine and Dentistry, 800 Commissioners Road East, London, Ontario, N6A5W9,  Canada. Electronic address: phillip.blanchette@lhsc.on.ca.; Department of Medicine, Schulich School of Medicine and Dentistry, E6-117  Victoria Hospital, London, Ontario, N6A5A5, Canada. Electronic address:  sumugan.shanmuganathan@lhsc.on.ca.; Department of Oncology, London Regional Cancer Program, Schulich School of  Medicine and Dentistry, 800 Commissioners Road East, London, Ontario, N6A5W9,  Canada. Electronic address: Gabriel.boldt@lhsc.on.ca.; Department of Oncology, London Regional Cancer Program, Schulich School of  Medicine and Dentistry, 800 Commissioners Road East, London, Ontario, N6A5W9,  Canada. Electronic address: Jacques.raphael@lhsc.on.ca.&lt;/_author_adr&gt;&lt;_date_display&gt;2020 Jun&lt;/_date_display&gt;&lt;_date&gt;2020-06-01&lt;/_date&gt;&lt;_doi&gt;10.1016/j.lungcan.2020.04.011&lt;/_doi&gt;&lt;_isbn&gt;1872-8332 (Electronic); 0169-5002 (Linking)&lt;/_isbn&gt;&lt;_journal&gt;Lung Cancer&lt;/_journal&gt;&lt;_keywords&gt;ALK; Meta-analysis; NSCLC; Overall survival; Progression free survival&lt;/_keywords&gt;&lt;_language&gt;eng&lt;/_language&gt;&lt;_ori_publication&gt;Copyright (c) 2020 Elsevier B.V. All rights reserved.&lt;/_ori_publication&gt;&lt;_pages&gt;57-63&lt;/_pages&gt;&lt;_subject_headings&gt;*Carcinoma, Non-Small-Cell Lung/drug therapy/genetics; Humans; *Lung Neoplasms/drug therapy/genetics; Progression-Free Survival; Protein Kinase Inhibitors/therapeutic use; Receptor Protein-Tyrosine Kinases/genetics&lt;/_subject_headings&gt;&lt;_tertiary_title&gt;Lung cancer (Amsterdam, Netherlands)&lt;/_tertiary_title&gt;&lt;_type_work&gt;Journal Article; Meta-Analysis; Systematic Review&lt;/_type_work&gt;&lt;_url&gt;http://www.ncbi.nlm.nih.gov/entrez/query.fcgi?cmd=Retrieve&amp;amp;db=pubmed&amp;amp;dopt=Abstract&amp;amp;list_uids=32371261&amp;amp;query_hl=1&lt;/_url&gt;&lt;_volume&gt;144&lt;/_volume&gt;&lt;_created&gt;64740777&lt;/_created&gt;&lt;_modified&gt;64740777&lt;/_modified&gt;&lt;_db_updated&gt;PubMed&lt;/_db_updated&gt;&lt;_impact_factor&gt;   6.081&lt;/_impact_factor&gt;&lt;_social_category&gt;医学(2)&lt;/_social_category&gt;&lt;_collection_scope&gt;SCIE&lt;/_collection_scope&gt;&lt;/Details&gt;&lt;Extra&gt;&lt;DBUID&gt;{F96A950B-833F-4880-A151-76DA2D6A2879}&lt;/DBUID&gt;&lt;/Extra&gt;&lt;/Item&gt;&lt;/References&gt;&lt;/Group&gt;&lt;Group&gt;&lt;References&gt;&lt;Item&gt;&lt;ID&gt;3028&lt;/ID&gt;&lt;UID&gt;{D6B8AB6C-7239-4EAD-A412-C327452638F9}&lt;/UID&gt;&lt;Title&gt;Efficacy and Safety of First-Line Treatment Strategies for Anaplastic Lymphoma  Kinase-Positive Non-Small Cell Lung Cancer: A Bayesian Network Meta-Analysis&lt;/Title&gt;&lt;Template&gt;Journal Article&lt;/Template&gt;&lt;Star&gt;0&lt;/Star&gt;&lt;Tag&gt;0&lt;/Tag&gt;&lt;Author&gt;Peng, L; Lu, D; Xia, Y; Hong, S; Selvaggi, G; Stebbing, J; Sun, Y; Liang, F&lt;/Author&gt;&lt;Year&gt;2021&lt;/Year&gt;&lt;Details&gt;&lt;_accession_num&gt;34820326&lt;/_accession_num&gt;&lt;_author_adr&gt;Department of Respiratory Disease, Zhejiang Provincial People&amp;apos;s Hospital,  Affiliated People&amp;apos;s Hospital, Hangzhou Medical College, Hangzhou, China.; School of Public Health, Nanjing Medical University, Nanjing, China.; Key Laboratory of Respiratory Disease of Zhejiang Province, Department of  Respiratory and Critical Care Medicine, The Second Affiliated Hospital, School of  Medicine, Zhejiang University, Hangzhou, China.; Department of Medical Oncology, Sun Yat-sen University Cancer Center, Guangzhou,  China.; Xcovery Holdings, Palm, Beach Gardens, FL, United States.; Division of Cancer, Department of Surgery and Cancer, Imperial College London,  London, United Kingdom.; Department of Respiratory Disease, Zhejiang Provincial People&amp;apos;s Hospital,  Affiliated People&amp;apos;s Hospital, Hangzhou Medical College, Hangzhou, China.; Department of Biostatistics, Zhongshan Hospital, Fudan University, Shanghai,  China.&lt;/_author_adr&gt;&lt;_date_display&gt;2021&lt;/_date_display&gt;&lt;_date&gt;2021-01-20&lt;/_date&gt;&lt;_doi&gt;10.3389/fonc.2021.754768&lt;/_doi&gt;&lt;_isbn&gt;2234-943X (Print); 2234-943X (Electronic); 2234-943X (Linking)&lt;/_isbn&gt;&lt;_journal&gt;Front Oncol&lt;/_journal&gt;&lt;_keywords&gt;ALK; first-line; network meta-analysis; non-small cell lung cancer; tyrosine kinase inhibitor&lt;/_keywords&gt;&lt;_language&gt;eng&lt;/_language&gt;&lt;_ori_publication&gt;Copyright (c) 2021 Peng, Lu, Xia, Hong, Selvaggi, Stebbing, Sun and Liang.&lt;/_ori_publication&gt;&lt;_pages&gt;754768&lt;/_pages&gt;&lt;_tertiary_title&gt;Frontiers in oncology&lt;/_tertiary_title&gt;&lt;_type_work&gt;Systematic Review&lt;/_type_work&gt;&lt;_url&gt;http://www.ncbi.nlm.nih.gov/entrez/query.fcgi?cmd=Retrieve&amp;amp;db=pubmed&amp;amp;dopt=Abstract&amp;amp;list_uids=34820326&amp;amp;query_hl=1&lt;/_url&gt;&lt;_volume&gt;11&lt;/_volume&gt;&lt;_created&gt;64740775&lt;/_created&gt;&lt;_modified&gt;64740775&lt;/_modified&gt;&lt;_db_updated&gt;PubMed&lt;/_db_updated&gt;&lt;_impact_factor&gt;   5.738&lt;/_impact_factor&gt;&lt;_social_category&gt;医学(3)&lt;/_social_category&gt;&lt;_collection_scope&gt;SCIE&lt;/_collection_scope&gt;&lt;/Details&gt;&lt;Extra&gt;&lt;DBUID&gt;{F96A950B-833F-4880-A151-76DA2D6A2879}&lt;/DBUID&gt;&lt;/Extra&gt;&lt;/Item&gt;&lt;/References&gt;&lt;/Group&gt;&lt;Group&gt;&lt;References&gt;&lt;Item&gt;&lt;ID&gt;3031&lt;/ID&gt;&lt;UID&gt;{DA4F0588-55AF-428D-8A56-C18F1CC1C47B}&lt;/UID&gt;&lt;Title&gt;Efficacy of Crizotinib, Ceritinib, and Alectinib in ALK-Positive Non-Small Cell  Lung Cancer Treatment: A Meta-Analysis of Clinical Trials&lt;/Title&gt;&lt;Template&gt;Journal Article&lt;/Template&gt;&lt;Star&gt;0&lt;/Star&gt;&lt;Tag&gt;0&lt;/Tag&gt;&lt;Author&gt;Hoang, T; Myung, S K; Pham, T T; Park, B&lt;/Author&gt;&lt;Year&gt;2020&lt;/Year&gt;&lt;Details&gt;&lt;_accession_num&gt;32106398&lt;/_accession_num&gt;&lt;_author_adr&gt;Department of Cancer Biomedical Science, National Cancer Center Graduate School  of Cancer Science and Policy, Goyang 10408, Korea.; Department of Cancer Biomedical Science, National Cancer Center Graduate School  of Cancer Science and Policy, Goyang 10408, Korea.; Division of Cancer Epidemiology and Management, National Cancer Center Research  Institute, Goyang 10408, Korea.; Department of Family Medicine and Center for Cancer Prevention and Detection,  National Cancer Center Hospital, Goyang 10408, Korea.; Health Data Science Program, Institute of Public Health, Charite  Universitatsmedizin Berlin, 10117 Berlin, Germany.; Molecular Epidemiology Research Group, Max Delbruck Center for Molecular Medicine  (MDC), 13092 Berlin, Germany.; Department of Medicine, Hanyang University College of Medicine, Seoul 04763,  Korea.&lt;/_author_adr&gt;&lt;_date_display&gt;2020 Feb 25&lt;/_date_display&gt;&lt;_date&gt;2020-02-25&lt;/_date&gt;&lt;_doi&gt;10.3390/cancers12030526&lt;/_doi&gt;&lt;_isbn&gt;2072-6694 (Print); 2072-6694 (Electronic); 2072-6694 (Linking)&lt;/_isbn&gt;&lt;_issue&gt;3&lt;/_issue&gt;&lt;_journal&gt;Cancers (Basel)&lt;/_journal&gt;&lt;_keywords&gt;ALK inhibitors; alectinib; ceritinib; crizotinib; non-small cell lung cancer&lt;/_keywords&gt;&lt;_language&gt;eng&lt;/_language&gt;&lt;_tertiary_title&gt;Cancers&lt;/_tertiary_title&gt;&lt;_type_work&gt;Journal Article&lt;/_type_work&gt;&lt;_url&gt;http://www.ncbi.nlm.nih.gov/entrez/query.fcgi?cmd=Retrieve&amp;amp;db=pubmed&amp;amp;dopt=Abstract&amp;amp;list_uids=32106398&amp;amp;query_hl=1&lt;/_url&gt;&lt;_volume&gt;12&lt;/_volume&gt;&lt;_created&gt;64740777&lt;/_created&gt;&lt;_modified&gt;64740777&lt;/_modified&gt;&lt;_db_updated&gt;PubMed&lt;/_db_updated&gt;&lt;_impact_factor&gt;   6.575&lt;/_impact_factor&gt;&lt;_social_category&gt;医学(2)&lt;/_social_category&gt;&lt;_collection_scope&gt;SCIE&lt;/_collection_scope&gt;&lt;/Details&gt;&lt;Extra&gt;&lt;DBUID&gt;{F96A950B-833F-4880-A151-76DA2D6A2879}&lt;/DBUID&gt;&lt;/Extra&gt;&lt;/Item&gt;&lt;/References&gt;&lt;/Group&gt;&lt;Group&gt;&lt;References&gt;&lt;Item&gt;&lt;ID&gt;3026&lt;/ID&gt;&lt;UID&gt;{E2E7D811-E991-43A8-A530-31A6B0687ADE}&lt;/UID&gt;&lt;Title&gt;First-Line Anaplastic Lymphoma Kinase (ALK) Inhibitors for ALK-Positive Lung  Cancer in Asian Populations: Systematic Review and Network Meta-Analysis&lt;/Title&gt;&lt;Template&gt;Journal Article&lt;/Template&gt;&lt;Star&gt;0&lt;/Star&gt;&lt;Tag&gt;0&lt;/Tag&gt;&lt;Author&gt;Wu, K L; Chen, H L; Tsai, Y M; Lee, T H; Chang, H M; Tsai, Y C; Chuang, C H; Chang, Y C; Tu, Y K; Yang, C J; Hung, J Y; Chong, I W&lt;/Author&gt;&lt;Year&gt;2021&lt;/Year&gt;&lt;Details&gt;&lt;_accession_num&gt;34640394&lt;/_accession_num&gt;&lt;_author_adr&gt;Division of Pulmonary and Critical Care Medicine, Department of Internal  Medicine, Kaohsiung Medical University Hospital, Kaohsiung Medical University,  Kaohsiung 80708, Taiwan.; Department of Pharmacy, Kaohsiung Municipal Ta-Tung Hospital, Kaohsiung Medical  University, Kaohsiung 80145, Taiwan.; Division of Pulmonary and Critical Care Medicine, Department of Internal  Medicine, Kaohsiung Medical University Hospital, Kaohsiung Medical University,  Kaohsiung 80708, Taiwan.; Department of Internal Medicine, School of Medicine, College of Medicine,  Kaohsiung Medical University, Kaohsiung 80708, Taiwan.; Division of Pulmonary and Critical Care Medicine, Department of Internal  Medicine, Kaohsiung Medical University Hospital, Kaohsiung Medical University,  Kaohsiung 80708, Taiwan.; Department of Internal Medicine, Kaohsiung Municipal Ta-Tung Hospital, Kaohsiung  Medical University, Kaohsiung 80145, Taiwan.; Department of Pharmacy, Kaohsiung Municipal Ta-Tung Hospital, Kaohsiung Medical  University, Kaohsiung 80145, Taiwan.; Division of Pulmonary and Critical Care Medicine, Department of Internal  Medicine, Kaohsiung Medical University Hospital, Kaohsiung Medical University,  Kaohsiung 80708, Taiwan.; Department of Internal Medicine, Kaohsiung Municipal Ta-Tung Hospital, Kaohsiung  Medical University, Kaohsiung 80145, Taiwan.; Division of Pulmonary and Critical Care Medicine, Department of Internal  Medicine, Kaohsiung Medical University Hospital, Kaohsiung Medical University,  Kaohsiung 80708, Taiwan.; Department of Pharmacy, Kaohsiung Municipal Ta-Tung Hospital, Kaohsiung Medical  University, Kaohsiung 80145, Taiwan.; Institute of Epidemiology and Preventive Medicine, National Taiwan University,  Taipei 100025, Taiwan.; Department of Medical Research, National Taiwan University Hospital, Taipei  100025, Taiwan.; Division of Pulmonary and Critical Care Medicine, Department of Internal  Medicine, Kaohsiung Medical University Hospital, Kaohsiung Medical University,  Kaohsiung 80708, Taiwan.; Faculty of Post-Baccalaureate Medicine, College of Medicine, Kaohsiung Medical  University, Kaohsiung 80708, Taiwan.; Department of Respiratory Therapy, College of Medicine, Kaohsiung Medical  University, Kaohsiung 80708, Taiwan.; Division of Pulmonary and Critical Care Medicine, Department of Internal  Medicine, Kaohsiung Medical University Hospital, Kaohsiung Medical University,  Kaohsiung 80708, Taiwan.; Department of Internal Medicine, School of Medicine, College of Medicine,  Kaohsiung Medical University, Kaohsiung 80708, Taiwan.; Department of Respiratory Therapy, College of Medicine, Kaohsiung Medical  University, Kaohsiung 80708, Taiwan.; Division of Pulmonary and Critical Care Medicine, Department of Internal  Medicine, Kaohsiung Medical University Hospital, Kaohsiung Medical University,  Kaohsiung 80708, Taiwan.; Department of Respiratory Therapy, College of Medicine, Kaohsiung Medical  University, Kaohsiung 80708, Taiwan.&lt;/_author_adr&gt;&lt;_date_display&gt;2021 Sep 25&lt;/_date_display&gt;&lt;_date&gt;2021-09-25&lt;/_date&gt;&lt;_doi&gt;10.3390/jcm10194376&lt;/_doi&gt;&lt;_isbn&gt;2077-0383 (Print); 2077-0383 (Electronic); 2077-0383 (Linking)&lt;/_isbn&gt;&lt;_issue&gt;19&lt;/_issue&gt;&lt;_journal&gt;J Clin Med&lt;/_journal&gt;&lt;_keywords&gt;Asian; anaplastic lymphoma kinase inhibitor; non-small cell lung cancer&lt;/_keywords&gt;&lt;_language&gt;eng&lt;/_language&gt;&lt;_tertiary_title&gt;Journal of clinical medicine&lt;/_tertiary_title&gt;&lt;_type_work&gt;Journal Article; Review&lt;/_type_work&gt;&lt;_url&gt;http://www.ncbi.nlm.nih.gov/entrez/query.fcgi?cmd=Retrieve&amp;amp;db=pubmed&amp;amp;dopt=Abstract&amp;amp;list_uids=34640394&amp;amp;query_hl=1&lt;/_url&gt;&lt;_volume&gt;10&lt;/_volume&gt;&lt;_created&gt;64740774&lt;/_created&gt;&lt;_modified&gt;64740774&lt;/_modified&gt;&lt;_db_updated&gt;PubMed&lt;/_db_updated&gt;&lt;_impact_factor&gt;   4.964&lt;/_impact_factor&gt;&lt;_social_category&gt;医学(3)&lt;/_social_category&gt;&lt;_collection_scope&gt;SCIE&lt;/_collection_scope&gt;&lt;/Details&gt;&lt;Extra&gt;&lt;DBUID&gt;{F96A950B-833F-4880-A151-76DA2D6A2879}&lt;/DBUID&gt;&lt;/Extra&gt;&lt;/Item&gt;&lt;/References&gt;&lt;/Group&gt;&lt;Group&gt;&lt;References&gt;&lt;Item&gt;&lt;ID&gt;3029&lt;/ID&gt;&lt;UID&gt;{570C8E1A-FFEC-42B2-B755-F1D79A9836B3}&lt;/UID&gt;&lt;Title&gt;Front-line treatment for advanced non-small-cell lung cancer and ALK fusion: a  network meta-analysis&lt;/Title&gt;&lt;Template&gt;Journal Article&lt;/Template&gt;&lt;Star&gt;0&lt;/Star&gt;&lt;Tag&gt;0&lt;/Tag&gt;&lt;Author&gt;Wen, Y; Jiang, T; Wu, X; Peng, H; Ren, S; Zhou, C&lt;/Author&gt;&lt;Year&gt;2022&lt;/Year&gt;&lt;Details&gt;&lt;_accession_num&gt;36032351&lt;/_accession_num&gt;&lt;_author_adr&gt;Department of Medical Oncology, Shanghai Pulmonary Hospital, Tongji University  Medical School Cancer Institute, Tongji University School of Medicine, Shanghai,  China.; Department of Medical Oncology, Shanghai Pulmonary Hospital, Tongji University  Medical School Cancer Institute, Tongji University School of Medicine, Shanghai,  China.; Nanshan School, Guangzhou Medical University, Guangzhou, China.; Nanshan School, Guangzhou Medical University, Guangzhou, China.; Department of Medical Oncology, Shanghai Pulmonary Hospital, Tongji University  Medical School Cancer Institute, Tongji University School of Medicine, No. 507,  Zheng Min Road, Shanghai 200433, China.; Department of Medical Oncology, Shanghai Pulmonary Hospital, Tongji University  Medical School Cancer Institute, Tongji University School of Medicine, No. 507,  Zheng Min Road, Shanghai 200433, China.&lt;/_author_adr&gt;&lt;_date_display&gt;2022&lt;/_date_display&gt;&lt;_date&gt;2022-01-20&lt;/_date&gt;&lt;_doi&gt;10.1177/17588359221116607&lt;/_doi&gt;&lt;_isbn&gt;1758-8340 (Print); 1758-8359 (Electronic); 1758-8340 (Linking)&lt;/_isbn&gt;&lt;_journal&gt;Ther Adv Med Oncol&lt;/_journal&gt;&lt;_keywords&gt;anaplastic lymphoma kinase; front-line therapy; indirect comparison; network meta-analysis; non-small-cell lung cancer&lt;/_keywords&gt;&lt;_language&gt;eng&lt;/_language&gt;&lt;_ori_publication&gt;(c) The Author(s), 2022.&lt;/_ori_publication&gt;&lt;_pages&gt;17588359221116607&lt;/_pages&gt;&lt;_tertiary_title&gt;Therapeutic advances in medical oncology&lt;/_tertiary_title&gt;&lt;_type_work&gt;Journal Article&lt;/_type_work&gt;&lt;_url&gt;http://www.ncbi.nlm.nih.gov/entrez/query.fcgi?cmd=Retrieve&amp;amp;db=pubmed&amp;amp;dopt=Abstract&amp;amp;list_uids=36032351&amp;amp;query_hl=1&lt;/_url&gt;&lt;_volume&gt;14&lt;/_volume&gt;&lt;_created&gt;64740776&lt;/_created&gt;&lt;_modified&gt;64740776&lt;/_modified&gt;&lt;_db_updated&gt;PubMed&lt;/_db_updated&gt;&lt;_impact_factor&gt;   5.485&lt;/_impact_factor&gt;&lt;_social_category&gt;医学(2)&lt;/_social_category&gt;&lt;_collection_scope&gt;SCIE&lt;/_collection_scope&gt;&lt;/Details&gt;&lt;Extra&gt;&lt;DBUID&gt;{F96A950B-833F-4880-A151-76DA2D6A2879}&lt;/DBUID&gt;&lt;/Extra&gt;&lt;/Item&gt;&lt;/References&gt;&lt;/Group&gt;&lt;Group&gt;&lt;References&gt;&lt;Item&gt;&lt;ID&gt;3021&lt;/ID&gt;&lt;UID&gt;{CD95EEA6-667D-4333-90D8-C169D5A4A30B}&lt;/UID&gt;&lt;Title&gt;Systematic Review and Network Meta-Analysis of Anaplastic Lymphoma Kinase (ALK)  Inhibitors for Treatment-Naive ALK-Positive Lung Cancer&lt;/Title&gt;&lt;Template&gt;Journal Article&lt;/Template&gt;&lt;Star&gt;0&lt;/Star&gt;&lt;Tag&gt;0&lt;/Tag&gt;&lt;Author&gt;Chuang, C H; Chen, H L; Chang, H M; Tsai, Y C; Wu, K L; Chen, I H; Chen, K C; Lee, J Y; Chang, Y C; Chen, C L; Tu, Y K; Hung, J Y; Yang, C J; Chong, I W&lt;/Author&gt;&lt;Year&gt;2021&lt;/Year&gt;&lt;Details&gt;&lt;_accession_num&gt;33921762&lt;/_accession_num&gt;&lt;_author_adr&gt;Division of Pulmonary and Critical Care Medicine, Department of Internal  Medicine, Kaohsiung Medical University Hospital, Kaohsiung Medical University,  Kaohsiung 807, Taiwan.; Department of Pharmacy, Kaohsiung Municipal Ta-Tung Hospital, Kaohsiung Medical  University Hospital, Kaohsiung Medical University, Kaohsiung 807, Taiwan.; Department of Pharmacy, Kaohsiung Municipal Ta-Tung Hospital, Kaohsiung Medical  University Hospital, Kaohsiung Medical University, Kaohsiung 807, Taiwan.; Division of Pulmonary and Critical Care Medicine, Department of Internal  Medicine, Kaohsiung Medical University Hospital, Kaohsiung Medical University,  Kaohsiung 807, Taiwan.; Division of Pulmonary and Critical Care Medicine, Department of Internal  Medicine, Kaohsiung Medical University Hospital, Kaohsiung Medical University,  Kaohsiung 807, Taiwan.; Department of Internal Medicine, Kaohsiung Medical University Hospital, Kaohsiung  Medical University, Kaohsiung 807, Taiwan.; Department of Internal Medicine, Kaohsiung Medical University Hospital, Kaohsiung  Medical University, Kaohsiung 807, Taiwan.; Division of Chest Surgery, Department of Surgery, Kaohsiung Medical University  Hospital, Kaohsiung Medical University, Kaohsiung 807, Taiwan.; Department of Pharmacy, Kaohsiung Municipal Ta-Tung Hospital, Kaohsiung Medical  University Hospital, Kaohsiung Medical University, Kaohsiung 807, Taiwan.; Cancer Center, Kaohsiung Medical University Hospital, Kaohsiung Medical  University, Kaohsiung 807, Taiwan.; Institute of Epidemiology and Preventive Medicine, National Taiwan University,  Taipei 100, Taiwan.; Department of Medical Research, National Taiwan University Hospital, Taipei 100,  Taiwan.; Division of Pulmonary and Critical Care Medicine, Department of Internal  Medicine, Kaohsiung Medical University Hospital, Kaohsiung Medical University,  Kaohsiung 807, Taiwan.; Cancer Center, Kaohsiung Medical University Hospital, Kaohsiung Medical  University, Kaohsiung 807, Taiwan.; Faculty of Medicine, College of Medicine, Kaohsiung Medical University, Kaohsiung  807, Taiwan.; Division of Pulmonary and Critical Care Medicine, Department of Internal  Medicine, Kaohsiung Medical University Hospital, Kaohsiung Medical University,  Kaohsiung 807, Taiwan.; Faculty of Medicine, College of Medicine, Kaohsiung Medical University, Kaohsiung  807, Taiwan.; Department of General Medicine, Kaohsiung Medical University Hospital, Kaohsiung  Medical University, Kaohsiung 807, Taiwan.; Respiratory Therapy, College of Medicine, Kaohsiung Medical University, Kaohsiung  807, Taiwan.; Division of Pulmonary and Critical Care Medicine, Department of Internal  Medicine, Kaohsiung Medical University Hospital, Kaohsiung Medical University,  Kaohsiung 807, Taiwan.; Faculty of Medicine, College of Medicine, Kaohsiung Medical University, Kaohsiung  807, Taiwan.; Respiratory Therapy, College of Medicine, Kaohsiung Medical University, Kaohsiung  807, Taiwan.&lt;/_author_adr&gt;&lt;_date_display&gt;2021 Apr 19&lt;/_date_display&gt;&lt;_date&gt;2021-04-19&lt;/_date&gt;&lt;_doi&gt;10.3390/cancers13081966&lt;/_doi&gt;&lt;_isbn&gt;2072-6694 (Print); 2072-6694 (Electronic); 2072-6694 (Linking)&lt;/_isbn&gt;&lt;_issue&gt;8&lt;/_issue&gt;&lt;_journal&gt;Cancers (Basel)&lt;/_journal&gt;&lt;_keywords&gt;ALK inhibitor; alectinib; brigatinib; ceritinib; crizotinib; ensartinib; lorlatinib; network meta-analysis&lt;/_keywords&gt;&lt;_language&gt;eng&lt;/_language&gt;&lt;_tertiary_title&gt;Cancers&lt;/_tertiary_title&gt;&lt;_type_work&gt;Journal Article; Review&lt;/_type_work&gt;&lt;_url&gt;http://www.ncbi.nlm.nih.gov/entrez/query.fcgi?cmd=Retrieve&amp;amp;db=pubmed&amp;amp;dopt=Abstract&amp;amp;list_uids=33921762&amp;amp;query_hl=1&lt;/_url&gt;&lt;_volume&gt;13&lt;/_volume&gt;&lt;_created&gt;64740771&lt;/_created&gt;&lt;_modified&gt;64740771&lt;/_modified&gt;&lt;_db_updated&gt;PubMed&lt;/_db_updated&gt;&lt;_impact_factor&gt;   6.575&lt;/_impact_factor&gt;&lt;_social_category&gt;医学(2)&lt;/_social_category&gt;&lt;_collection_scope&gt;SCIE&lt;/_collection_scope&gt;&lt;/Details&gt;&lt;Extra&gt;&lt;DBUID&gt;{F96A950B-833F-4880-A151-76DA2D6A2879}&lt;/DBUID&gt;&lt;/Extra&gt;&lt;/Item&gt;&lt;/References&gt;&lt;/Group&gt;&lt;Group&gt;&lt;References&gt;&lt;Item&gt;&lt;ID&gt;3027&lt;/ID&gt;&lt;UID&gt;{9066178A-A634-4135-A678-0682ABE7780D}&lt;/UID&gt;&lt;Title&gt;Targeted therapy for advanced anaplastic lymphoma kinase (&amp;lt;I&amp;gt;ALK&amp;lt;/I&amp;gt;)-rearranged  non-small cell lung cancer&lt;/Title&gt;&lt;Template&gt;Journal Article&lt;/Template&gt;&lt;Star&gt;0&lt;/Star&gt;&lt;Tag&gt;0&lt;/Tag&gt;&lt;Author&gt;Cameron, L B; Hitchen, N; Chandran, E; Morris, T; Manser, R; Solomon, B J; Jordan, V&lt;/Author&gt;&lt;Year&gt;2022&lt;/Year&gt;&lt;Details&gt;&lt;_accession_num&gt;34994987&lt;/_accession_num&gt;&lt;_author_adr&gt;Department of Medical Oncology &amp;quot;Te Puriri o Te Ora&amp;quot;, Auckland District Health  Board, Auckland, New Zealand.; Department of Medical Oncology &amp;quot;Te Puriri o Te Ora&amp;quot;, Auckland District Health  Board, Auckland, New Zealand.; Department of Medical Oncology &amp;quot;Te Puriri o Te Ora&amp;quot;, Auckland District Health  Board, Auckland, New Zealand.; Southern Blood and Cancer Service, Southern District Healthboard, Dunedin, New  Zealand.; Department of Medicine, University of Otago, Dunedin, New Zealand.; Department of Haematology and Medical Oncology, Peter MacCallum Cancer Centre,  Melbourne, Australia.; Department of Respiratory and Sleep Medicine, Royal Melbourne Hospital,  Parkville, Australia.; Department of Medicine, Royal Melbourne Hospital, The University of Melbourne,  Parkville, Australia.; Department of Medical Oncology, Peter MacCallum Cancer Centre, Melbourne,  Australia.; Department of Obstetrics and Gynaecology, Faculty of Medical and Health Sciences,  The University of Auckland, Auckland, New Zealand.&lt;/_author_adr&gt;&lt;_date_display&gt;2022 Jan 7&lt;/_date_display&gt;&lt;_date&gt;2022-01-07&lt;/_date&gt;&lt;_doi&gt;10.1002/14651858.CD013453.pub2&lt;/_doi&gt;&lt;_isbn&gt;1469-493X (Electronic); 1361-6137 (Linking)&lt;/_isbn&gt;&lt;_issue&gt;1&lt;/_issue&gt;&lt;_journal&gt;Cochrane Database Syst Rev&lt;/_journal&gt;&lt;_language&gt;eng&lt;/_language&gt;&lt;_ori_publication&gt;Copyright (c) 2022 The Cochrane Collaboration. Published by John Wiley &amp;amp; Sons, Ltd.&lt;/_ori_publication&gt;&lt;_pages&gt;CD013453&lt;/_pages&gt;&lt;_subject_headings&gt;Anaplastic Lymphoma Kinase/genetics; *Carcinoma, Non-Small-Cell Lung/drug therapy/genetics; Humans; *Lung Neoplasms/drug therapy/genetics; Progression-Free Survival; Protein Kinase Inhibitors/adverse effects&lt;/_subject_headings&gt;&lt;_tertiary_title&gt;The Cochrane database of systematic reviews&lt;/_tertiary_title&gt;&lt;_type_work&gt;Journal Article; Meta-Analysis; Review&lt;/_type_work&gt;&lt;_url&gt;http://www.ncbi.nlm.nih.gov/entrez/query.fcgi?cmd=Retrieve&amp;amp;db=pubmed&amp;amp;dopt=Abstract&amp;amp;list_uids=34994987&amp;amp;query_hl=1&lt;/_url&gt;&lt;_volume&gt;1&lt;/_volume&gt;&lt;_created&gt;64740774&lt;/_created&gt;&lt;_modified&gt;64740774&lt;/_modified&gt;&lt;_db_updated&gt;PubMed&lt;/_db_updated&gt;&lt;_impact_factor&gt;  12.008&lt;/_impact_factor&gt;&lt;_social_category&gt;医学(2)&lt;/_social_category&gt;&lt;_collection_scope&gt;SCIE&lt;/_collection_scope&gt;&lt;/Details&gt;&lt;Extra&gt;&lt;DBUID&gt;{F96A950B-833F-4880-A151-76DA2D6A2879}&lt;/DBUID&gt;&lt;/Extra&gt;&lt;/Item&gt;&lt;/References&gt;&lt;/Group&gt;&lt;/Citation&gt;_x000a_"/>
    <w:docVar w:name="NE.Ref{0BAF90DE-BDCD-4E51-9507-64D93143C456}" w:val=" ADDIN NE.Ref.{0BAF90DE-BDCD-4E51-9507-64D93143C456}&lt;Citation&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Group&gt;&lt;References&gt;&lt;Item&gt;&lt;ID&gt;5036&lt;/ID&gt;&lt;UID&gt;{F2CA6EA4-05F3-414C-BD41-AACD34657658}&lt;/UID&gt;&lt;Title&gt;Regorafenib plus best supportive care versus placebo plus best supportive care in  Asian patients with previously treated metastatic colorectal cancer (CONCUR): a  randomised, double-blind, placebo-controlled, phase 3 trial&lt;/Title&gt;&lt;Template&gt;Journal Article&lt;/Template&gt;&lt;Star&gt;0&lt;/Star&gt;&lt;Tag&gt;0&lt;/Tag&gt;&lt;Author&gt;Li, J; Qin, S; Xu, R; Yau, T C; Ma, B; Pan, H; Xu, J; Bai, Y; Chi, Y; Wang, L; Yeh, K H; Bi, F; Cheng, Y; &amp;quot;Le AT&amp;quot;; Lin, J K; Liu, T; Ma, D; Kappeler, C; Kalmus, J; Kim, T W&lt;/Author&gt;&lt;Year&gt;2015&lt;/Year&gt;&lt;Details&gt;&lt;_accession_num&gt;25981818&lt;/_accession_num&gt;&lt;_author_adr&gt;Department of Medical Oncology, Fudan University Shanghai Cancer Center, and  Department of Oncology, Shanghai Medical College, Fudan University, Shanghai,  China.; Department of Medical Oncology, Chinese People&amp;apos;s Liberation Army Cancer Center of  Nanjing Bayi Hospital, Nanjing, China.; Department of Medical Oncology, Sun Yat-Sen University Cancer Center,  Collaborative Innovation Center for Cancer Medicine, Guangzhou, China.; Department of Medicine, University of Hong Kong, Queen Mary Hospital, Hong Kong,  China.; Department of Clinical Oncology, Prince of Wales Hospital, Chinese University of  Hong Kong, Hong Kong, China.; Medical Oncology, Sir Run Run Shaw Hospital Medical School, Zhejiang University,  Hangzhou, China.; Beijing 307 People&amp;apos;s Liberation Army Hospital Cancer Centre, Beijing, China.; Third Affiliated Hospital of Harbin Medical University, Harbin, China.; Department of Medical Oncology, Cancer Hospital, Chinese Academy of Medical  Sciences, Beijing, China.; Comprehensive Cancer Center, Shanghai First People&amp;apos;s Hospital, Shanghai Jiaotong  University, Shanghai, China.; Department of Oncology, National Taiwan University Hospital, Taipei, Taiwan.; Department of Medical Oncology, West China Hospital, Sichuan University, Chengdu,  China.; Jilin Provincial Tumor Hospital, Changchun, China.; Department of Oncology, Cho Ray Hospital, Ho Chi Minh City, Vietnam.; Department of Surgery, Taipei Veterans General Hospital, National Yang-Ming  University, Taipei, Taiwan.; Department of Medical Oncology, Zhong Shan Hospital, Fudan University, Shanghai,  China.; Department of Medical Oncology, Guangdong General Hospital, Guangzhou, Guangdong,  China.; Bayer Pharma AG, Berlin, Germany.; Bayer Pharma AG, Berlin, Germany.; Department of Oncology, Asan Medical Center, University of Ulsan College of  Medicine, Songpa-gu, South Korea. Electronic address: twkimmd@amc.seoul.kr.&lt;/_author_adr&gt;&lt;_date_display&gt;2015 Jun&lt;/_date_display&gt;&lt;_date&gt;2015-06-01&lt;/_date&gt;&lt;_doi&gt;10.1016/S1470-2045(15)70156-7&lt;/_doi&gt;&lt;_isbn&gt;1474-5488 (Electronic); 1470-2045 (Linking)&lt;/_isbn&gt;&lt;_issue&gt;6&lt;/_issue&gt;&lt;_journal&gt;Lancet Oncol&lt;/_journal&gt;&lt;_language&gt;eng&lt;/_language&gt;&lt;_ori_publication&gt;Copyright © 2015 Elsevier Ltd. All rights reserved.&lt;/_ori_publication&gt;&lt;_pages&gt;619-29&lt;/_pages&gt;&lt;_subject_headings&gt;Aged; Antineoplastic Combined Chemotherapy Protocols/*administration &amp;amp; dosage; Asian People; Colorectal Neoplasms/*drug therapy/epidemiology/pathology; Disease-Free Survival; Double-Blind Method; Female; Humans; Kaplan-Meier Estimate; Male; Middle Aged; Neoplasm Metastasis; Phenylurea Compounds/*administration &amp;amp; dosage/adverse effects; Pyridines/*administration &amp;amp; dosage/adverse effects; Treatment Outcom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25981818&amp;amp;query_hl=1&lt;/_url&gt;&lt;_volume&gt;16&lt;/_volume&gt;&lt;_created&gt;65329740&lt;/_created&gt;&lt;_modified&gt;65329740&lt;/_modified&gt;&lt;_impact_factor&gt;  51.100&lt;/_impact_factor&gt;&lt;_social_category&gt;肿瘤学(1)&lt;/_social_category&gt;&lt;_collection_scope&gt;SCIE&lt;/_collection_scope&gt;&lt;/Details&gt;&lt;Extra&gt;&lt;DBUID&gt;{F96A950B-833F-4880-A151-76DA2D6A2879}&lt;/DBUID&gt;&lt;/Extra&gt;&lt;/Item&gt;&lt;/References&gt;&lt;/Group&gt;&lt;Group&gt;&lt;References&gt;&lt;Item&gt;&lt;ID&gt;5038&lt;/ID&gt;&lt;UID&gt;{E1AFF1CE-834F-47CD-AB65-9B4E05D6B565}&lt;/UID&gt;&lt;Title&gt;Effect of Fruquintinib vs Placebo on Overall Survival in Patients With Previously  Treated Metastatic Colorectal Cancer: The FRESCO Randomized Clinical Trial&lt;/Title&gt;&lt;Template&gt;Journal Article&lt;/Template&gt;&lt;Star&gt;0&lt;/Star&gt;&lt;Tag&gt;0&lt;/Tag&gt;&lt;Author&gt;Li, J; Qin, S; Xu, R H; Shen, L; Xu, J; Bai, Y; Yang, L; Deng, Y; Chen, Z D; Zhong, H; Pan, H; Guo, W; Shu, Y; Yuan, Y; Zhou, J; Xu, N; Liu, T; Ma, D; Wu, C; Cheng, Y; Chen, D; Li, W; Sun, S; Yu, Z; Cao, P; Chen, H; Wang, J; Wang, S; Wang, H; Fan, S; Hua, Y; Su, W&lt;/Author&gt;&lt;Year&gt;2018&lt;/Year&gt;&lt;Details&gt;&lt;_accession_num&gt;29946728&lt;/_accession_num&gt;&lt;_author_adr&gt;Department of Medical Oncology, Tongji University Shanghai East Hospital,  Shanghai, China.; Department of Medical Oncology, Shanghai Medical College, Fudan University  Shanghai Cancer Center, Shanghai, China.; Department of Medical Oncology, Nanjing Chinese Medicine University-Affiliated  Bayi Hospital, Nanjing, China.; Department of Medical Oncology, Sun Yat-sen University Cancer Center, State Key  Laboratory of Oncology in South China, Guangzhou, China.; Collaborative Innovation Center for Cancer Medicine, Guangzhou, China.; Department of Medical Oncology, Beijing University Cancer Center, Beijing, China.; Department of Medical Oncology, 307th Hospital of Chinese People&amp;apos;s Liberation  Army, The Affiliated Hospital of Military Medical Sciences, Beijing, China.; Department of Medical Oncology, Harbin Medical University Cancer Hospital,  Harbin, China.; Department of Medical Oncology, Nantong Cancer Hospital, Nantong, China.; Department of Medical Oncology, The Sixth Affiliated Hospital of Sun Yat-sen  University, Guangzhou, China.; Department of Medical Oncology, The Second Hospital of Anhui Medical University,  Hefei, China.; Department of Medical Oncology, Zhejiang Cancer Hospital, Hangzhou, China.; Department of Medical Oncology, Sir RunRun Shaw Hospital, College of Medicine,  Zhejiang University, Hangzhou, China.; Department of Medical Oncology, Shanghai Medical College, Fudan University  Shanghai Cancer Center, Shanghai, China.; Department of Medical Oncology, Jiangsu Provincial Hospital, Nanjing, China.; Department of Medical Oncology, The Second Affiliated Hospital of Zhejiang  University School of Medicine, Hangzhou, China.; Department of Medical Oncology, Peking Union Medical College Hospital, Beijing,  China.; Department of Medical Oncology, The First Affiliated Hospital of Zhejiang  University School of Medicine, Hangzhou, China.; Department of Medical Oncology, Fudan University Zhongshan Hospital, Shanghai  Medical College, Shanghai, China.; Department of Medical Oncology, Guangdong General Hospital, Guangzhou, China.; Department of Medical Oncology, The First People&amp;apos;s Hospital of Changzhou,  Changzhou, China.; Department of Medical Oncology, Jilin Province Cancer Hospital, Changchun, China.; Department of Medical Oncology, Shanghai Jiaotong University Affiliated First  People&amp;apos;s Hospital, Shanghai, China.; Department of Medical Oncology, The First Hospital of Jilin University,  Changchun, China.; Department of Medical Oncology, Xuzhou Central Hospital, Xuzhou, China.; Department of Medical Oncology, The Affiliated Hospital of Medical College  Qingdao University, Qingdao, China.; Department of Medical Oncology, The Third Xiangya Hospital of Central South  University, Changsha, China.; Department of Medical Oncology, Liuzhou Worker&amp;apos;s Hospital, Liuzhou, China.; Department of Medical Oncology, Shanghai Changzheng Hospital, The Second Military  Medical University, Shanghai, China.; Department of Medical Oncology, Peking University Shenzhen Hospital, Beijing  University, Shenzhen, China.; Department of Medical Oncology, The Affiliated Hospital of Xuzhou Medical  College, Xuzhou Medical College, Xuzhou, China.; Hutchison MediPharma Ltd, Shanghai, China.; Hutchison MediPharma Ltd, Shanghai, China.; Hutchison MediPharma Ltd, Shanghai, China.&lt;/_author_adr&gt;&lt;_date_display&gt;2018 Jun 26&lt;/_date_display&gt;&lt;_date&gt;2018-06-26&lt;/_date&gt;&lt;_doi&gt;10.1001/jama.2018.7855&lt;/_doi&gt;&lt;_isbn&gt;1538-3598 (Electronic); 0098-7484 (Print); 0098-7484 (Linking)&lt;/_isbn&gt;&lt;_issue&gt;24&lt;/_issue&gt;&lt;_journal&gt;JAMA&lt;/_journal&gt;&lt;_language&gt;eng&lt;/_language&gt;&lt;_pages&gt;2486-2496&lt;/_pages&gt;&lt;_subject_headings&gt;Adult; Aged; Aged, 80 and over; Antineoplastic Combined Chemotherapy Protocols/adverse effects/*therapeutic use; Benzofurans/*administration &amp;amp; dosage/adverse effects; China; Colorectal Neoplasms/*drug therapy/mortality/pathology/therapy; Combined Modality Therapy; Double-Blind Method; Female; Humans; Intention to Treat Analysis; Male; Middle Aged; Quinazolines/*administration &amp;amp; dosage/adverse effects; Survival Analysis; Vascular Endothelial Growth Factor A/*antagonists &amp;amp; inhibitors; Young Adult&lt;/_subject_headings&gt;&lt;_tertiary_title&gt;JAMA&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946728&amp;amp;query_hl=1&lt;/_url&gt;&lt;_volume&gt;319&lt;/_volume&gt;&lt;_created&gt;65329740&lt;/_created&gt;&lt;_modified&gt;65329740&lt;/_modified&gt;&lt;_impact_factor&gt; 120.700&lt;/_impact_factor&gt;&lt;_social_category&gt;医学：内科(1)&lt;/_social_category&gt;&lt;_collection_scope&gt;SCIE&lt;/_collection_scope&gt;&lt;_accessed&gt;65330873&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0C966F7B-FE1B-489B-BE9E-6FBFF6FEB960}" w:val=" ADDIN NE.Ref.{0C966F7B-FE1B-489B-BE9E-6FBFF6FEB960}&lt;Citation&gt;&lt;Group&gt;&lt;References&gt;&lt;Item&gt;&lt;ID&gt;4679&lt;/ID&gt;&lt;UID&gt;{C245E5E6-43CB-47CF-8ECA-BA621C2B6665}&lt;/UID&gt;&lt;Title&gt;Health-related quality of life assessment in contemporary phase III trials in  advanced colorectal cancer&lt;/Title&gt;&lt;Template&gt;Journal Article&lt;/Template&gt;&lt;Star&gt;0&lt;/Star&gt;&lt;Tag&gt;0&lt;/Tag&gt;&lt;Author&gt;Adamowicz, K; Saad, E D; Jassem, J&lt;/Author&gt;&lt;Year&gt;2016&lt;/Year&gt;&lt;Details&gt;&lt;_accession_num&gt;27718458&lt;/_accession_num&gt;&lt;_author_adr&gt;Regional Hospital, Wejherowo, Poland. Electronic address:  krzys.adamowicz@gmail.com.; Dendrix Research, Sao Paulo, Brazil; International Drug Development Institute,  Louvain-la-Neuve, Belgium.; Medical University of Gdansk, Poland.&lt;/_author_adr&gt;&lt;_date_display&gt;2016 Nov&lt;/_date_display&gt;&lt;_date&gt;2016-11-01&lt;/_date&gt;&lt;_doi&gt;10.1016/j.ctrv.2016.09.015&lt;/_doi&gt;&lt;_isbn&gt;1532-1967 (Electronic); 0305-7372 (Linking)&lt;/_isbn&gt;&lt;_journal&gt;Cancer Treat Rev&lt;/_journal&gt;&lt;_keywords&gt;Advanced colorectal cancer; Chemotherapy; Quality of life; Treatment outcomes&lt;/_keywords&gt;&lt;_language&gt;eng&lt;/_language&gt;&lt;_ori_publication&gt;Copyright © 2016 Elsevier Ltd. All rights reserved.&lt;/_ori_publication&gt;&lt;_pages&gt;194-199&lt;/_pages&gt;&lt;_subject_headings&gt;Antineoplastic Agents/*therapeutic use; Clinical Trials, Phase III as Topic; Colorectal Neoplasms/pathology/*therapy; *Health Status; Humans; Immunologic Factors/*therapeutic use; Outcome Assessment, Health Care; *Palliative Care; *Quality of Life&lt;/_subject_headings&gt;&lt;_tertiary_title&gt;Cancer treatment reviews&lt;/_tertiary_title&gt;&lt;_type_work&gt;Journal Article; Review&lt;/_type_work&gt;&lt;_url&gt;http://www.ncbi.nlm.nih.gov/entrez/query.fcgi?cmd=Retrieve&amp;amp;db=pubmed&amp;amp;dopt=Abstract&amp;amp;list_uids=27718458&amp;amp;query_hl=1&lt;/_url&gt;&lt;_volume&gt;50&lt;/_volume&gt;&lt;_created&gt;65020258&lt;/_created&gt;&lt;_modified&gt;65020258&lt;/_modified&gt;&lt;_impact_factor&gt;  13.608&lt;/_impact_factor&gt;&lt;_social_category&gt;医学(1)&lt;/_social_category&gt;&lt;_collection_scope&gt;SCIE&lt;/_collection_scope&gt;&lt;/Details&gt;&lt;Extra&gt;&lt;DBUID&gt;{F96A950B-833F-4880-A151-76DA2D6A2879}&lt;/DBUID&gt;&lt;/Extra&gt;&lt;/Item&gt;&lt;/References&gt;&lt;/Group&gt;&lt;/Citation&gt;_x000a_"/>
    <w:docVar w:name="NE.Ref{0CB03CA5-03E5-48D0-AC6E-C090C35E2205}" w:val=" ADDIN NE.Ref.{0CB03CA5-03E5-48D0-AC6E-C090C35E2205}&lt;Citation&gt;&lt;Group&gt;&lt;References&gt;&lt;Item&gt;&lt;ID&gt;5021&lt;/ID&gt;&lt;UID&gt;{FC01DC97-7D4C-4C9D-9151-12C0AE958C20}&lt;/UID&gt;&lt;Title&gt;National Institute for Health and Care Excellence. Regorafenib for previously treated metastatic colorectal cancer [ID4002]. https://www.nice.org.uk/guidance(Accessed Feb 2, 2024).&lt;/Title&gt;&lt;Template&gt;Web Page&lt;/Template&gt;&lt;Star&gt;0&lt;/Star&gt;&lt;Tag&gt;0&lt;/Tag&gt;&lt;Author/&gt;&lt;Year&gt;0&lt;/Year&gt;&lt;Details&gt;&lt;_accessed&gt;65330793&lt;/_accessed&gt;&lt;_created&gt;65329711&lt;/_created&gt;&lt;_modified&gt;65329715&lt;/_modified&gt;&lt;/Details&gt;&lt;Extra&gt;&lt;DBUID&gt;{F96A950B-833F-4880-A151-76DA2D6A2879}&lt;/DBUID&gt;&lt;/Extra&gt;&lt;/Item&gt;&lt;/References&gt;&lt;/Group&gt;&lt;Group&gt;&lt;References&gt;&lt;Item&gt;&lt;ID&gt;5041&lt;/ID&gt;&lt;UID&gt;{3154A280-2B61-4C36-BD50-ABC671FE750F}&lt;/UID&gt;&lt;Title&gt;Health state utilities for non small cell lung cancer&lt;/Title&gt;&lt;Template&gt;Journal Article&lt;/Template&gt;&lt;Star&gt;0&lt;/Star&gt;&lt;Tag&gt;0&lt;/Tag&gt;&lt;Author&gt;Nafees, B; Stafford, M; Gavriel, S; Bhalla, S; Watkins, J&lt;/Author&gt;&lt;Year&gt;2008&lt;/Year&gt;&lt;Details&gt;&lt;_accession_num&gt;18939982&lt;/_accession_num&gt;&lt;_author_adr&gt;United BioSource Corporation, UK, 20 Bloomsbury Square, London, WC1A 2NS, UK.  beenish.nafees@unitedbiosource.com&lt;/_author_adr&gt;&lt;_date_display&gt;2008 Oct 21&lt;/_date_display&gt;&lt;_date&gt;2008-10-21&lt;/_date&gt;&lt;_doi&gt;10.1186/1477-7525-6-84&lt;/_doi&gt;&lt;_isbn&gt;1477-7525 (Electronic); 1477-7525 (Linking)&lt;/_isbn&gt;&lt;_journal&gt;Health Qual Life Outcomes&lt;/_journal&gt;&lt;_language&gt;eng&lt;/_language&gt;&lt;_pages&gt;84&lt;/_pages&gt;&lt;_subject_headings&gt;Adult; Antineoplastic Combined Chemotherapy Protocols/*adverse effects/therapeutic use; *Attitude to Health; Breast Neoplasms/drug therapy/pathology; Carcinoma, Non-Small-Cell Lung/*drug therapy/physiopathology/psychology; Clinical Trials, Phase III as Topic; Demography; *Disease Progression; Drug-Related Side Effects and Adverse Reactions/psychology; Female; Humans; Interviews as Topic; Lung Neoplasms/*drug therapy/physiopathology/psychology; Male; Middle Aged; Pilot Projects; Psychometrics/instrumentation/*standards; *Quality of Life; *Sickness Impact Profile; Treatment Outcome; United Kingdom&lt;/_subject_headings&gt;&lt;_tertiary_title&gt;Health and quality of life outcomes&lt;/_tertiary_title&gt;&lt;_type_work&gt;Journal Article; Validation Study&lt;/_type_work&gt;&lt;_url&gt;http://www.ncbi.nlm.nih.gov/entrez/query.fcgi?cmd=Retrieve&amp;amp;db=pubmed&amp;amp;dopt=Abstract&amp;amp;list_uids=18939982&amp;amp;query_hl=1&lt;/_url&gt;&lt;_volume&gt;6&lt;/_volume&gt;&lt;_created&gt;65329740&lt;/_created&gt;&lt;_modified&gt;65329740&lt;/_modified&gt;&lt;_impact_factor&gt;   3.600&lt;/_impact_factor&gt;&lt;_social_category&gt;卫生保健与服务(3) &amp;amp; 卫生政策与服务(2)&lt;/_social_category&gt;&lt;_collection_scope&gt;SSCI;SCIE&lt;/_collection_scope&gt;&lt;_accessed&gt;65330885&lt;/_accessed&gt;&lt;/Details&gt;&lt;Extra&gt;&lt;DBUID&gt;{F96A950B-833F-4880-A151-76DA2D6A2879}&lt;/DBUID&gt;&lt;/Extra&gt;&lt;/Item&gt;&lt;/References&gt;&lt;/Group&gt;&lt;/Citation&gt;_x000a_"/>
    <w:docVar w:name="NE.Ref{0CC6351F-C673-4B00-B1CE-84049573C87D}" w:val=" ADDIN NE.Ref.{0CC6351F-C673-4B00-B1CE-84049573C87D}&lt;Citation&gt;&lt;Group&gt;&lt;References&gt;&lt;Item&gt;&lt;ID&gt;2405&lt;/ID&gt;&lt;UID&gt;{85F356AE-1CF5-4905-9A6E-CE83D1DAB008}&lt;/UID&gt;&lt;Title&gt;Model Selection and Multimodel Inference&lt;/Title&gt;&lt;Template&gt;Journal Article&lt;/Template&gt;&lt;Star&gt;0&lt;/Star&gt;&lt;Tag&gt;0&lt;/Tag&gt;&lt;Author&gt;Jrgensen, S E&lt;/Author&gt;&lt;Year&gt;2004&lt;/Year&gt;&lt;Details&gt;&lt;_accessed&gt;64331166&lt;/_accessed&gt;&lt;_collection_scope&gt;SCI;SCIE;EI&lt;/_collection_scope&gt;&lt;_created&gt;64213459&lt;/_created&gt;&lt;_impact_factor&gt;   3.512&lt;/_impact_factor&gt;&lt;_journal&gt;Ecological Modelling&lt;/_journal&gt;&lt;_modified&gt;64630791&lt;/_modified&gt;&lt;_social_category&gt;环境科学与生态学(3)&lt;/_social_category&gt;&lt;/Details&gt;&lt;Extra&gt;&lt;DBUID&gt;{F96A950B-833F-4880-A151-76DA2D6A2879}&lt;/DBUID&gt;&lt;/Extra&gt;&lt;/Item&gt;&lt;/References&gt;&lt;/Group&gt;&lt;/Citation&gt;_x000a_"/>
    <w:docVar w:name="NE.Ref{0D27A949-BEA3-4914-B005-BE628DF7EAFD}" w:val=" ADDIN NE.Ref.{0D27A949-BEA3-4914-B005-BE628DF7EAFD}&lt;Citation&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0DA00897-BCE5-4C3E-B8B3-C20128B5DDEC}" w:val=" ADDIN NE.Ref.{0DA00897-BCE5-4C3E-B8B3-C20128B5DDEC}&lt;Citation&gt;&lt;Group&gt;&lt;References&gt;&lt;Item&gt;&lt;ID&gt;46221&lt;/ID&gt;&lt;UID&gt;{A1441942-46CE-425B-A2C8-F9DB0B951C49}&lt;/UID&gt;&lt;Title&gt;Bayesian theory&lt;/Title&gt;&lt;Template&gt;Book&lt;/Template&gt;&lt;Star&gt;0&lt;/Star&gt;&lt;Tag&gt;0&lt;/Tag&gt;&lt;Author&gt;Bernardo J M, Smith A F&lt;/Author&gt;&lt;Year&gt;2009&lt;/Year&gt;&lt;Details&gt;&lt;_publisher&gt;John Wiley &amp;amp; Sons&lt;/_publisher&gt;&lt;_accessed&gt;64323340&lt;/_accessed&gt;&lt;_created&gt;64323337&lt;/_created&gt;&lt;_modified&gt;64688891&lt;/_modified&gt;&lt;/Details&gt;&lt;Extra&gt;&lt;DBUID&gt;{F96A950B-833F-4880-A151-76DA2D6A2879}&lt;/DBUID&gt;&lt;/Extra&gt;&lt;/Item&gt;&lt;/References&gt;&lt;/Group&gt;&lt;/Citation&gt;_x000a_"/>
    <w:docVar w:name="NE.Ref{0E23BA35-FA2C-4FA5-ABC5-EAB1702040E9}" w:val=" ADDIN NE.Ref.{0E23BA35-FA2C-4FA5-ABC5-EAB1702040E9}&lt;Citation&gt;&lt;Group&gt;&lt;References&gt;&lt;Item&gt;&lt;ID&gt;46222&lt;/ID&gt;&lt;UID&gt;{BFC58013-5271-49DC-94A1-A6E3DA1B98C7}&lt;/UID&gt;&lt;Title&gt;Network meta-analysis of parametric survival curves&lt;/Title&gt;&lt;Template&gt;Journal Article&lt;/Template&gt;&lt;Star&gt;0&lt;/Star&gt;&lt;Tag&gt;0&lt;/Tag&gt;&lt;Author&gt;Ouwens, M J; Philips, Z; Jansen, J P&lt;/Author&gt;&lt;Year&gt;2010&lt;/Year&gt;&lt;Details&gt;&lt;_accession_num&gt;26061470&lt;/_accession_num&gt;&lt;_author_adr&gt;Mapi Values, Netherlands.; Mapi Values, Netherlands.; Mapi Values, U.S.A.. jeroen.jansen@mapivalues.com.&lt;/_author_adr&gt;&lt;_date_display&gt;2010 Jul&lt;/_date_display&gt;&lt;_date&gt;2010-07-01&lt;/_date&gt;&lt;_doi&gt;10.1002/jrsm.25&lt;/_doi&gt;&lt;_isbn&gt;1759-2879 (Print); 1759-2879 (Linking)&lt;/_isbn&gt;&lt;_issue&gt;3-4&lt;/_issue&gt;&lt;_journal&gt;Res Synth Methods&lt;/_journal&gt;&lt;_keywords&gt;indirect comparisons; network meta‐analysis; parametric survival; treatment effect&lt;/_keywords&gt;&lt;_language&gt;eng&lt;/_language&gt;&lt;_ori_publication&gt;Copyright © 2011 John Wiley &amp;amp; Sons, Ltd.&lt;/_ori_publication&gt;&lt;_pages&gt;258-71&lt;/_pages&gt;&lt;_tertiary_title&gt;Research synthesis methods&lt;/_tertiary_title&gt;&lt;_type_work&gt;Journal Article&lt;/_type_work&gt;&lt;_url&gt;http://www.ncbi.nlm.nih.gov/entrez/query.fcgi?cmd=Retrieve&amp;amp;db=pubmed&amp;amp;dopt=Abstract&amp;amp;list_uids=26061470&amp;amp;query_hl=1&lt;/_url&gt;&lt;_volume&gt;1&lt;/_volume&gt;&lt;_created&gt;64323349&lt;/_created&gt;&lt;_modified&gt;64688891&lt;/_modified&gt;&lt;_impact_factor&gt;   9.308&lt;/_impact_factor&gt;&lt;_collection_scope&gt;SCIE&lt;/_collection_scope&gt;&lt;_accessed&gt;64323353&lt;/_accessed&gt;&lt;_social_category&gt;综合性期刊(2)&lt;/_social_category&gt;&lt;/Details&gt;&lt;Extra&gt;&lt;DBUID&gt;{F96A950B-833F-4880-A151-76DA2D6A2879}&lt;/DBUID&gt;&lt;/Extra&gt;&lt;/Item&gt;&lt;/References&gt;&lt;/Group&gt;&lt;/Citation&gt;_x000a_"/>
    <w:docVar w:name="NE.Ref{0F2AF89F-1F32-4E31-BE34-B266C37F2342}" w:val=" ADDIN NE.Ref.{0F2AF89F-1F32-4E31-BE34-B266C37F2342}&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32&lt;/ID&gt;&lt;UID&gt;{AC85D677-102F-4D7C-8CEF-8512683D25B2}&lt;/UID&gt;&lt;Title&gt;Clinical and economic outcomes of treatment sequences for intermediate- to  poor-risk advanced renal cell carcinoma&lt;/Title&gt;&lt;Template&gt;Journal Article&lt;/Template&gt;&lt;Star&gt;0&lt;/Star&gt;&lt;Tag&gt;0&lt;/Tag&gt;&lt;Author&gt;Ambavane, A; Yang, S; Atkins, M B; Rao, S; Shah, A; Regan, M M; McDermott, D F; Michaelson, M D&lt;/Author&gt;&lt;Year&gt;2020&lt;/Year&gt;&lt;Details&gt;&lt;_accession_num&gt;31992108&lt;/_accession_num&gt;&lt;_author_adr&gt;Evidence Synthesis, Modeling, &amp;amp; Communications, Evidera, Inc., Bethesda, MD  20814, USA.; Health Economics Outcomes Research, Bristol-Myers Squibb, Princeton, NJ 08540,  USA.; Department of Internal Medicine - Medical Oncology, Georgetown-Lombardi  Comprehensive Cancer Center, Washington, DC 20007-2113, USA.; Health Economics Outcomes Research, Bristol-Myers Squibb, Princeton, NJ 08540,  USA.; Evidence Synthesis, Modeling, &amp;amp; Communications, Evidera, Inc., Waltham, MA 20814,  USA.; Division of Biostatistics, Dana-Farber Cancer Institute, Harvard Medical School,  Boston, MA 02215, USA.; Department of Medicine, Beth Israel Deaconess Medical Center, Dana-Farber/Harvard  Cancer Center, Boston, MA 02215, USA.; Massachusetts General Hospital Cancer Center, Boston, MA 02214, USA.&lt;/_author_adr&gt;&lt;_date_display&gt;2020 Jan&lt;/_date_display&gt;&lt;_date&gt;2020-01-01&lt;/_date&gt;&lt;_doi&gt;10.2217/imt-2019-0199&lt;/_doi&gt;&lt;_isbn&gt;1750-7448 (Electronic); 1750-743X (Linking)&lt;/_isbn&gt;&lt;_issue&gt;1&lt;/_issue&gt;&lt;_journal&gt;Immunotherapy&lt;/_journal&gt;&lt;_keywords&gt;cost–effectiveness; immuno-oncology therapy; renal cell carcinoma; survival; treatment sequences; treatment-free interval&lt;/_keywords&gt;&lt;_language&gt;eng&lt;/_language&gt;&lt;_pages&gt;37-51&lt;/_pages&gt;&lt;_subject_headings&gt;Antineoplastic Agents, Immunological/*therapeutic use; Antineoplastic Protocols; Carcinoma, Renal Cell/*drug therapy/economics/mortality; *Computer Simulation; Cost-Benefit Analysis; Drug Therapy, Combination; Humans; Ipilimumab/*therapeutic use; Kidney Neoplasms/*drug therapy/economics/mortality; Models, Economic; Neoplasm Staging; Nivolumab/*therapeutic use; Quality-Adjusted Life Years; Survival Analysis; Treatment Outcome&lt;/_subject_headings&gt;&lt;_tertiary_title&gt;Immunotherapy&lt;/_tertiary_title&gt;&lt;_type_work&gt;Clinical Trial, Phase II; Journal Article; Research Support, Non-U.S. Gov&amp;apos;t&lt;/_type_work&gt;&lt;_url&gt;http://www.ncbi.nlm.nih.gov/entrez/query.fcgi?cmd=Retrieve&amp;amp;db=pubmed&amp;amp;dopt=Abstract&amp;amp;list_uids=31992108&amp;amp;query_hl=1&lt;/_url&gt;&lt;_volume&gt;12&lt;/_volume&gt;&lt;_created&gt;65329740&lt;/_created&gt;&lt;_modified&gt;65329740&lt;/_modified&gt;&lt;_impact_factor&gt;   2.800&lt;/_impact_factor&gt;&lt;_social_category&gt;免疫学(4)&lt;/_social_category&gt;&lt;_collection_scope&gt;SCIE&lt;/_collection_scope&gt;&lt;_accessed&gt;65330823&lt;/_accessed&gt;&lt;/Details&gt;&lt;Extra&gt;&lt;DBUID&gt;{F96A950B-833F-4880-A151-76DA2D6A2879}&lt;/DBUID&gt;&lt;/Extra&gt;&lt;/Item&gt;&lt;/References&gt;&lt;/Group&gt;&lt;/Citation&gt;_x000a_"/>
    <w:docVar w:name="NE.Ref{0FB107D7-CFB7-4653-9567-F469E5AD8062}" w:val=" ADDIN NE.Ref.{0FB107D7-CFB7-4653-9567-F469E5AD8062}&lt;Citation&gt;&lt;Group&gt;&lt;References&gt;&lt;Item&gt;&lt;ID&gt;4704&lt;/ID&gt;&lt;UID&gt;{E5D060E0-105D-42BA-85B8-4491B0823450}&lt;/UID&gt;&lt;Title&gt;Health-related quality of life in patients with microsatellite instability-high  or mismatch repair deficient metastatic colorectal cancer treated with first-line  pembrolizumab versus chemotherapy (KEYNOTE-177): an open-label, randomised, phase  3 trial&lt;/Title&gt;&lt;Template&gt;Journal Article&lt;/Template&gt;&lt;Star&gt;0&lt;/Star&gt;&lt;Tag&gt;0&lt;/Tag&gt;&lt;Author&gt;Andre, T; Amonkar, M; Norquist, J M; Shiu, K K; Kim, T W; Jensen, B V; Jensen, L H; Punt, CJA; Smith, D; Garcia-Carbonero, R; Sevilla, I; De La Fouchardiere, C; Rivera, F; Elez, E; Diaz, LA Jr; Yoshino, T; Van Cutsem, E; Yang, P; Farooqui, M; &amp;quot;Le DT&amp;quot;&lt;/Author&gt;&lt;Year&gt;2021&lt;/Year&gt;&lt;Details&gt;&lt;_accession_num&gt;33812497&lt;/_accession_num&gt;&lt;_author_adr&gt;Sorbonne Université and Hõpital Saint-Antoine, Paris, France. Electronic address:  thierry.andre@aphp.fr.; Merck &amp;amp; Co, Kenilworth, NJ, USA.; Merck &amp;amp; Co, Kenilworth, NJ, USA.; University College Hospital, NHS Foundation Trust, London, UK.; Department of Oncology, Asan Medical Center, University of Ulsan College of  Medicine, Seoul, South Korea.; Herlev og Gentofte Hospital, Herlev, Denmark.; University Hospital of Southern Denmark, Vejle, Denmark.; Amsterdam University Medical Center, University of Amsterdam, Amsterdam,  Netherlands; Julius Center, University Medical Center Utrecht, Utrecht  University, Netherlands.; Hopital Haut Leveque, Pessac, France.; Hospital Universitario 12 de Octubre, Imas12, UCM, Madrid, Spain.; Investigación Clínica y Traslacional en Cáncer, Instituto de Investigaciones  Biomédicas de Málaga, Hospitales Universitarios Regional y Virgen de la Victoria  de Málaga, Malaga, Spain.; Centre Leon Berard, Lyon, France.; Hospital Universitario M de Valdecilla, IDIVAL, Santander, Spain.; Vall d&amp;apos;Hebron Barcelona Hospital Campus, Vall d&amp;apos;Hebron Institute of Oncology,  Universitat Autonoma de Barcelona, Barcelona, Spain.; Memorial Sloan Kettering Cancer Center, New York, NY, USA.; National Cancer Center Hospital East, Kashiwa, Japan.; University Hospitals Gasthuisberg/Leuven and KU Leuven, Leuven, Belgium.; MSD China, Shanghai, China.; Merck &amp;amp; Co, Kenilworth, NJ, USA.; Sidney Kimmel Comprehensive Cancer Center, Johns Hopkins University, Baltimore,  MD, USA.&lt;/_author_adr&gt;&lt;_date_display&gt;2021 May&lt;/_date_display&gt;&lt;_date&gt;2021-05-01&lt;/_date&gt;&lt;_doi&gt;10.1016/S1470-2045(21)00064-4&lt;/_doi&gt;&lt;_isbn&gt;1474-5488 (Electronic); 1470-2045 (Linking)&lt;/_isbn&gt;&lt;_issue&gt;5&lt;/_issue&gt;&lt;_journal&gt;Lancet Oncol&lt;/_journal&gt;&lt;_language&gt;eng&lt;/_language&gt;&lt;_ori_publication&gt;Copyright © 2021 Elsevier Ltd. All rights reserved.&lt;/_ori_publication&gt;&lt;_pages&gt;665-677&lt;/_pages&gt;&lt;_subject_headings&gt;Adult; Aged; Antibodies, Monoclonal, Humanized/*therapeutic use; Brain Neoplasms/*drug therapy/genetics/mortality/psychology; Colorectal Neoplasms/*drug therapy/genetics/mortality/psychology; DNA Mismatch Repair; Female; Humans; Male; *Microsatellite Instability; Middle Aged; Neoplasm Metastasis; Neoplastic Syndromes, Hereditary/*drug therapy/genetics/mortality/psychology; *Quality of Lif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33812497&amp;amp;query_hl=1&lt;/_url&gt;&lt;_volume&gt;22&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Citation&gt;_x000a_"/>
    <w:docVar w:name="NE.Ref{10284748-31B6-4044-8CF8-877482D373AF}" w:val=" ADDIN NE.Ref.{10284748-31B6-4044-8CF8-877482D373AF}&lt;Citation&gt;&lt;Group&gt;&lt;References&gt;&lt;Item&gt;&lt;ID&gt;5025&lt;/ID&gt;&lt;UID&gt;{78B5BC73-2FCE-45C8-9813-4AD5D20274FD}&lt;/UID&gt;&lt;Title&gt;Cost-effectiveness Analysis of Regorafenib and TAS-102 in Refractory Metastatic  Colorectal Cancer in the United States&lt;/Title&gt;&lt;Template&gt;Journal Article&lt;/Template&gt;&lt;Star&gt;0&lt;/Star&gt;&lt;Tag&gt;0&lt;/Tag&gt;&lt;Author&gt;Cho, S K; Hay, J W; Barzi, A&lt;/Author&gt;&lt;Year&gt;2018&lt;/Year&gt;&lt;Details&gt;&lt;_accession_num&gt;30228027&lt;/_accession_num&gt;&lt;_author_adr&gt;School of Pharmacy, University of Southern California, Los Angeles, CA.  Electronic address: sangkcho@usc.edu.; School of Pharmacy, University of Southern California, Los Angeles, CA.; Keck School of Medicine, University of Southern California, Los Angeles, CA.&lt;/_author_adr&gt;&lt;_date_display&gt;2018 Dec&lt;/_date_display&gt;&lt;_date&gt;2018-12-01&lt;/_date&gt;&lt;_doi&gt;10.1016/j.clcc.2018.08.003&lt;/_doi&gt;&lt;_isbn&gt;1938-0674 (Electronic); 1533-0028 (Linking)&lt;/_isbn&gt;&lt;_issue&gt;4&lt;/_issue&gt;&lt;_journal&gt;Clin Colorectal Cancer&lt;/_journal&gt;&lt;_keywords&gt;Colorectal cancer; Cost-effectiveness analysis; Regorafenib; Sensitivity analysis; TAS-102&lt;/_keywords&gt;&lt;_language&gt;eng&lt;/_language&gt;&lt;_ori_publication&gt;Copyright © 2018 Elsevier Inc. All rights reserved.&lt;/_ori_publication&gt;&lt;_pages&gt;e751-e761&lt;/_pages&gt;&lt;_subject_headings&gt;Antineoplastic Combined Chemotherapy Protocols/*economics/therapeutic use; Colorectal Neoplasms/drug therapy/*economics/pathology; *Cost-Benefit Analysis; Double-Blind Method; Drug Combinations; *Drug Resistance, Neoplasm; Follow-Up Studies; Humans; Liver Neoplasms/drug therapy/*economics/secondary; Markov Chains; Palliative Care/*economics; Phenylurea Compounds/administration &amp;amp; dosage; Prognosis; Pyridines/administration &amp;amp; dosage; Pyrrolidines; Quality-Adjusted Life Years; *Salvage Therapy; Survival Rate; Thymine; Trifluridine/administration &amp;amp; dosage; United States; Uracil/analogs &amp;amp; derivatives&lt;/_subject_headings&gt;&lt;_tertiary_title&gt;Clinical colorectal cancer&lt;/_tertiary_title&gt;&lt;_type_work&gt;Clinical Trial, Phase III; Journal Article; Multicenter Study; Randomized Controlled Trial&lt;/_type_work&gt;&lt;_url&gt;http://www.ncbi.nlm.nih.gov/entrez/query.fcgi?cmd=Retrieve&amp;amp;db=pubmed&amp;amp;dopt=Abstract&amp;amp;list_uids=30228027&amp;amp;query_hl=1&lt;/_url&gt;&lt;_volume&gt;17&lt;/_volume&gt;&lt;_created&gt;65329740&lt;/_created&gt;&lt;_modified&gt;65329740&lt;/_modified&gt;&lt;_impact_factor&gt;   3.400&lt;/_impact_factor&gt;&lt;_social_category&gt;肿瘤学(3)&lt;/_social_category&gt;&lt;_collection_scope&gt;SCIE&lt;/_collection_scope&gt;&lt;_accessed&gt;65330792&lt;/_accessed&gt;&lt;/Details&gt;&lt;Extra&gt;&lt;DBUID&gt;{F96A950B-833F-4880-A151-76DA2D6A2879}&lt;/DBUID&gt;&lt;/Extra&gt;&lt;/Item&gt;&lt;/References&gt;&lt;/Group&gt;&lt;/Citation&gt;_x000a_"/>
    <w:docVar w:name="NE.Ref{1031FB84-3738-438F-A5FD-24E7D52A746A}" w:val=" ADDIN NE.Ref.{1031FB84-3738-438F-A5FD-24E7D52A746A}&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1044FC17-7F38-4256-A981-919E625477DD}" w:val=" ADDIN NE.Ref.{1044FC17-7F38-4256-A981-919E625477DD}&lt;Citation&gt;&lt;Group&gt;&lt;References&gt;&lt;Item&gt;&lt;ID&gt;5021&lt;/ID&gt;&lt;UID&gt;{FC01DC97-7D4C-4C9D-9151-12C0AE958C20}&lt;/UID&gt;&lt;Title&gt;National Institute for Health and Care Excellence. Regorafenib for previously treated metastatic colorectal cancer [ID4002]. https://www.nice.org.uk/guidance(Accessed Feb 2, 2024).&lt;/Title&gt;&lt;Template&gt;Web Page&lt;/Template&gt;&lt;Star&gt;0&lt;/Star&gt;&lt;Tag&gt;0&lt;/Tag&gt;&lt;Author/&gt;&lt;Year&gt;0&lt;/Year&gt;&lt;Details&gt;&lt;_accessed&gt;65330793&lt;/_accessed&gt;&lt;_created&gt;65329711&lt;/_created&gt;&lt;_modified&gt;65329715&lt;/_modified&gt;&lt;/Details&gt;&lt;Extra&gt;&lt;DBUID&gt;{F96A950B-833F-4880-A151-76DA2D6A2879}&lt;/DBUID&gt;&lt;/Extra&gt;&lt;/Item&gt;&lt;/References&gt;&lt;/Group&gt;&lt;/Citation&gt;_x000a_"/>
    <w:docVar w:name="NE.Ref{11269210-AF2C-430D-838F-D7C2650B3C16}" w:val=" ADDIN NE.Ref.{11269210-AF2C-430D-838F-D7C2650B3C16}&lt;Citation&gt;&lt;Group&gt;&lt;References&gt;&lt;Item&gt;&lt;ID&gt;5023&lt;/ID&gt;&lt;UID&gt;{868BAD0F-CDD8-43EA-979E-3432E1F6A5A0}&lt;/UID&gt;&lt;Title&gt;Assuming consistency with regorafenib&lt;/Title&gt;&lt;Template&gt;Web Page&lt;/Template&gt;&lt;Star&gt;0&lt;/Star&gt;&lt;Tag&gt;0&lt;/Tag&gt;&lt;Author/&gt;&lt;Year&gt;0&lt;/Year&gt;&lt;Details&gt;&lt;_accessed&gt;65330878&lt;/_accessed&gt;&lt;_created&gt;65329725&lt;/_created&gt;&lt;_modified&gt;65329725&lt;/_modified&gt;&lt;/Details&gt;&lt;Extra&gt;&lt;DBUID&gt;{F96A950B-833F-4880-A151-76DA2D6A2879}&lt;/DBUID&gt;&lt;/Extra&gt;&lt;/Item&gt;&lt;/References&gt;&lt;/Group&gt;&lt;/Citation&gt;_x000a_"/>
    <w:docVar w:name="NE.Ref{121A6874-7C84-4DDD-8BE8-33B8A856F5B7}" w:val=" ADDIN NE.Ref.{121A6874-7C84-4DDD-8BE8-33B8A856F5B7}&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1312D44A-7095-4663-A472-45B415A94A96}" w:val=" ADDIN NE.Ref.{1312D44A-7095-4663-A472-45B415A94A96}&lt;Citation&gt;&lt;Group&gt;&lt;References&gt;&lt;Item&gt;&lt;ID&gt;2977&lt;/ID&gt;&lt;UID&gt;{A2083DAD-61D4-4D69-8231-4EF10187C208}&lt;/UID&gt;&lt;Title&gt;1377O - Phase II study of tepotinib + gefitinib (TEP+GEF) in MET-positive (MET+)/epidermal growth factor receptor (EGFR)-mutant (MT) non-small cell lung cancer (NSCLC)&lt;/Title&gt;&lt;Template&gt;Journal Article&lt;/Template&gt;&lt;Star&gt;0&lt;/Star&gt;&lt;Tag&gt;0&lt;/Tag&gt;&lt;Author&gt;Cheng, Y; Zhou, J; Lu, S; Zhang, Y; Zhao, J; Pan, H; Chen, Y M; Chian, C F; Bruns, R; Johne, A; Scheele, J; Wu, Y L&lt;/Author&gt;&lt;Year&gt;2018&lt;/Year&gt;&lt;Details&gt;&lt;_alternate_title&gt;Annals of OncologyAbstract Book of the 43rd ESMO Congress (ESMO 2018) 19–23 October 2018, Munich, Germany&lt;/_alternate_title&gt;&lt;_date_display&gt;2018&lt;/_date_display&gt;&lt;_date&gt;2018-01-01&lt;/_date&gt;&lt;_doi&gt;https://doi.org/10.1093/annonc/mdy292&lt;/_doi&gt;&lt;_isbn&gt;0923-7534&lt;/_isbn&gt;&lt;_journal&gt;Annals of Oncology&lt;/_journal&gt;&lt;_pages&gt;viii493&lt;/_pages&gt;&lt;_url&gt;https://www.sciencedirect.com/science/article/pii/S0923753419497901&lt;/_url&gt;&lt;_volume&gt;29&lt;/_volume&gt;&lt;_created&gt;64740332&lt;/_created&gt;&lt;_modified&gt;64740725&lt;/_modified&gt;&lt;_impact_factor&gt;  51.769&lt;/_impact_factor&gt;&lt;_social_category&gt;医学(1)&lt;/_social_category&gt;&lt;_collection_scope&gt;SCIE&lt;/_collection_scope&gt;&lt;/Details&gt;&lt;Extra&gt;&lt;DBUID&gt;{F96A950B-833F-4880-A151-76DA2D6A2879}&lt;/DBUID&gt;&lt;/Extra&gt;&lt;/Item&gt;&lt;/References&gt;&lt;/Group&gt;&lt;Group&gt;&lt;References&gt;&lt;Item&gt;&lt;ID&gt;2944&lt;/ID&gt;&lt;UID&gt;{9335A8BA-E25B-4BB2-8F34-2A586969BB7C}&lt;/UID&gt;&lt;Title&gt;319O ALTA-3: A randomized trial of brigatinib (BRG) vs alectinib (ALC) in crizotinib (CRZ)-refractory advanced ALK+ NSCLC&lt;/Title&gt;&lt;Template&gt;Journal Article&lt;/Template&gt;&lt;Star&gt;0&lt;/Star&gt;&lt;Tag&gt;0&lt;/Tag&gt;&lt;Author&gt;Yang, J C-H.; Liu, G; Lu, S; He, J; Burotto, M; Vincent, S; Yin, J; Ma, X; Popat, S&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6&lt;/_doi&gt;&lt;_impact_factor&gt;  51.769&lt;/_impact_factor&gt;&lt;_isbn&gt;0923-7534&lt;/_isbn&gt;&lt;_journal&gt;Annals of Oncology&lt;/_journal&gt;&lt;_modified&gt;64740725&lt;/_modified&gt;&lt;_pages&gt;S1564&lt;/_pages&gt;&lt;_social_category&gt;医学(1)&lt;/_social_category&gt;&lt;_url&gt;https://www.sciencedirect.com/science/article/pii/S0923753422045471&lt;/_url&gt;&lt;_volume&gt;33&lt;/_volume&gt;&lt;/Details&gt;&lt;Extra&gt;&lt;DBUID&gt;{F96A950B-833F-4880-A151-76DA2D6A2879}&lt;/DBUID&gt;&lt;/Extra&gt;&lt;/Item&gt;&lt;/References&gt;&lt;/Group&gt;&lt;Group&gt;&lt;References&gt;&lt;Item&gt;&lt;ID&gt;2945&lt;/ID&gt;&lt;UID&gt;{5FD3A1C7-4AB1-45F9-B4F7-1F5782B390A7}&lt;/UID&gt;&lt;Title&gt;320MO Envonalkib vs crizotinib in treatment-naïve advanced ALK-positive NSCLC: A randomized, multicenter, phase III trial&lt;/Title&gt;&lt;Template&gt;Journal Article&lt;/Template&gt;&lt;Star&gt;0&lt;/Star&gt;&lt;Tag&gt;0&lt;/Tag&gt;&lt;Author&gt;Zhang, L; Fang, W; Min, J; Yang, N; Yu, Q; Cheng, Y; Zhao, Y; Li, M; Chen, H; Ren, S; Zhou, J; Zhuang, W; Qin, X; Cao, L; Yu, Y; Zhang, J; He, J; Feng, J; Yu, H&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7&lt;/_doi&gt;&lt;_impact_factor&gt;  51.769&lt;/_impact_factor&gt;&lt;_isbn&gt;0923-7534&lt;/_isbn&gt;&lt;_journal&gt;Annals of Oncology&lt;/_journal&gt;&lt;_modified&gt;64740725&lt;/_modified&gt;&lt;_pages&gt;S1564-S1565&lt;/_pages&gt;&lt;_social_category&gt;医学(1)&lt;/_social_category&gt;&lt;_url&gt;https://www.sciencedirect.com/science/article/pii/S0923753422045483&lt;/_url&gt;&lt;_volume&gt;33&lt;/_volume&gt;&lt;/Details&gt;&lt;Extra&gt;&lt;DBUID&gt;{F96A950B-833F-4880-A151-76DA2D6A2879}&lt;/DBUID&gt;&lt;/Extra&gt;&lt;/Item&gt;&lt;/References&gt;&lt;/Group&gt;&lt;Group&gt;&lt;References&gt;&lt;Item&gt;&lt;ID&gt;2954&lt;/ID&gt;&lt;UID&gt;{289F7D61-C8BD-4B93-85B5-368769F65A43}&lt;/UID&gt;&lt;Title&gt;992P Updated analyses from the CROWN study of first-line lorlatinib vs crizotinib in Asian patients with ALK-positive non-small cell lung cancer (NSCLC)&lt;/Title&gt;&lt;Template&gt;Journal Article&lt;/Template&gt;&lt;Star&gt;0&lt;/Star&gt;&lt;Tag&gt;0&lt;/Tag&gt;&lt;Author&gt;Qing, Z; Kim, H R; Soo, R A; Chiu, C H; Hayashi, H; Kim, S-W.; Teraoka, S; Kim, D-W.; Zhan, H; Zhao, H; Li, H; Mok, T S K; Wu, Y-L.&lt;/Author&gt;&lt;Year&gt;2022&lt;/Year&gt;&lt;Details&gt;&lt;_alternate_title&gt;Annals of OncologyAbstract Book of the ESMO Congress 2022, 9 - 13 September 2022&lt;/_alternate_title&gt;&lt;_date_display&gt;2022&lt;/_date_display&gt;&lt;_date&gt;2022-01-01&lt;/_date&gt;&lt;_doi&gt;https://doi.org/10.1016/j.annonc.2022.07.1119&lt;/_doi&gt;&lt;_isbn&gt;0923-7534&lt;/_isbn&gt;&lt;_journal&gt;Annals of Oncology&lt;/_journal&gt;&lt;_pages&gt;S1007&lt;/_pages&gt;&lt;_url&gt;https://www.sciencedirect.com/science/article/pii/S0923753422029702&lt;/_url&gt;&lt;_volume&gt;33&lt;/_volume&gt;&lt;_created&gt;64740325&lt;/_created&gt;&lt;_modified&gt;64740725&lt;/_modified&gt;&lt;_impact_factor&gt;  51.769&lt;/_impact_factor&gt;&lt;_social_category&gt;医学(1)&lt;/_social_category&gt;&lt;_collection_scope&gt;SCIE&lt;/_collection_scope&gt;&lt;/Details&gt;&lt;Extra&gt;&lt;DBUID&gt;{F96A950B-833F-4880-A151-76DA2D6A2879}&lt;/DBUID&gt;&lt;/Extra&gt;&lt;/Item&gt;&lt;/References&gt;&lt;/Group&gt;&lt;Group&gt;&lt;References&gt;&lt;Item&gt;&lt;ID&gt;2947&lt;/ID&gt;&lt;UID&gt;{D0C3F390-A0F0-47A7-A150-76F1419E460F}&lt;/UID&gt;&lt;Title&gt;Brigatinib versus Crizotinib in ALK-Positive Non-Small-Cell Lung Cancer&lt;/Title&gt;&lt;Template&gt;Journal Article&lt;/Template&gt;&lt;Star&gt;0&lt;/Star&gt;&lt;Tag&gt;0&lt;/Tag&gt;&lt;Author&gt;Camidge, D R; Kim, H R; Ahn, M J; Yang, J C; Han, J Y; Lee, J S; Hochmair, M J; Li, J Y; Chang, G C; Lee, K H; Gridelli, C; Delmonte, A; Garcia, Campelo R; Kim, D W; Bearz, A; Griesinger, F; Morabito, A; Felip, E; Califano, R; Ghosh, S; Spira, A; Gettinger, S N; Tiseo, M; Gupta, N; Haney, J; Kerstein, D; Popat, S&lt;/Author&gt;&lt;Year&gt;2018&lt;/Year&gt;&lt;Details&gt;&lt;_accessed&gt;64632453&lt;/_accessed&gt;&lt;_accession_num&gt;30280657&lt;/_accession_num&gt;&lt;_collection_scope&gt;SCIE&lt;/_collection_scope&gt;&lt;_created&gt;64630986&lt;/_created&gt;&lt;_date&gt;2018-11-22&lt;/_date&gt;&lt;_date_display&gt;2018 Nov 22&lt;/_date_display&gt;&lt;_db_updated&gt;PubMed&lt;/_db_updated&gt;&lt;_doi&gt;10.1056/NEJMoa1810171&lt;/_doi&gt;&lt;_impact_factor&gt; 176.079&lt;/_impact_factor&gt;&lt;_isbn&gt;1533-4406 (Electronic); 0028-4793 (Linking)&lt;/_isbn&gt;&lt;_issue&gt;21&lt;/_issue&gt;&lt;_journal&gt;N Engl J Med&lt;/_journal&gt;&lt;_language&gt;eng&lt;/_language&gt;&lt;_modified&gt;64740725&lt;/_modified&gt;&lt;_pages&gt;2027-2039&lt;/_pages&gt;&lt;_social_category&gt;医学(1)&lt;/_social_category&gt;&lt;_subject_headings&gt;Adult; Aged; Aged, 80 and over; Anaplastic Lymphoma Kinase/analysis/*antagonists &amp;amp; inhibitors; Antineoplastic Agents/adverse effects/*therapeutic use; Brain Neoplasms/secondary; Carcinoma, Non-Small-Cell Lung/chemistry/*drug therapy/secondary; Crizotinib/adverse effects/*therapeutic use; Female; Humans; Kaplan-Meier Estimate; Lung Neoplasms/chemistry/*drug therapy/pathology; Male; Middle Aged; Organophosphorus Compounds/adverse effects/*therapeutic use; Progression-Free Survival; Pyrimidines/adverse effects/*therapeutic use&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0280657&amp;amp;query_hl=1&lt;/_url&gt;&lt;_volume&gt;379&lt;/_volume&gt;&lt;/Details&gt;&lt;Extra&gt;&lt;DBUID&gt;{F96A950B-833F-4880-A151-76DA2D6A2879}&lt;/DBUID&gt;&lt;/Extra&gt;&lt;/Item&gt;&lt;/References&gt;&lt;/Group&gt;&lt;Group&gt;&lt;References&gt;&lt;Item&gt;&lt;ID&gt;2948&lt;/ID&gt;&lt;UID&gt;{260596CF-F2B6-43C5-A699-DA8B3DA75EB0}&lt;/UID&gt;&lt;Title&gt;Efficacy and safety of first-line lorlatinib versus crizotinib in patients with  advanced, ALK-positive non-small-cell lung cancer: updated analysis of data from  the phase 3, randomised, open-label CROWN study&lt;/Title&gt;&lt;Template&gt;Journal Article&lt;/Template&gt;&lt;Star&gt;0&lt;/Star&gt;&lt;Tag&gt;0&lt;/Tag&gt;&lt;Author&gt;Solomon, B J; Bauer, T M; Mok, TSK; Liu, G; Mazieres, J; de Marinis, F; Goto, Y; Kim, D W; Wu, Y L; Jassem, J; Lopez, F L; Soo, R A; Shaw, A T; Polli, A; Messina, R; Iadeluca, L; Toffalorio, F; Felip, E&lt;/Author&gt;&lt;Year&gt;2022&lt;/Year&gt;&lt;Details&gt;&lt;_accession_num&gt;36535300&lt;/_accession_num&gt;&lt;_author_adr&gt;Peter MacCallum Cancer Centre, Melbourne, VIC, Australia. Electronic address:  ben.solomon@petermac.org.; Sarah Cannon Research Institute/Tennessee Oncology, Nashville, TN, USA.; State Key Laboratory of South China, Chinese University of Hong Kong, Hong Kong  Special Administrative Region of China, China.; University Health Network, Toronto, ON, Canada.; Thoracic Oncology Department, Toulouse University Hospital, Toulouse, France.; European Institute of Oncology, IRCCS, Milan, Italy.; Department of Thoracic Oncology, National Cancer Center Hospital, Tokyo, Japan.; Seoul National University College of Medicine and Department of Internal  Medicine, Seoul National University Hospital, Seoul, South Korea.; Guangdong Lung Cancer Institute, Guangdong Provincial People&amp;apos;s Hospital and  Guangdong Academy of Medical Sciences, Guangdong, China.; Department of Oncology and Radiotherapy, Medical University of Gdansk, Gdansk,  Poland.; San Peregrino Cancer Center, Aguascalientes, Mexico.; National University Cancer Institute, Singapore.; Massachusetts General Hospital Cancer Center, Boston, MA, USA.; Pfizer, Milan, Italy.; Pfizer, Milan, Italy.; Pfizer, New York, NY, USA.; Pfizer, Milan, Italy.; Vall d&amp;apos;Hebron University Hospital, Vall d&amp;apos;Hebron Institute of Oncology,  Barcelona, Spain.&lt;/_author_adr&gt;&lt;_collection_scope&gt;SCIE&lt;/_collection_scope&gt;&lt;_created&gt;64739403&lt;/_created&gt;&lt;_date&gt;2022-12-16&lt;/_date&gt;&lt;_date_display&gt;2022 Dec 16&lt;/_date_display&gt;&lt;_db_updated&gt;PubMed&lt;/_db_updated&gt;&lt;_doi&gt;10.1016/S2213-2600(22)00437-4&lt;/_doi&gt;&lt;_impact_factor&gt; 102.642&lt;/_impact_factor&gt;&lt;_isbn&gt;2213-2619 (Electronic); 2213-2600 (Linking)&lt;/_isbn&gt;&lt;_journal&gt;Lancet Respir Med&lt;/_journal&gt;&lt;_language&gt;eng&lt;/_language&gt;&lt;_modified&gt;64740725&lt;/_modified&gt;&lt;_ori_publication&gt;Copyright (c) 2022 Elsevier Ltd. All rights reserved.&lt;/_ori_publication&gt;&lt;_social_category&gt;医学(1)&lt;/_social_category&gt;&lt;_tertiary_title&gt;The Lancet. Respiratory medicine&lt;/_tertiary_title&gt;&lt;_type_work&gt;Journal Article&lt;/_type_work&gt;&lt;_url&gt;http://www.ncbi.nlm.nih.gov/entrez/query.fcgi?cmd=Retrieve&amp;amp;db=pubmed&amp;amp;dopt=Abstract&amp;amp;list_uids=36535300&amp;amp;query_hl=1&lt;/_url&gt;&lt;/Details&gt;&lt;Extra&gt;&lt;DBUID&gt;{F96A950B-833F-4880-A151-76DA2D6A2879}&lt;/DBUID&gt;&lt;/Extra&gt;&lt;/Item&gt;&lt;/References&gt;&lt;/Group&gt;&lt;Group&gt;&lt;References&gt;&lt;Item&gt;&lt;ID&gt;2949&lt;/ID&gt;&lt;UID&gt;{A789F669-80E6-429E-A506-0079E708538E}&lt;/UID&gt;&lt;Title&gt;Final efficacy and safety data, and exploratory molecular profiling from the phase III ALUR study of alectinib versus chemotherapy in crizotinib-pretreated ALK-positive non-small-cell lung cancer&lt;/Title&gt;&lt;Template&gt;Journal Article&lt;/Template&gt;&lt;Star&gt;1&lt;/Star&gt;&lt;Tag&gt;0&lt;/Tag&gt;&lt;Author&gt;Wolf, J; Helland, A; Oh, I J; Migliorino, M R; Dziadziuszko, R; Wrona, A; de Castro, J; Mazieres, J; Griesinger, F; Chlistalla, M; Cardona, A; Ruf, T; Trunzer, K; Smoljanovic, V; Novello, S&lt;/Author&gt;&lt;Year&gt;2022&lt;/Year&gt;&lt;Details&gt;&lt;_accessed&gt;64631462&lt;/_accessed&gt;&lt;_accession_num&gt;35042152&lt;/_accession_num&gt;&lt;_author_adr&gt;Department I of Internal Medicine, Center for Integrated Oncology, University Hospital Cologne, Cologne, Germany.; Department of Cancer Genetics and Department of Oncology, Institute for Cancer Research, Oslo University Hospital, University of Oslo, Oslo, Norway.; Department of Internal Medicine, Chonnam National University Medical School, Hwasun-gun Jeollanam-do, Republic of Korea.; Pulmonary Oncology Unit, Azienda Ospedaliera San Camillo Forlanini Hospital, Rome, Italy.; Department of Oncology and Radiotherapy, Medical University of Gdansk, Gdansk, Poland.; Department of Oncology and Radiotherapy, Medical University of Gdansk, Gdansk, Poland.; Department of Medical Oncology, La Paz University Hospital, IdiPAZ, Madrid, Spain.; Department of Pneumology, Toulouse University Hospital, Paul Sabatier University, Toulouse, France.; Department of Hematology and Oncology, Pius Hospital, University Medicine Oldenburg, Oldenburg, Germany.; F. Hoffmann-La Roche Ltd., Basel, Switzerland.; F. Hoffmann-La Roche Ltd., Basel, Switzerland.; F. Hoffmann-La Roche Ltd., Basel, Switzerland.; F. Hoffmann-La Roche Ltd., Basel, Switzerland.; F. Hoffmann-La Roche Ltd., Basel, Switzerland.; Department of Oncology, University of Turin, Orbassano, Italy. Electronic address: silvia.novello@unito.it.&lt;/_author_adr&gt;&lt;_collection_scope&gt;SCIE&lt;/_collection_scope&gt;&lt;_created&gt;64630990&lt;/_created&gt;&lt;_date&gt;2022-02-01&lt;/_date&gt;&lt;_date_display&gt;2022 Feb&lt;/_date_display&gt;&lt;_db_updated&gt;PubMed&lt;/_db_updated&gt;&lt;_doi&gt;10.1016/j.esmoop.2021.100333&lt;/_doi&gt;&lt;_impact_factor&gt;   6.883&lt;/_impact_factor&gt;&lt;_isbn&gt;2059-7029 (Electronic); 2059-7029 (Linking)&lt;/_isbn&gt;&lt;_issue&gt;1&lt;/_issue&gt;&lt;_journal&gt;ESMO Open&lt;/_journal&gt;&lt;_keywords&gt;ALK-positive NSCLC; ALUR; TP53; alectinib; chemotherapy&lt;/_keywords&gt;&lt;_language&gt;eng&lt;/_language&gt;&lt;_modified&gt;64740725&lt;/_modified&gt;&lt;_ori_publication&gt;Copyright (c) 2021 The Authors. Published by Elsevier Ltd.. All rights reserved.&lt;/_ori_publication&gt;&lt;_pages&gt;100333&lt;/_pages&gt;&lt;_social_category&gt;医学(3)&lt;/_social_category&gt;&lt;_subject_headings&gt;Anaplastic Lymphoma Kinase/genetics; Carbazoles; *Carcinoma, Non-Small-Cell Lung/drug therapy/genetics/pathology; Crizotinib/adverse effects; Humans; *Lung Neoplasms/drug therapy/genetics/pathology; Piperidines&lt;/_subject_headings&gt;&lt;_tertiary_title&gt;ESMO open&lt;/_tertiary_title&gt;&lt;_type_work&gt;Journal Article; Randomized Controlled Trial; Research Support, Non-U.S. Gov&amp;apos;t&lt;/_type_work&gt;&lt;_url&gt;http://www.ncbi.nlm.nih.gov/entrez/query.fcgi?cmd=Retrieve&amp;amp;db=pubmed&amp;amp;dopt=Abstract&amp;amp;list_uids=35042152&amp;amp;query_hl=1 _x000d__x000a_https://www.ncbi.nlm.nih.gov/pmc/articles/PMC8777286/pdf/main.pdf _x000d__x000a_&lt;/_url&gt;&lt;_volume&gt;7&lt;/_volume&gt;&lt;/Details&gt;&lt;Extra&gt;&lt;DBUID&gt;{F96A950B-833F-4880-A151-76DA2D6A2879}&lt;/DBUID&gt;&lt;/Extra&gt;&lt;/Item&gt;&lt;/References&gt;&lt;/Group&gt;&lt;Group&gt;&lt;References&gt;&lt;Item&gt;&lt;ID&gt;2950&lt;/ID&gt;&lt;UID&gt;{EB87703F-5414-49B2-93EE-BC0696D05407}&lt;/UID&gt;&lt;Title&gt;Final overall survival analysis from the phase III J-ALEX study of alectinib versus crizotinib in ALK inhibitor-naive Japanese patients with ALK-positive non-small-cell lung cancer&lt;/Title&gt;&lt;Template&gt;Journal Article&lt;/Template&gt;&lt;Star&gt;0&lt;/Star&gt;&lt;Tag&gt;5&lt;/Tag&gt;&lt;Author&gt;Hotta, K; Hida, T; Nokihara, H; Morise, M; Kim, Y H; Azuma, K; Seto, T; Takiguchi, Y; Nishio, M; Yoshioka, H; Kumagai, T; Watanabe, S; Goto, K; Satouchi, M; Kozuki, T; Shukuya, T; Nakagawa, K; Mitsudomi, T; Yamamoto, N; Asakawa, T; Yoshimoto, T; Takata, S; Tamura, T&lt;/Author&gt;&lt;Year&gt;2022&lt;/Year&gt;&lt;Details&gt;&lt;_accessed&gt;64632450&lt;/_accessed&gt;&lt;_accession_num&gt;35843080&lt;/_accession_num&gt;&lt;_author_adr&gt;Center for Innovative Clinical Medicine, Okayama University Hospital, Okayama. Electronic address: khotta@okayama-u.ac.jp.; Department of Thoracic Oncology, Aichi Cancer Center, Nagoya, Aichi.; Department of Thoracic Oncology, National Cancer Center Hospital, Tokyo.; Department of Respiratory Medicine, Nagoya University Graduate School of Medicine, Nagoya.; Department of Respiratory Medicine, Kyoto University, Kyoto.; Division of Respirology, Neurology, and Rheumatology, Department of Internal Medicine, Kurume University School of Medicine, Kurume, Fukuoka.; Department of Thoracic Oncology, National Hospital Organization Kyusyu Cancer Center, Fukuoka.; Department of Medical Oncology, Graduate School of Medicine, Chiba University, Chiba.; Department of Thoracic Medical Oncology, The Cancer Institute Hospital of Japanese Foundation for Cancer Research, Tokyo.; Department of Thoracic Oncology, Kansai Medical University Hospital, Hirakata, Osaka.; Department of Thoracic Oncology, Osaka International Cancer Institute, Osaka.; Department of Respiratory Medicine and Infectious Diseases, Niigata University Graduate School of Medical and Dental Sciences, Niigata.; Department of Thoracic Oncology, National Cancer Center Hospital East, Kashiwa, Chiba.; Department of Thoracic Oncology, Hyogo Cancer Center, Akashi, Hyogo.; Department of Thoracic Oncology and Medicine, National Hospital Organization Shikoku Cancer Center, Matsuyama, Ehime.; Department of Respiratory Medicine, Juntendo University, Tokyo.; Department of Medical Oncology, Kindai University Faculty of Medicine, Osaka-Sayama, Osaka.; Division of Thoracic Surgery, Department of Surgery, Kindai University Faculty of Medicine, Osaka-Sayama, Osaka.; Third Department of Internal Medicine, Wakayama Medical University, Wakayama.; Biometrics Department, Chugai Pharmaceuticals Co. Ltd, Tokyo.; Biometrics Department, Chugai Pharmaceuticals Co. Ltd, Tokyo.; Oncology Clinical Development Department, Chugai Pharmaceuticals Co. Ltd, Tokyo.; Thoracic Center, St. Luke&amp;apos;s International Hospital, Tokyo, Japan.&lt;/_author_adr&gt;&lt;_collection_scope&gt;SCIE&lt;/_collection_scope&gt;&lt;_created&gt;64630957&lt;/_created&gt;&lt;_date&gt;2022-08-01&lt;/_date&gt;&lt;_date_display&gt;2022 Aug&lt;/_date_display&gt;&lt;_db_updated&gt;PubMed&lt;/_db_updated&gt;&lt;_doi&gt;10.1016/j.esmoop.2022.100527&lt;/_doi&gt;&lt;_impact_factor&gt;   6.883&lt;/_impact_factor&gt;&lt;_isbn&gt;2059-7029 (Electronic); 2059-7029 (Linking)&lt;/_isbn&gt;&lt;_issue&gt;4&lt;/_issue&gt;&lt;_journal&gt;ESMO Open&lt;/_journal&gt;&lt;_keywords&gt;ALK-positive NSCLC; J-ALEX; alectinib; crizotinib; overall survival&lt;/_keywords&gt;&lt;_language&gt;eng&lt;/_language&gt;&lt;_modified&gt;64740725&lt;/_modified&gt;&lt;_ori_publication&gt;Copyright (c) 2022 The Authors. Published by Elsevier Ltd.. All rights reserved.&lt;/_ori_publication&gt;&lt;_pages&gt;100527&lt;/_pages&gt;&lt;_social_category&gt;医学(3)&lt;/_social_category&gt;&lt;_subject_headings&gt;Carbazoles; *Carcinoma, Non-Small-Cell Lung; Crizotinib; Humans; Japan; *Lung Neoplasms; Piperidines; Protein Kinase Inhibitors; Survival Analysis&lt;/_subject_headings&gt;&lt;_tertiary_title&gt;ESMO open&lt;/_tertiary_title&gt;&lt;_type_work&gt;Journal Article; Randomized Controlled Trial; Research Support, Non-U.S. Gov&amp;apos;t&lt;/_type_work&gt;&lt;_url&gt;http://www.ncbi.nlm.nih.gov/entrez/query.fcgi?cmd=Retrieve&amp;amp;db=pubmed&amp;amp;dopt=Abstract&amp;amp;list_uids=35843080&amp;amp;query_hl=1 _x000d__x000a_https://www.ncbi.nlm.nih.gov/pmc/articles/PMC9434408/pdf/main.pdf _x000d__x000a_&lt;/_url&gt;&lt;_volume&gt;7&lt;/_volume&gt;&lt;/Details&gt;&lt;Extra&gt;&lt;DBUID&gt;{F96A950B-833F-4880-A151-76DA2D6A2879}&lt;/DBUID&gt;&lt;/Extra&gt;&lt;/Item&gt;&lt;/References&gt;&lt;/Group&gt;&lt;Group&gt;&lt;References&gt;&lt;Item&gt;&lt;ID&gt;2951&lt;/ID&gt;&lt;UID&gt;{6AA0C92A-441B-46F4-8543-849FEAADEE48}&lt;/UID&gt;&lt;Title&gt;Health-related quality of life in the randomized phase III trial of brigatinib vs  crizotinib in advanced ALK inhibitor-naive ALK + non-small cell lung cancer  (ALTA-1L)&lt;/Title&gt;&lt;Template&gt;Journal Article&lt;/Template&gt;&lt;Star&gt;0&lt;/Star&gt;&lt;Tag&gt;0&lt;/Tag&gt;&lt;Author&gt;Garcia, Campelo MR; Lin, H M; Zhu, Y; Perol, M; Jahanzeb, M; Popat, S; Zhang, P; Camidge, D R&lt;/Author&gt;&lt;Year&gt;2021&lt;/Year&gt;&lt;Details&gt;&lt;_accession_num&gt;33744781&lt;/_accession_num&gt;&lt;_author_adr&gt;Medical Oncology Service, University Hospital A Coruna (XXIAC-SERGAS), Xubias de  Arriba, 84, 15006, A Coruna, Spain. Electronic address:  MA.Rosario.Garcia.Campelo@sergas.es.; Millennium Pharmaceuticals, Inc, 35 Landsdowne Street, Cambridge, MA, 02139,  USA(3). Electronic address: mark.lin@takeda.com.; Millennium Pharmaceuticals, Inc, 35 Landsdowne Street, Cambridge, MA, 02139,  USA(3). Electronic address: Yanyan.zhu@takeda.com.; Department of Medical Oncology, Centre Leon Berard, 28 Prom. Lea et Napoleon  Bullukian, 69008, Lyon, France. Electronic address:  maurice.perol@lyon.unicancer.fr.; Florida Precision Oncology, a division of 21st Century Oncology, 3651 FAU  Boulevard, Suite 100, Boca Raton, FL, 33431, USA. Electronic address:  mj@fponcology.com.; The Royal Marsden Hospital, 203 Fulham Road, Chelsea, London, SW3 6JJ, United  Kingdom; The Institute of Cancer Research, 123 Old Brompton Road, London, SW7  3RP, United Kingdom. Electronic address: sanjay.popat@rmh.nhs.uk.; Millennium Pharmaceuticals, Inc, 300 Massachusetts Avenue, Cambridge, MA, 02139,  USA(3). Electronic address: Pingkuan.Zhang@takeda.com.; University of Colorado Cancer Center, 1665 Aurora Court, Aurora, CO, 80045, USA.  Electronic address: Ross.Camidge@CUAnschutz.edu.&lt;/_author_adr&gt;&lt;_collection_scope&gt;SCIE&lt;/_collection_scope&gt;&lt;_created&gt;64739405&lt;/_created&gt;&lt;_date&gt;2021-05-01&lt;/_date&gt;&lt;_date_display&gt;2021 May&lt;/_date_display&gt;&lt;_db_updated&gt;PubMed&lt;/_db_updated&gt;&lt;_doi&gt;10.1016/j.lungcan.2021.03.005&lt;/_doi&gt;&lt;_impact_factor&gt;   6.081&lt;/_impact_factor&gt;&lt;_isbn&gt;1872-8332 (Electronic); 0169-5002 (Linking)&lt;/_isbn&gt;&lt;_journal&gt;Lung Cancer&lt;/_journal&gt;&lt;_keywords&gt;Anaplastic lymphoma kinase; Brigatinib; Carcinoma; First-line therapy; Non-small-cell lung; Quality of life&lt;/_keywords&gt;&lt;_language&gt;eng&lt;/_language&gt;&lt;_modified&gt;64740725&lt;/_modified&gt;&lt;_ori_publication&gt;Copyright (c) 2021 The Authors. Published by Elsevier B.V. All rights reserved.&lt;/_ori_publication&gt;&lt;_pages&gt;68-77&lt;/_pages&gt;&lt;_social_category&gt;医学(2)&lt;/_social_category&gt;&lt;_subject_headings&gt;Anaplastic Lymphoma Kinase/genetics; *Carcinoma, Non-Small-Cell Lung/drug therapy; Crizotinib/therapeutic use; Humans; *Lung Neoplasms/drug therapy; Organophosphorus Compounds; Pyrimidines; Quality of Life&lt;/_subject_headings&gt;&lt;_tertiary_title&gt;Lung cancer (Amsterdam, Netherlands)&lt;/_tertiary_title&gt;&lt;_type_work&gt;Clinical Trial, Phase III; Journal Article; Randomized Controlled Trial; Research Support, Non-U.S. Gov&amp;apos;t&lt;/_type_work&gt;&lt;_url&gt;http://www.ncbi.nlm.nih.gov/entrez/query.fcgi?cmd=Retrieve&amp;amp;db=pubmed&amp;amp;dopt=Abstract&amp;amp;list_uids=33744781&amp;amp;query_hl=1&lt;/_url&gt;&lt;_volume&gt;155&lt;/_volume&gt;&lt;/Details&gt;&lt;Extra&gt;&lt;DBUID&gt;{F96A950B-833F-4880-A151-76DA2D6A2879}&lt;/DBUID&gt;&lt;/Extra&gt;&lt;/Item&gt;&lt;/References&gt;&lt;/Group&gt;&lt;Group&gt;&lt;References&gt;&lt;Item&gt;&lt;ID&gt;2952&lt;/ID&gt;&lt;UID&gt;{1D27CBC2-8B38-421B-8380-E24756F44F6A}&lt;/UID&gt;&lt;Title&gt;Patient-reported outcomes from the randomized phase 3 CROWN study of first-line  lorlatinib versus crizotinib in advanced ALK-positive non-small cell lung cancer&lt;/Title&gt;&lt;Template&gt;Journal Article&lt;/Template&gt;&lt;Star&gt;0&lt;/Star&gt;&lt;Tag&gt;0&lt;/Tag&gt;&lt;Author&gt;Mazieres, J; Iadeluca, L; Shaw, A T; Solomon, B J; Bauer, T M; de Marinis, F; Felip, E; Goto, Y; Kim, D W; Mok, T; Reisman, A; Thurm, H; Polli, A M; Liu, G&lt;/Author&gt;&lt;Year&gt;2022&lt;/Year&gt;&lt;Details&gt;&lt;_accession_num&gt;36410210&lt;/_accession_num&gt;&lt;_author_adr&gt;Toulouse University Hospital, Toulouse, France. Electronic address:  mazieres.j@chu-toulouse.fr.; Pfizer Inc, New York, NY, USA.; Massachusetts General Hospital Cancer Center, Boston, MA, USA.; Peter MacCallum Cancer Centre, Melbourne, Victoria, Australia.; Sarah Cannon Research Institute/Tennessee Oncology, PLLC, Nashville, TN, USA.; European Institute of Oncology, IRCCS, Milan, Italy.; Vall d&amp;apos;Hebron University Hospital and Institute of Oncology (VHIO), IOB-Quiron,  Barcelona, Spain.; National Cancer Center Hospital, Tokyo, Japan.; Seoul National University College of Medicine and Seoul National University  Hospital, Seoul, South Korea.; State Key Laboratory of Translational Oncology, Chinese University of Hong Kong,  Hong Kong.; Pfizer Inc, New York, NY, USA.; Pfizer Inc, La Jolla, CA, USA.; Pfizer Inc, Milan, Italy.; Princess Margaret Cancer Centre, University of Toronto, Toronto, Canada.&lt;/_author_adr&gt;&lt;_collection_scope&gt;SCIE&lt;/_collection_scope&gt;&lt;_created&gt;64739406&lt;/_created&gt;&lt;_date&gt;2022-12-01&lt;/_date&gt;&lt;_date_display&gt;2022 Dec&lt;/_date_display&gt;&lt;_db_updated&gt;PubMed&lt;/_db_updated&gt;&lt;_doi&gt;10.1016/j.lungcan.2022.11.004&lt;/_doi&gt;&lt;_impact_factor&gt;   6.081&lt;/_impact_factor&gt;&lt;_isbn&gt;1872-8332 (Electronic); 0169-5002 (Linking)&lt;/_isbn&gt;&lt;_journal&gt;Lung Cancer&lt;/_journal&gt;&lt;_keywords&gt;Crizotinib; Lorlatinib; NSCLC; Patient-reported outcomes&lt;/_keywords&gt;&lt;_language&gt;eng&lt;/_language&gt;&lt;_modified&gt;64740725&lt;/_modified&gt;&lt;_ori_publication&gt;Copyright (c) 2022 The Authors. Published by Elsevier B.V. All rights reserved.&lt;/_ori_publication&gt;&lt;_pages&gt;146-156&lt;/_pages&gt;&lt;_social_category&gt;医学(2)&lt;/_social_category&gt;&lt;_subject_headings&gt;Humans; *Carcinoma, Non-Small-Cell Lung/pathology; Crizotinib/therapeutic use; Quality of Life; *Lung Neoplasms/pathology; Anaplastic Lymphoma Kinase; Lactams, Macrocyclic/therapeutic use; *Brain Neoplasms/secondary; Patient Reported Outcome Measures; Protein Kinase Inhibitors/therapeutic use&lt;/_subject_headings&gt;&lt;_tertiary_title&gt;Lung cancer (Amsterdam, Netherlands)&lt;/_tertiary_title&gt;&lt;_type_work&gt;Clinical Trial, Phase III; Journal Article; Randomized Controlled Trial&lt;/_type_work&gt;&lt;_url&gt;http://www.ncbi.nlm.nih.gov/entrez/query.fcgi?cmd=Retrieve&amp;amp;db=pubmed&amp;amp;dopt=Abstract&amp;amp;list_uids=36410210&amp;amp;query_hl=1&lt;/_url&gt;&lt;_volume&gt;174&lt;/_volume&gt;&lt;/Details&gt;&lt;Extra&gt;&lt;DBUID&gt;{F96A950B-833F-4880-A151-76DA2D6A2879}&lt;/DBUID&gt;&lt;/Extra&gt;&lt;/Item&gt;&lt;/References&gt;&lt;/Group&gt;&lt;Group&gt;&lt;References&gt;&lt;Item&gt;&lt;ID&gt;2946&lt;/ID&gt;&lt;UID&gt;{53D20E6C-F297-4218-8BF2-B4924E9D09F0}&lt;/UID&gt;&lt;Title&gt;Matching-Adjusted Indirect Comparisons of Lorlatinib Versus Chemotherapy for  Patients With Second-Line or Later Anaplastic Lymphoma Kinase-Positive Non-Small  Cell Lung Cancer&lt;/Title&gt;&lt;Template&gt;Journal Article&lt;/Template&gt;&lt;Star&gt;0&lt;/Star&gt;&lt;Tag&gt;0&lt;/Tag&gt;&lt;Author&gt;Smith, S; Albuquerque, De Almeida F; Ines, M; Iadeluca, L; Cooper, M&lt;/Author&gt;&lt;Year&gt;2023&lt;/Year&gt;&lt;Details&gt;&lt;_accession_num&gt;35985941&lt;/_accession_num&gt;&lt;_author_adr&gt;BresMed Health Solutions, Sheffield, England, UK.; Pfizer Portugal, Porto Salvo, Portugal.; Pfizer Portugal, Porto Salvo, Portugal. Electronic address:  monica.ines@pfizer.com.; Pfizer Inc, New York, NY, USA.; BresMed Health Solutions, Sheffield, England, UK.&lt;/_author_adr&gt;&lt;_collection_scope&gt;SSCI;SCIE&lt;/_collection_scope&gt;&lt;_created&gt;64739398&lt;/_created&gt;&lt;_date&gt;2023-01-01&lt;/_date&gt;&lt;_date_display&gt;2023 Jan&lt;/_date_display&gt;&lt;_db_updated&gt;PubMed&lt;/_db_updated&gt;&lt;_doi&gt;10.1016/j.jval.2022.07.002&lt;/_doi&gt;&lt;_impact_factor&gt;   5.101&lt;/_impact_factor&gt;&lt;_isbn&gt;1524-4733 (Electronic); 1098-3015 (Linking)&lt;/_isbn&gt;&lt;_issue&gt;1&lt;/_issue&gt;&lt;_journal&gt;Value Health&lt;/_journal&gt;&lt;_keywords&gt;ALK-positive; chemotherapy; indirect treatment comparison; lorlatinib; non-small cell lung cancer&lt;/_keywords&gt;&lt;_language&gt;eng&lt;/_language&gt;&lt;_modified&gt;64740725&lt;/_modified&gt;&lt;_ori_publication&gt;Copyright (c) 2022. Published by Elsevier Inc.&lt;/_ori_publication&gt;&lt;_pages&gt;64-70&lt;/_pages&gt;&lt;_social_category&gt;医学(2)&lt;/_social_category&gt;&lt;_subject_headings&gt;Humans; *Carcinoma, Non-Small-Cell Lung/drug therapy; Anaplastic Lymphoma Kinase/therapeutic use; Docetaxel/therapeutic use; Pemetrexed/therapeutic use; *Lung Neoplasms/drug therapy; Lactams, Macrocyclic/adverse effects; Protein Kinase Inhibitors/therapeutic use&lt;/_subject_headings&gt;&lt;_tertiary_title&gt;Value in health : the journal of the International Society for Pharmacoeconomics _x000d__x000a_      and Outcomes Research&lt;/_tertiary_title&gt;&lt;_type_work&gt;Journal Article; Systematic Review&lt;/_type_work&gt;&lt;_url&gt;http://www.ncbi.nlm.nih.gov/entrez/query.fcgi?cmd=Retrieve&amp;amp;db=pubmed&amp;amp;dopt=Abstract&amp;amp;list_uids=35985941&amp;amp;query_hl=1&lt;/_url&gt;&lt;_volume&gt;26&lt;/_volume&gt;&lt;/Details&gt;&lt;Extra&gt;&lt;DBUID&gt;{F96A950B-833F-4880-A151-76DA2D6A2879}&lt;/DBUID&gt;&lt;/Extra&gt;&lt;/Item&gt;&lt;/References&gt;&lt;/Group&gt;&lt;/Citation&gt;_x000a_"/>
    <w:docVar w:name="NE.Ref{13187D05-39C1-41F5-9656-2875A291020E}" w:val=" ADDIN NE.Ref.{13187D05-39C1-41F5-9656-2875A291020E}&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136677D2-9795-4F2D-9CDB-69A3136E60C5}" w:val=" ADDIN NE.Ref.{136677D2-9795-4F2D-9CDB-69A3136E60C5}&lt;Citation&gt;&lt;Group&gt;&lt;References&gt;&lt;Item&gt;&lt;ID&gt;46197&lt;/ID&gt;&lt;UID&gt;{E111597E-7B08-457B-AEBE-D0E78756A9EF}&lt;/UID&gt;&lt;Title&gt;Ensartinib vs Crizotinib for Patients With Anaplastic Lymphoma Kinase-Positive Non-Small Cell Lung Cancer: A Randomized Clinical Trial&lt;/Title&gt;&lt;Template&gt;Journal Article&lt;/Template&gt;&lt;Star&gt;0&lt;/Star&gt;&lt;Tag&gt;0&lt;/Tag&gt;&lt;Author&gt;Horn, L; Wang, Z; Wu, G; Poddubskaya, E; Mok, T; Reck, M; Wakelee, H; Chiappori, A A; Lee, D H; Breder, V; Orlov, S; Cicin, I; Cheng, Y; Liu, Y; Fan, Y; Whisenant, J G; Zhou, Y; Oertel, V; Harrow, K; Liang, C; Mao, L; Selvaggi, G; Wu, Y L&lt;/Author&gt;&lt;Year&gt;2021&lt;/Year&gt;&lt;Details&gt;&lt;_accessed&gt;64632481&lt;/_accessed&gt;&lt;_accession_num&gt;34473194&lt;/_accession_num&gt;&lt;_author_adr&gt;Division of Hematology and Oncology, Department of Medicine, Vanderbilt-Ingram Cancer Center, Nashville, Tennessee.; Now with Global Clinical Head for Lung Cancer and Lung Cancer Strategy, AstraZeneca, Nashville, Tennessee.; Department of Thoracic Medical Oncology, Peking University Cancer Hospital and Institute, Beijing, China.; Cancer Center, Union Hospital, Tongji Medical College, Huazhong University of Science and Technology, Wuhan, China.; Clinical Center for Oncology, I. M. Sechenov First Moscow State Medical University (Sechenov University), Moscow, Russia.; Clinical Center VitaMed, Moscow, Russia.; Department of Clinical Oncology, State Key Laboratory of Translational Oncology,  The Chinese University of Hong Kong, Hong Kong, China.; Lung Clinic, Airway Research Center North, German Center for Lung Research, Grosshansdorf, Germany.; Department of Medicine, Division of Oncology and Stanford Cancer Institute, Stanford University, Stanford, California.; Thoracic Oncology Program, Moffitt Cancer Center, Tampa, Florida.; Department of Oncology, University of Ulsan College of Medicine, Asan Medical Center, Seoul, South Korea.; Department of Chemotherapy No. 17, N. N. Blokhin Russian Cancer Research Center,  Moscow, Russia.; Department of Biochemistry, Pavlov First Saint Petersburg State Medical University, St Petersburg, Russia.; Department of Medical Oncology, Faculty of Medicine, Trakya University, Edirne, Turkey.; Department of Thoracic Oncology, Jilin Cancer Hospital, Changchun, China.; Department of Medical Oncology, The First Hospital of China Medical University, Shenyang, Liaoning, China.; Thoracic Tumor Center, Zhejiang Cancer Hospital, Hangzhou, China.; Division of Hematology and Oncology, Department of Medicine, Vanderbilt-Ingram Cancer Center, Nashville, Tennessee.; Biometrics, Xcovery Holdings Inc, Palm Beach Gardens, Florida.; Clinical Operations, Xcovery Holdings Inc, Palm Beach Gardens, Florida.; Clinical Operations, Xcovery Holdings Inc, Palm Beach Gardens, Florida.; Now with EQRx, Cambridge, Massachusetts.; Clinical Science, Xcovery Holdings Inc, Palm Beach Gardens, Florida.; Clinical Development, Xcovery Holdings Inc, Palm Beach Gardens, Florida.; Now with Sino Biopharmaceutical Ltd, Beijing, China.; Clinical Development, Xcovery Holdings Inc, Palm Beach Gardens, Florida.; Guangdong Lung Cancer Institute, Guangdong Provincial People&amp;apos;s Hospital and Guangdong Academy of Medical Sciences, Guangzhou, China.&lt;/_author_adr&gt;&lt;_collection_scope&gt;SCIE&lt;/_collection_scope&gt;&lt;_created&gt;64630949&lt;/_created&gt;&lt;_date&gt;2021-11-01&lt;/_date&gt;&lt;_date_display&gt;2021 Nov 1&lt;/_date_display&gt;&lt;_db_updated&gt;PubMed&lt;/_db_updated&gt;&lt;_doi&gt;10.1001/jamaoncol.2021.3523&lt;/_doi&gt;&lt;_impact_factor&gt;  33.006&lt;/_impact_factor&gt;&lt;_isbn&gt;2374-2445 (Electronic); 2374-2437 (Linking)&lt;/_isbn&gt;&lt;_issue&gt;11&lt;/_issue&gt;&lt;_journal&gt;JAMA Oncol&lt;/_journal&gt;&lt;_language&gt;eng&lt;/_language&gt;&lt;_modified&gt;64688891&lt;/_modified&gt;&lt;_pages&gt;1617-1625&lt;/_pages&gt;&lt;_social_category&gt;医学(1)&lt;/_social_category&gt;&lt;_subject_headings&gt;Adolescent; Adult; Anaplastic Lymphoma Kinase; *Carcinoma, Non-Small-Cell Lung/pathology; Crizotinib/adverse effects; Humans; *Lung Neoplasms/pathology; Male; Middle Aged; Piperazines; Protein Kinase Inhibitors/adverse effects; Pyridazines&lt;/_subject_headings&gt;&lt;_tertiary_title&gt;JAMA oncology&lt;/_tertiary_title&gt;&lt;_type_work&gt;Journal Article; Multicenter Study; Randomized Controlled Trial; Research Support, Non-U.S. Gov&amp;apos;t&lt;/_type_work&gt;&lt;_url&gt;http://www.ncbi.nlm.nih.gov/entrez/query.fcgi?cmd=Retrieve&amp;amp;db=pubmed&amp;amp;dopt=Abstract&amp;amp;list_uids=34473194&amp;amp;query_hl=1&lt;/_url&gt;&lt;_volume&gt;7&lt;/_volume&gt;&lt;/Details&gt;&lt;Extra&gt;&lt;DBUID&gt;{F96A950B-833F-4880-A151-76DA2D6A2879}&lt;/DBUID&gt;&lt;/Extra&gt;&lt;/Item&gt;&lt;/References&gt;&lt;/Group&gt;&lt;Group&gt;&lt;References&gt;&lt;Item&gt;&lt;ID&gt;46198&lt;/ID&gt;&lt;UID&gt;{89E0B8BA-E7C2-40E9-81D4-0C4248F08B9F}&lt;/UID&gt;&lt;Title&gt;Ceritinib versus chemotherapy in patients with ALK-rearranged non-small-cell lung cancer previously given chemotherapy and crizotinib (ASCEND-5): a randomised, controlled, open-label, phase 3 trial&lt;/Title&gt;&lt;Template&gt;Journal Article&lt;/Template&gt;&lt;Star&gt;1&lt;/Star&gt;&lt;Tag&gt;0&lt;/Tag&gt;&lt;Author&gt;Shaw, A T; Kim, T M; Crino, L; Gridelli, C; Kiura, K; Liu, G; Novello, S; Bearz, A; Gautschi, O; Mok, T; Nishio, M; Scagliotti, G; Spigel, D R; Deudon, S; Zheng, C; Pantano, S; Urban, P; Massacesi, C; Viraswami-Appanna, K; Felip, E&lt;/Author&gt;&lt;Year&gt;2017&lt;/Year&gt;&lt;Details&gt;&lt;_accessed&gt;64632463&lt;/_accessed&gt;&lt;_accession_num&gt;28602779&lt;/_accession_num&gt;&lt;_author_adr&gt;Massachusetts General Hospital, Boston, MA, USA. Electronic address: ashaw1@mgh.harvard.edu.; Seoul National University Hospital, Seoul, Korea.; Istituto Scientifico Romagnolo per lo Studio e la Cura dei Tumori, Istituto di Ricovero e Cura a Carattere Scientifico, Meldola, Italy.; SG Moscati Hospital, Citta Ospedaliera, Contrada Amoretta, Avellino, Italy.; Okayama University Hospital, Okayama, Japan.; Princess Margaret Cancer Centre, Toronto, ON, Canada.; University of Torino, Torino, Italy.; Istituto di Ricovero e Cura a Carattere Scientifico-Centro di Riferimento Oncologico, Aviano, Italy.; Cantonal Hospital Lucerne, Lucerne, Switzerland.; State Key Laboratory of South China, Chinese University of Hong Kong, Shatin, China.; Cancer Institute Hospital of Japanese Foundation for Cancer Research, Tokyo, Japan.; University of Torino, Torino, Italy.; Sarah Cannon Research Institute, Nashville, TN, USA.; Novartis, Basel, Switzerland.; Novartis, East Hanover, NJ, USA.; Novartis, Basel, Switzerland.; Novartis, Basel, Switzerland.; Novartis, Basel, Switzerland.; Novartis, East Hanover, NJ, USA.; Vall d&amp;apos;Hebron University Hospital, Barcelona, Spain; Vall d&amp;apos;Hebron Institute of Oncology, Barcelona, Spain.&lt;/_author_adr&gt;&lt;_collection_scope&gt;SCIE&lt;/_collection_scope&gt;&lt;_created&gt;64630954&lt;/_created&gt;&lt;_date&gt;2017-07-01&lt;/_date&gt;&lt;_date_display&gt;2017 Jul&lt;/_date_display&gt;&lt;_db_updated&gt;PubMed&lt;/_db_updated&gt;&lt;_doi&gt;10.1016/S1470-2045(17)30339-X&lt;/_doi&gt;&lt;_impact_factor&gt;  54.433&lt;/_impact_factor&gt;&lt;_isbn&gt;1474-5488 (Electronic); 1470-2045 (Linking)&lt;/_isbn&gt;&lt;_issue&gt;7&lt;/_issue&gt;&lt;_journal&gt;Lancet Oncol&lt;/_journal&gt;&lt;_language&gt;eng&lt;/_language&gt;&lt;_modified&gt;64688891&lt;/_modified&gt;&lt;_ori_publication&gt;Copyright (c) 2017 Elsevier Ltd. All rights reserved.&lt;/_ori_publication&gt;&lt;_pages&gt;874-886&lt;/_pages&gt;&lt;_social_category&gt;医学(1)&lt;/_social_category&gt;&lt;_subject_headings&gt;Adult; Alanine Transaminase/blood; Anaplastic Lymphoma Kinase; Antineoplastic Agents/*therapeutic use; Antineoplastic Combined Chemotherapy Protocols/therapeutic use; Aspartate Aminotransferases/blood; Carcinoma, Non-Small-Cell Lung/*drug therapy/genetics/secondary; Crizotinib; Disease Progression; Disease-Free Survival; Docetaxel; Female; Gene Rearrangement; Humans; Lung Neoplasms/*drug therapy/genetics/pathology; Male; Middle Aged; Neoplasm Staging; Pemetrexed/*therapeutic use; Platinum Compounds/administration &amp;amp; dosage; Pyrazoles/therapeutic use; Pyridines/therapeutic use; Pyrimidines/adverse effects/*therapeutic use; Receptor Protein-Tyrosine Kinases/*genetics; Response Evaluation Criteria in Solid Tumors; Retreatment; Sulfones/adverse effects/*therapeutic use; Taxoids/*therapeutic use; gamma-Glutamyltransferase/blood&lt;/_subject_headings&gt;&lt;_tertiary_title&gt;The Lancet. Oncology&lt;/_tertiary_title&gt;&lt;_type_work&gt;Clinical Trial, Phase III; Comparative Study; Journal Article; Multicenter Study; Randomized Controlled Trial&lt;/_type_work&gt;&lt;_url&gt;http://www.ncbi.nlm.nih.gov/entrez/query.fcgi?cmd=Retrieve&amp;amp;db=pubmed&amp;amp;dopt=Abstract&amp;amp;list_uids=28602779&amp;amp;query_hl=1&lt;/_url&gt;&lt;_volume&gt;18&lt;/_volume&gt;&lt;/Details&gt;&lt;Extra&gt;&lt;DBUID&gt;{F96A950B-833F-4880-A151-76DA2D6A2879}&lt;/DBUID&gt;&lt;/Extra&gt;&lt;/Item&gt;&lt;/References&gt;&lt;/Group&gt;&lt;Group&gt;&lt;References&gt;&lt;Item&gt;&lt;ID&gt;46199&lt;/ID&gt;&lt;UID&gt;{08CB0812-A5CC-4A19-9FC4-FEF7AB8B807B}&lt;/UID&gt;&lt;Title&gt;First-Line Lorlatinib or Crizotinib in Advanced ALK-Positive Lung Cancer&lt;/Title&gt;&lt;Template&gt;Journal Article&lt;/Template&gt;&lt;Star&gt;0&lt;/Star&gt;&lt;Tag&gt;0&lt;/Tag&gt;&lt;Author&gt;Shaw, A T; Bauer, T M; de Marinis, F; Felip, E; Goto, Y; Liu, G; Mazieres, J; Kim, D W; Mok, T; Polli, A; Thurm, H; Calella, A M; Peltz, G; Solomon, B J&lt;/Author&gt;&lt;Year&gt;2020&lt;/Year&gt;&lt;Details&gt;&lt;_accessed&gt;64632463&lt;/_accessed&gt;&lt;_accession_num&gt;33207094&lt;/_accession_num&gt;&lt;_collection_scope&gt;SCIE&lt;/_collection_scope&gt;&lt;_created&gt;64630950&lt;/_created&gt;&lt;_date&gt;2020-11-19&lt;/_date&gt;&lt;_date_display&gt;2020 Nov 19&lt;/_date_display&gt;&lt;_db_updated&gt;PubMed&lt;/_db_updated&gt;&lt;_doi&gt;10.1056/NEJMoa2027187&lt;/_doi&gt;&lt;_impact_factor&gt; 176.079&lt;/_impact_factor&gt;&lt;_isbn&gt;1533-4406 (Electronic); 0028-4793 (Linking)&lt;/_isbn&gt;&lt;_issue&gt;21&lt;/_issue&gt;&lt;_journal&gt;N Engl J Med&lt;/_journal&gt;&lt;_language&gt;eng&lt;/_language&gt;&lt;_modified&gt;64688891&lt;/_modified&gt;&lt;_ori_publication&gt;Copyright (c) 2020 Massachusetts Medical Society.&lt;/_ori_publication&gt;&lt;_pages&gt;2018-2029&lt;/_pages&gt;&lt;_social_category&gt;医学(1)&lt;/_social_category&gt;&lt;_subject_headings&gt;Adult; Aged; Aminopyridines; Anaplastic Lymphoma Kinase/*antagonists &amp;amp; inhibitors/genetics; Antineoplastic Agents/adverse effects/*therapeutic use; Carcinoma, Non-Small-Cell Lung/*drug therapy/genetics/mortality; Crizotinib/adverse effects/*therapeutic use; Female; Humans; Hyperlipidemias/chemically induced; Intention to Treat Analysis; Lactams; Lactams, Macrocyclic/adverse effects/*therapeutic use; Lung Neoplasms/*drug therapy/genetics/mortality; Male; Middle Aged; Mutation; Pyrazoles; Survival Analysi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3207094&amp;amp;query_hl=1&lt;/_url&gt;&lt;_volume&gt;383&lt;/_volume&gt;&lt;/Details&gt;&lt;Extra&gt;&lt;DBUID&gt;{F96A950B-833F-4880-A151-76DA2D6A2879}&lt;/DBUID&gt;&lt;/Extra&gt;&lt;/Item&gt;&lt;/References&gt;&lt;/Group&gt;&lt;Group&gt;&lt;References&gt;&lt;Item&gt;&lt;ID&gt;46200&lt;/ID&gt;&lt;UID&gt;{7467B3CC-6C0C-4909-A09F-3D57AEE6FBD9}&lt;/UID&gt;&lt;Title&gt;Brigatinib versus Crizotinib in ALK-Positive Non-Small-Cell Lung Cancer&lt;/Title&gt;&lt;Template&gt;Journal Article&lt;/Template&gt;&lt;Star&gt;0&lt;/Star&gt;&lt;Tag&gt;0&lt;/Tag&gt;&lt;Author&gt;Camidge, D R; Kim, H R; Ahn, M J; Yang, J C; Han, J Y; Lee, J S; Hochmair, M J; Li, J Y; Chang, G C; Lee, K H; Gridelli, C; Delmonte, A; Garcia, Campelo R; Kim, D W; Bearz, A; Griesinger, F; Morabito, A; Felip, E; Califano, R; Ghosh, S; Spira, A; Gettinger, S N; Tiseo, M; Gupta, N; Haney, J; Kerstein, D; Popat, S&lt;/Author&gt;&lt;Year&gt;2018&lt;/Year&gt;&lt;Details&gt;&lt;_accessed&gt;64632453&lt;/_accessed&gt;&lt;_accession_num&gt;30280657&lt;/_accession_num&gt;&lt;_collection_scope&gt;SCIE&lt;/_collection_scope&gt;&lt;_created&gt;64630986&lt;/_created&gt;&lt;_date&gt;2018-11-22&lt;/_date&gt;&lt;_date_display&gt;2018 Nov 22&lt;/_date_display&gt;&lt;_db_updated&gt;PubMed&lt;/_db_updated&gt;&lt;_doi&gt;10.1056/NEJMoa1810171&lt;/_doi&gt;&lt;_impact_factor&gt; 176.079&lt;/_impact_factor&gt;&lt;_isbn&gt;1533-4406 (Electronic); 0028-4793 (Linking)&lt;/_isbn&gt;&lt;_issue&gt;21&lt;/_issue&gt;&lt;_journal&gt;N Engl J Med&lt;/_journal&gt;&lt;_language&gt;eng&lt;/_language&gt;&lt;_modified&gt;64688891&lt;/_modified&gt;&lt;_pages&gt;2027-2039&lt;/_pages&gt;&lt;_social_category&gt;医学(1)&lt;/_social_category&gt;&lt;_subject_headings&gt;Adult; Aged; Aged, 80 and over; Anaplastic Lymphoma Kinase/analysis/*antagonists &amp;amp; inhibitors; Antineoplastic Agents/adverse effects/*therapeutic use; Brain Neoplasms/secondary; Carcinoma, Non-Small-Cell Lung/chemistry/*drug therapy/secondary; Crizotinib/adverse effects/*therapeutic use; Female; Humans; Kaplan-Meier Estimate; Lung Neoplasms/chemistry/*drug therapy/pathology; Male; Middle Aged; Organophosphorus Compounds/adverse effects/*therapeutic use; Progression-Free Survival; Pyrimidines/adverse effects/*therapeutic use&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0280657&amp;amp;query_hl=1&lt;/_url&gt;&lt;_volume&gt;379&lt;/_volume&gt;&lt;/Details&gt;&lt;Extra&gt;&lt;DBUID&gt;{F96A950B-833F-4880-A151-76DA2D6A2879}&lt;/DBUID&gt;&lt;/Extra&gt;&lt;/Item&gt;&lt;/References&gt;&lt;/Group&gt;&lt;Group&gt;&lt;References&gt;&lt;Item&gt;&lt;ID&gt;46201&lt;/ID&gt;&lt;UID&gt;{9E2DD50C-1DCF-457C-B683-FC678251535A}&lt;/UID&gt;&lt;Title&gt;Alectinib versus Crizotinib in Untreated ALK-Positive Non-Small-Cell Lung Cancer&lt;/Title&gt;&lt;Template&gt;Journal Article&lt;/Template&gt;&lt;Star&gt;0&lt;/Star&gt;&lt;Tag&gt;0&lt;/Tag&gt;&lt;Author&gt;Peters, S; Camidge, D R; Shaw, A T; Gadgeel, S; Ahn, J S; Kim, D W; Ou, S I; Perol, M; Dziadziuszko, R; Rosell, R; Zeaiter, A; Mitry, E; Golding, S; Balas, B; Noe, J; Morcos, P N; Mok, T&lt;/Author&gt;&lt;Year&gt;2017&lt;/Year&gt;&lt;Details&gt;&lt;_accessed&gt;64632453&lt;/_accessed&gt;&lt;_accession_num&gt;28586279&lt;/_accession_num&gt;&lt;_collection_scope&gt;SCIE&lt;/_collection_scope&gt;&lt;_created&gt;64630944&lt;/_created&gt;&lt;_date&gt;2017-08-31&lt;/_date&gt;&lt;_date_display&gt;2017 Aug 31&lt;/_date_display&gt;&lt;_db_updated&gt;PubMed&lt;/_db_updated&gt;&lt;_doi&gt;10.1056/NEJMoa1704795&lt;/_doi&gt;&lt;_impact_factor&gt; 176.079&lt;/_impact_factor&gt;&lt;_isbn&gt;1533-4406 (Electronic); 0028-4793 (Linking)&lt;/_isbn&gt;&lt;_issue&gt;9&lt;/_issue&gt;&lt;_journal&gt;N Engl J Med&lt;/_journal&gt;&lt;_language&gt;eng&lt;/_language&gt;&lt;_modified&gt;64688891&lt;/_modified&gt;&lt;_pages&gt;829-838&lt;/_pages&gt;&lt;_social_category&gt;医学(1)&lt;/_social_category&gt;&lt;_subject_headings&gt;Adult; Aged, 80 and over; Anaplastic Lymphoma Kinase; Animals; Antineoplastic Agents/adverse effects/therapeutic use; Carbazoles/adverse effects/*therapeutic use; Carcinoma, Non-Small-Cell Lung/*drug therapy/mortality; Central Nervous System Neoplasms/drug therapy/*secondary; Crizotinib; Disease-Free Survival; Female; Follow-Up Studies; Humans; Intention to Treat Analysis; Kaplan-Meier Estimate; Lung Neoplasms/*drug therapy/mortality; Male; Middle Aged; Piperidines/adverse effects/*therapeutic use; Protein Kinase Inhibitors/adverse effects/*therapeutic use; Pyrazoles/adverse effects/*therapeutic use; Pyridines/adverse effects/*therapeutic use; Receptor Protein-Tyrosine Kinases/analysis/antagonists &amp;amp; inhibitors; Young Adult&lt;/_subject_headings&gt;&lt;_tertiary_title&gt;The New England journal of medicine&lt;/_tertiary_title&gt;&lt;_type_work&gt;Clinical Trial, Phase III; Comparative Study; Journal Article; Multicenter Study; Randomized Controlled Trial&lt;/_type_work&gt;&lt;_url&gt;http://www.ncbi.nlm.nih.gov/entrez/query.fcgi?cmd=Retrieve&amp;amp;db=pubmed&amp;amp;dopt=Abstract&amp;amp;list_uids=28586279&amp;amp;query_hl=1&lt;/_url&gt;&lt;_volume&gt;377&lt;/_volume&gt;&lt;/Details&gt;&lt;Extra&gt;&lt;DBUID&gt;{F96A950B-833F-4880-A151-76DA2D6A2879}&lt;/DBUID&gt;&lt;/Extra&gt;&lt;/Item&gt;&lt;/References&gt;&lt;/Group&gt;&lt;Group&gt;&lt;References&gt;&lt;Item&gt;&lt;ID&gt;46202&lt;/ID&gt;&lt;UID&gt;{4B64A322-E4EA-4491-BD66-79CF9493DD09}&lt;/UID&gt;&lt;Title&gt;First-line crizotinib versus chemotherapy in ALK-positive lung cancer&lt;/Title&gt;&lt;Template&gt;Journal Article&lt;/Template&gt;&lt;Star&gt;0&lt;/Star&gt;&lt;Tag&gt;0&lt;/Tag&gt;&lt;Author&gt;Solomon, B J; Mok, T; Kim, D W; Wu, Y L; Nakagawa, K; Mekhail, T; Felip, E; Cappuzzo, F; Paolini, J; Usari, T; Iyer, S; Reisman, A; Wilner, K D; Tursi, J; Blackhall, F&lt;/Author&gt;&lt;Year&gt;2014&lt;/Year&gt;&lt;Details&gt;&lt;_accessed&gt;64632481&lt;/_accessed&gt;&lt;_accession_num&gt;25470694&lt;/_accession_num&gt;&lt;_collection_scope&gt;SCIE&lt;/_collection_scope&gt;&lt;_created&gt;64630940&lt;/_created&gt;&lt;_date&gt;2014-12-04&lt;/_date&gt;&lt;_date_display&gt;2014 Dec 4&lt;/_date_display&gt;&lt;_db_updated&gt;PubMed&lt;/_db_updated&gt;&lt;_doi&gt;10.1056/NEJMoa1408440&lt;/_doi&gt;&lt;_impact_factor&gt; 176.079&lt;/_impact_factor&gt;&lt;_isbn&gt;1533-4406 (Electronic); 0028-4793 (Linking)&lt;/_isbn&gt;&lt;_issue&gt;23&lt;/_issue&gt;&lt;_journal&gt;N Engl J Med&lt;/_journal&gt;&lt;_language&gt;eng&lt;/_language&gt;&lt;_modified&gt;64688891&lt;/_modified&gt;&lt;_pages&gt;2167-77&lt;/_pages&gt;&lt;_social_category&gt;医学(1)&lt;/_social_category&gt;&lt;_subject_headings&gt;Adenocarcinoma/drug therapy/mortality; Adult; Aged; Anaplastic Lymphoma Kinase; Antineoplastic Combined Chemotherapy Protocols/adverse effects/*therapeutic use; Carboplatin/administration &amp;amp; dosage; Carcinoma, Non-Small-Cell Lung/*drug therapy/mortality; Cisplatin/administration &amp;amp; dosage; Crizotinib; Disease-Free Survival; Female; Glutamates/administration &amp;amp; dosage; Guanine/administration &amp;amp; dosage/analogs &amp;amp; derivatives; Humans; Kaplan-Meier Estimate; Lung Neoplasms/*drug therapy/mortality; Male; Middle Aged; Pemetrexed; Protein Kinase Inhibitors/adverse effects/*therapeutic use; Pyrazoles/adverse effects/*therapeutic use; Pyridines/adverse effects/*therapeutic use; Receptor Protein-Tyrosine Kinases/*antagonists &amp;amp; inhibitor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5470694&amp;amp;query_hl=1&lt;/_url&gt;&lt;_volume&gt;371&lt;/_volume&gt;&lt;/Details&gt;&lt;Extra&gt;&lt;DBUID&gt;{F96A950B-833F-4880-A151-76DA2D6A2879}&lt;/DBUID&gt;&lt;/Extra&gt;&lt;/Item&gt;&lt;/References&gt;&lt;/Group&gt;&lt;/Citation&gt;_x000a_"/>
    <w:docVar w:name="NE.Ref{137FD1E8-E121-400B-8ED2-2642E9D5164F}" w:val=" ADDIN NE.Ref.{137FD1E8-E121-400B-8ED2-2642E9D5164F}&lt;Citation&gt;&lt;Group&gt;&lt;References&gt;&lt;Item&gt;&lt;ID&gt;2985&lt;/ID&gt;&lt;UID&gt;{063DA63F-518B-4ECA-8695-035AE1CC1EF8}&lt;/UID&gt;&lt;Title&gt;The emerging treatment landscape of targeted therapy in non-small-cell lung  cancer&lt;/Title&gt;&lt;Template&gt;Journal Article&lt;/Template&gt;&lt;Star&gt;0&lt;/Star&gt;&lt;Tag&gt;0&lt;/Tag&gt;&lt;Author&gt;Yuan, M; Huang, L L; Chen, J H; Wu, J; Xu, Q&lt;/Author&gt;&lt;Year&gt;2019&lt;/Year&gt;&lt;Details&gt;&lt;_accession_num&gt;31871778&lt;/_accession_num&gt;&lt;_author_adr&gt;1Department of Oncology, Dermatology Hospital, Tongji University School of  Medicine, Shanghai, 200443 China.; 2Department of Oncology, Shanghai Tenth People&amp;apos;s Hospital, Tongji University  School of Medicine, Shanghai, 200072 China.; 1Department of Oncology, Dermatology Hospital, Tongji University School of  Medicine, Shanghai, 200443 China.; 2Department of Oncology, Shanghai Tenth People&amp;apos;s Hospital, Tongji University  School of Medicine, Shanghai, 200072 China.; 1Department of Oncology, Dermatology Hospital, Tongji University School of  Medicine, Shanghai, 200443 China.; 3Peggy and Charles Stephenson Cancer Center, University of Oklahoma Health  Sciences Center, Oklahoma City, OK USA.; 3Peggy and Charles Stephenson Cancer Center, University of Oklahoma Health  Sciences Center, Oklahoma City, OK USA.; 4Department of Pathology, University of Oklahoma Health Sciences Center, Oklahoma  City, OK USA.; 1Department of Oncology, Dermatology Hospital, Tongji University School of  Medicine, Shanghai, 200443 China.; 2Department of Oncology, Shanghai Tenth People&amp;apos;s Hospital, Tongji University  School of Medicine, Shanghai, 200072 China.&lt;/_author_adr&gt;&lt;_collection_scope&gt;CSCD;SCIE&lt;/_collection_scope&gt;&lt;_created&gt;64739372&lt;/_created&gt;&lt;_date&gt;2019-01-20&lt;/_date&gt;&lt;_date_display&gt;2019&lt;/_date_display&gt;&lt;_db_updated&gt;PubMed&lt;/_db_updated&gt;&lt;_doi&gt;10.1038/s41392-019-0099-9&lt;/_doi&gt;&lt;_impact_factor&gt;  38.104&lt;/_impact_factor&gt;&lt;_isbn&gt;2059-3635 (Electronic); 2095-9907 (Print); 2059-3635 (Linking)&lt;/_isbn&gt;&lt;_journal&gt;Signal Transduct Target Ther&lt;/_journal&gt;&lt;_keywords&gt;Lung cancer; Target identification&lt;/_keywords&gt;&lt;_language&gt;eng&lt;/_language&gt;&lt;_modified&gt;64740730&lt;/_modified&gt;&lt;_ori_publication&gt;(c) The Author(s) 2019.&lt;/_ori_publication&gt;&lt;_pages&gt;61&lt;/_pages&gt;&lt;_social_category&gt;医学(1)&lt;/_social_category&gt;&lt;_tertiary_title&gt;Signal transduction and targeted therapy&lt;/_tertiary_title&gt;&lt;_type_work&gt;Journal Article; Research Support, Non-U.S. Gov&amp;apos;t; Review&lt;/_type_work&gt;&lt;_url&gt;http://www.ncbi.nlm.nih.gov/entrez/query.fcgi?cmd=Retrieve&amp;amp;db=pubmed&amp;amp;dopt=Abstract&amp;amp;list_uids=31871778&amp;amp;query_hl=1&lt;/_url&gt;&lt;_volume&gt;4&lt;/_volume&gt;&lt;/Details&gt;&lt;Extra&gt;&lt;DBUID&gt;{F96A950B-833F-4880-A151-76DA2D6A2879}&lt;/DBUID&gt;&lt;/Extra&gt;&lt;/Item&gt;&lt;/References&gt;&lt;/Group&gt;&lt;/Citation&gt;_x000a_"/>
    <w:docVar w:name="NE.Ref{139183DB-71EC-4F89-A33B-6A2F3EE9A200}" w:val=" ADDIN NE.Ref.{139183DB-71EC-4F89-A33B-6A2F3EE9A200}&lt;Citation&gt;&lt;Group&gt;&lt;References&gt;&lt;Item&gt;&lt;ID&gt;5020&lt;/ID&gt;&lt;UID&gt;{6B7A55AC-506D-4096-87B9-1BE06A0F4403}&lt;/UID&gt;&lt;Title&gt;Centers for Medicare &amp;amp; Medicaid Services. https://www.cms.gov/Medicare/Medicare-Fee-for-Service-Payment,Accessed Feb 1, 2024&lt;/Title&gt;&lt;Template&gt;Web Page&lt;/Template&gt;&lt;Star&gt;0&lt;/Star&gt;&lt;Tag&gt;0&lt;/Tag&gt;&lt;Author/&gt;&lt;Year&gt;0&lt;/Year&gt;&lt;Details&gt;&lt;_accessed&gt;65330790&lt;/_accessed&gt;&lt;_created&gt;65329708&lt;/_created&gt;&lt;_modified&gt;65329708&lt;/_modified&gt;&lt;/Details&gt;&lt;Extra&gt;&lt;DBUID&gt;{F96A950B-833F-4880-A151-76DA2D6A2879}&lt;/DBUID&gt;&lt;/Extra&gt;&lt;/Item&gt;&lt;/References&gt;&lt;/Group&gt;&lt;/Citation&gt;_x000a_"/>
    <w:docVar w:name="NE.Ref{139C228D-60E3-411C-B761-B1B6A9181F2C}" w:val=" ADDIN NE.Ref.{139C228D-60E3-411C-B761-B1B6A9181F2C}&lt;Citation&gt;&lt;Group&gt;&lt;References&gt;&lt;Item&gt;&lt;ID&gt;4879&lt;/ID&gt;&lt;UID&gt;{1DAA345D-1D00-41E0-AB11-B4525C85AA09}&lt;/UID&gt;&lt;Title&gt;Patterns of metastasis in colon and rectal cancer&lt;/Title&gt;&lt;Template&gt;Journal Article&lt;/Template&gt;&lt;Star&gt;0&lt;/Star&gt;&lt;Tag&gt;0&lt;/Tag&gt;&lt;Author&gt;Riihimäki, M; Hemminki, A; Sundquist, J; Hemminki, K&lt;/Author&gt;&lt;Year&gt;2016&lt;/Year&gt;&lt;Details&gt;&lt;_accession_num&gt;27416752&lt;/_accession_num&gt;&lt;_author_adr&gt;Division of Molecular Genetic Epidemiology, German Cancer Research Centre (DKFZ),  Heidelberg, Germany.; Center for Primary Health Care Research, Lund University, Malmö, Sweden.; Cancer Gene Therapy Group, Faculty of Medicine, University of Helsinki, Finland.; Helsinki University Hospital Comprehensive Cancer Center, Helsinki, Finland.; Center for Primary Health Care Research, Lund University, Malmö, Sweden.; Division of Molecular Genetic Epidemiology, German Cancer Research Centre (DKFZ),  Heidelberg, Germany.; Center for Primary Health Care Research, Lund University, Malmö, Sweden.&lt;/_author_adr&gt;&lt;_date_display&gt;2016 Jul 15&lt;/_date_display&gt;&lt;_date&gt;2016-07-15&lt;/_date&gt;&lt;_doi&gt;10.1038/srep29765&lt;/_doi&gt;&lt;_isbn&gt;2045-2322 (Electronic); 2045-2322 (Linking)&lt;/_isbn&gt;&lt;_journal&gt;Sci Rep&lt;/_journal&gt;&lt;_language&gt;eng&lt;/_language&gt;&lt;_pages&gt;29765&lt;/_pages&gt;&lt;_subject_headings&gt;Adenocarcinoma/*epidemiology/pathology; Aged; Aged, 80 and over; Colonic Neoplasms/*epidemiology/pathology; Female; Humans; Logistic Models; Male; Middle Aged; Multivariate Analysis; Neoplasm Metastasis; Rectal Neoplasms/*epidemiology/pathology; Registries/*statistics &amp;amp; numerical data; Sweden/epidemiology&lt;/_subject_headings&gt;&lt;_tertiary_title&gt;Scientific reports&lt;/_tertiary_title&gt;&lt;_type_work&gt;Journal Article; Research Support, Non-U.S. Gov&amp;apos;t&lt;/_type_work&gt;&lt;_url&gt;http://www.ncbi.nlm.nih.gov/entrez/query.fcgi?cmd=Retrieve&amp;amp;db=pubmed&amp;amp;dopt=Abstract&amp;amp;list_uids=27416752&amp;amp;query_hl=1&lt;/_url&gt;&lt;_volume&gt;6&lt;/_volume&gt;&lt;_created&gt;65089356&lt;/_created&gt;&lt;_modified&gt;65089356&lt;/_modified&gt;&lt;_impact_factor&gt;   4.996&lt;/_impact_factor&gt;&lt;_social_category&gt;综合性期刊(3)&lt;/_social_category&gt;&lt;_collection_scope&gt;SCIE&lt;/_collection_scope&gt;&lt;/Details&gt;&lt;Extra&gt;&lt;DBUID&gt;{F96A950B-833F-4880-A151-76DA2D6A2879}&lt;/DBUID&gt;&lt;/Extra&gt;&lt;/Item&gt;&lt;/References&gt;&lt;/Group&gt;&lt;Group&gt;&lt;References&gt;&lt;Item&gt;&lt;ID&gt;4880&lt;/ID&gt;&lt;UID&gt;{4F666509-941A-45E6-8AA4-40809542CF4F}&lt;/UID&gt;&lt;Title&gt;Incidence and Survival in Synchronous and Metachronous Liver Metastases From  Colorectal Cancer&lt;/Title&gt;&lt;Template&gt;Journal Article&lt;/Template&gt;&lt;Star&gt;0&lt;/Star&gt;&lt;Tag&gt;0&lt;/Tag&gt;&lt;Author&gt;Reboux, N; Jooste, V; Goungounga, J; Robaszkiewicz, M; Nousbaum, J B; Bouvier, A M&lt;/Author&gt;&lt;Year&gt;2022&lt;/Year&gt;&lt;Details&gt;&lt;_accession_num&gt;36239935&lt;/_accession_num&gt;&lt;_author_adr&gt;Department of Hepato-Gastroenterology, University Hospital La Cavale Blanche,  Brest, France.; Digestive Cancer Registry of Burgundy, Dijon, France.; INSERM UMR 1231, Lipides Nutrition Cancer, EPICAD Team, Dijon, France.; Department of clinical research, Dijon University Hospital, Dijon, France.; Medical School, University of Burgundy, Dijon, France.; Digestive Cancer Registry of Burgundy, Dijon, France.; INSERM UMR 1231, Lipides Nutrition Cancer, EPICAD Team, Dijon, France.; Department of clinical research, Dijon University Hospital, Dijon, France.; Medical School, University of Burgundy, Dijon, France.; Department of Hepato-Gastroenterology, University Hospital La Cavale Blanche,  Brest, France.; Digestive Cancer Registry of Finistère, Equipe d&amp;apos;Accueil 7479, SPURBO, Brest,  France.; Department of Hepato-Gastroenterology, University Hospital La Cavale Blanche,  Brest, France.; Digestive Cancer Registry of Finistère, Equipe d&amp;apos;Accueil 7479, SPURBO, Brest,  France.; Digestive Cancer Registry of Burgundy, Dijon, France.; INSERM UMR 1231, Lipides Nutrition Cancer, EPICAD Team, Dijon, France.; Department of clinical research, Dijon University Hospital, Dijon, France.; Medical School, University of Burgundy, Dijon, France.&lt;/_author_adr&gt;&lt;_date_display&gt;2022 Oct 3&lt;/_date_display&gt;&lt;_date&gt;2022-10-03&lt;/_date&gt;&lt;_doi&gt;10.1001/jamanetworkopen.2022.36666&lt;/_doi&gt;&lt;_isbn&gt;2574-3805 (Electronic); 2574-3805 (Linking)&lt;/_isbn&gt;&lt;_issue&gt;10&lt;/_issue&gt;&lt;_journal&gt;JAMA Netw Open&lt;/_journal&gt;&lt;_language&gt;eng&lt;/_language&gt;&lt;_pages&gt;e2236666&lt;/_pages&gt;&lt;_subject_headings&gt;Aged; Cohort Studies; *Colorectal Neoplasms/pathology; Female; Humans; Incidence; *Liver Neoplasms; Male; *Neoplasms, Second Primary&lt;/_subject_headings&gt;&lt;_tertiary_title&gt;JAMA network open&lt;/_tertiary_title&gt;&lt;_type_work&gt;Journal Article; Research Support, Non-U.S. Gov&amp;apos;t&lt;/_type_work&gt;&lt;_url&gt;http://www.ncbi.nlm.nih.gov/entrez/query.fcgi?cmd=Retrieve&amp;amp;db=pubmed&amp;amp;dopt=Abstract&amp;amp;list_uids=36239935&amp;amp;query_hl=1&lt;/_url&gt;&lt;_volume&gt;5&lt;/_volume&gt;&lt;_created&gt;65089356&lt;/_created&gt;&lt;_modified&gt;65089356&lt;/_modified&gt;&lt;_impact_factor&gt;  13.353&lt;/_impact_factor&gt;&lt;_social_category&gt;医学(1)&lt;/_social_category&gt;&lt;_collection_scope&gt;SCIE&lt;/_collection_scope&gt;&lt;/Details&gt;&lt;Extra&gt;&lt;DBUID&gt;{F96A950B-833F-4880-A151-76DA2D6A2879}&lt;/DBUID&gt;&lt;/Extra&gt;&lt;/Item&gt;&lt;/References&gt;&lt;/Group&gt;&lt;/Citation&gt;_x000a_"/>
    <w:docVar w:name="NE.Ref{1483D876-AAF9-4A47-802D-01AFCB3A7146}" w:val=" ADDIN NE.Ref.{1483D876-AAF9-4A47-802D-01AFCB3A7146}&lt;Citation&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14926C3D-BA79-4CF7-91C4-21D88F8C8BBD}" w:val=" ADDIN NE.Ref.{14926C3D-BA79-4CF7-91C4-21D88F8C8BBD}&lt;Citation&gt;&lt;Group&gt;&lt;References&gt;&lt;Item&gt;&lt;ID&gt;4674&lt;/ID&gt;&lt;UID&gt;{A95CD8DF-0D87-4C53-8E39-5E8A6AD71B5A}&lt;/UID&gt;&lt;Title&gt;Colorectal cancer statistics, 2023&lt;/Title&gt;&lt;Template&gt;Journal Article&lt;/Template&gt;&lt;Star&gt;0&lt;/Star&gt;&lt;Tag&gt;0&lt;/Tag&gt;&lt;Author&gt;Siegel, R L; Wagle, N S; Cercek, A; Smith, R A; Jemal, A&lt;/Author&gt;&lt;Year&gt;2023&lt;/Year&gt;&lt;Details&gt;&lt;_accession_num&gt;36856579&lt;/_accession_num&gt;&lt;_author_adr&gt;Surveillance and Health Equity Science, American Cancer Society, Atlanta,  Georgia, USA.; Surveillance and Health Equity Science, American Cancer Society, Atlanta,  Georgia, USA.; Department of Medicine, Memorial Sloan Kettering Cancer Center, New York, New  York, USA.; Early Cancer Detection Science, American Cancer Society, Atlanta, Georgia, USA.; Surveillance and Health Equity Science, American Cancer Society, Atlanta,  Georgia, USA.&lt;/_author_adr&gt;&lt;_date_display&gt;2023 May-Jun&lt;/_date_display&gt;&lt;_date&gt;2023-05-01&lt;/_date&gt;&lt;_doi&gt;10.3322/caac.21772&lt;/_doi&gt;&lt;_isbn&gt;1542-4863 (Electronic); 0007-9235 (Linking)&lt;/_isbn&gt;&lt;_issue&gt;3&lt;/_issue&gt;&lt;_journal&gt;CA Cancer J Clin&lt;/_journal&gt;&lt;_keywords&gt;colon and rectum neoplasms; early-onset colorectal cancer; epidemiology; health disparities; screening and early detection&lt;/_keywords&gt;&lt;_language&gt;eng&lt;/_language&gt;&lt;_ori_publication&gt;© 2023 The Authors. CA: A Cancer Journal for Clinicians published by Wiley _x000d__x000a_      Periodicals LLC on behalf of American Cancer Society.&lt;/_ori_publication&gt;&lt;_pages&gt;233-254&lt;/_pages&gt;&lt;_subject_headings&gt;Humans; United States/epidemiology; *Colorectal Neoplasms/diagnosis; *Rectal Neoplasms; Incidence; American Cancer Society&lt;/_subject_headings&gt;&lt;_tertiary_title&gt;CA: a cancer journal for clinicians&lt;/_tertiary_title&gt;&lt;_type_work&gt;Journal Article&lt;/_type_work&gt;&lt;_url&gt;http://www.ncbi.nlm.nih.gov/entrez/query.fcgi?cmd=Retrieve&amp;amp;db=pubmed&amp;amp;dopt=Abstract&amp;amp;list_uids=36856579&amp;amp;query_hl=1&lt;/_url&gt;&lt;_volume&gt;73&lt;/_volume&gt;&lt;_created&gt;65020243&lt;/_created&gt;&lt;_modified&gt;65020243&lt;/_modified&gt;&lt;_impact_factor&gt; 286.130&lt;/_impact_factor&gt;&lt;_social_category&gt;医学(1)&lt;/_social_category&gt;&lt;_collection_scope&gt;SCIE&lt;/_collection_scope&gt;&lt;/Details&gt;&lt;Extra&gt;&lt;DBUID&gt;{F96A950B-833F-4880-A151-76DA2D6A2879}&lt;/DBUID&gt;&lt;/Extra&gt;&lt;/Item&gt;&lt;/References&gt;&lt;/Group&gt;&lt;/Citation&gt;_x000a_"/>
    <w:docVar w:name="NE.Ref{1539B2DA-5DAA-4A04-909B-226D5B28DB21}" w:val=" ADDIN NE.Ref.{1539B2DA-5DAA-4A04-909B-226D5B28DB21}&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Citation&gt;_x000a_"/>
    <w:docVar w:name="NE.Ref{15695E51-A208-4872-A1ED-9E4B8975B9ED}" w:val=" ADDIN NE.Ref.{15695E51-A208-4872-A1ED-9E4B8975B9ED}&lt;Citation&gt;&lt;Group&gt;&lt;References&gt;&lt;Item&gt;&lt;ID&gt;4884&lt;/ID&gt;&lt;UID&gt;{380F026F-B456-4A00-A65A-01F03694FCD3}&lt;/UID&gt;&lt;Title&gt;Efficacy and safety of first line treatments for patients with advanced epidermal  growth factor receptor mutated, non-small cell lung cancer: systematic review and  network meta-analysis&lt;/Title&gt;&lt;Template&gt;Journal Article&lt;/Template&gt;&lt;Star&gt;0&lt;/Star&gt;&lt;Tag&gt;0&lt;/Tag&gt;&lt;Author&gt;Zhao, Y; Liu, J; Cai, X; Pan, Z; Liu, J; Yin, W; Chen, H; Xie, Z; Liang, H; Wang, W; Guo, Z; Zhao, S; Liang, W; He, J&lt;/Author&gt;&lt;Year&gt;2019&lt;/Year&gt;&lt;Details&gt;&lt;_accession_num&gt;31591158&lt;/_accession_num&gt;&lt;_author_adr&gt;Department of Thoracic Surgery and Oncology, First Affiliated Hospital of  Guangzhou Medical University, State Key Laboratory of Respiratory Disease and  National Clinical Research Centre for Respiratory Disease, 151 Yanjiang Road,  Guangzhou 510120, China.; Department of Thoracic Surgery and Oncology, First Affiliated Hospital of  Guangzhou Medical University, State Key Laboratory of Respiratory Disease and  National Clinical Research Centre for Respiratory Disease, 151 Yanjiang Road,  Guangzhou 510120, China.; Department of General Internal Medicine, Sun Yat-sen University Cancer Centre,  State Key Laboratory of Oncology in South China, Collaborative Innovation Centre  for Cancer Medicine, Guangzhou, China.; Department of Oncology, Qingdao Municipal Hospital, Qingdao, China.; Department of Thoracic Surgery and Oncology, First Affiliated Hospital of  Guangzhou Medical University, State Key Laboratory of Respiratory Disease and  National Clinical Research Centre for Respiratory Disease, 151 Yanjiang Road,  Guangzhou 510120, China.; Department of Thoracic Surgery and Oncology, First Affiliated Hospital of  Guangzhou Medical University, State Key Laboratory of Respiratory Disease and  National Clinical Research Centre for Respiratory Disease, 151 Yanjiang Road,  Guangzhou 510120, China.; Department of Thoracic Surgery and Oncology, First Affiliated Hospital of  Guangzhou Medical University, State Key Laboratory of Respiratory Disease and  National Clinical Research Centre for Respiratory Disease, 151 Yanjiang Road,  Guangzhou 510120, China.; Department of Respiratory Medicine, First Affiliated Hospital of Guangzhou  Medical University, State Key Laboratory of Respiratory Disease and National  Clinical Research Centre for Respiratory Disease, Guangzhou, China.; Department of Thoracic Surgery and Oncology, First Affiliated Hospital of  Guangzhou Medical University, State Key Laboratory of Respiratory Disease and  National Clinical Research Centre for Respiratory Disease, 151 Yanjiang Road,  Guangzhou 510120, China drjianxing.he@gmail.com liangwh1987@163.com.; Department of Thoracic Surgery and Oncology, First Affiliated Hospital of  Guangzhou Medical University, State Key Laboratory of Respiratory Disease and  National Clinical Research Centre for Respiratory Disease, 151 Yanjiang Road,  Guangzhou 510120, China.; Department of Thoracic Surgery and Oncology, First Affiliated Hospital of  Guangzhou Medical University, State Key Laboratory of Respiratory Disease and  National Clinical Research Centre for Respiratory Disease, 151 Yanjiang Road,  Guangzhou 510120, China.; Department of Medical Oncology, Sun Yat-sen University Cancer Centre, State Key  Laboratory of Oncology in South China, Collaborative Innovation Centre for Cancer  Medicine, Guangzhou, China.; Department of Thoracic Surgery and Oncology, First Affiliated Hospital of  Guangzhou Medical University, State Key Laboratory of Respiratory Disease and  National Clinical Research Centre for Respiratory Disease, 151 Yanjiang Road,  Guangzhou 510120, China drjianxing.he@gmail.com liangwh1987@163.com.; Department of Thoracic Surgery and Oncology, First Affiliated Hospital of  Guangzhou Medical University, State Key Laboratory of Respiratory Disease and  National Clinical Research Centre for Respiratory Disease, 151 Yanjiang Road,  Guangzhou 510120, China drjianxing.he@gmail.com liangwh1987@163.com.&lt;/_author_adr&gt;&lt;_date_display&gt;2019 Oct 7&lt;/_date_display&gt;&lt;_date&gt;2019-10-07&lt;/_date&gt;&lt;_doi&gt;10.1136/bmj.l5460&lt;/_doi&gt;&lt;_isbn&gt;1756-1833 (Electronic); 0959-8138 (Print); 0959-8138 (Linking)&lt;/_isbn&gt;&lt;_journal&gt;BMJ&lt;/_journal&gt;&lt;_language&gt;eng&lt;/_language&gt;&lt;_ori_publication&gt;Published by the BMJ Publishing Group Limited. For permission to use (where not _x000d__x000a_      already granted under a licence) please go to _x000d__x000a_      http://group.bmj.com/group/rights-licensing/permissions.&lt;/_ori_publication&gt;&lt;_pages&gt;l5460&lt;/_pages&gt;&lt;_subject_headings&gt;Biomarkers, Tumor/genetics; Carcinoma, Non-Small-Cell Lung/*genetics/*therapy; ErbB Receptors/genetics; Humans; *Mutation; Network Meta-Analysis&lt;/_subject_headings&gt;&lt;_tertiary_title&gt;BMJ (Clinical research ed.)&lt;/_tertiary_title&gt;&lt;_type_work&gt;Journal Article; Meta-Analysis; Systematic Review&lt;/_type_work&gt;&lt;_url&gt;http://www.ncbi.nlm.nih.gov/entrez/query.fcgi?cmd=Retrieve&amp;amp;db=pubmed&amp;amp;dopt=Abstract&amp;amp;list_uids=31591158&amp;amp;query_hl=1&lt;/_url&gt;&lt;_volume&gt;367&lt;/_volume&gt;&lt;_created&gt;65089356&lt;/_created&gt;&lt;_modified&gt;65089356&lt;/_modified&gt;&lt;_impact_factor&gt;  93.333&lt;/_impact_factor&gt;&lt;_collection_scope&gt;SCIE&lt;/_collection_scope&gt;&lt;/Details&gt;&lt;Extra&gt;&lt;DBUID&gt;{F96A950B-833F-4880-A151-76DA2D6A2879}&lt;/DBUID&gt;&lt;/Extra&gt;&lt;/Item&gt;&lt;/References&gt;&lt;/Group&gt;&lt;/Citation&gt;_x000a_"/>
    <w:docVar w:name="NE.Ref{165101FD-41F0-4BD8-8862-78AE22384D2D}" w:val=" ADDIN NE.Ref.{165101FD-41F0-4BD8-8862-78AE22384D2D}&lt;Citation&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17BA4C8B-401D-48AE-829F-22643A2B86C1}" w:val=" ADDIN NE.Ref.{17BA4C8B-401D-48AE-829F-22643A2B86C1}&lt;Citation&gt;&lt;Group&gt;&lt;References&gt;&lt;Item&gt;&lt;ID&gt;46228&lt;/ID&gt;&lt;UID&gt;{F6E7A180-3F59-44C9-8957-7EED9F04D274}&lt;/UID&gt;&lt;Title&gt;Final overall survival analysis from the phase III J-ALEX study of alectinib  versus crizotinib in ALK inhibitor-naive Japanese patients with ALK-positive  non-small-cell lung cancer&lt;/Title&gt;&lt;Template&gt;Journal Article&lt;/Template&gt;&lt;Star&gt;0&lt;/Star&gt;&lt;Tag&gt;0&lt;/Tag&gt;&lt;Author&gt;Hotta, K; Hida, T; Nokihara, H; Morise, M; Kim, Y H; Azuma, K; Seto, T; Takiguchi, Y; Nishio, M; Yoshioka, H; Kumagai, T; Watanabe, S; Goto, K; Satouchi, M; Kozuki, T; Shukuya, T; Nakagawa, K; Mitsudomi, T; Yamamoto, N; Asakawa, T; Yoshimoto, T; Takata, S; Tamura, T&lt;/Author&gt;&lt;Year&gt;2022&lt;/Year&gt;&lt;Details&gt;&lt;_accession_num&gt;35843080&lt;/_accession_num&gt;&lt;_author_adr&gt;Center for Innovative Clinical Medicine, Okayama University Hospital, Okayama.  Electronic address: khotta@okayama-u.ac.jp.; Department of Thoracic Oncology, Aichi Cancer Center, Nagoya, Aichi.; Department of Thoracic Oncology, National Cancer Center Hospital, Tokyo.; Department of Respiratory Medicine, Nagoya University Graduate School of  Medicine, Nagoya.; Department of Respiratory Medicine, Kyoto University, Kyoto.; Division of Respirology, Neurology, and Rheumatology, Department of Internal  Medicine, Kurume University School of Medicine, Kurume, Fukuoka.; Department of Thoracic Oncology, National Hospital Organization Kyusyu Cancer  Center, Fukuoka.; Department of Medical Oncology, Graduate School of Medicine, Chiba University,  Chiba.; Department of Thoracic Medical Oncology, The Cancer Institute Hospital of  Japanese Foundation for Cancer Research, Tokyo.; Department of Thoracic Oncology, Kansai Medical University Hospital, Hirakata,  Osaka.; Department of Thoracic Oncology, Osaka International Cancer Institute, Osaka.; Department of Respiratory Medicine and Infectious Diseases, Niigata University  Graduate School of Medical and Dental Sciences, Niigata.; Department of Thoracic Oncology, National Cancer Center Hospital East, Kashiwa,  Chiba.; Department of Thoracic Oncology, Hyogo Cancer Center, Akashi, Hyogo.; Department of Thoracic Oncology and Medicine, National Hospital Organization  Shikoku Cancer Center, Matsuyama, Ehime.; Department of Respiratory Medicine, Juntendo University, Tokyo.; Department of Medical Oncology, Kindai University Faculty of Medicine,  Osaka-Sayama, Osaka.; Division of Thoracic Surgery, Department of Surgery, Kindai University Faculty of  Medicine, Osaka-Sayama, Osaka.; Third Department of Internal Medicine, Wakayama Medical University, Wakayama.; Biometrics Department, Chugai Pharmaceuticals Co. Ltd, Tokyo.; Biometrics Department, Chugai Pharmaceuticals Co. Ltd, Tokyo.; Oncology Clinical Development Department, Chugai Pharmaceuticals Co. Ltd, Tokyo.; Thoracic Center, St. Luke&amp;apos;s International Hospital, Tokyo, Japan.&lt;/_author_adr&gt;&lt;_date_display&gt;2022 Aug&lt;/_date_display&gt;&lt;_date&gt;2022-08-01&lt;/_date&gt;&lt;_doi&gt;10.1016/j.esmoop.2022.100527&lt;/_doi&gt;&lt;_isbn&gt;2059-7029 (Electronic); 2059-7029 (Linking)&lt;/_isbn&gt;&lt;_issue&gt;4&lt;/_issue&gt;&lt;_journal&gt;ESMO Open&lt;/_journal&gt;&lt;_keywords&gt;ALK-positive NSCLC; J-ALEX; alectinib; crizotinib; overall survival&lt;/_keywords&gt;&lt;_language&gt;eng&lt;/_language&gt;&lt;_ori_publication&gt;Copyright (c) 2022 The Authors. Published by Elsevier Ltd.. All rights reserved.&lt;/_ori_publication&gt;&lt;_pages&gt;100527&lt;/_pages&gt;&lt;_subject_headings&gt;Carbazoles; *Carcinoma, Non-Small-Cell Lung; Crizotinib; Humans; Japan; *Lung Neoplasms; Piperidines; Protein Kinase Inhibitors; Survival Analysis&lt;/_subject_headings&gt;&lt;_tertiary_title&gt;ESMO open&lt;/_tertiary_title&gt;&lt;_type_work&gt;Journal Article; Randomized Controlled Trial; Research Support, Non-U.S. Gov&amp;apos;t&lt;/_type_work&gt;&lt;_url&gt;http://www.ncbi.nlm.nih.gov/entrez/query.fcgi?cmd=Retrieve&amp;amp;db=pubmed&amp;amp;dopt=Abstract&amp;amp;list_uids=35843080&amp;amp;query_hl=1&lt;/_url&gt;&lt;_volume&gt;7&lt;/_volume&gt;&lt;_created&gt;64688898&lt;/_created&gt;&lt;_modified&gt;64688898&lt;/_modified&gt;&lt;_db_updated&gt;PubMed&lt;/_db_updated&gt;&lt;_impact_factor&gt;   6.540&lt;/_impact_factor&gt;&lt;/Details&gt;&lt;Extra&gt;&lt;DBUID&gt;{F96A950B-833F-4880-A151-76DA2D6A2879}&lt;/DBUID&gt;&lt;/Extra&gt;&lt;/Item&gt;&lt;/References&gt;&lt;/Group&gt;&lt;/Citation&gt;_x000a_"/>
    <w:docVar w:name="NE.Ref{17F785D8-18B2-496D-89F0-00D8785708FC}" w:val=" ADDIN NE.Ref.{17F785D8-18B2-496D-89F0-00D8785708FC}&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Citation&gt;_x000a_"/>
    <w:docVar w:name="NE.Ref{182A5AC6-1152-48E7-9461-C4291BCC55DF}" w:val=" ADDIN NE.Ref.{182A5AC6-1152-48E7-9461-C4291BCC55DF}&lt;Citation&gt;&lt;Group&gt;&lt;References&gt;&lt;Item&gt;&lt;ID&gt;46198&lt;/ID&gt;&lt;UID&gt;{89E0B8BA-E7C2-40E9-81D4-0C4248F08B9F}&lt;/UID&gt;&lt;Title&gt;Ceritinib versus chemotherapy in patients with ALK-rearranged non-small-cell lung cancer previously given chemotherapy and crizotinib (ASCEND-5): a randomised, controlled, open-label, phase 3 trial&lt;/Title&gt;&lt;Template&gt;Journal Article&lt;/Template&gt;&lt;Star&gt;1&lt;/Star&gt;&lt;Tag&gt;0&lt;/Tag&gt;&lt;Author&gt;Shaw, A T; Kim, T M; Crino, L; Gridelli, C; Kiura, K; Liu, G; Novello, S; Bearz, A; Gautschi, O; Mok, T; Nishio, M; Scagliotti, G; Spigel, D R; Deudon, S; Zheng, C; Pantano, S; Urban, P; Massacesi, C; Viraswami-Appanna, K; Felip, E&lt;/Author&gt;&lt;Year&gt;2017&lt;/Year&gt;&lt;Details&gt;&lt;_accessed&gt;64632463&lt;/_accessed&gt;&lt;_accession_num&gt;28602779&lt;/_accession_num&gt;&lt;_author_adr&gt;Massachusetts General Hospital, Boston, MA, USA. Electronic address: ashaw1@mgh.harvard.edu.; Seoul National University Hospital, Seoul, Korea.; Istituto Scientifico Romagnolo per lo Studio e la Cura dei Tumori, Istituto di Ricovero e Cura a Carattere Scientifico, Meldola, Italy.; SG Moscati Hospital, Citta Ospedaliera, Contrada Amoretta, Avellino, Italy.; Okayama University Hospital, Okayama, Japan.; Princess Margaret Cancer Centre, Toronto, ON, Canada.; University of Torino, Torino, Italy.; Istituto di Ricovero e Cura a Carattere Scientifico-Centro di Riferimento Oncologico, Aviano, Italy.; Cantonal Hospital Lucerne, Lucerne, Switzerland.; State Key Laboratory of South China, Chinese University of Hong Kong, Shatin, China.; Cancer Institute Hospital of Japanese Foundation for Cancer Research, Tokyo, Japan.; University of Torino, Torino, Italy.; Sarah Cannon Research Institute, Nashville, TN, USA.; Novartis, Basel, Switzerland.; Novartis, East Hanover, NJ, USA.; Novartis, Basel, Switzerland.; Novartis, Basel, Switzerland.; Novartis, Basel, Switzerland.; Novartis, East Hanover, NJ, USA.; Vall d&amp;apos;Hebron University Hospital, Barcelona, Spain; Vall d&amp;apos;Hebron Institute of Oncology, Barcelona, Spain.&lt;/_author_adr&gt;&lt;_collection_scope&gt;SCIE&lt;/_collection_scope&gt;&lt;_created&gt;64630954&lt;/_created&gt;&lt;_date&gt;2017-07-01&lt;/_date&gt;&lt;_date_display&gt;2017 Jul&lt;/_date_display&gt;&lt;_db_updated&gt;PubMed&lt;/_db_updated&gt;&lt;_doi&gt;10.1016/S1470-2045(17)30339-X&lt;/_doi&gt;&lt;_impact_factor&gt;  54.433&lt;/_impact_factor&gt;&lt;_isbn&gt;1474-5488 (Electronic); 1470-2045 (Linking)&lt;/_isbn&gt;&lt;_issue&gt;7&lt;/_issue&gt;&lt;_journal&gt;Lancet Oncol&lt;/_journal&gt;&lt;_language&gt;eng&lt;/_language&gt;&lt;_modified&gt;64688891&lt;/_modified&gt;&lt;_ori_publication&gt;Copyright (c) 2017 Elsevier Ltd. All rights reserved.&lt;/_ori_publication&gt;&lt;_pages&gt;874-886&lt;/_pages&gt;&lt;_social_category&gt;医学(1)&lt;/_social_category&gt;&lt;_subject_headings&gt;Adult; Alanine Transaminase/blood; Anaplastic Lymphoma Kinase; Antineoplastic Agents/*therapeutic use; Antineoplastic Combined Chemotherapy Protocols/therapeutic use; Aspartate Aminotransferases/blood; Carcinoma, Non-Small-Cell Lung/*drug therapy/genetics/secondary; Crizotinib; Disease Progression; Disease-Free Survival; Docetaxel; Female; Gene Rearrangement; Humans; Lung Neoplasms/*drug therapy/genetics/pathology; Male; Middle Aged; Neoplasm Staging; Pemetrexed/*therapeutic use; Platinum Compounds/administration &amp;amp; dosage; Pyrazoles/therapeutic use; Pyridines/therapeutic use; Pyrimidines/adverse effects/*therapeutic use; Receptor Protein-Tyrosine Kinases/*genetics; Response Evaluation Criteria in Solid Tumors; Retreatment; Sulfones/adverse effects/*therapeutic use; Taxoids/*therapeutic use; gamma-Glutamyltransferase/blood&lt;/_subject_headings&gt;&lt;_tertiary_title&gt;The Lancet. Oncology&lt;/_tertiary_title&gt;&lt;_type_work&gt;Clinical Trial, Phase III; Comparative Study; Journal Article; Multicenter Study; Randomized Controlled Trial&lt;/_type_work&gt;&lt;_url&gt;http://www.ncbi.nlm.nih.gov/entrez/query.fcgi?cmd=Retrieve&amp;amp;db=pubmed&amp;amp;dopt=Abstract&amp;amp;list_uids=28602779&amp;amp;query_hl=1&lt;/_url&gt;&lt;_volume&gt;18&lt;/_volume&gt;&lt;/Details&gt;&lt;Extra&gt;&lt;DBUID&gt;{F96A950B-833F-4880-A151-76DA2D6A2879}&lt;/DBUID&gt;&lt;/Extra&gt;&lt;/Item&gt;&lt;/References&gt;&lt;/Group&gt;&lt;/Citation&gt;_x000a_"/>
    <w:docVar w:name="NE.Ref{189A8BC8-99A5-4693-90A9-B2A23BD2919C}" w:val=" ADDIN NE.Ref.{189A8BC8-99A5-4693-90A9-B2A23BD2919C}&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Citation&gt;_x000a_"/>
    <w:docVar w:name="NE.Ref{193BA0D5-CB25-4804-B513-7976B26648AB}" w:val=" ADDIN NE.Ref.{193BA0D5-CB25-4804-B513-7976B26648AB}&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Citation&gt;_x000a_"/>
    <w:docVar w:name="NE.Ref{19CEA0DE-A698-4B76-8273-20F041256CE2}" w:val=" ADDIN NE.Ref.{19CEA0DE-A698-4B76-8273-20F041256CE2}&lt;Citation&gt;&lt;Group&gt;&lt;References&gt;&lt;Item&gt;&lt;ID&gt;2966&lt;/ID&gt;&lt;UID&gt;{5378D739-8B23-48C1-B132-B277DC383F02}&lt;/UID&gt;&lt;Title&gt;A Bayesian network meta-analysis regarding the comparative efficacy of  therapeutics for ALK-positive, brain metastatic non-small cell lung cancer&lt;/Title&gt;&lt;Template&gt;Journal Article&lt;/Template&gt;&lt;Star&gt;0&lt;/Star&gt;&lt;Tag&gt;0&lt;/Tag&gt;&lt;Author&gt;Zhao, B; Han, Y; Wang, Y; Wang, Y; Wang, Y; Xing, H; Dai, C; Wang, Y; Wang, H; Ma, W&lt;/Author&gt;&lt;Year&gt;2021&lt;/Year&gt;&lt;Details&gt;&lt;_accession_num&gt;34626769&lt;/_accession_num&gt;&lt;_author_adr&gt;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State Key Laboratory of Complex Severe and Rare Diseases, Peking Union Medical  College Hospital, Chinese Academy of Medical Science and Peking Union Medical  College, Beijing, PR China; Department of Thoracic Surgery, Peking Union Medical  College Hospital, Peking Union Medical College and Chinese Academy of Medical  Sciences, Beijing, PR China.;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Department of Neurosurgery, Beijing Tongren Hospital, Capital Medical University,  Beijing, PR China.;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Electronic address: ywang@pumch.cn.; State Key Laboratory of Complex Severe and Rare Diseases, Peking Union Medical  College Hospital, Chinese Academy of Medical Science and Peking Union Medical  College, Beijing, PR China; Department of Respiratory Medicine, Peking Union  Medical College Hospital, Chinese Academy of Medical Sciences and Peking Union  Medical College, Beijing, PR China. Electronic address: wanghanping78@163.com.;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China Pituitary Disease Registry Center, Chinese  Pituitary Adenoma Cooperative Group, Beijing, PR China; China Alliance of Rare  Diseases, Beijing, PR China. Electronic address: mawb2001@hotmail.com.&lt;/_author_adr&gt;&lt;_collection_scope&gt;SCIE&lt;/_collection_scope&gt;&lt;_created&gt;64739508&lt;/_created&gt;&lt;_date&gt;2021-12-01&lt;/_date&gt;&lt;_date_display&gt;2021 Dec&lt;/_date_display&gt;&lt;_db_updated&gt;PubMed&lt;/_db_updated&gt;&lt;_doi&gt;10.1016/j.phrs.2021.105931&lt;/_doi&gt;&lt;_impact_factor&gt;  10.334&lt;/_impact_factor&gt;&lt;_isbn&gt;1096-1186 (Electronic); 1043-6618 (Linking)&lt;/_isbn&gt;&lt;_journal&gt;Pharmacol Res&lt;/_journal&gt;&lt;_keywords&gt;ALK-positive; Brain metastasis; NSCLC; Network meta-analysis&lt;/_keywords&gt;&lt;_language&gt;eng&lt;/_language&gt;&lt;_modified&gt;64740725&lt;/_modified&gt;&lt;_ori_publication&gt;Copyright (c) 2021. Published by Elsevier Ltd.&lt;/_ori_publication&gt;&lt;_pages&gt;105931&lt;/_pages&gt;&lt;_social_category&gt;医学(2)&lt;/_social_category&gt;&lt;_subject_headings&gt;Anaplastic Lymphoma Kinase/*antagonists &amp;amp; inhibitors; Antineoplastic Agents/*therapeutic use; Bayes Theorem; Brain Neoplasms/*drug therapy/mortality/secondary; Carcinoma, Non-Small-Cell Lung/*drug therapy/mortality/pathology; Humans; Lung Neoplasms/*drug therapy/mortality/pathology; Network Meta-Analysis; Protein Kinase Inhibitors/*therapeutic use; Randomized Controlled Trials as Topic; Treatment Outcome&lt;/_subject_headings&gt;&lt;_tertiary_title&gt;Pharmacological research&lt;/_tertiary_title&gt;&lt;_type_work&gt;Comparative Study; Journal Article; Meta-Analysis; Research Support, Non-U.S. Gov&amp;apos;t; Systematic Review&lt;/_type_work&gt;&lt;_url&gt;http://www.ncbi.nlm.nih.gov/entrez/query.fcgi?cmd=Retrieve&amp;amp;db=pubmed&amp;amp;dopt=Abstract&amp;amp;list_uids=34626769&amp;amp;query_hl=1&lt;/_url&gt;&lt;_volume&gt;174&lt;/_volume&gt;&lt;/Details&gt;&lt;Extra&gt;&lt;DBUID&gt;{F96A950B-833F-4880-A151-76DA2D6A2879}&lt;/DBUID&gt;&lt;/Extra&gt;&lt;/Item&gt;&lt;/References&gt;&lt;/Group&gt;&lt;/Citation&gt;_x000a_"/>
    <w:docVar w:name="NE.Ref{1A95B90A-73C0-4354-96A0-0D4D4E60F047}" w:val=" ADDIN NE.Ref.{1A95B90A-73C0-4354-96A0-0D4D4E60F047}&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Citation&gt;_x000a_"/>
    <w:docVar w:name="NE.Ref{1D685F98-FC65-433A-AE57-8E6368A3BC89}" w:val=" ADDIN NE.Ref.{1D685F98-FC65-433A-AE57-8E6368A3BC89}&lt;Citation&gt;&lt;Group&gt;&lt;References&gt;&lt;Item&gt;&lt;ID&gt;4886&lt;/ID&gt;&lt;UID&gt;{A4F6F0B4-0709-44F4-96CF-EEA2EEE2D933}&lt;/UID&gt;&lt;Title&gt;FOLFOXIRI Plus Cetuximab or Bevacizumab as First-Line Treatment of  BRAF(V600E)-Mutant Metastatic Colorectal Cancer: The Randomized Phase II FIRE-4.5  (AIO KRK0116) Study&lt;/Title&gt;&lt;Template&gt;Journal Article&lt;/Template&gt;&lt;Star&gt;0&lt;/Star&gt;&lt;Tag&gt;0&lt;/Tag&gt;&lt;Author&gt;Stintzing, S; Heinrich, K; Tougeron, D; Modest, D P; Schwaner, I; Eucker, J; Pihusch, R; Stauch, M; Kaiser, F; Kahl, C; Karthaus, M; Müller, C; Burkart, C; Reinacher-Schick, A; Kasper-Virchow, S; Fischer, Von Weikersthal L; Krammer-Steiner, B; Prager, G W; Taieb, J; Heinemann, V&lt;/Author&gt;&lt;Year&gt;2023&lt;/Year&gt;&lt;Details&gt;&lt;_accession_num&gt;37352476&lt;/_accession_num&gt;&lt;_author_adr&gt;Department of Hematology, Oncology, and Cancer Immunology (CCM),  Charité-Universitaetsmedizin Berlin, Germany.; German Cancer Consortium (DKTK), partner site Berlin, German Cancer Research  Center (DKFZ), Heidelberg, Germany.; Department of Oncology, LMU University Hospital, Munich, Germany.; Department of Hepato-Gastroenterology, Poitiers University Hospital and  University of Poitiers, Poitiers, France.; Department of Hematology, Oncology, and Cancer Immunology (CCM),  Charité-Universitaetsmedizin Berlin, Germany.; Onkologische Schwerpunktpraxis Kurfürstendamm, Berlin, Germany.; Department of Hematology, Oncology, and Cancer Immunology (CBF),  Charité-Universitaetsmedizin Berlin, Germany.; MVZ Praxis Pihusch, Rosenheim, Germany.; Hematology, Oncology/Hemostaseology Kronach, Kronach, Germany.; VK&amp;amp;K Oncology GmbH, Landshut, Germany.; Klinikum Magdeburg gGmbH, Department of Hematology, Oncology and Palliative Care  Magdeburg, Germany.; Department of Internal Medicine, Clinic III-Hematology, Oncology and Palliative  Care, Rostock University Medical Center, Rostock, Germany.; Department of Hematology, Oncology and Palliative Care, München Klinik Harlaching  and Neuperlach, Munich, Germany.; Evang. Kliniken Essen-Mitte, Essen, Germany.; Schwarzwald-Baar Klinikum Villingen-Schwenningen, Germany.; Department of Hematology, Oncology and Palliative Care, St Josef-Hospital,  Ruhr-University Bochum, Bochum, Germany.; West German Cancer Center, Department of Medical Oncology, University Hospital  Essen, Essen, Germany.; Gesundheitszentrum St Marien, Amberg, Germany.; Department of Hematology and Oncology; Klinikum Rostock Südstadt, Rostock,  Germany.; Department of Medicine I, Clinical Division of Oncology, Medical University of  Vienna, Vienna, Austria.; Department of Hepato-Gastroenterology, Poitiers University Hospital and  University of Poitiers, Poitiers, France.; Department of Gastroenterology and GI Oncology, University Paris-Cité, (Paris  Descartes), SIRC CARPEM, Hopital Européen Georges Pompidou, Paris, France.; Department of Oncology, LMU University Hospital, Munich, Germany.; Department of Gastroenterology and GI Oncology, University Paris-Cité, (Paris  Descartes), SIRC CARPEM, Hopital Européen Georges Pompidou, Paris, France.&lt;/_author_adr&gt;&lt;_date_display&gt;2023 Sep 1&lt;/_date_display&gt;&lt;_date&gt;2023-09-01&lt;/_date&gt;&lt;_doi&gt;10.1200/JCO.22.01420&lt;/_doi&gt;&lt;_isbn&gt;1527-7755 (Electronic); 0732-183X (Linking)&lt;/_isbn&gt;&lt;_issue&gt;25&lt;/_issue&gt;&lt;_journal&gt;J Clin Oncol&lt;/_journal&gt;&lt;_language&gt;eng&lt;/_language&gt;&lt;_pages&gt;4143-4153&lt;/_pages&gt;&lt;_subject_headings&gt;Humans; Bevacizumab; Cetuximab; *Colorectal Neoplasms/drug therapy/genetics/pathology; Proto-Oncogene Proteins B-raf/genetics; Prospective Studies; Antineoplastic Combined Chemotherapy Protocols/adverse effects; Camptothecin; Fluorouracil; Leucovorin; *Colonic Neoplasms/drug therapy; *Rectal Neoplasms/drug therapy; Adenosine Triphosphate/therapeutic use&lt;/_subject_headings&gt;&lt;_tertiary_title&gt;Journal of clinical oncology : official journal of the American Society of _x000d__x000a_      Clinical Oncology&lt;/_tertiary_title&gt;&lt;_type_work&gt;Clinical Trial, Phase II; Journal Article; Randomized Controlled Trial; Research Support, Non-U.S. Gov&amp;apos;t&lt;/_type_work&gt;&lt;_url&gt;http://www.ncbi.nlm.nih.gov/entrez/query.fcgi?cmd=Retrieve&amp;amp;db=pubmed&amp;amp;dopt=Abstract&amp;amp;list_uids=37352476&amp;amp;query_hl=1&lt;/_url&gt;&lt;_volume&gt;41&lt;/_volume&gt;&lt;_created&gt;65090136&lt;/_created&gt;&lt;_modified&gt;6509013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1D7BBBEC-F870-4760-B5F3-0499F70F573E}" w:val=" ADDIN NE.Ref.{1D7BBBEC-F870-4760-B5F3-0499F70F573E}&lt;Citation&gt;&lt;Group&gt;&lt;References&gt;&lt;Item&gt;&lt;ID&gt;4869&lt;/ID&gt;&lt;UID&gt;{206679BE-26A0-4C93-8FE9-8240DA41603E}&lt;/UID&gt;&lt;Title&gt;Chemoembolization in Conjunction with Bevacizumab: Preliminary Results&lt;/Title&gt;&lt;Template&gt;Journal Article&lt;/Template&gt;&lt;Star&gt;0&lt;/Star&gt;&lt;Tag&gt;0&lt;/Tag&gt;&lt;Author&gt;Fiorentini, G; Sarti, D; Aliberti, C; Carandina, R; Mulazzani, L; Felicioli, A; Guadagni, S&lt;/Author&gt;&lt;Year&gt;2018&lt;/Year&gt;&lt;Details&gt;&lt;_accession_num&gt;30146190&lt;/_accession_num&gt;&lt;_author_adr&gt;Department of Oncology-Hematology, Azienda Ospedaliera &amp;quot;Ospedali Riuniti Marche  Nord,&amp;quot; San Salvatore Hospital, Via Lombroso 1, Pesaro 61122, Italy. Electronic  address: g.fiorentini@alice.it.; Department of Oncology-Hematology, Azienda Ospedaliera &amp;quot;Ospedali Riuniti Marche  Nord,&amp;quot; San Salvatore Hospital, Via Lombroso 1, Pesaro 61122, Italy.; Oncology Radiodiagnostics, Oncology Institute of Veneto, Institute for the  Research and Treatment of Cancer, Padova, Italy.; Oncology Radiodiagnostics, Oncology Institute of Veneto, Institute for the  Research and Treatment of Cancer, Padova, Italy.; Diagnostics for Images Unit and Interventional Radiology, Azienda Ospedaliera  &amp;quot;Ospedali Riuniti Marche Nord,&amp;quot; San Salvatore Hospital, Via Lombroso 1, Pesaro  61122, Italy.; Diagnostics for Images Unit and Interventional Radiology, Azienda Ospedaliera  &amp;quot;Ospedali Riuniti Marche Nord,&amp;quot; San Salvatore Hospital, Via Lombroso 1, Pesaro  61122, Italy.; Department of Applied Clinical Sciences &amp;amp; Biotechnology, University of L&amp;apos;Aquila,  L&amp;apos;Aquila, Italy; Alma Mater Europaea-European Center Maribor, Maribor, Slovenia.&lt;/_author_adr&gt;&lt;_date_display&gt;2018 Sep&lt;/_date_display&gt;&lt;_date&gt;2018-09-01&lt;/_date&gt;&lt;_doi&gt;10.1016/j.jvir.2018.04.022&lt;/_doi&gt;&lt;_isbn&gt;1535-7732 (Electronic); 1051-0443 (Linking)&lt;/_isbn&gt;&lt;_issue&gt;9&lt;/_issue&gt;&lt;_journal&gt;J Vasc Interv Radiol&lt;/_journal&gt;&lt;_language&gt;eng&lt;/_language&gt;&lt;_ori_publication&gt;Copyright © 2018 SIR. Published by Elsevier Inc. All rights reserved.&lt;/_ori_publication&gt;&lt;_pages&gt;1236-1239&lt;/_pages&gt;&lt;_subject_headings&gt;Administration, Intravenous; Aged; Angiogenesis Inhibitors/*administration &amp;amp; dosage/adverse effects; Antineoplastic Combined Chemotherapy Protocols/adverse effects/*therapeutic use; Bevacizumab/*administration &amp;amp; dosage/adverse effects; Camptothecin/administration &amp;amp; dosage/adverse effects/*analogs &amp;amp; derivatives; Chemoembolization, Therapeutic/adverse effects/*methods; Colorectal Neoplasms/diagnostic imaging/*pathology; Female; Humans; Irinotecan; Italy; Liver Neoplasms/diagnostic imaging/*drug therapy/*secondary; Male; Middle Aged; Preliminary Data; Prospective Studies; Quality of Life; Tomography, X-Ray Computed; Treatment Outcome&lt;/_subject_headings&gt;&lt;_tertiary_title&gt;Journal of vascular and interventional radiology : JVIR&lt;/_tertiary_title&gt;&lt;_type_work&gt;Journal Article; Observational Study&lt;/_type_work&gt;&lt;_url&gt;http://www.ncbi.nlm.nih.gov/entrez/query.fcgi?cmd=Retrieve&amp;amp;db=pubmed&amp;amp;dopt=Abstract&amp;amp;list_uids=30146190&amp;amp;query_hl=1&lt;/_url&gt;&lt;_volume&gt;29&lt;/_volume&gt;&lt;_created&gt;65089356&lt;/_created&gt;&lt;_modified&gt;65089356&lt;/_modified&gt;&lt;_impact_factor&gt;   3.682&lt;/_impact_factor&gt;&lt;_social_category&gt;医学(3)&lt;/_social_category&gt;&lt;_collection_scope&gt;SCIE&lt;/_collection_scope&gt;&lt;/Details&gt;&lt;Extra&gt;&lt;DBUID&gt;{F96A950B-833F-4880-A151-76DA2D6A2879}&lt;/DBUID&gt;&lt;/Extra&gt;&lt;/Item&gt;&lt;/References&gt;&lt;/Group&gt;&lt;/Citation&gt;_x000a_"/>
    <w:docVar w:name="NE.Ref{1EB982EF-7E6B-420C-B4A9-321A06FF9A3D}" w:val=" ADDIN NE.Ref.{1EB982EF-7E6B-420C-B4A9-321A06FF9A3D}&lt;Citation&gt;&lt;Group&gt;&lt;References&gt;&lt;Item&gt;&lt;ID&gt;4707&lt;/ID&gt;&lt;UID&gt;{01E32202-6B44-414B-A7A9-54F183913A38}&lt;/UID&gt;&lt;Title&gt;Capecitabine and Temozolomide versus FOLFIRI in RAS-Mutated, MGMT-Methylated  Metastatic Colorectal Cancer&lt;/Title&gt;&lt;Template&gt;Journal Article&lt;/Template&gt;&lt;Star&gt;0&lt;/Star&gt;&lt;Tag&gt;0&lt;/Tag&gt;&lt;Author&gt;Pietrantonio, F; Lobefaro, R; Antista, M; Lonardi, S; Raimondi, A; Morano, F; Mosconi, S; Rimassa, L; Murgioni, S; Sartore-Bianchi, A; Tomasello, G; Longarini, R; Farina, G; Petrelli, F; Gori, S; Randon, G; Corallo, S; Pagani, F; Guarini, V; Palermo, F; Martinetti, A; Macagno, M; Barault, L; Perrone, F; Tamborini, E; Milione, M; Di Nicolantonio, F; Di Maio, M; Fucà, G; Di Bartolomeo, M; de Braud, F&lt;/Author&gt;&lt;Year&gt;2020&lt;/Year&gt;&lt;Details&gt;&lt;_accession_num&gt;31740551&lt;/_accession_num&gt;&lt;_author_adr&gt;Oncology and Hemato-oncology Department, University of Milan, Milan, Italy.  filippo.pietrantonio@istitutotumori.mi.it.; Medical Oncology Department, Fondazione IRCCS Istituto Nazionale dei Tumori di  Milano, Milan, Italy.; Medical Oncology Department, Fondazione IRCCS Istituto Nazionale dei Tumori di  Milano, Milan, Italy.; Medical Oncology Department, Fondazione IRCCS Istituto Nazionale dei Tumori di  Milano, Milan, Italy.; Medical Oncology 1 Unit, Department of Oncology, Istituto Oncologico Veneto  IOV-IRCCS, Padua, Italy.; Medical Oncology Department, Fondazione IRCCS Istituto Nazionale dei Tumori di  Milano, Milan, Italy.; Medical Oncology Department, Fondazione IRCCS Istituto Nazionale dei Tumori di  Milano, Milan, Italy.; Medical Oncology Unit, Department of Oncology and Hematology, Papa Giovanni XXIII  Hospital, Bergamo, Italy.; Medical Oncology and Hematology Unit, Humanitas Cancer Center, Humanitas Clinical  and Research Center-IRCCS, Rozzano, Milano, Italy.; Department of Biomedical Sciences, Humanitas University, Milan, Italy.; Medical Oncology 1 Unit, Department of Oncology, Istituto Oncologico Veneto  IOV-IRCCS, Padua, Italy.; Oncology and Hemato-oncology Department, University of Milan, Milan, Italy.; Niguarda Cancer Center, Grande Ospedale Metropolitano Niguarda, Milan, Italy.; Medical Oncology Unit, ASST Ospedale di Cremona, Cremona, Italy.; Medical Oncology Unit, Azienda Ospedaliera San Gerardo, Monza, Italy.; Medical Oncology Department, Fatebenefratelli-Sacco Hospital, Milan, Italy.; Medical Oncology Unit, Oncology Department, ASST Bergamo Ovest, Treviglio (BG),  Italy.; Medical Oncology Unit, IRCCS Ospedale Sacro Cuore Don Calabria, Negrar, Verona,  Italy.; Medical Oncology Department, Fondazione IRCCS Istituto Nazionale dei Tumori di  Milano, Milan, Italy.; Medical Oncology Department, Fondazione IRCCS Istituto Nazionale dei Tumori di  Milano, Milan, Italy.; Medical Oncology Department, Fondazione IRCCS Istituto Nazionale dei Tumori di  Milano, Milan, Italy.; Medical Oncology Department, Fondazione IRCCS Istituto Nazionale dei Tumori di  Milano, Milan, Italy.; Medical Oncology Department, Fondazione IRCCS Istituto Nazionale dei Tumori di  Milano, Milan, Italy.; Medical Oncology Department, Fondazione IRCCS Istituto Nazionale dei Tumori di  Milano, Milan, Italy.; Candiolo Cancer Institute, FPO - IRCCS, Candiolo (TO), Italy.; Candiolo Cancer Institute, FPO - IRCCS, Candiolo (TO), Italy.; Oncology Department, University of Turin, Candiolo (TO), Italy.; Pathology and Laboratory Medicine Department, Fondazione IRCCS Istituto Nazionale  dei Tumori di Milano, Milan, Italy.; Pathology and Laboratory Medicine Department, Fondazione IRCCS Istituto Nazionale  dei Tumori di Milano, Milan, Italy.; Pathology and Laboratory Medicine Department, Fondazione IRCCS Istituto Nazionale  dei Tumori di Milano, Milan, Italy.; Candiolo Cancer Institute, FPO - IRCCS, Candiolo (TO), Italy.; Oncology Department, University of Turin, Candiolo (TO), Italy.; Oncology Department, University of Turin, Ordine Mauriziano Hospital, Turin,  Italy.; Medical Oncology Department, Fondazione IRCCS Istituto Nazionale dei Tumori di  Milano, Milan, Italy.; Medical Oncology Department, Fondazione IRCCS Istituto Nazionale dei Tumori di  Milano, Milan, Italy.; Oncology and Hemato-oncology Department, University of Milan, Milan, Italy.; Medical Oncology Department, Fondazione IRCCS Istituto Nazionale dei Tumori di  Milano, Milan, Italy.&lt;/_author_adr&gt;&lt;_date_display&gt;2020 Mar 1&lt;/_date_display&gt;&lt;_date&gt;2020-03-01&lt;/_date&gt;&lt;_doi&gt;10.1158/1078-0432.CCR-19-3024&lt;/_doi&gt;&lt;_isbn&gt;1557-3265 (Electronic); 1078-0432 (Linking)&lt;/_isbn&gt;&lt;_issue&gt;5&lt;/_issue&gt;&lt;_journal&gt;Clin Cancer Res&lt;/_journal&gt;&lt;_language&gt;eng&lt;/_language&gt;&lt;_ori_publication&gt;©2019 American Association for Cancer Research.&lt;/_ori_publication&gt;&lt;_pages&gt;1017-1024&lt;/_pages&gt;&lt;_subject_headings&gt;Aged; Antineoplastic Combined Chemotherapy Protocols/*therapeutic use; Bevacizumab/administration &amp;amp; dosage; Biomarkers, Tumor/*genetics/metabolism; Camptothecin/administration &amp;amp; dosage; Capecitabine/administration &amp;amp; dosage; Colorectal Neoplasms/*drug therapy/genetics/pathology; *DNA Methylation; DNA Modification Methylases/*genetics; DNA Repair Enzymes/*genetics; Female; Fluorouracil/administration &amp;amp; dosage; Humans; Irinotecan/administration &amp;amp; dosage; Leucovorin/administration &amp;amp; dosage; Male; Middle Aged; Oxaliplatin/administration &amp;amp; dosage; Proto-Oncogene Proteins p21(ras)/*genetics; Quality of Life; Survival Rate; Temozolomide/administration &amp;amp; dosage; Treatment Outcome; Tumor Suppressor Proteins/*genetics&lt;/_subject_headings&gt;&lt;_tertiary_title&gt;Clinical cancer research : an official journal of the American Association for _x000d__x000a_      Cancer Research&lt;/_tertiary_title&gt;&lt;_type_work&gt;Clinical Trial, Phase II; Comparative Study; Journal Article; Multicenter Study; Randomized Controlled Trial; Research Support, Non-U.S. Gov&amp;apos;t&lt;/_type_work&gt;&lt;_url&gt;http://www.ncbi.nlm.nih.gov/entrez/query.fcgi?cmd=Retrieve&amp;amp;db=pubmed&amp;amp;dopt=Abstract&amp;amp;list_uids=31740551&amp;amp;query_hl=1&lt;/_url&gt;&lt;_volume&gt;26&lt;/_volume&gt;&lt;_created&gt;65020956&lt;/_created&gt;&lt;_modified&gt;65021240&lt;/_modified&gt;&lt;_impact_factor&gt;  13.801&lt;/_impact_factor&gt;&lt;_social_category&gt;医学(1)&lt;/_social_category&gt;&lt;_collection_scope&gt;SCIE&lt;/_collection_scope&gt;&lt;_accessed&gt;65021239&lt;/_accessed&gt;&lt;/Details&gt;&lt;Extra&gt;&lt;DBUID&gt;{F96A950B-833F-4880-A151-76DA2D6A2879}&lt;/DBUID&gt;&lt;/Extra&gt;&lt;/Item&gt;&lt;/References&gt;&lt;/Group&gt;&lt;/Citation&gt;_x000a_"/>
    <w:docVar w:name="NE.Ref{216A1EB8-2CCB-4411-856D-3DFBFA10D4FA}" w:val=" ADDIN NE.Ref.{216A1EB8-2CCB-4411-856D-3DFBFA10D4FA}&lt;Citation&gt;&lt;Group&gt;&lt;References&gt;&lt;Item&gt;&lt;ID&gt;4749&lt;/ID&gt;&lt;UID&gt;{04BC17E0-F4A4-48CA-B52E-9DDA8C0EEAFB}&lt;/UID&gt;&lt;Title&gt;Fluorouracil, leucovorin, and irinotecan plus cetuximab treatment and RAS  mutations in colorectal cancer&lt;/Title&gt;&lt;Template&gt;Journal Article&lt;/Template&gt;&lt;Star&gt;0&lt;/Star&gt;&lt;Tag&gt;0&lt;/Tag&gt;&lt;Author&gt;Van Cutsem, E; Lenz, H J; Köhne, C H; Heinemann, V; Tejpar, S; Melezínek, I; Beier, F; Stroh, C; Rougier, P; van Krieken, J H; Ciardiello, F&lt;/Author&gt;&lt;Year&gt;2015&lt;/Year&gt;&lt;Details&gt;&lt;_accession_num&gt;25605843&lt;/_accession_num&gt;&lt;_author_adr&gt;Eric Van Cutsem and Sabine Tejpar, University Hospitals Leuven and Katholieke  Universiteit Leuven, Leuven, Belgium; Heinz-Josef Lenz, University of Southern  California Norris Comprehensive Cancer Center, Los Angeles, CA; Claus-Henning  Köhne, Klinikum Oldenburg, Oldenburg; Volker Heinemann, University Hospital  Grosshadern, Munich; Ivan Melezínek, Frank Beier, and Christopher Stroh, Merck  KGaA, Darmstadt, Germany; Philippe Rougier, Paris Descartes University, Hôpital  Européen Georges Pompidou, Paris, France; J. Han van Krieken, Radboud University  Nijmegen Medical Center, Nijmegen, the Netherlands; and Fortunato Ciardiello,  Second University of Naples, Naples, Italy. eric.vancutsem@uzleuven.be.; Eric Van Cutsem and Sabine Tejpar, University Hospitals Leuven and Katholieke  Universiteit Leuven, Leuven, Belgium; Heinz-Josef Lenz, University of Southern  California Norris Comprehensive Cancer Center, Los Angeles, CA; Claus-Henning  Köhne, Klinikum Oldenburg, Oldenburg; Volker Heinemann, University Hospital  Grosshadern, Munich; Ivan Melezínek, Frank Beier, and Christopher Stroh, Merck  KGaA, Darmstadt, Germany; Philippe Rougier, Paris Descartes University, Hôpital  Européen Georges Pompidou, Paris, France; J. Han van Krieken, Radboud University  Nijmegen Medical Center, Nijmegen, the Netherlands; and Fortunato Ciardiello,  Second University of Naples, Naples, Italy.; Eric Van Cutsem and Sabine Tejpar, University Hospitals Leuven and Katholieke  Universiteit Leuven, Leuven, Belgium; Heinz-Josef Lenz, University of Southern  California Norris Comprehensive Cancer Center, Los Angeles, CA; Claus-Henning  Köhne, Klinikum Oldenburg, Oldenburg; Volker Heinemann, University Hospital  Grosshadern, Munich; Ivan Melezínek, Frank Beier, and Christopher Stroh, Merck  KGaA, Darmstadt, Germany; Philippe Rougier, Paris Descartes University, Hôpital  Européen Georges Pompidou, Paris, France; J. Han van Krieken, Radboud University  Nijmegen Medical Center, Nijmegen, the Netherlands; and Fortunato Ciardiello,  Second University of Naples, Naples, Italy.; Eric Van Cutsem and Sabine Tejpar, University Hospitals Leuven and Katholieke  Universiteit Leuven, Leuven, Belgium; Heinz-Josef Lenz, University of Southern  California Norris Comprehensive Cancer Center, Los Angeles, CA; Claus-Henning  Köhne, Klinikum Oldenburg, Oldenburg; Volker Heinemann, University Hospital  Grosshadern, Munich; Ivan Melezínek, Frank Beier, and Christopher Stroh, Merck  KGaA, Darmstadt, Germany; Philippe Rougier, Paris Descartes University, Hôpital  Européen Georges Pompidou, Paris, France; J. Han van Krieken, Radboud University  Nijmegen Medical Center, Nijmegen, the Netherlands; and Fortunato Ciardiello,  Second University of Naples, Naples, Italy.; Eric Van Cutsem and Sabine Tejpar, University Hospitals Leuven and Katholieke  Universiteit Leuven, Leuven, Belgium; Heinz-Josef Lenz, University of Southern  California Norris Comprehensive Cancer Center, Los Angeles, CA; Claus-Henning  Köhne, Klinikum Oldenburg, Oldenburg; Volker Heinemann, University Hospital  Grosshadern, Munich; Ivan Melezínek, Frank Beier, and Christopher Stroh, Merck  KGaA, Darmstadt, Germany; Philippe Rougier, Paris Descartes University, Hôpital  Européen Georges Pompidou, Paris, France; J. Han van Krieken, Radboud University  Nijmegen Medical Center, Nijmegen, the Netherlands; and Fortunato Ciardiello,  Second University of Naples, Naples, Italy.; Eric Van Cutsem and Sabine Tejpar, University Hospitals Leuven and Katholieke  Universiteit Leuven, Leuven, Belgium; Heinz-Josef Lenz, University of Southern  California Norris Comprehensive Cancer Center, Los Angeles, CA; Claus-Henning  Köhne, Klinikum Oldenburg, Oldenburg; Volker Heinemann, University Hospital  Grosshadern, Munich; Ivan Melezínek, Frank Beier, and Christopher Stroh, Merck  KGaA, Darmstadt, Germany; Philippe Rougier, Paris Descartes University, Hôpital  Européen Georges Pompidou, Paris, France; J. Han van Krieken, Radboud University  Nijmegen Medical Center, Nijmegen, the Netherlands; and Fortunato Ciardiello,  Second University of Naples, Naples, Italy.; Eric Van Cutsem and Sabine Tejpar, University Hospitals Leuven and Katholieke  Universiteit Leuven, Leuven, Belgium; Heinz-Josef Lenz, University of Southern  California Norris Comprehensive Cancer Center, Los Angeles, CA; Claus-Henning  Köhne, Klinikum Oldenburg, Oldenburg; Volker Heinemann, University Hospital  Grosshadern, Munich; Ivan Melezínek, Frank Beier, and Christopher Stroh, Merck  KGaA, Darmstadt, Germany; Philippe Rougier, Paris Descartes University, Hôpital  Européen Georges Pompidou, Paris, France; J. Han van Krieken, Radboud University  Nijmegen Medical Center, Nijmegen, the Netherlands; and Fortunato Ciardiello,  Second University of Naples, Naples, Italy.; Eric Van Cutsem and Sabine Tejpar, University Hospitals Leuven and Katholieke  Universiteit Leuven, Leuven, Belgium; Heinz-Josef Lenz, University of Southern  California Norris Comprehensive Cancer Center, Los Angeles, CA; Claus-Henning  Köhne, Klinikum Oldenburg, Oldenburg; Volker Heinemann, University Hospital  Grosshadern, Munich; Ivan Melezínek, Frank Beier, and Christopher Stroh, Merck  KGaA, Darmstadt, Germany; Philippe Rougier, Paris Descartes University, Hôpital  Européen Georges Pompidou, Paris, France; J. Han van Krieken, Radboud University  Nijmegen Medical Center, Nijmegen, the Netherlands; and Fortunato Ciardiello,  Second University of Naples, Naples, Italy.; Eric Van Cutsem and Sabine Tejpar, University Hospitals Leuven and Katholieke  Universiteit Leuven, Leuven, Belgium; Heinz-Josef Lenz, University of Southern  California Norris Comprehensive Cancer Center, Los Angeles, CA; Claus-Henning  Köhne, Klinikum Oldenburg, Oldenburg; Volker Heinemann, University Hospital  Grosshadern, Munich; Ivan Melezínek, Frank Beier, and Christopher Stroh, Merck  KGaA, Darmstadt, Germany; Philippe Rougier, Paris Descartes University, Hôpital  Européen Georges Pompidou, Paris, France; J. Han van Krieken, Radboud University  Nijmegen Medical Center, Nijmegen, the Netherlands; and Fortunato Ciardiello,  Second University of Naples, Naples, Italy.; Eric Van Cutsem and Sabine Tejpar, University Hospitals Leuven and Katholieke  Universiteit Leuven, Leuven, Belgium; Heinz-Josef Lenz, University of Southern  California Norris Comprehensive Cancer Center, Los Angeles, CA; Claus-Henning  Köhne, Klinikum Oldenburg, Oldenburg; Volker Heinemann, University Hospital  Grosshadern, Munich; Ivan Melezínek, Frank Beier, and Christopher Stroh, Merck  KGaA, Darmstadt, Germany; Philippe Rougier, Paris Descartes University, Hôpital  Européen Georges Pompidou, Paris, France; J. Han van Krieken, Radboud University  Nijmegen Medical Center, Nijmegen, the Netherlands; and Fortunato Ciardiello,  Second University of Naples, Naples, Italy.; Eric Van Cutsem and Sabine Tejpar, University Hospitals Leuven and Katholieke  Universiteit Leuven, Leuven, Belgium; Heinz-Josef Lenz, University of Southern  California Norris Comprehensive Cancer Center, Los Angeles, CA; Claus-Henning  Köhne, Klinikum Oldenburg, Oldenburg; Volker Heinemann, University Hospital  Grosshadern, Munich; Ivan Melezínek, Frank Beier, and Christopher Stroh, Merck  KGaA, Darmstadt, Germany; Philippe Rougier, Paris Descartes University, Hôpital  Européen Georges Pompidou, Paris, France; J. Han van Krieken, Radboud University  Nijmegen Medical Center, Nijmegen, the Netherlands; and Fortunato Ciardiello,  Second University of Naples, Naples, Italy.&lt;/_author_adr&gt;&lt;_date_display&gt;2015 Mar 1&lt;/_date_display&gt;&lt;_date&gt;2015-03-01&lt;/_date&gt;&lt;_doi&gt;10.1200/JCO.2014.59.4812&lt;/_doi&gt;&lt;_isbn&gt;1527-7755 (Electronic); 0732-183X (Linking)&lt;/_isbn&gt;&lt;_issue&gt;7&lt;/_issue&gt;&lt;_journal&gt;J Clin Oncol&lt;/_journal&gt;&lt;_language&gt;eng&lt;/_language&gt;&lt;_ori_publication&gt;© 2015 by American Society of Clinical Oncology.&lt;/_ori_publication&gt;&lt;_pages&gt;692-700&lt;/_pages&gt;&lt;_subject_headings&gt;Adult; Aged; Antibodies, Monoclonal, Humanized/*administration &amp;amp; dosage; Antineoplastic Combined Chemotherapy Protocols/administration &amp;amp; _x000d__x000a_      dosage/*therapeutic use; Biomarkers, Tumor/metabolism; Camptothecin/administration &amp;amp; dosage/analogs &amp;amp; derivatives; Cetuximab; Colorectal Neoplasms/*drug therapy/metabolism/pathology; Disease-Free Survival; ErbB Receptors/*antagonists &amp;amp; inhibitors; Female; Fluorouracil/administration &amp;amp; dosage; GTP Phosphohydrolases/genetics; Genetic Testing; Humans; Kaplan-Meier Estimate; Leucovorin/administration &amp;amp; dosage; Male; Membrane Proteins/genetics; Middle Aged; Molecular Targeted Therapy/methods; *Mutation; Proto-Oncogene Proteins/genetics; Proto-Oncogene Proteins p21(ras); Treatment Outcome; ras Proteins/*genetics&lt;/_subject_headings&gt;&lt;_tertiary_title&gt;Journal of clinical oncology : official journal of the American Society of _x000d__x000a_      Clinical Oncology&lt;/_tertiary_title&gt;&lt;_type_work&gt;Clinical Trial, Phase III; Journal Article; Randomized Controlled Trial; Research Support, Non-U.S. Gov&amp;apos;t&lt;/_type_work&gt;&lt;_url&gt;http://www.ncbi.nlm.nih.gov/entrez/query.fcgi?cmd=Retrieve&amp;amp;db=pubmed&amp;amp;dopt=Abstract&amp;amp;list_uids=25605843&amp;amp;query_hl=1&lt;/_url&gt;&lt;_volume&gt;33&lt;/_volume&gt;&lt;_created&gt;65021590&lt;/_created&gt;&lt;_modified&gt;65021590&lt;/_modified&gt;&lt;_impact_factor&gt;  50.717&lt;/_impact_factor&gt;&lt;_social_category&gt;医学(1)&lt;/_social_category&gt;&lt;_collection_scope&gt;SCIE&lt;/_collection_scope&gt;&lt;/Details&gt;&lt;Extra&gt;&lt;DBUID&gt;{F96A950B-833F-4880-A151-76DA2D6A2879}&lt;/DBUID&gt;&lt;/Extra&gt;&lt;/Item&gt;&lt;/References&gt;&lt;/Group&gt;&lt;Group&gt;&lt;References&gt;&lt;Item&gt;&lt;ID&gt;4717&lt;/ID&gt;&lt;UID&gt;{B4B608CE-C1DE-41F9-8945-8FD4A7F31D72}&lt;/UID&gt;&lt;Title&gt;Health-related quality of life in patients with advanced colorectal cancer  treated with cetuximab: overall and KRAS-specific results of the NCIC CTG and  AGITG CO.17 Trial&lt;/Title&gt;&lt;Template&gt;Journal Article&lt;/Template&gt;&lt;Star&gt;0&lt;/Star&gt;&lt;Tag&gt;0&lt;/Tag&gt;&lt;Author&gt;Au, H J; Karapetis, C S; O&amp;apos;Callaghan, C J; Tu, D; Moore, M J; Zalcberg, J R; Kennecke, H; Shapiro, J D; Koski, S; Pavlakis, N; Charpentier, D; Wyld, D; Jefford, M; Knight, G J; Magoski, N M; Brundage, M D; Jonker, D J&lt;/Author&gt;&lt;Year&gt;2009&lt;/Year&gt;&lt;Details&gt;&lt;_accession_num&gt;19273701&lt;/_accession_num&gt;&lt;_author_adr&gt;Cross Cancer Institute, Edmonton, Alberta, Canada. heathera@cancerboard.ab.ca&lt;/_author_adr&gt;&lt;_date_display&gt;2009 Apr 10&lt;/_date_display&gt;&lt;_date&gt;2009-04-10&lt;/_date&gt;&lt;_doi&gt;10.1200/JCO.2008.19.6048&lt;/_doi&gt;&lt;_isbn&gt;1527-7755 (Electronic); 0732-183X (Linking)&lt;/_isbn&gt;&lt;_issue&gt;11&lt;/_issue&gt;&lt;_journal&gt;J Clin Oncol&lt;/_journal&gt;&lt;_language&gt;eng&lt;/_language&gt;&lt;_pages&gt;1822-8&lt;/_pages&gt;&lt;_subject_headings&gt;Antibodies, Monoclonal/*therapeutic use; Antibodies, Monoclonal, Humanized; Antineoplastic Agents/*therapeutic use; Cetuximab; Colorectal Neoplasms/*drug therapy/*genetics; Humans; Middle Aged; Mutation; Proto-Oncogene Proteins/*genetics; Proto-Oncogene Proteins p21(ras); *Quality of Life; Treatment Outcome; ras Proteins/*genetics&lt;/_subject_headings&gt;&lt;_tertiary_title&gt;Journal of clinical oncology : official journal of the American Society of _x000d__x000a_      Clinical Oncology&lt;/_tertiary_title&gt;&lt;_type_work&gt;Journal Article; Randomized Controlled Trial; Research Support, Non-U.S. Gov&amp;apos;t&lt;/_type_work&gt;&lt;_url&gt;http://www.ncbi.nlm.nih.gov/entrez/query.fcgi?cmd=Retrieve&amp;amp;db=pubmed&amp;amp;dopt=Abstract&amp;amp;list_uids=19273701&amp;amp;query_hl=1&lt;/_url&gt;&lt;_volume&gt;27&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22C2EEA1-3AF5-4DFB-A810-F044CE063E31}" w:val=" ADDIN NE.Ref.{22C2EEA1-3AF5-4DFB-A810-F044CE063E31}&lt;Citation&gt;&lt;Group&gt;&lt;References&gt;&lt;Item&gt;&lt;ID&gt;5040&lt;/ID&gt;&lt;UID&gt;{717BD1CF-CD3B-48EC-B523-80C0C3A00305}&lt;/UID&gt;&lt;Title&gt;Health state utilities for metastatic breast cancer&lt;/Title&gt;&lt;Template&gt;Journal Article&lt;/Template&gt;&lt;Star&gt;0&lt;/Star&gt;&lt;Tag&gt;0&lt;/Tag&gt;&lt;Author&gt;Lloyd, A; Nafees, B; Narewska, J; Dewilde, S; Watkins, J&lt;/Author&gt;&lt;Year&gt;2006&lt;/Year&gt;&lt;Details&gt;&lt;_accession_num&gt;16967055&lt;/_accession_num&gt;&lt;_author_adr&gt;United BioSource Corporation, 20 Bloomsbury Square, London WC1A 2NS, UK.  andrew.lloyd@unitedbiosource.com&lt;/_author_adr&gt;&lt;_date_display&gt;2006 Sep 18&lt;/_date_display&gt;&lt;_date&gt;2006-09-18&lt;/_date&gt;&lt;_doi&gt;10.1038/sj.bjc.6603326&lt;/_doi&gt;&lt;_isbn&gt;0007-0920 (Print); 1532-1827 (Electronic); 0007-0920 (Linking)&lt;/_isbn&gt;&lt;_issue&gt;6&lt;/_issue&gt;&lt;_journal&gt;Br J Cancer&lt;/_journal&gt;&lt;_language&gt;eng&lt;/_language&gt;&lt;_pages&gt;683-90&lt;/_pages&gt;&lt;_subject_headings&gt;Adult; Age Factors; *Attitude to Health; Breast Neoplasms/drug therapy/epidemiology/*psychology; Disease Progression; Female; *Health Status; Humans; Male; Pilot Projects; *Quality of Life; Recurrence; Sex Factors; *Sickness Impact Profile; United Kingdom/epidemiology&lt;/_subject_headings&gt;&lt;_tertiary_title&gt;British journal of cancer&lt;/_tertiary_title&gt;&lt;_type_work&gt;Comparative Study; Journal Article&lt;/_type_work&gt;&lt;_url&gt;http://www.ncbi.nlm.nih.gov/entrez/query.fcgi?cmd=Retrieve&amp;amp;db=pubmed&amp;amp;dopt=Abstract&amp;amp;list_uids=16967055&amp;amp;query_hl=1&lt;/_url&gt;&lt;_volume&gt;95&lt;/_volume&gt;&lt;_created&gt;65329740&lt;/_created&gt;&lt;_modified&gt;65329740&lt;/_modified&gt;&lt;_impact_factor&gt;   8.800&lt;/_impact_factor&gt;&lt;_social_category&gt;肿瘤学(2)&lt;/_social_category&gt;&lt;_collection_scope&gt;SCIE&lt;/_collection_scope&gt;&lt;_accessed&gt;65330884&lt;/_accessed&gt;&lt;/Details&gt;&lt;Extra&gt;&lt;DBUID&gt;{F96A950B-833F-4880-A151-76DA2D6A2879}&lt;/DBUID&gt;&lt;/Extra&gt;&lt;/Item&gt;&lt;/References&gt;&lt;/Group&gt;&lt;/Citation&gt;_x000a_"/>
    <w:docVar w:name="NE.Ref{23063FB3-394A-46AA-B26B-93642D573507}" w:val=" ADDIN NE.Ref.{23063FB3-394A-46AA-B26B-93642D573507}&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2398005C-5481-411A-8FFB-89C8AEB3426F}" w:val=" ADDIN NE.Ref.{2398005C-5481-411A-8FFB-89C8AEB3426F}&lt;Citation&gt;&lt;Group&gt;&lt;References&gt;&lt;Item&gt;&lt;ID&gt;3003&lt;/ID&gt;&lt;UID&gt;{085AB25D-819B-4098-9200-CE648549D759}&lt;/UID&gt;&lt;Title&gt;Ensartinib vs Crizotinib for Patients With Anaplastic Lymphoma Kinase-Positive Non-Small Cell Lung Cancer: A Randomized Clinical Trial&lt;/Title&gt;&lt;Template&gt;Journal Article&lt;/Template&gt;&lt;Star&gt;0&lt;/Star&gt;&lt;Tag&gt;0&lt;/Tag&gt;&lt;Author&gt;Horn, L; Wang, Z; Wu, G; Poddubskaya, E; Mok, T; Reck, M; Wakelee, H; Chiappori, A A; Lee, D H; Breder, V; Orlov, S; Cicin, I; Cheng, Y; Liu, Y; Fan, Y; Whisenant, J G; Zhou, Y; Oertel, V; Harrow, K; Liang, C; Mao, L; Selvaggi, G; Wu, Y L&lt;/Author&gt;&lt;Year&gt;2021&lt;/Year&gt;&lt;Details&gt;&lt;_accessed&gt;64632481&lt;/_accessed&gt;&lt;_accession_num&gt;34473194&lt;/_accession_num&gt;&lt;_author_adr&gt;Division of Hematology and Oncology, Department of Medicine, Vanderbilt-Ingram Cancer Center, Nashville, Tennessee.; Now with Global Clinical Head for Lung Cancer and Lung Cancer Strategy, AstraZeneca, Nashville, Tennessee.; Department of Thoracic Medical Oncology, Peking University Cancer Hospital and Institute, Beijing, China.; Cancer Center, Union Hospital, Tongji Medical College, Huazhong University of Science and Technology, Wuhan, China.; Clinical Center for Oncology, I. M. Sechenov First Moscow State Medical University (Sechenov University), Moscow, Russia.; Clinical Center VitaMed, Moscow, Russia.; Department of Clinical Oncology, State Key Laboratory of Translational Oncology,  The Chinese University of Hong Kong, Hong Kong, China.; Lung Clinic, Airway Research Center North, German Center for Lung Research, Grosshansdorf, Germany.; Department of Medicine, Division of Oncology and Stanford Cancer Institute, Stanford University, Stanford, California.; Thoracic Oncology Program, Moffitt Cancer Center, Tampa, Florida.; Department of Oncology, University of Ulsan College of Medicine, Asan Medical Center, Seoul, South Korea.; Department of Chemotherapy No. 17, N. N. Blokhin Russian Cancer Research Center,  Moscow, Russia.; Department of Biochemistry, Pavlov First Saint Petersburg State Medical University, St Petersburg, Russia.; Department of Medical Oncology, Faculty of Medicine, Trakya University, Edirne, Turkey.; Department of Thoracic Oncology, Jilin Cancer Hospital, Changchun, China.; Department of Medical Oncology, The First Hospital of China Medical University, Shenyang, Liaoning, China.; Thoracic Tumor Center, Zhejiang Cancer Hospital, Hangzhou, China.; Division of Hematology and Oncology, Department of Medicine, Vanderbilt-Ingram Cancer Center, Nashville, Tennessee.; Biometrics, Xcovery Holdings Inc, Palm Beach Gardens, Florida.; Clinical Operations, Xcovery Holdings Inc, Palm Beach Gardens, Florida.; Clinical Operations, Xcovery Holdings Inc, Palm Beach Gardens, Florida.; Now with EQRx, Cambridge, Massachusetts.; Clinical Science, Xcovery Holdings Inc, Palm Beach Gardens, Florida.; Clinical Development, Xcovery Holdings Inc, Palm Beach Gardens, Florida.; Now with Sino Biopharmaceutical Ltd, Beijing, China.; Clinical Development, Xcovery Holdings Inc, Palm Beach Gardens, Florida.; Guangdong Lung Cancer Institute, Guangdong Provincial People&amp;apos;s Hospital and Guangdong Academy of Medical Sciences, Guangzhou, China.&lt;/_author_adr&gt;&lt;_collection_scope&gt;SCIE&lt;/_collection_scope&gt;&lt;_created&gt;64630949&lt;/_created&gt;&lt;_date&gt;2021-11-01&lt;/_date&gt;&lt;_date_display&gt;2021 Nov 1&lt;/_date_display&gt;&lt;_db_updated&gt;PubMed&lt;/_db_updated&gt;&lt;_doi&gt;10.1001/jamaoncol.2021.3523&lt;/_doi&gt;&lt;_impact_factor&gt;  33.006&lt;/_impact_factor&gt;&lt;_isbn&gt;2374-2445 (Electronic); 2374-2437 (Linking)&lt;/_isbn&gt;&lt;_issue&gt;11&lt;/_issue&gt;&lt;_journal&gt;JAMA Oncol&lt;/_journal&gt;&lt;_language&gt;eng&lt;/_language&gt;&lt;_modified&gt;64740730&lt;/_modified&gt;&lt;_pages&gt;1617-1625&lt;/_pages&gt;&lt;_social_category&gt;医学(1)&lt;/_social_category&gt;&lt;_subject_headings&gt;Adolescent; Adult; Anaplastic Lymphoma Kinase; *Carcinoma, Non-Small-Cell Lung/pathology; Crizotinib/adverse effects; Humans; *Lung Neoplasms/pathology; Male; Middle Aged; Piperazines; Protein Kinase Inhibitors/adverse effects; Pyridazines&lt;/_subject_headings&gt;&lt;_tertiary_title&gt;JAMA oncology&lt;/_tertiary_title&gt;&lt;_type_work&gt;Journal Article; Multicenter Study; Randomized Controlled Trial; Research Support, Non-U.S. Gov&amp;apos;t&lt;/_type_work&gt;&lt;_url&gt;http://www.ncbi.nlm.nih.gov/entrez/query.fcgi?cmd=Retrieve&amp;amp;db=pubmed&amp;amp;dopt=Abstract&amp;amp;list_uids=34473194&amp;amp;query_hl=1&lt;/_url&gt;&lt;_volume&gt;7&lt;/_volume&gt;&lt;/Details&gt;&lt;Extra&gt;&lt;DBUID&gt;{F96A950B-833F-4880-A151-76DA2D6A2879}&lt;/DBUID&gt;&lt;/Extra&gt;&lt;/Item&gt;&lt;/References&gt;&lt;/Group&gt;&lt;/Citation&gt;_x000a_"/>
    <w:docVar w:name="NE.Ref{242A31C9-0EA0-4836-B226-0B8F3E69CF00}" w:val=" ADDIN NE.Ref.{242A31C9-0EA0-4836-B226-0B8F3E69CF00}&lt;Citation&gt;&lt;Group&gt;&lt;References&gt;&lt;Item&gt;&lt;ID&gt;4722&lt;/ID&gt;&lt;UID&gt;{2E4232C8-C42F-4297-8CBF-72DA61FBEE47}&lt;/UID&gt;&lt;Title&gt;A randomized trial comparing defined-duration with continuous irinotecan until  disease progression in fluoropyrimidine and thymidylate synthase  inhibitor-resistant advanced colorectal cancer&lt;/Title&gt;&lt;Template&gt;Journal Article&lt;/Template&gt;&lt;Star&gt;0&lt;/Star&gt;&lt;Tag&gt;0&lt;/Tag&gt;&lt;Author&gt;Lal, R; Dickson, J; Cunningham, D; Chau, I; Norman, A R; Ross, P J; Topham, C; Middleton, G; Hill, M; Oates, J&lt;/Author&gt;&lt;Year&gt;2004&lt;/Year&gt;&lt;Details&gt;&lt;_accession_num&gt;15284252&lt;/_accession_num&gt;&lt;_author_adr&gt;Department of Medicine, Royal Marsden Hospital, Downs Rd, Sutton, Surrey, United  Kingdom SM2 5PT.&lt;/_author_adr&gt;&lt;_date_display&gt;2004 Aug 1&lt;/_date_display&gt;&lt;_date&gt;2004-08-01&lt;/_date&gt;&lt;_doi&gt;10.1200/JCO.2004.01.005&lt;/_doi&gt;&lt;_isbn&gt;0732-183X (Print); 0732-183X (Linking)&lt;/_isbn&gt;&lt;_issue&gt;15&lt;/_issue&gt;&lt;_journal&gt;J Clin Oncol&lt;/_journal&gt;&lt;_language&gt;eng&lt;/_language&gt;&lt;_ori_publication&gt;Copyright 2004 American Society of Clinical Onocology&lt;/_ori_publication&gt;&lt;_pages&gt;3023-31&lt;/_pages&gt;&lt;_subject_headings&gt;Adult; Aged; Aged, 80 and over; Antineoplastic Agents, Phytogenic/*administration &amp;amp; dosage; Camptothecin/*administration &amp;amp; dosage/*analogs &amp;amp; derivatives; Colorectal Neoplasms/*drug therapy; Disease Progression; Drug Administration Schedule; Enzyme Inhibitors/*administration &amp;amp; dosage; Female; Humans; Infusions, Intravenous; Irinotecan; Male; Middle Aged; Prospective Studies; Thymidylate Synthase/*antagonists &amp;amp; inhibitors&lt;/_subject_headings&gt;&lt;_tertiary_title&gt;Journal of clinical oncology : official journal of the American Society of _x000d__x000a_      Clinical Oncology&lt;/_tertiary_title&gt;&lt;_type_work&gt;Clinical Trial; Clinical Trial, Phase III; Comparative Study; Journal Article; Multicenter Study; Randomized Controlled Trial&lt;/_type_work&gt;&lt;_url&gt;http://www.ncbi.nlm.nih.gov/entrez/query.fcgi?cmd=Retrieve&amp;amp;db=pubmed&amp;amp;dopt=Abstract&amp;amp;list_uids=15284252&amp;amp;query_hl=1&lt;/_url&gt;&lt;_volume&gt;22&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246296EE-AD82-48DF-83E0-2101F21D17D0}" w:val=" ADDIN NE.Ref.{246296EE-AD82-48DF-83E0-2101F21D17D0}&lt;Citation&gt;&lt;Group&gt;&lt;References&gt;&lt;Item&gt;&lt;ID&gt;2969&lt;/ID&gt;&lt;UID&gt;{0F0A0278-CA25-4425-9F0C-ED1601CCA81B}&lt;/UID&gt;&lt;Title&gt;General methods for monitoring convergence of iterative simulations&lt;/Title&gt;&lt;Template&gt;Journal Article&lt;/Template&gt;&lt;Star&gt;0&lt;/Star&gt;&lt;Tag&gt;0&lt;/Tag&gt;&lt;Author&gt;Brooks, S P; Gelman, A&lt;/Author&gt;&lt;Year&gt;1998&lt;/Year&gt;&lt;Details&gt;&lt;_accession_num&gt;WOS:000077362100002&lt;/_accession_num&gt;&lt;_cited_count&gt;3579&lt;/_cited_count&gt;&lt;_collection_scope&gt;SCIE&lt;/_collection_scope&gt;&lt;_created&gt;64144307&lt;/_created&gt;&lt;_date_display&gt;1998, DEC 1998&lt;/_date_display&gt;&lt;_db_provider&gt;ISI&lt;/_db_provider&gt;&lt;_db_updated&gt;Web of Science-All&lt;/_db_updated&gt;&lt;_doi&gt;10.2307/1390675&lt;/_doi&gt;&lt;_impact_factor&gt;   1.884&lt;/_impact_factor&gt;&lt;_isbn&gt;1061-8600&lt;/_isbn&gt;&lt;_issue&gt;4&lt;/_issue&gt;&lt;_journal&gt;JOURNAL OF COMPUTATIONAL AND GRAPHICAL STATISTICS&lt;/_journal&gt;&lt;_modified&gt;64740725&lt;/_modified&gt;&lt;_pages&gt;434-455&lt;/_pages&gt;&lt;_social_category&gt;数学(3)&lt;/_social_category&gt;&lt;_url&gt;http://gateway.isiknowledge.com/gateway/Gateway.cgi?GWVersion=2&amp;amp;SrcAuth=AegeanSoftware&amp;amp;SrcApp=NoteExpress&amp;amp;DestLinkType=FullRecord&amp;amp;DestApp=WOS&amp;amp;KeyUT=000077362100002&lt;/_url&gt;&lt;_volume&gt;7&lt;/_volume&gt;&lt;/Details&gt;&lt;Extra&gt;&lt;DBUID&gt;{F96A950B-833F-4880-A151-76DA2D6A2879}&lt;/DBUID&gt;&lt;/Extra&gt;&lt;/Item&gt;&lt;/References&gt;&lt;/Group&gt;&lt;/Citation&gt;_x000a_"/>
    <w:docVar w:name="NE.Ref{26D07832-B9E0-4FBF-B6A6-7D36DBA90B33}" w:val=" ADDIN NE.Ref.{26D07832-B9E0-4FBF-B6A6-7D36DBA90B33}&lt;Citation&gt;&lt;Group&gt;&lt;References&gt;&lt;Item&gt;&lt;ID&gt;4872&lt;/ID&gt;&lt;UID&gt;{A97C975F-721E-48FA-B58F-B62A71D2A8BA}&lt;/UID&gt;&lt;Title&gt;Molecular-targeted agents combination therapy for cancer: developments and  potentials&lt;/Title&gt;&lt;Template&gt;Journal Article&lt;/Template&gt;&lt;Star&gt;0&lt;/Star&gt;&lt;Tag&gt;0&lt;/Tag&gt;&lt;Author&gt;Li, F; Zhao, C; Wang, L&lt;/Author&gt;&lt;Year&gt;2014&lt;/Year&gt;&lt;Details&gt;&lt;_accession_num&gt;23649791&lt;/_accession_num&gt;&lt;_author_adr&gt;Key Laboratory of Cell Proliferation and Regulation Biology, Ministry of  Education, Beijing Normal University, Beijing, China; Gene Engineering and  Biotechnology Beijing Key Laboratory, Beijing Normal University, Beijing, China;  Institute of Pharmacology and Toxicology, Academy of Military Medical Sciences,  Beijing, China.&lt;/_author_adr&gt;&lt;_date_display&gt;2014 Mar 15&lt;/_date_display&gt;&lt;_date&gt;2014-03-15&lt;/_date&gt;&lt;_doi&gt;10.1002/ijc.28261&lt;/_doi&gt;&lt;_isbn&gt;1097-0215 (Electronic); 0020-7136 (Linking)&lt;/_isbn&gt;&lt;_issue&gt;6&lt;/_issue&gt;&lt;_journal&gt;Int J Cancer&lt;/_journal&gt;&lt;_keywords&gt;anticancer efficacy; chemotherapy; combination therapy; molecular-targeted agents; relapse; signaling pathway&lt;/_keywords&gt;&lt;_language&gt;eng&lt;/_language&gt;&lt;_ori_publication&gt;© 2013 UICC.&lt;/_ori_publication&gt;&lt;_pages&gt;1257-69&lt;/_pages&gt;&lt;_subject_headings&gt;Animals; Antineoplastic Combined Chemotherapy Protocols/*therapeutic use; Humans; *Molecular Targeted Therapy; Neoplasm Proteins/*antagonists &amp;amp; inhibitors/metabolism; Neoplasms/*drug therapy; Signal Transduction/*drug effects&lt;/_subject_headings&gt;&lt;_tertiary_title&gt;International journal of cancer&lt;/_tertiary_title&gt;&lt;_type_work&gt;Journal Article; Review&lt;/_type_work&gt;&lt;_url&gt;http://www.ncbi.nlm.nih.gov/entrez/query.fcgi?cmd=Retrieve&amp;amp;db=pubmed&amp;amp;dopt=Abstract&amp;amp;list_uids=23649791&amp;amp;query_hl=1&lt;/_url&gt;&lt;_volume&gt;134&lt;/_volume&gt;&lt;_created&gt;65089356&lt;/_created&gt;&lt;_modified&gt;65089356&lt;/_modified&gt;&lt;_impact_factor&gt;   7.316&lt;/_impact_factor&gt;&lt;_social_category&gt;医学(1)&lt;/_social_category&gt;&lt;_collection_scope&gt;SCIE&lt;/_collection_scope&gt;&lt;/Details&gt;&lt;Extra&gt;&lt;DBUID&gt;{F96A950B-833F-4880-A151-76DA2D6A2879}&lt;/DBUID&gt;&lt;/Extra&gt;&lt;/Item&gt;&lt;/References&gt;&lt;/Group&gt;&lt;/Citation&gt;_x000a_"/>
    <w:docVar w:name="NE.Ref{27133C3A-C951-40B5-8653-4509884428E0}" w:val=" ADDIN NE.Ref.{27133C3A-C951-40B5-8653-4509884428E0}&lt;Citation&gt;&lt;Group&gt;&lt;References&gt;&lt;Item&gt;&lt;ID&gt;4751&lt;/ID&gt;&lt;UID&gt;{78B44512-25D8-495A-88ED-4C3AC0DA9E09}&lt;/UID&gt;&lt;Title&gt;Different Toxicity of Cetuximab and Panitumumab in Metastatic Colorectal Cancer  Treatment: A Systematic Review and Meta-Analysis&lt;/Title&gt;&lt;Template&gt;Journal Article&lt;/Template&gt;&lt;Star&gt;0&lt;/Star&gt;&lt;Tag&gt;0&lt;/Tag&gt;&lt;Author&gt;Petrelli, F; Ardito, R; Ghidini, A; Zaniboni, A; Ghidini, M; Barni, S; Tomasello, G&lt;/Author&gt;&lt;Year&gt;2018&lt;/Year&gt;&lt;Details&gt;&lt;_accession_num&gt;29393280&lt;/_accession_num&gt;&lt;_author_adr&gt;Oncology Unit, Oncology Department, ASST Bergamo Ovest, Treviglio, Italy.; IRCCS Centro di Riferimento Oncologico della Basilicata (CROB), Rionero in  Vulture, Italy.; Medical Oncology, Casa di Cura Igea, Milan, Italy.; Oncology Unit, Fondazione Poliambulanza, Brescia, Italy.; Oncology Unit, Oncology Department, ASST Ospedale di Cremona, Cremona, Italy.; Oncology Unit, Oncology Department, ASST Bergamo Ovest, Treviglio, Italy.; Oncology Unit, Oncology Department, ASST Ospedale di Cremona, Cremona, Italy.&lt;/_author_adr&gt;&lt;_date_display&gt;2018&lt;/_date_display&gt;&lt;_date&gt;2018-01-20&lt;/_date&gt;&lt;_doi&gt;10.1159/000486338&lt;/_doi&gt;&lt;_isbn&gt;1423-0232 (Electronic); 0030-2414 (Linking)&lt;/_isbn&gt;&lt;_issue&gt;4&lt;/_issue&gt;&lt;_journal&gt;Oncology&lt;/_journal&gt;&lt;_keywords&gt;Cetuximab; Colorectal cancer; Meta-analysis; Panitumumab; Toxicity&lt;/_keywords&gt;&lt;_language&gt;eng&lt;/_language&gt;&lt;_ori_publication&gt;© 2018 S. Karger AG, Basel.&lt;/_ori_publication&gt;&lt;_pages&gt;191-199&lt;/_pages&gt;&lt;_subject_headings&gt;Acne Vulgaris/chemically induced; Antibodies, Monoclonal/*adverse effects; Antineoplastic Agents, Immunological/*adverse effects; Cetuximab/*adverse effects; Colorectal Neoplasms/*drug therapy/pathology; Drug Eruptions/*etiology; Humans; Panitumumab; Paronychia/chemically induced; Pruritus/chemically induced; Randomized Controlled Trials as Topic&lt;/_subject_headings&gt;&lt;_tertiary_title&gt;Oncology&lt;/_tertiary_title&gt;&lt;_type_work&gt;Comparative Study; Journal Article; Meta-Analysis; Review; Systematic Review&lt;/_type_work&gt;&lt;_url&gt;http://www.ncbi.nlm.nih.gov/entrez/query.fcgi?cmd=Retrieve&amp;amp;db=pubmed&amp;amp;dopt=Abstract&amp;amp;list_uids=29393280&amp;amp;query_hl=1&lt;/_url&gt;&lt;_volume&gt;94&lt;/_volume&gt;&lt;_created&gt;65021590&lt;/_created&gt;&lt;_modified&gt;65021590&lt;/_modified&gt;&lt;_impact_factor&gt;   3.734&lt;/_impact_factor&gt;&lt;_social_category&gt;医学(4)&lt;/_social_category&gt;&lt;_collection_scope&gt;SCIE&lt;/_collection_scope&gt;&lt;/Details&gt;&lt;Extra&gt;&lt;DBUID&gt;{F96A950B-833F-4880-A151-76DA2D6A2879}&lt;/DBUID&gt;&lt;/Extra&gt;&lt;/Item&gt;&lt;/References&gt;&lt;/Group&gt;&lt;/Citation&gt;_x000a_"/>
    <w:docVar w:name="NE.Ref{27799637-06FA-403B-A186-320D749411C1}" w:val=" ADDIN NE.Ref.{27799637-06FA-403B-A186-320D749411C1}&lt;Citation&gt;&lt;Group&gt;&lt;References&gt;&lt;Item&gt;&lt;ID&gt;46203&lt;/ID&gt;&lt;UID&gt;{215C111E-D5EE-4F01-9F67-533F1AD6C6A3}&lt;/UID&gt;&lt;Title&gt;Crizotinib versus chemotherapy in advanced ALK-positive lung cancer&lt;/Title&gt;&lt;Template&gt;Journal Article&lt;/Template&gt;&lt;Star&gt;1&lt;/Star&gt;&lt;Tag&gt;0&lt;/Tag&gt;&lt;Author&gt;Shaw, A T; Kim, D W; Nakagawa, K; Seto, T; Crino, L; Ahn, M J; De Pas, T; Besse, B; Solomon, B J; Blackhall, F; Wu, Y L; Thomas, M; O&amp;apos;Byrne, K J; Moro-Sibilot, D; Camidge, D R; Mok, T; Hirsh, V; Riely, G J; Iyer, S; Tassell, V; Polli, A; Wilner, K D; Janne, P A&lt;/Author&gt;&lt;Year&gt;2013&lt;/Year&gt;&lt;Details&gt;&lt;_accessed&gt;64632466&lt;/_accessed&gt;&lt;_accession_num&gt;23724913&lt;/_accession_num&gt;&lt;_author_adr&gt;Massachusetts General Hospital, Boston, MA 02114, USA. ashaw1@partners.org&lt;/_author_adr&gt;&lt;_collection_scope&gt;SCIE&lt;/_collection_scope&gt;&lt;_created&gt;64630997&lt;/_created&gt;&lt;_date&gt;2013-06-20&lt;/_date&gt;&lt;_date_display&gt;2013 Jun 20&lt;/_date_display&gt;&lt;_db_updated&gt;PubMed&lt;/_db_updated&gt;&lt;_doi&gt;10.1056/NEJMoa1214886&lt;/_doi&gt;&lt;_impact_factor&gt; 176.079&lt;/_impact_factor&gt;&lt;_isbn&gt;1533-4406 (Electronic); 0028-4793 (Linking)&lt;/_isbn&gt;&lt;_issue&gt;25&lt;/_issue&gt;&lt;_journal&gt;N Engl J Med&lt;/_journal&gt;&lt;_language&gt;eng&lt;/_language&gt;&lt;_modified&gt;64688891&lt;/_modified&gt;&lt;_pages&gt;2385-94&lt;/_pages&gt;&lt;_social_category&gt;医学(1)&lt;/_social_category&gt;&lt;_subject_headings&gt;Adult; Aged; Aged, 80 and over; Antineoplastic Agents/adverse effects/*therapeutic use; Carcinoma, Non-Small-Cell Lung/*drug therapy/mortality; Crizotinib; Disease-Free Survival; Docetaxel; Female; Glutamates/adverse effects/therapeutic use; Guanine/adverse effects/analogs &amp;amp; derivatives/therapeutic use; Humans; Kaplan-Meier Estimate; Lung Neoplasms/*drug therapy/mortality; Male; Middle Aged; Pemetrexed; Protein Kinase Inhibitors/adverse effects/*therapeutic use; Pyrazoles/adverse effects/*therapeutic use; Pyridines/adverse effects/*therapeutic use; Quality of Life; Taxoids/adverse effects/therapeutic use; Young Adult&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3724913&amp;amp;query_hl=1&lt;/_url&gt;&lt;_volume&gt;368&lt;/_volume&gt;&lt;/Details&gt;&lt;Extra&gt;&lt;DBUID&gt;{F96A950B-833F-4880-A151-76DA2D6A2879}&lt;/DBUID&gt;&lt;/Extra&gt;&lt;/Item&gt;&lt;/References&gt;&lt;/Group&gt;&lt;/Citation&gt;_x000a_"/>
    <w:docVar w:name="NE.Ref{279936ED-C49F-4AB0-8E26-B1965C801B4B}" w:val=" ADDIN NE.Ref.{279936ED-C49F-4AB0-8E26-B1965C801B4B}&lt;Citation&gt;&lt;Group&gt;&lt;References&gt;&lt;Item&gt;&lt;ID&gt;4723&lt;/ID&gt;&lt;UID&gt;{2201E1E4-6CB6-4AB8-9C89-DB38A4A12189}&lt;/UID&gt;&lt;Title&gt;Randomized phase III study of high-dose fluorouracil given as a weekly 24-hour  infusion with or without leucovorin versus bolus fluorouracil plus leucovorin in  advanced colorectal cancer: European organization of Research and Treatment of  Cancer Gastrointestinal Group Study 40952&lt;/Title&gt;&lt;Template&gt;Journal Article&lt;/Template&gt;&lt;Star&gt;0&lt;/Star&gt;&lt;Tag&gt;0&lt;/Tag&gt;&lt;Author&gt;Köhne, C H; Wils, J; Lorenz, M; Schöffski, P; Voigtmann, R; Bokemeyer, C; Lutz, M; Kleeberg, C; Ridwelski, K; Souchon, R; El-Serafi, M; Weiss, U; Burkhard, O; Rückle, H; Lichnitser, M; Langenbuch, T; Scheithauer, W; &amp;quot;Baron B&amp;quot;; Couvreur, M L; Schmoll, H J&lt;/Author&gt;&lt;Year&gt;2003&lt;/Year&gt;&lt;Details&gt;&lt;_accession_num&gt;12963704&lt;/_accession_num&gt;&lt;_author_adr&gt;Department og Internal Medicine I, University of Dresden, Dresden, Germany.  claus-henning.koehne@uniklinikum-dresden.de&lt;/_author_adr&gt;&lt;_date_display&gt;2003 Oct 15&lt;/_date_display&gt;&lt;_date&gt;2003-10-15&lt;/_date&gt;&lt;_doi&gt;10.1200/JCO.2003.11.122&lt;/_doi&gt;&lt;_isbn&gt;0732-183X (Print); 0732-183X (Linking)&lt;/_isbn&gt;&lt;_issue&gt;20&lt;/_issue&gt;&lt;_journal&gt;J Clin Oncol&lt;/_journal&gt;&lt;_language&gt;eng&lt;/_language&gt;&lt;_pages&gt;3721-8&lt;/_pages&gt;&lt;_subject_headings&gt;Adult; Antineoplastic Combined Chemotherapy Protocols/*therapeutic use; Colorectal Neoplasms/*drug therapy; Drug Administration Schedule; Female; Fluorouracil/*adverse effects/*therapeutic use; Humans; Infusions, Intravenous; Injections, Intravenous; Leucovorin/adverse effects/*therapeutic use; Male; Middle Aged; Neoplasm Metastasis; Quality of Life; Survival Rate; Treatment Outcome&lt;/_subject_headings&gt;&lt;_tertiary_title&gt;Journal of clinical oncology : official journal of the American Society of _x000d__x000a_      Clinical Oncology&lt;/_tertiary_title&gt;&lt;_type_work&gt;Clinical Trial; Clinical Trial, Phase III; Comparative Study; Journal Article; Multicenter Study; Randomized Controlled Trial&lt;/_type_work&gt;&lt;_url&gt;http://www.ncbi.nlm.nih.gov/entrez/query.fcgi?cmd=Retrieve&amp;amp;db=pubmed&amp;amp;dopt=Abstract&amp;amp;list_uids=12963704&amp;amp;query_hl=1&lt;/_url&gt;&lt;_volume&gt;21&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27E5A9DF-BB45-498C-ACCE-E1FA64C00A72}" w:val=" ADDIN NE.Ref.{27E5A9DF-BB45-498C-ACCE-E1FA64C00A72}&lt;Citation&gt;&lt;Group&gt;&lt;References&gt;&lt;Item&gt;&lt;ID&gt;4866&lt;/ID&gt;&lt;UID&gt;{6AA6D3F9-50EE-4901-A064-190568359F41}&lt;/UID&gt;&lt;Title&gt;Chinese guidelines for the diagnosis and comprehensive treatment of colorectal  liver metastases (version 2018)&lt;/Title&gt;&lt;Template&gt;Journal Article&lt;/Template&gt;&lt;Star&gt;0&lt;/Star&gt;&lt;Tag&gt;0&lt;/Tag&gt;&lt;Author&gt;Xu, J; Fan, J; Qin, X; Cai, J; Gu, J; Wang, S; Wang, X; Zhang, S; Zhang, Z&lt;/Author&gt;&lt;Year&gt;2019&lt;/Year&gt;&lt;Details&gt;&lt;_accession_num&gt;30542791&lt;/_accession_num&gt;&lt;_author_adr&gt;Department of Colorectal Surgery, Zhongshan Hospital, Fudan University, Shanghai,  China. xujmin@aliyun.com.; Colorectal Cancer Center, Zhongshan Hospital, Fudan University, Shanghai, China.  xujmin@aliyun.com.; Shanghai Engineering Research Center of Colorectal Cancer Minimally Invasive,  Shanghai, China. xujmin@aliyun.com.; Department of Liver Surgery, Liver Cancer Institute, Zhongshan Hospital, Fudan  University, Shanghai, China.; Key Laboratory of Carcinogenesis and Cancer Invasion, Ministry of Education,  Shanghai, China.; Department of Colorectal Surgery, Zhongshan Hospital, Fudan University, Shanghai,  China.; Colorectal Cancer Center, Zhongshan Hospital, Fudan University, Shanghai, China.; Shanghai Engineering Research Center of Colorectal Cancer Minimally Invasive,  Shanghai, China.; Department of Hepatobiliary Surgery, National Cancer Center/Cancer Hospital,  Chinese Academy of Medical Sciences and Peking Union Medical College, Beijing,  China.; Gastrointestinal Cancer Center, Peking University Cancer Hospital, Key Laboratory  of Carcinogenesis and Translational Research, Ministry of Education, Beijing,  China.; Peking-Tsinghua Center for Life Sciences, Beijing, China.; Peking University Shougang Hospital, Beijing, China.; Department of Gastroenterological Surgery, Laboratory of Surgical Oncology,  Beijing Key Laboratory of Colorectal Cancer Diagnosis and Treatment Research,  Peking University People&amp;apos;s Hospital, Beijing, China.; Department of Colorectal Surgery, Cancer Institute and Hospital, Chinese Academy  of Medical Sciences, Peking Union Medical College, Beijing, China.; Cancer Institute, Key Laboratory of Cancer Prevention and Intervention, Ministry  of Education, Hangzhou, Zhejiang, China.; The Second Affiliated Hospital, School of Medicine, Zhejiang University,  Hangzhou, Zhejiang, China.; Department of General Surgery, Beijing Friendship Hospital, Capital Medical  University, Beijing, China.; Beijing Key Laboratory of Cancer Invasion and Metastasis Research and National  Clinical Research Center for Digestive Diseases, Beijing, China.&lt;/_author_adr&gt;&lt;_date_display&gt;2019 Mar&lt;/_date_display&gt;&lt;_date&gt;2019-03-01&lt;/_date&gt;&lt;_doi&gt;10.1007/s00432-018-2795-1&lt;/_doi&gt;&lt;_isbn&gt;1432-1335 (Electronic); 0171-5216 (Linking)&lt;/_isbn&gt;&lt;_issue&gt;3&lt;/_issue&gt;&lt;_journal&gt;J Cancer Res Clin Oncol&lt;/_journal&gt;&lt;_keywords&gt;Colorectal neoplasms; Comprehensive treatment; Diagnosis; Guideline; Liver metastases&lt;/_keywords&gt;&lt;_language&gt;eng&lt;/_language&gt;&lt;_pages&gt;725-736&lt;/_pages&gt;&lt;_subject_headings&gt;*Colorectal Neoplasms/diagnosis/pathology/therapy; Female; Humans; Liver Neoplasms/*diagnosis/*secondary/therapy; Male; Neoplasm Metastasis/*diagnosis/*therapy&lt;/_subject_headings&gt;&lt;_tertiary_title&gt;Journal of cancer research and clinical oncology&lt;/_tertiary_title&gt;&lt;_type_work&gt;Journal Article; Practice Guideline&lt;/_type_work&gt;&lt;_url&gt;http://www.ncbi.nlm.nih.gov/entrez/query.fcgi?cmd=Retrieve&amp;amp;db=pubmed&amp;amp;dopt=Abstract&amp;amp;list_uids=30542791&amp;amp;query_hl=1&lt;/_url&gt;&lt;_volume&gt;145&lt;/_volume&gt;&lt;_created&gt;65089356&lt;/_created&gt;&lt;_modified&gt;65089356&lt;/_modified&gt;&lt;_impact_factor&gt;   4.322&lt;/_impact_factor&gt;&lt;_social_category&gt;医学(3)&lt;/_social_category&gt;&lt;_collection_scope&gt;SCIE&lt;/_collection_scope&gt;&lt;/Details&gt;&lt;Extra&gt;&lt;DBUID&gt;{F96A950B-833F-4880-A151-76DA2D6A2879}&lt;/DBUID&gt;&lt;/Extra&gt;&lt;/Item&gt;&lt;/References&gt;&lt;/Group&gt;&lt;/Citation&gt;_x000a_"/>
    <w:docVar w:name="NE.Ref{28599407-3263-495D-958E-A442787D62F4}" w:val=" ADDIN NE.Ref.{28599407-3263-495D-958E-A442787D62F4}&lt;Citation&gt;&lt;Group&gt;&lt;References&gt;&lt;Item&gt;&lt;ID&gt;4720&lt;/ID&gt;&lt;UID&gt;{BC398BAF-B54E-47E5-84BC-B6B46A893E0C}&lt;/UID&gt;&lt;Title&gt;Randomised trial comparing biweekly oxaliplatin plus oral capecitabine versus  oxaliplatin plus i.v. bolus fluorouracil/leucovorin in metastatic colorectal  cancer patients: results of the Southern Italy Cooperative Oncology study 0401&lt;/Title&gt;&lt;Template&gt;Journal Article&lt;/Template&gt;&lt;Star&gt;0&lt;/Star&gt;&lt;Tag&gt;0&lt;/Tag&gt;&lt;Author&gt;Comella, P; Massidda, B; Filippelli, G; Farris, A; Natale, D; Barberis, G; Maiorino, L; Palmeri, S; Cannone, M; Condemi, G&lt;/Author&gt;&lt;Year&gt;2009&lt;/Year&gt;&lt;Details&gt;&lt;_accession_num&gt;18719941&lt;/_accession_num&gt;&lt;_author_adr&gt;Department of Medical Oncology, National Tumour Institute, Via M. Semmola, 80100,  Naples, Italy. pasqualecomella@libero.it&lt;/_author_adr&gt;&lt;_date_display&gt;2009 Feb&lt;/_date_display&gt;&lt;_date&gt;2009-02-01&lt;/_date&gt;&lt;_doi&gt;10.1007/s00432-008-0454-7&lt;/_doi&gt;&lt;_isbn&gt;1432-1335 (Electronic); 0171-5216 (Linking)&lt;/_isbn&gt;&lt;_issue&gt;2&lt;/_issue&gt;&lt;_journal&gt;J Cancer Res Clin Oncol&lt;/_journal&gt;&lt;_language&gt;eng&lt;/_language&gt;&lt;_pages&gt;217-26&lt;/_pages&gt;&lt;_subject_headings&gt;Adenocarcinoma/*drug therapy/mortality/pathology/physiopathology; Adult; Aged; Antimetabolites, Antineoplastic/administration &amp;amp; dosage; Antineoplastic Combined Chemotherapy Protocols/adverse effects/*therapeutic use; Capecitabine; Colonic Neoplasms/drug therapy/mortality/pathology/physiopathology; Colorectal Neoplasms/*drug therapy/mortality/pathology/physiopathology; Deoxycytidine/administration &amp;amp; dosage/analogs &amp;amp; derivatives; Disease Progression; Disease-Free Survival; Female; Fluorouracil/administration &amp;amp; dosage/analogs &amp;amp; derivatives; Humans; Leucovorin/administration &amp;amp; dosage; Male; Middle Aged; Organoplatinum Compounds/administration &amp;amp; dosage; Oxaliplatin; Quality of Life; Rectal Neoplasms/drug therapy/mortality/pathology/physiopathology; Survival Analysis; Time Factors&lt;/_subject_headings&gt;&lt;_tertiary_title&gt;Journal of cancer research and clinical oncology&lt;/_tertiary_title&gt;&lt;_type_work&gt;Journal Article; Randomized Controlled Trial; Research Support, Non-U.S. Gov&amp;apos;t&lt;/_type_work&gt;&lt;_url&gt;http://www.ncbi.nlm.nih.gov/entrez/query.fcgi?cmd=Retrieve&amp;amp;db=pubmed&amp;amp;dopt=Abstract&amp;amp;list_uids=18719941&amp;amp;query_hl=1&lt;/_url&gt;&lt;_volume&gt;135&lt;/_volume&gt;&lt;_created&gt;65020956&lt;/_created&gt;&lt;_modified&gt;65020956&lt;/_modified&gt;&lt;_impact_factor&gt;   4.322&lt;/_impact_factor&gt;&lt;_social_category&gt;医学(3)&lt;/_social_category&gt;&lt;_collection_scope&gt;SCIE&lt;/_collection_scope&gt;&lt;/Details&gt;&lt;Extra&gt;&lt;DBUID&gt;{F96A950B-833F-4880-A151-76DA2D6A2879}&lt;/DBUID&gt;&lt;/Extra&gt;&lt;/Item&gt;&lt;/References&gt;&lt;/Group&gt;&lt;/Citation&gt;_x000a_"/>
    <w:docVar w:name="NE.Ref{2863E5E7-6F5A-45C6-8419-C336C960BCFB}" w:val=" ADDIN NE.Ref.{2863E5E7-6F5A-45C6-8419-C336C960BCFB}&lt;Citation&gt;&lt;Group&gt;&lt;References&gt;&lt;Item&gt;&lt;ID&gt;4881&lt;/ID&gt;&lt;UID&gt;{8C74E009-BF43-4CD8-9532-D46CCA9521F1}&lt;/UID&gt;&lt;Title&gt;IPDfromKM: reconstruct individual patient data from published Kaplan-Meier  survival curves&lt;/Title&gt;&lt;Template&gt;Journal Article&lt;/Template&gt;&lt;Star&gt;0&lt;/Star&gt;&lt;Tag&gt;0&lt;/Tag&gt;&lt;Author&gt;Liu, N; Zhou, Y; Lee, J J&lt;/Author&gt;&lt;Year&gt;2021&lt;/Year&gt;&lt;Details&gt;&lt;_accession_num&gt;34074267&lt;/_accession_num&gt;&lt;_author_adr&gt;Department of Biostatistics, The University of Texas, MD Anderson Cancer Center,  Houston, United States.; Department of Biostatistics, The University of Texas, MD Anderson Cancer Center,  Houston, United States.; Department of Biostatistics, The University of Texas, MD Anderson Cancer Center,  Houston, United States. jjlee@mdanderson.org.&lt;/_author_adr&gt;&lt;_date_display&gt;2021 Jun 1&lt;/_date_display&gt;&lt;_date&gt;2021-06-01&lt;/_date&gt;&lt;_doi&gt;10.1186/s12874-021-01308-8&lt;/_doi&gt;&lt;_isbn&gt;1471-2288 (Electronic); 1471-2288 (Linking)&lt;/_isbn&gt;&lt;_issue&gt;1&lt;/_issue&gt;&lt;_journal&gt;BMC Med Res Methodol&lt;/_journal&gt;&lt;_keywords&gt;Individual patient data (IPD); Kaplan-Meier curve; Meta-analysis; R package; Shiny application; Survival analysis&lt;/_keywords&gt;&lt;_language&gt;eng&lt;/_language&gt;&lt;_pages&gt;111&lt;/_pages&gt;&lt;_subject_headings&gt;Humans; Kaplan-Meier Estimate; Probability; Proportional Hazards Models; Reproducibility of Results; *Software&lt;/_subject_headings&gt;&lt;_tertiary_title&gt;BMC medical research methodology&lt;/_tertiary_title&gt;&lt;_type_work&gt;Journal Article; Research Support, N.I.H., Extramural; Research Support, Non-U.S. Gov&amp;apos;t&lt;/_type_work&gt;&lt;_url&gt;http://www.ncbi.nlm.nih.gov/entrez/query.fcgi?cmd=Retrieve&amp;amp;db=pubmed&amp;amp;dopt=Abstract&amp;amp;list_uids=34074267&amp;amp;query_hl=1&lt;/_url&gt;&lt;_volume&gt;21&lt;/_volume&gt;&lt;_created&gt;65089356&lt;/_created&gt;&lt;_modified&gt;65089356&lt;/_modified&gt;&lt;_impact_factor&gt;   4.612&lt;/_impact_factor&gt;&lt;_social_category&gt;医学(3)&lt;/_social_category&gt;&lt;_collection_scope&gt;SCIE&lt;/_collection_scope&gt;&lt;/Details&gt;&lt;Extra&gt;&lt;DBUID&gt;{F96A950B-833F-4880-A151-76DA2D6A2879}&lt;/DBUID&gt;&lt;/Extra&gt;&lt;/Item&gt;&lt;/References&gt;&lt;/Group&gt;&lt;/Citation&gt;_x000a_"/>
    <w:docVar w:name="NE.Ref{28944529-B5BD-4F13-B8BE-72BF388104DB}" w:val=" ADDIN NE.Ref.{28944529-B5BD-4F13-B8BE-72BF388104DB}&lt;Citation&gt;&lt;Group&gt;&lt;References&gt;&lt;Item&gt;&lt;ID&gt;4929&lt;/ID&gt;&lt;UID&gt;{39EEC32B-131B-4158-91BF-DD702DE7A204}&lt;/UID&gt;&lt;Title&gt;Bevacizumab plus mFOLFOX-6 or FOLFOXIRI in patients with initially unresectable  liver metastases from colorectal cancer: the OLIVIA multinational randomised  phase II trial&lt;/Title&gt;&lt;Template&gt;Journal Article&lt;/Template&gt;&lt;Star&gt;0&lt;/Star&gt;&lt;Tag&gt;0&lt;/Tag&gt;&lt;Author&gt;Gruenberger, T; Bridgewater, J; Chau, I; García, Alfonso P; Rivoire, M; Mudan, S; Lasserre, S; Hermann, F; Waterkamp, D; Adam, R&lt;/Author&gt;&lt;Year&gt;2015&lt;/Year&gt;&lt;Details&gt;&lt;_accession_num&gt;25538173&lt;/_accession_num&gt;&lt;_author_adr&gt;Department of Surgery I, Rudolfstiftung Hospital, Vienna, Austria. Electronic  address: t.gruenberger@icloud.com.; Department of Oncology, University College London Cancer Institute, London.; Department of Medicine, The Royal Marsden Hospital, Sutton, UK.; Department of Medical Oncology, Hospital General Universitario Gregorio Marañón,  Madrid, Spain.; Department of Surgical Oncology, Léon Bérard Cancer Center, Université Claude  Bernard Lyon I, Lyon, France.; Department of Surgery, The Royal Marsden Hospital, Sutton, UK.; F. Hoffmann-La Roche Ltd, Basel, Switzerland.; F. Hoffmann-La Roche Ltd, Basel, Switzerland.; Genentech, Inc., South San Francisco, USA.; Centre Hepato-Biliaire, AP-HP Hôpital Paul Brousse, UMR-S 776, Université  Paris-Sud, Villejuif, France.&lt;/_author_adr&gt;&lt;_date_display&gt;2015 Apr&lt;/_date_display&gt;&lt;_date&gt;2015-04-01&lt;/_date&gt;&lt;_doi&gt;10.1093/annonc/mdu580&lt;/_doi&gt;&lt;_isbn&gt;1569-8041 (Electronic); 0923-7534 (Linking)&lt;/_isbn&gt;&lt;_issue&gt;4&lt;/_issue&gt;&lt;_journal&gt;Ann Oncol&lt;/_journal&gt;&lt;_keywords&gt;bevacizumab; chemotherapy; colorectal cancer; liver metastases; secondary resection&lt;/_keywords&gt;&lt;_language&gt;eng&lt;/_language&gt;&lt;_ori_publication&gt;© The Author 2014. Published by Oxford University Press on behalf of the European _x000d__x000a_      Society for Medical Oncology. All rights reserved. For permissions, please email: _x000d__x000a_      journals.permissions@oup.com.&lt;/_ori_publication&gt;&lt;_pages&gt;702-708&lt;/_pages&gt;&lt;_subject_headings&gt;Adult; Aged; Aged, 80 and over; Antineoplastic Combined Chemotherapy Protocols/*therapeutic use; Bevacizumab/administration &amp;amp; dosage; Camptothecin/administration &amp;amp; dosage/analogs &amp;amp; derivatives; Colorectal Neoplasms/*drug therapy/mortality/pathology/surgery; Female; Fluorouracil/administration &amp;amp; dosage; Follow-Up Studies; Hepatectomy; Humans; Irinotecan; Leucovorin/administration &amp;amp; dosage; Liver Neoplasms/*drug therapy/mortality/secondary/surgery; Male; Middle Aged; Neoplasm Grading; Neoplasm Staging; Organoplatinum Compounds/administration &amp;amp; dosage; Oxaliplatin; Prognosis; Survival Rate&lt;/_subject_headings&gt;&lt;_tertiary_title&gt;Annals of oncology : official journal of the European Society for Medical _x000d__x000a_      Oncology&lt;/_tertiary_title&gt;&lt;_type_work&gt;Clinical Trial, Phase II; Journal Article; Multicenter Study; Randomized Controlled Trial; Research Support, Non-U.S. Gov&amp;apos;t&lt;/_type_work&gt;&lt;_url&gt;http://www.ncbi.nlm.nih.gov/entrez/query.fcgi?cmd=Retrieve&amp;amp;db=pubmed&amp;amp;dopt=Abstract&amp;amp;list_uids=25538173&amp;amp;query_hl=1&lt;/_url&gt;&lt;_volume&gt;26&lt;/_volume&gt;&lt;_created&gt;65090136&lt;/_created&gt;&lt;_modified&gt;65090136&lt;/_modified&gt;&lt;_impact_factor&gt;  51.769&lt;/_impact_factor&gt;&lt;_social_category&gt;医学(1)&lt;/_social_category&gt;&lt;_collection_scope&gt;SCIE&lt;/_collection_scope&gt;&lt;/Details&gt;&lt;Extra&gt;&lt;DBUID&gt;{F96A950B-833F-4880-A151-76DA2D6A2879}&lt;/DBUID&gt;&lt;/Extra&gt;&lt;/Item&gt;&lt;/References&gt;&lt;/Group&gt;&lt;Group&gt;&lt;References&gt;&lt;Item&gt;&lt;ID&gt;4934&lt;/ID&gt;&lt;UID&gt;{67F4724D-A7EF-4399-A846-99CD234A8075}&lt;/UID&gt;&lt;Title&gt;Radiofrequency ablation combined with systemic treatment versus systemic  treatment alone in patients with non-resectable colorectal liver metastases: a  randomized EORTC Intergroup phase II study (EORTC 40004)&lt;/Title&gt;&lt;Template&gt;Journal Article&lt;/Template&gt;&lt;Star&gt;0&lt;/Star&gt;&lt;Tag&gt;0&lt;/Tag&gt;&lt;Author&gt;Ruers, T; Punt, C; Van Coevorden, F; Pierie, JPEN; Borel-Rinkes, I; Ledermann, J A; Poston, G; Bechstein, W; Lentz, M A; Mauer, M; Van Cutsem, E; Lutz, M P; Nordlinger, B&lt;/Author&gt;&lt;Year&gt;2012&lt;/Year&gt;&lt;Details&gt;&lt;_accession_num&gt;22431703&lt;/_accession_num&gt;&lt;_author_adr&gt;Department of Surgery, The Netherlands Cancer Institute-Antoni Van Leeuwenhoek  ziekenhuis, Amsterdam. Electronic address: T.Ruers@NKI.nl.; Department of Medical Oncology, Academic Medical Centre, University of Amsterdam,  Amsterdam.; Department of Surgery, The Netherlands Cancer Institute-Antoni Van Leeuwenhoek  ziekenhuis, Amsterdam.; Department of Surgery, Leeuwarden Medical Center, Leeuwarden.; Department of Surgery, Universitair Medisch Centrum, Utrecht, The Netherlands.; UCL and UCL Hospitals Comprehensive Biomedical Research Centre, University  College London, London.; Department of Surgery, Aintree University Hospital, Liverpool, UK.; Department of Surgery, Klinikum Der J.W. Goethe Universitaet, Frankfurt, Germany.; Data Management Unit, EORTC Headquarters, Brussels.; Statistics Department, EORTC Headquarters, Brussels.; Department of Medical Oncology, University Hospital Gasthuisberg, Leuven,  Belgium.; Department of Medical Oncology, Caritasklinik St. Theresia, Saarbrücken, Germany.; Department of Surgery, Centre Hospitalier Universitaire Ambroise Paré, Assistance  Publique Hôpitaux de Paris, Boulogne-Billancourt, France.&lt;/_author_adr&gt;&lt;_date_display&gt;2012 Oct&lt;/_date_display&gt;&lt;_date&gt;2012-10-01&lt;/_date&gt;&lt;_doi&gt;10.1093/annonc/mds053&lt;/_doi&gt;&lt;_isbn&gt;1569-8041 (Electronic); 0923-7534 (Print); 0923-7534 (Linking)&lt;/_isbn&gt;&lt;_issue&gt;10&lt;/_issue&gt;&lt;_journal&gt;Ann Oncol&lt;/_journal&gt;&lt;_language&gt;eng&lt;/_language&gt;&lt;_pages&gt;2619-2626&lt;/_pages&gt;&lt;_subject_headings&gt;Adult; Aged; Antineoplastic Combined Chemotherapy Protocols/therapeutic use; Colorectal Neoplasms/*pathology; Female; Humans; Liver Neoplasms/drug therapy/radiotherapy/*secondary; Male; Middle Aged; Survival Rate&lt;/_subject_headings&gt;&lt;_tertiary_title&gt;Annals of oncology : official journal of the European Society for Medical _x000d__x000a_      Oncology&lt;/_tertiary_title&gt;&lt;_type_work&gt;Clinical Trial, Phase II; Journal Article; Randomized Controlled Trial; Research Support, N.I.H., Extramural; Research Support, Non-U.S. Gov&amp;apos;t&lt;/_type_work&gt;&lt;_url&gt;http://www.ncbi.nlm.nih.gov/entrez/query.fcgi?cmd=Retrieve&amp;amp;db=pubmed&amp;amp;dopt=Abstract&amp;amp;list_uids=22431703&amp;amp;query_hl=1&lt;/_url&gt;&lt;_volume&gt;23&lt;/_volume&gt;&lt;_created&gt;65090136&lt;/_created&gt;&lt;_modified&gt;65090136&lt;/_modified&gt;&lt;_impact_factor&gt;  51.769&lt;/_impact_factor&gt;&lt;_social_category&gt;医学(1)&lt;/_social_category&gt;&lt;_collection_scope&gt;SCIE&lt;/_collection_scope&gt;&lt;/Details&gt;&lt;Extra&gt;&lt;DBUID&gt;{F96A950B-833F-4880-A151-76DA2D6A2879}&lt;/DBUID&gt;&lt;/Extra&gt;&lt;/Item&gt;&lt;/References&gt;&lt;/Group&gt;&lt;Group&gt;&lt;References&gt;&lt;Item&gt;&lt;ID&gt;4935&lt;/ID&gt;&lt;UID&gt;{42DD23C6-AD28-4313-9F18-C0B288A26B3F}&lt;/UID&gt;&lt;Title&gt;Sequential versus combination chemotherapy for the treatment of advanced  colorectal cancer (FFCD 2000-05): an open-label, randomised, phase 3 trial&lt;/Title&gt;&lt;Template&gt;Journal Article&lt;/Template&gt;&lt;Star&gt;0&lt;/Star&gt;&lt;Tag&gt;0&lt;/Tag&gt;&lt;Author&gt;Ducreux, M; Malka, D; Mendiboure, J; Etienne, P L; Texereau, P; Auby, D; Rougier, P; Gasmi, M; Castaing, M; Abbas, M; Michel, P; Gargot, D; Azzedine, A; Lombard-Bohas, C; Geoffroy, P; Denis, B; Pignon, J P; Bedenne, L; Bouché, O&lt;/Author&gt;&lt;Year&gt;2011&lt;/Year&gt;&lt;Details&gt;&lt;_accession_num&gt;21903473&lt;/_accession_num&gt;&lt;_author_adr&gt;Institut Gustave Roussy, Paris, France. ducreux@igr.fr&lt;/_author_adr&gt;&lt;_date_display&gt;2011 Oct&lt;/_date_display&gt;&lt;_date&gt;2011-10-01&lt;/_date&gt;&lt;_doi&gt;10.1016/S1470-2045(11)70199-1&lt;/_doi&gt;&lt;_isbn&gt;1474-5488 (Electronic); 1470-2045 (Linking)&lt;/_isbn&gt;&lt;_issue&gt;11&lt;/_issue&gt;&lt;_journal&gt;Lancet Oncol&lt;/_journal&gt;&lt;_language&gt;eng&lt;/_language&gt;&lt;_ori_publication&gt;Copyright © 2011 Elsevier Ltd. All rights reserved.&lt;/_ori_publication&gt;&lt;_pages&gt;1032-44&lt;/_pages&gt;&lt;_subject_headings&gt;Aged; Antineoplastic Combined Chemotherapy Protocols/*administration &amp;amp; dosage/adverse _x000d__x000a_      effects; Camptothecin/administration &amp;amp; dosage/adverse effects/analogs &amp;amp; derivatives; Chi-Square Distribution; Colorectal Neoplasms/*drug therapy/mortality/pathology; Disease-Free Survival; Drug Administration Schedule; Female; Fluorouracil/administration &amp;amp; dosage/adverse effects; France; Humans; Irinotecan; Kaplan-Meier Estimate; Leucovorin/administration &amp;amp; dosage/adverse effects; Male; Middle Aged; Organoplatinum Compounds/administration &amp;amp; dosage/adverse effects; Oxaliplatin; Proportional Hazards Models; Risk Assessment; Risk Factors; Time Factors; Treatment Outcome&lt;/_subject_headings&gt;&lt;_tertiary_title&gt;The Lancet. Oncology&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1903473&amp;amp;query_hl=1&lt;/_url&gt;&lt;_volume&gt;12&lt;/_volume&gt;&lt;_created&gt;65090136&lt;/_created&gt;&lt;_modified&gt;65090136&lt;/_modified&gt;&lt;_impact_factor&gt;  54.433&lt;/_impact_factor&gt;&lt;_social_category&gt;医学(1)&lt;/_social_category&gt;&lt;_collection_scope&gt;SCIE&lt;/_collection_scope&gt;&lt;/Details&gt;&lt;Extra&gt;&lt;DBUID&gt;{F96A950B-833F-4880-A151-76DA2D6A2879}&lt;/DBUID&gt;&lt;/Extra&gt;&lt;/Item&gt;&lt;/References&gt;&lt;/Group&gt;&lt;Group&gt;&lt;References&gt;&lt;Item&gt;&lt;ID&gt;4941&lt;/ID&gt;&lt;UID&gt;{0E973FAD-3A03-42B1-B0B0-D33B0841DB4D}&lt;/UID&gt;&lt;Title&gt;A phase II open-label randomized multicenter trial of TSU-68 in combination with  S-1 and oxaliplatin versus S-1 in combination with oxaliplatin in patients with  metastatic colorectal cancer&lt;/Title&gt;&lt;Template&gt;Journal Article&lt;/Template&gt;&lt;Star&gt;0&lt;/Star&gt;&lt;Tag&gt;0&lt;/Tag&gt;&lt;Author&gt;Lee, J; Shin, S J; Chung, I J; Kim, T W; Chun, H G; Shin, D B; Kim, Y H; Song, H S; Han, S W; Kim, J G; Kim, S Y; Choi, Y J; Chung, H C&lt;/Author&gt;&lt;Year&gt;2014&lt;/Year&gt;&lt;Details&gt;&lt;_accession_num&gt;24573743&lt;/_accession_num&gt;&lt;_author_adr&gt;Division of Hematology/Oncology, Department of Medicine,Samsung Medical Center,  Sungkyunkwan University School of Medicine, Seoul, South Korea, jyunlee@skku.edu.&lt;/_author_adr&gt;&lt;_date_display&gt;2014 Jun&lt;/_date_display&gt;&lt;_date&gt;2014-06-01&lt;/_date&gt;&lt;_doi&gt;10.1007/s10637-014-0075-8&lt;/_doi&gt;&lt;_isbn&gt;1573-0646 (Electronic); 0167-6997 (Linking)&lt;/_isbn&gt;&lt;_issue&gt;3&lt;/_issue&gt;&lt;_journal&gt;Invest New Drugs&lt;/_journal&gt;&lt;_language&gt;eng&lt;/_language&gt;&lt;_pages&gt;561-8&lt;/_pages&gt;&lt;_subject_headings&gt;Adult; Aged; Antineoplastic Combined Chemotherapy Protocols/adverse _x000d__x000a_      effects/pharmacology/*therapeutic use; Becaplermin; C-Reactive Protein/metabolism; Colorectal Neoplasms/blood/*drug therapy; Disease-Free Survival; Drug Combinations; Female; Humans; Indoles/administration &amp;amp; dosage/adverse effects; Interleukin-6/blood; Interleukin-8/blood; L-Lactate Dehydrogenase/blood; Male; Middle Aged; Organoplatinum Compounds/administration &amp;amp; dosage/adverse effects; Oxaliplatin; Oxindoles; Oxonic Acid/administration &amp;amp; dosage/adverse effects; Platelet-Derived Growth Factor/metabolism; Propionates/administration &amp;amp; dosage/adverse effects; Proto-Oncogene Proteins c-sis/blood; Pyrroles; Tegafur/administration &amp;amp; dosage/adverse effects; Vascular Cell Adhesion Molecule-1/blood; Vascular Endothelial Growth Factor A/blood&lt;/_subject_headings&gt;&lt;_tertiary_title&gt;Investigational new drugs&lt;/_tertiary_title&gt;&lt;_type_work&gt;Clinical Trial, Phase II; Journal Article; Multicenter Study; Randomized Controlled Trial&lt;/_type_work&gt;&lt;_url&gt;http://www.ncbi.nlm.nih.gov/entrez/query.fcgi?cmd=Retrieve&amp;amp;db=pubmed&amp;amp;dopt=Abstract&amp;amp;list_uids=24573743&amp;amp;query_hl=1&lt;/_url&gt;&lt;_volume&gt;32&lt;/_volume&gt;&lt;_created&gt;65090136&lt;/_created&gt;&lt;_modified&gt;65090136&lt;/_modified&gt;&lt;_impact_factor&gt;   3.651&lt;/_impact_factor&gt;&lt;_social_category&gt;医学(3)&lt;/_social_category&gt;&lt;_collection_scope&gt;SCIE&lt;/_collection_scope&gt;&lt;/Details&gt;&lt;Extra&gt;&lt;DBUID&gt;{F96A950B-833F-4880-A151-76DA2D6A2879}&lt;/DBUID&gt;&lt;/Extra&gt;&lt;/Item&gt;&lt;/References&gt;&lt;/Group&gt;&lt;Group&gt;&lt;References&gt;&lt;Item&gt;&lt;ID&gt;4942&lt;/ID&gt;&lt;UID&gt;{4CCC42E2-8B20-42E5-8F4F-D1725D9E1C2D}&lt;/UID&gt;&lt;Title&gt;Gemcitabine, oxaliplatin, levofolinate, 5-fluorouracil, granulocyte-macrophage  colony-stimulating factor, and interleukin-2 (GOLFIG) versus FOLFOX chemotherapy  in metastatic colorectal cancer patients: the GOLFIG-2 multicentric open-label  randomized phase III trial&lt;/Title&gt;&lt;Template&gt;Journal Article&lt;/Template&gt;&lt;Star&gt;0&lt;/Star&gt;&lt;Tag&gt;0&lt;/Tag&gt;&lt;Author&gt;Correale, P; Botta, C; Rotundo, M S; Guglielmo, A; Conca, R; Licchetta, A; Pastina, P; Bestoso, E; Ciliberto, D; Cusi, M G; Fioravanti, A; Guidelli, G M; Bianco, M T; Misso, G; Martino, E; Caraglia, M; Tassone, P; Mini, E; Mantovani, G; Ridolfi, R; Pirtoli, L; Tagliaferri, P&lt;/Author&gt;&lt;Year&gt;2014&lt;/Year&gt;&lt;Details&gt;&lt;_accession_num&gt;24316553&lt;/_accession_num&gt;&lt;_author_adr&gt;*Radiotherapy Unit §Medical Oncology Unit, Department of Oncology, Microbiology  Section ∥Department of Biotechnology ¶Rheumatology Unit, Department of Medicine  #Pharmacy Unit, Siena University Hospital &amp;quot;Santa Maria alle Scotte&amp;quot;, Istituto  Toscano Tumory, Siena †Medical Oncology Unit ‡Department of Legal, Historical,  Economic and Social Sciences-DSGSES, Magna Graecia University of Catanzaro  ††Translational Medical Oncology Unit, &amp;quot;Magna Graecia&amp;quot; University and &amp;quot;Tommaso  Campanella&amp;quot; Cancer Center, Campus &amp;quot;Salvatore Venuta,&amp;quot; Catanzaro **Department of  Biochemistry, Biophysics and General Pathology, Second University of Naples,  Naples ‡‡Chemotherapy Unit, Department of Oncology, Florence University School of  Medicine, Florence §§Medical Oncology Unit, Department of Oncology, Cagliari  University School of Medicine, Cagliari ∥∥Medical Oncology Unit, Centro  Oncologico Romagnolo, Forlì, Italy.&lt;/_author_adr&gt;&lt;_date_display&gt;2014 Jan&lt;/_date_display&gt;&lt;_date&gt;2014-01-01&lt;/_date&gt;&lt;_doi&gt;10.1097/CJI.0000000000000004&lt;/_doi&gt;&lt;_isbn&gt;1537-4513 (Electronic); 1524-9557 (Linking)&lt;/_isbn&gt;&lt;_issue&gt;1&lt;/_issue&gt;&lt;_journal&gt;J Immunother&lt;/_journal&gt;&lt;_language&gt;eng&lt;/_language&gt;&lt;_pages&gt;26-35&lt;/_pages&gt;&lt;_subject_headings&gt;Adult; Aged; Aged, 80 and over; Antineoplastic Combined Chemotherapy Protocols/*therapeutic use; Colorectal Neoplasms/*drug therapy/immunology/mortality/*pathology; Deoxycytidine/administration &amp;amp; dosage/analogs &amp;amp; derivatives; Female; Fluorouracil/administration &amp;amp; dosage/therapeutic use; Granulocyte-Macrophage Colony-Stimulating Factor/administration &amp;amp; dosage; Humans; Interleukin-2/administration &amp;amp; dosage; Leucovorin/administration &amp;amp; dosage/therapeutic use; Lymphocytes, Tumor-Infiltrating/immunology/metabolism/pathology; Male; Middle Aged; Neoplasm Grading; Neoplasm Metastasis; Organoplatinum Compounds/administration &amp;amp; dosage/therapeutic use; Oxaliplatin; Treatment Outcome; Gemcitabine&lt;/_subject_headings&gt;&lt;_tertiary_title&gt;Journal of immunotherapy (Hagerstown, Md. : 1997)&lt;/_tertiary_title&gt;&lt;_type_work&gt;Clinical Trial, Phase III; Journal Article; Multicenter Study; Randomized Controlled Trial; Research Support, Non-U.S. Gov&amp;apos;t&lt;/_type_work&gt;&lt;_url&gt;http://www.ncbi.nlm.nih.gov/entrez/query.fcgi?cmd=Retrieve&amp;amp;db=pubmed&amp;amp;dopt=Abstract&amp;amp;list_uids=24316553&amp;amp;query_hl=1&lt;/_url&gt;&lt;_volume&gt;37&lt;/_volume&gt;&lt;_created&gt;65090136&lt;/_created&gt;&lt;_modified&gt;65090136&lt;/_modified&gt;&lt;_impact_factor&gt;   4.912&lt;/_impact_factor&gt;&lt;_social_category&gt;医学(4)&lt;/_social_category&gt;&lt;_collection_scope&gt;SCIE&lt;/_collection_scope&gt;&lt;/Details&gt;&lt;Extra&gt;&lt;DBUID&gt;{F96A950B-833F-4880-A151-76DA2D6A2879}&lt;/DBUID&gt;&lt;/Extra&gt;&lt;/Item&gt;&lt;/References&gt;&lt;/Group&gt;&lt;Group&gt;&lt;References&gt;&lt;Item&gt;&lt;ID&gt;4943&lt;/ID&gt;&lt;UID&gt;{FE890EED-8D53-4D50-900F-57F8A8EE4AFF}&lt;/UID&gt;&lt;Title&gt;Leucovorin, fluorouracil, and oxaliplatin plus bevacizumab versus S-1 and  oxaliplatin plus bevacizumab in patients with metastatic colorectal cancer  (SOFT): an open-label, non-inferiority, randomised phase 3 trial&lt;/Title&gt;&lt;Template&gt;Journal Article&lt;/Template&gt;&lt;Star&gt;0&lt;/Star&gt;&lt;Tag&gt;0&lt;/Tag&gt;&lt;Author&gt;Yamada, Y; Takahari, D; Matsumoto, H; Baba, H; Nakamura, M; Yoshida, K; Yoshida, M; Iwamoto, S; Shimada, K; Komatsu, Y; Sasaki, Y; Satoh, T; Takahashi, K; Mishima, H; Muro, K; Watanabe, M; Sakata, Y; Morita, S; Shimada, Y; Sugihara, K&lt;/Author&gt;&lt;Year&gt;2013&lt;/Year&gt;&lt;Details&gt;&lt;_accession_num&gt;24225157&lt;/_accession_num&gt;&lt;_author_adr&gt;National Cancer Center Hospital, Tokyo, Japan. Electronic address:  yayamada@ncc.go.jp.&lt;/_author_adr&gt;&lt;_date_display&gt;2013 Dec&lt;/_date_display&gt;&lt;_date&gt;2013-12-01&lt;/_date&gt;&lt;_doi&gt;10.1016/S1470-2045(13)70490-X&lt;/_doi&gt;&lt;_isbn&gt;1474-5488 (Electronic); 1470-2045 (Linking)&lt;/_isbn&gt;&lt;_issue&gt;13&lt;/_issue&gt;&lt;_journal&gt;Lancet Oncol&lt;/_journal&gt;&lt;_language&gt;eng&lt;/_language&gt;&lt;_ori_publication&gt;Copyright © 2013 Elsevier Ltd. All rights reserved.&lt;/_ori_publication&gt;&lt;_pages&gt;1278-86&lt;/_pages&gt;&lt;_subject_headings&gt;Adult; Aged; Aged, 80 and over; Antibodies, Monoclonal, Humanized/administration &amp;amp; dosage; Antineoplastic Combined Chemotherapy Protocols/administration &amp;amp; dosage/adverse _x000d__x000a_      effects/*therapeutic use; Bevacizumab; Chemotherapy, Adjuvant; Colorectal Neoplasms/*drug therapy/pathology; Disease-Free Survival; Drug Administration Schedule; Drug Combinations; Female; Fluorouracil/administration &amp;amp; dosage; Humans; Infusions, Intravenous; Japan; Kaplan-Meier Estimate; Leucovorin/administration &amp;amp; dosage; Male; Middle Aged; Neoplasm Staging; Organoplatinum Compounds/administration &amp;amp; dosage; Oxaliplatin; Oxonic Acid/administration &amp;amp; dosage; Tegafur/administration &amp;amp; dosage; Treatment Outcome&lt;/_subject_headings&gt;&lt;_tertiary_title&gt;The Lancet. Oncology&lt;/_tertiary_title&gt;&lt;_type_work&gt;Clinical Trial, Phase III; Comparative Study; Journal Article; Randomized Controlled Trial; Research Support, Non-U.S. Gov&amp;apos;t&lt;/_type_work&gt;&lt;_url&gt;http://www.ncbi.nlm.nih.gov/entrez/query.fcgi?cmd=Retrieve&amp;amp;db=pubmed&amp;amp;dopt=Abstract&amp;amp;list_uids=24225157&amp;amp;query_hl=1&lt;/_url&gt;&lt;_volume&gt;14&lt;/_volume&gt;&lt;_created&gt;65090136&lt;/_created&gt;&lt;_modified&gt;65090136&lt;/_modified&gt;&lt;_impact_factor&gt;  54.433&lt;/_impact_factor&gt;&lt;_social_category&gt;医学(1)&lt;/_social_category&gt;&lt;_collection_scope&gt;SCIE&lt;/_collection_scope&gt;&lt;/Details&gt;&lt;Extra&gt;&lt;DBUID&gt;{F96A950B-833F-4880-A151-76DA2D6A2879}&lt;/DBUID&gt;&lt;/Extra&gt;&lt;/Item&gt;&lt;/References&gt;&lt;/Group&gt;&lt;Group&gt;&lt;References&gt;&lt;Item&gt;&lt;ID&gt;4947&lt;/ID&gt;&lt;UID&gt;{88158EE1-2335-484F-8E6B-EF811FA8B5E8}&lt;/UID&gt;&lt;Title&gt;S-1 plus oxaliplatin versus capecitabine plus oxaliplatin for first-line  treatment of patients with metastatic colorectal cancer: a randomised,  non-inferiority phase 3 trial&lt;/Title&gt;&lt;Template&gt;Journal Article&lt;/Template&gt;&lt;Star&gt;0&lt;/Star&gt;&lt;Tag&gt;0&lt;/Tag&gt;&lt;Author&gt;Hong, Y S; Park, Y S; Lim, H Y; Lee, J; Kim, T W; Kim, K P; Kim, S Y; Baek, J Y; Kim, J H; Lee, K W; Chung, I J; Cho, S H; Lee, K H; Shin, S J; Kang, H J; Shin, D B; Jo, S J; Lee, J W&lt;/Author&gt;&lt;Year&gt;2012&lt;/Year&gt;&lt;Details&gt;&lt;_accession_num&gt;23062232&lt;/_accession_num&gt;&lt;_author_adr&gt;Department of Oncology, Asan Medical Centre, University of Ulsan College of  Medicine, Seoul, South Korea.&lt;/_author_adr&gt;&lt;_date_display&gt;2012 Nov&lt;/_date_display&gt;&lt;_date&gt;2012-11-01&lt;/_date&gt;&lt;_doi&gt;10.1016/S1470-2045(12)70363-7&lt;/_doi&gt;&lt;_isbn&gt;1474-5488 (Electronic); 1470-2045 (Linking)&lt;/_isbn&gt;&lt;_issue&gt;11&lt;/_issue&gt;&lt;_journal&gt;Lancet Oncol&lt;/_journal&gt;&lt;_language&gt;eng&lt;/_language&gt;&lt;_ori_publication&gt;Copyright © 2012 Elsevier Ltd. All rights reserved.&lt;/_ori_publication&gt;&lt;_pages&gt;1125-32&lt;/_pages&gt;&lt;_subject_headings&gt;Aged; *Antineoplastic Combined Chemotherapy Protocols/administration &amp;amp; dosage/adverse _x000d__x000a_      effects; Capecitabine; Colorectal Neoplasms/*drug therapy/pathology/secondary; Deoxycytidine/administration &amp;amp; dosage/adverse effects/*analogs &amp;amp; derivatives; Disease-Free Survival; Drug Combinations; Female; Fluorouracil/administration &amp;amp; dosage/adverse effects/*analogs &amp;amp; derivatives; Humans; Kaplan-Meier Estimate; Male; Middle Aged; *Organoplatinum Compounds/administration &amp;amp; dosage/adverse effects; Oxaliplatin; *Oxonic Acid/administration &amp;amp; dosage/adverse effects; Republic of Korea; *Tegafur/administration &amp;amp; dosage/adverse effects&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23062232&amp;amp;query_hl=1&lt;/_url&gt;&lt;_volume&gt;13&lt;/_volume&gt;&lt;_created&gt;65090136&lt;/_created&gt;&lt;_modified&gt;65090136&lt;/_modified&gt;&lt;_impact_factor&gt;  54.433&lt;/_impact_factor&gt;&lt;_social_category&gt;医学(1)&lt;/_social_category&gt;&lt;_collection_scope&gt;SCIE&lt;/_collection_scope&gt;&lt;/Details&gt;&lt;Extra&gt;&lt;DBUID&gt;{F96A950B-833F-4880-A151-76DA2D6A2879}&lt;/DBUID&gt;&lt;/Extra&gt;&lt;/Item&gt;&lt;/References&gt;&lt;/Group&gt;&lt;Group&gt;&lt;References&gt;&lt;Item&gt;&lt;ID&gt;4949&lt;/ID&gt;&lt;UID&gt;{B3ECB580-363A-498D-A17E-F6F7008955D6}&lt;/UID&gt;&lt;Title&gt;Cediranib plus FOLFOX/CAPOX versus placebo plus FOLFOX/CAPOX in patients with  previously untreated metastatic colorectal cancer: a randomized, double-blind,  phase III study (HORIZON II)&lt;/Title&gt;&lt;Template&gt;Journal Article&lt;/Template&gt;&lt;Star&gt;0&lt;/Star&gt;&lt;Tag&gt;0&lt;/Tag&gt;&lt;Author&gt;Hoff, P M; Hochhaus, A; Pestalozzi, B C; Tebbutt, N C; Li, J; Kim, T W; Koynov, K D; Kurteva, G; Pintér, T; Cheng, Y; van Eyll, B; Pike, L; Fielding, A; Robertson, J D; Saunders, M P&lt;/Author&gt;&lt;Year&gt;2012&lt;/Year&gt;&lt;Details&gt;&lt;_accession_num&gt;22965965&lt;/_accession_num&gt;&lt;_author_adr&gt;FACP, Instituto do Câncer do Estado de São Paulo, Faculdade de Medicina da  Universidade de São Paulo, Av. Dr. Arnaldo 251, São Paulo, Brazil.  paulo.hoff@icesp.org.br&lt;/_author_adr&gt;&lt;_date_display&gt;2012 Oct 10&lt;/_date_display&gt;&lt;_date&gt;2012-10-10&lt;/_date&gt;&lt;_doi&gt;10.1200/JCO.2012.42.6031&lt;/_doi&gt;&lt;_isbn&gt;1527-7755 (Electronic); 0732-183X (Linking)&lt;/_isbn&gt;&lt;_issue&gt;29&lt;/_issue&gt;&lt;_journal&gt;J Clin Oncol&lt;/_journal&gt;&lt;_language&gt;eng&lt;/_language&gt;&lt;_pages&gt;3596-603&lt;/_pages&gt;&lt;_subject_headings&gt;Administration, Oral; Adult; Aged; Aged, 80 and over; Antineoplastic Combined Chemotherapy Protocols/*therapeutic use; Brazil; Capecitabine; Colorectal Neoplasms/*drug therapy/mortality/*pathology; Deoxycytidine/analogs &amp;amp; derivatives/therapeutic use; Disease-Free Survival; Dose-Response Relationship, Drug; Double-Blind Method; Drug Administration Schedule; Female; Fluorouracil/analogs &amp;amp; derivatives/therapeutic use; Humans; Infusions, Intravenous; Kaplan-Meier Estimate; Leucovorin/therapeutic use; Male; Middle Aged; Neoplasm Invasiveness/pathology; Neoplasm Metastasis; Neoplasm Staging; Organoplatinum Compounds/therapeutic use; Prognosis; Proportional Hazards Models; Pyridines/therapeutic use; Quinazolines/*therapeutic use; Survival Analysis&lt;/_subject_headings&gt;&lt;_tertiary_title&gt;Journal of clinical oncology : official journal of the American Society of _x000d__x000a_      Clinical Oncology&lt;/_tertiary_title&gt;&lt;_type_work&gt;Clinical Trial, Phase III; Comparative Study; Journal Article; Randomized Controlled Trial; Research Support, Non-U.S. Gov&amp;apos;t&lt;/_type_work&gt;&lt;_url&gt;http://www.ncbi.nlm.nih.gov/entrez/query.fcgi?cmd=Retrieve&amp;amp;db=pubmed&amp;amp;dopt=Abstract&amp;amp;list_uids=22965965&amp;amp;query_hl=1&lt;/_url&gt;&lt;_volume&gt;30&lt;/_volume&gt;&lt;_created&gt;65090136&lt;/_created&gt;&lt;_modified&gt;6509013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28D7F8F5-14CF-4312-81C6-C371BF04B92D}" w:val=" ADDIN NE.Ref.{28D7F8F5-14CF-4312-81C6-C371BF04B92D}&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Citation&gt;_x000a_"/>
    <w:docVar w:name="NE.Ref{29C5616D-E05F-4170-9EF5-84D874286E6C}" w:val=" ADDIN NE.Ref.{29C5616D-E05F-4170-9EF5-84D874286E6C}&lt;Citation&gt;&lt;Group&gt;&lt;References&gt;&lt;Item&gt;&lt;ID&gt;3017&lt;/ID&gt;&lt;UID&gt;{B7E83D5C-E74F-4890-A8D5-C43325E06427}&lt;/UID&gt;&lt;Title&gt;319O ALTA-3: A randomized trial of brigatinib (BRG) vs alectinib (ALC) in crizotinib (CRZ)-refractory advanced ALK+ NSCLC&lt;/Title&gt;&lt;Template&gt;Journal Article&lt;/Template&gt;&lt;Star&gt;0&lt;/Star&gt;&lt;Tag&gt;0&lt;/Tag&gt;&lt;Author&gt;Yang, J C-H.; Liu, G; Lu, S; He, J; Burotto, M; Vincent, S; Yin, J; Ma, X; Popat, S&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6&lt;/_doi&gt;&lt;_impact_factor&gt;  51.769&lt;/_impact_factor&gt;&lt;_isbn&gt;0923-7534&lt;/_isbn&gt;&lt;_journal&gt;Annals of Oncology&lt;/_journal&gt;&lt;_modified&gt;64740730&lt;/_modified&gt;&lt;_pages&gt;S1564&lt;/_pages&gt;&lt;_social_category&gt;医学(1)&lt;/_social_category&gt;&lt;_url&gt;https://www.sciencedirect.com/science/article/pii/S0923753422045471&lt;/_url&gt;&lt;_volume&gt;33&lt;/_volume&gt;&lt;/Details&gt;&lt;Extra&gt;&lt;DBUID&gt;{F96A950B-833F-4880-A151-76DA2D6A2879}&lt;/DBUID&gt;&lt;/Extra&gt;&lt;/Item&gt;&lt;/References&gt;&lt;/Group&gt;&lt;/Citation&gt;_x000a_"/>
    <w:docVar w:name="NE.Ref{2A05199E-7DA0-4143-89B7-EE9FA4D2B3A6}" w:val=" ADDIN NE.Ref.{2A05199E-7DA0-4143-89B7-EE9FA4D2B3A6}&lt;Citation&gt;&lt;Group&gt;&lt;References&gt;&lt;Item&gt;&lt;ID&gt;4699&lt;/ID&gt;&lt;UID&gt;{8D7AD450-2A19-4690-97C7-15DF1BF2AE84}&lt;/UID&gt;&lt;Title&gt;Regorafenib in Chinese patients with metastatic colorectal cancer: Subgroup  analysis of the phase 3 CONCUR trial&lt;/Title&gt;&lt;Template&gt;Journal Article&lt;/Template&gt;&lt;Star&gt;0&lt;/Star&gt;&lt;Tag&gt;0&lt;/Tag&gt;&lt;Author&gt;Xu, J; Xu, R H; Qin, S; Pan, H; Bai, Y; Chi, Y; Wang, L; Bi, F; Cheng, Y; Liu, T; Ma, D; Shen, L; Ba, Y; Liang, J; Wang, X; Yau, TCC; Ma, B B; Yeh, K H; Lin, J K; Kappeler, C; Shapiro, J; Kalmus, J; Li, J&lt;/Author&gt;&lt;Year&gt;2020&lt;/Year&gt;&lt;Details&gt;&lt;_accession_num&gt;31900959&lt;/_accession_num&gt;&lt;_author_adr&gt;The 307 Hospital of PLA Cancer Center, Beijing, China.; Sun Yat-Sen University Cancer Center, Collaborative Innovation Center for Cancer  Medicine, Guangzhou, China.; Chinese People&amp;apos;s Liberation Army Cancer Center of Nanjing Bayi Hospital, Nanjing,  China.; Sir Run Run Shaw Hospital, Hangzhou, China.; Harbin Medical University Cancer Hospital, Harbin, China.; Cancer Hospital, Chinese Academy of Medical Sciences, Beijing, China.; Shanghai First People&amp;apos;s Hospital, Shanghai, China.; West China Hospital, Sichuan University, Chengdu, China.; Jilin Provincial Tumor Hospital, Changchun, China.; Zhongshan Hospital, Fudan University, Shanghai, China.; Guangdong General Hospital, Guangdong, China.; Peking University Cancer Hospital &amp;amp; Institute, Beijing, China.; Tianjin Medical University Cancer Hospital, Tianjin, China.; Affiliated Hospital of Medical College, Qingdao University, Shandong, China.; The First Affiliated Hospital of the 4th Military Medical University, Xi&amp;apos;an,  China.; Queen Mary Hospital University of Hong Kong, Hong Kong, China.; Prince of Wales Hospital, The Chinese University of Hong Kong, Hong Kong, China.; National Taiwan University Hospital and National Taiwan University Cancer Center,  Taipei, Taiwan.; Taipei Veterans General Hospital, Taipei, Taiwan.; Bayer AG, Berlin, Germany.; Bayer HealthCare Pharmaceuticals, Whippany, New Jersey, USA.; Bayer AG, Berlin, Germany.; Tongji University Shanghai East Hospital, Shanghai, China.; Fudan University Shanghai Cancer Center, Shanghai, China.&lt;/_author_adr&gt;&lt;_date_display&gt;2020 Aug&lt;/_date_display&gt;&lt;_date&gt;2020-08-01&lt;/_date&gt;&lt;_doi&gt;10.1111/jgh.14974&lt;/_doi&gt;&lt;_isbn&gt;1440-1746 (Electronic); 0815-9319 (Print); 0815-9319 (Linking)&lt;/_isbn&gt;&lt;_issue&gt;8&lt;/_issue&gt;&lt;_journal&gt;J Gastroenterol Hepatol&lt;/_journal&gt;&lt;_keywords&gt;Chinese; clinical trial; colorectal cancer; regorafenib&lt;/_keywords&gt;&lt;_language&gt;eng&lt;/_language&gt;&lt;_ori_publication&gt;© 2020 The Authors. Journal of Gastroenterology and Hepatology published by _x000d__x000a_      Journal of Gastroenterology and Hepatology Foundation and John Wiley &amp;amp; Sons _x000d__x000a_      Australia, Ltd.&lt;/_ori_publication&gt;&lt;_pages&gt;1307-1316&lt;/_pages&gt;&lt;_subject_headings&gt;Adult; Aged; Aged, 80 and over; Asian People; *Clinical Trials, Phase III as Topic; Colorectal Neoplasms/*drug therapy/mortality; Disease-Free Survival; Double-Blind Method; Female; Humans; Male; Middle Aged; Neoplasm Metastasis; Phenylurea Compounds/*administration &amp;amp; dosage/adverse effects; Pyridines/*administration &amp;amp; dosage/adverse effects; Retrospective Studies; Safety&lt;/_subject_headings&gt;&lt;_tertiary_title&gt;Journal of gastroenterology and hepatology&lt;/_tertiary_title&gt;&lt;_type_work&gt;Journal Article&lt;/_type_work&gt;&lt;_url&gt;http://www.ncbi.nlm.nih.gov/entrez/query.fcgi?cmd=Retrieve&amp;amp;db=pubmed&amp;amp;dopt=Abstract&amp;amp;list_uids=31900959&amp;amp;query_hl=1&lt;/_url&gt;&lt;_volume&gt;35&lt;/_volume&gt;&lt;_created&gt;65020956&lt;/_created&gt;&lt;_modified&gt;65020956&lt;/_modified&gt;&lt;_impact_factor&gt;   4.369&lt;/_impact_factor&gt;&lt;_social_category&gt;医学(3)&lt;/_social_category&gt;&lt;_collection_scope&gt;SCIE&lt;/_collection_scope&gt;&lt;/Details&gt;&lt;Extra&gt;&lt;DBUID&gt;{F96A950B-833F-4880-A151-76DA2D6A2879}&lt;/DBUID&gt;&lt;/Extra&gt;&lt;/Item&gt;&lt;/References&gt;&lt;/Group&gt;&lt;Group&gt;&lt;References&gt;&lt;Item&gt;&lt;ID&gt;4727&lt;/ID&gt;&lt;UID&gt;{4B57482B-D645-4A6C-8D41-732568E93A47}&lt;/UID&gt;&lt;Title&gt;Regorafenib plus best supportive care versus placebo plus best supportive care in  Asian patients with previously treated metastatic colorectal cancer (CONCUR): a  randomised, double-blind, placebo-controlled, phase 3 trial&lt;/Title&gt;&lt;Template&gt;Journal Article&lt;/Template&gt;&lt;Star&gt;0&lt;/Star&gt;&lt;Tag&gt;0&lt;/Tag&gt;&lt;Author&gt;Li, J; Qin, S; Xu, R; Yau, T C; Ma, B; Pan, H; Xu, J; Bai, Y; Chi, Y; Wang, L; Yeh, K H; Bi, F; Cheng, Y; &amp;quot;Le AT&amp;quot;; Lin, J K; Liu, T; Ma, D; Kappeler, C; Kalmus, J; Kim, T W&lt;/Author&gt;&lt;Year&gt;2015&lt;/Year&gt;&lt;Details&gt;&lt;_accession_num&gt;25981818&lt;/_accession_num&gt;&lt;_author_adr&gt;Department of Medical Oncology, Fudan University Shanghai Cancer Center, and  Department of Oncology, Shanghai Medical College, Fudan University, Shanghai,  China.; Department of Medical Oncology, Chinese People&amp;apos;s Liberation Army Cancer Center of  Nanjing Bayi Hospital, Nanjing, China.; Department of Medical Oncology, Sun Yat-Sen University Cancer Center,  Collaborative Innovation Center for Cancer Medicine, Guangzhou, China.; Department of Medicine, University of Hong Kong, Queen Mary Hospital, Hong Kong,  China.; Department of Clinical Oncology, Prince of Wales Hospital, Chinese University of  Hong Kong, Hong Kong, China.; Medical Oncology, Sir Run Run Shaw Hospital Medical School, Zhejiang University,  Hangzhou, China.; Beijing 307 People&amp;apos;s Liberation Army Hospital Cancer Centre, Beijing, China.; Third Affiliated Hospital of Harbin Medical University, Harbin, China.; Department of Medical Oncology, Cancer Hospital, Chinese Academy of Medical  Sciences, Beijing, China.; Comprehensive Cancer Center, Shanghai First People&amp;apos;s Hospital, Shanghai Jiaotong  University, Shanghai, China.; Department of Oncology, National Taiwan University Hospital, Taipei, Taiwan.; Department of Medical Oncology, West China Hospital, Sichuan University, Chengdu,  China.; Jilin Provincial Tumor Hospital, Changchun, China.; Department of Oncology, Cho Ray Hospital, Ho Chi Minh City, Vietnam.; Department of Surgery, Taipei Veterans General Hospital, National Yang-Ming  University, Taipei, Taiwan.; Department of Medical Oncology, Zhong Shan Hospital, Fudan University, Shanghai,  China.; Department of Medical Oncology, Guangdong General Hospital, Guangzhou, Guangdong,  China.; Bayer Pharma AG, Berlin, Germany.; Bayer Pharma AG, Berlin, Germany.; Department of Oncology, Asan Medical Center, University of Ulsan College of  Medicine, Songpa-gu, South Korea. Electronic address: twkimmd@amc.seoul.kr.&lt;/_author_adr&gt;&lt;_date_display&gt;2015 Jun&lt;/_date_display&gt;&lt;_date&gt;2015-06-01&lt;/_date&gt;&lt;_doi&gt;10.1016/S1470-2045(15)70156-7&lt;/_doi&gt;&lt;_isbn&gt;1474-5488 (Electronic); 1470-2045 (Linking)&lt;/_isbn&gt;&lt;_issue&gt;6&lt;/_issue&gt;&lt;_journal&gt;Lancet Oncol&lt;/_journal&gt;&lt;_language&gt;eng&lt;/_language&gt;&lt;_ori_publication&gt;Copyright © 2015 Elsevier Ltd. All rights reserved.&lt;/_ori_publication&gt;&lt;_pages&gt;619-29&lt;/_pages&gt;&lt;_subject_headings&gt;Aged; Antineoplastic Combined Chemotherapy Protocols/*administration &amp;amp; dosage; Asian People; Colorectal Neoplasms/*drug therapy/epidemiology/pathology; Disease-Free Survival; Double-Blind Method; Female; Humans; Kaplan-Meier Estimate; Male; Middle Aged; Neoplasm Metastasis; Phenylurea Compounds/*administration &amp;amp; dosage/adverse effects; Pyridines/*administration &amp;amp; dosage/adverse effects; Treatment Outcom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25981818&amp;amp;query_hl=1&lt;/_url&gt;&lt;_volume&gt;16&lt;/_volume&gt;&lt;_created&gt;65021037&lt;/_created&gt;&lt;_modified&gt;65021037&lt;/_modified&gt;&lt;_impact_factor&gt;  54.433&lt;/_impact_factor&gt;&lt;_social_category&gt;医学(1)&lt;/_social_category&gt;&lt;_collection_scope&gt;SCIE&lt;/_collection_scope&gt;&lt;/Details&gt;&lt;Extra&gt;&lt;DBUID&gt;{F96A950B-833F-4880-A151-76DA2D6A2879}&lt;/DBUID&gt;&lt;/Extra&gt;&lt;/Item&gt;&lt;/References&gt;&lt;/Group&gt;&lt;/Citation&gt;_x000a_"/>
    <w:docVar w:name="NE.Ref{2A5D3EC2-283F-40FA-B4F2-EF3AB2007033}" w:val=" ADDIN NE.Ref.{2A5D3EC2-283F-40FA-B4F2-EF3AB2007033}&lt;Citation&gt;&lt;Group&gt;&lt;References&gt;&lt;Item&gt;&lt;ID&gt;3005&lt;/ID&gt;&lt;UID&gt;{1FC58E51-94D9-403C-8075-F458CADD4F47}&lt;/UID&gt;&lt;Title&gt;Ceritinib Efficacy and Safety in Treatment-Naive Asian Patients With Advanced ALK-Rearranged NSCLC: An ASCEND-4 Subgroup Analysis&lt;/Title&gt;&lt;Template&gt;Journal Article&lt;/Template&gt;&lt;Star&gt;0&lt;/Star&gt;&lt;Tag&gt;0&lt;/Tag&gt;&lt;Author&gt;Tan, DSW; Geater, S; Yu, C J; Tsai, C M; Hsia, T C; Chen, J; Lin, M C; Lu, Y; Sriuranpong, V; Yang, C T; Sen, P; Branle, F; Shi, M; Wu, Y L&lt;/Author&gt;&lt;Year&gt;2021&lt;/Year&gt;&lt;Details&gt;&lt;_accessed&gt;64632481&lt;/_accessed&gt;&lt;_accession_num&gt;34589995&lt;/_accession_num&gt;&lt;_author_adr&gt;Department of Medical Oncology, National Cancer Centre Singapore, Singapore.; Department of Internal Medicine, Prince of Songkla University, Hat Yai, Thailand.; Department of Internal Medicine, National Taiwan University Hospital, Taipei, Taiwan.; Department of Oncology, Taipei Veterans General Hospital, Taipei, Taiwan.; Department of Respiratory Therapy and Internal Medicine, China Medical University Hospital, China Medical University, Taichung, Taiwan.; Department of Lung Cancer Surgery, Tianjin Medical University General Hospital, Tianjin, People&amp;apos;s Republic of China.; Department of Internal Medicine, Kaohsiung Chang Gung Memorial Hospital, Kaohsiung, Taiwan.; Department of Thoracic Oncology, West China Hospital of Sichuan University, Chengdu, People&amp;apos;s Republic of China.; Department of Medicine, Chulalongkorn University and the King Chulalongkorn Memorial Hospital, Bangkok, Thailand.; Department of Thoracic Medicine, Chang Gung Memorial Hospital, Taoyuan, Taiwan.; Novartis Pharmaceuticals Corporation, East Hanover, New Jersey.; Novartis Pharma AG, Basel, Switzerland.; Novartis Pharmaceuticals Corporation, East Hanover, New Jersey.; Guangdong Lung Cancer Institute, Guangdong Provincial Key Laboratory of Translational Medicine in Lung Cancer, Guangdong Provincial People&amp;apos;s Hospital, Guangzhou, Guangdong, People&amp;apos;s Republic of China.&lt;/_author_adr&gt;&lt;_created&gt;64630953&lt;/_created&gt;&lt;_date&gt;2021-03-01&lt;/_date&gt;&lt;_date_display&gt;2021 Mar&lt;/_date_display&gt;&lt;_db_updated&gt;PubMed&lt;/_db_updated&gt;&lt;_doi&gt;10.1016/j.jtocrr.2020.100131&lt;/_doi&gt;&lt;_isbn&gt;2666-3643 (Electronic); 2666-3643 (Linking)&lt;/_isbn&gt;&lt;_issue&gt;3&lt;/_issue&gt;&lt;_journal&gt;JTO Clin Res Rep&lt;/_journal&gt;&lt;_keywords&gt;ALK; ASCEND-4; Ceritinib; NSCLC&lt;/_keywords&gt;&lt;_language&gt;eng&lt;/_language&gt;&lt;_modified&gt;64740730&lt;/_modified&gt;&lt;_ori_publication&gt;(c) 2020 The Authors. Published by Elsevier Inc. on behalf of the International_x000d__x000a_      Association for the Study of Lung Cancer.&lt;/_ori_publication&gt;&lt;_pages&gt;100131&lt;/_pages&gt;&lt;_tertiary_title&gt;JTO clinical and research reports&lt;/_tertiary_title&gt;&lt;_type_work&gt;Journal Article&lt;/_type_work&gt;&lt;_url&gt;http://www.ncbi.nlm.nih.gov/entrez/query.fcgi?cmd=Retrieve&amp;amp;db=pubmed&amp;amp;dopt=Abstract&amp;amp;list_uids=34589995&amp;amp;query_hl=1 _x000d__x000a_https://www.ncbi.nlm.nih.gov/pmc/articles/PMC8474482/pdf/main.pdf _x000d__x000a_&lt;/_url&gt;&lt;_volume&gt;2&lt;/_volume&gt;&lt;/Details&gt;&lt;Extra&gt;&lt;DBUID&gt;{F96A950B-833F-4880-A151-76DA2D6A2879}&lt;/DBUID&gt;&lt;/Extra&gt;&lt;/Item&gt;&lt;/References&gt;&lt;/Group&gt;&lt;Group&gt;&lt;References&gt;&lt;Item&gt;&lt;ID&gt;3006&lt;/ID&gt;&lt;UID&gt;{65B0B5EE-3BB2-4C5C-BFF0-F0667F8A3C9D}&lt;/UID&gt;&lt;Title&gt;First-line ceritinib versus platinum-based chemotherapy in advanced ALK-rearranged non-small-cell lung cancer (ASCEND-4): a randomised, open-label, phase 3 study&lt;/Title&gt;&lt;Template&gt;Journal Article&lt;/Template&gt;&lt;Star&gt;0&lt;/Star&gt;&lt;Tag&gt;0&lt;/Tag&gt;&lt;Author&gt;Soria, J C; Tan, DSW; Chiari, R; Wu, Y L; Paz-Ares, L; Wolf, J; Geater, S L; Orlov, S; Cortinovis, D; Yu, C J; Hochmair, M; Cortot, A B; Tsai, C M; Moro-Sibilot, D; Campelo, R G; McCulloch, T; Sen, P; Dugan, M; Pantano, S; Branle, F; Massacesi, C; de Castro, G Jr&lt;/Author&gt;&lt;Year&gt;2017&lt;/Year&gt;&lt;Details&gt;&lt;_accessed&gt;64631489&lt;/_accessed&gt;&lt;_accession_num&gt;28126333&lt;/_accession_num&gt;&lt;_author_adr&gt;University Paris-Sud, Orsay, France; Institut Gustave Roussy, Villejuif, France.  Electronic address: Jean-Charles.Soria@gustaveroussy.fr.; National Cancer Centre Singapore and Genome Institute of Singapore, Singapore.; Azienda Ospedale Perugia, Perugia, Italy.; Guangdong Lung Cancer Institute, Guangdong General Hospital &amp;amp; Guangdong Academy of Medical Sciences, Guangzhou, China.; University Hospital Virgen del RocioDoce de Octubre, Universidad Complutense &amp;amp; CNIO, Madrid, Spain.; University Hospital Cologne, Cologne, Germany.; Songklanagarind Hospital, Songkla, Thailand.; State Pavlov Medical University, St Petersburg, Russia.; Az. Ospedaliera San Gerardo, Monza, Italy.; National Taiwan University Hospital, Taipei, Taiwan.; Respiratory Oncology Unit, Department of Respiratory and Critical Care Medicine,  Otto-Wagner-Spital, Vienna, Austria.; CHU de LILLE, Lille, France.; Taipei Veterans General Hospital, Taipei, Taiwan.; Hopital Albert Michallon, Grenoble, France.; University Hospital A Coruna, La Coruna, Spain.; Novartis Pharmaceuticals Corporation, East Hanover, NJ, USA.; Novartis Pharmaceuticals Corporation, East Hanover, NJ, USA.; Novartis Pharmaceuticals Corporation, East Hanover, NJ, USA.; Novartis Pharma AG, Basel, Switzerland.; Novartis Pharma AG, Basel, Switzerland.; Novartis Pharma AG, Basel, Switzerland.; Instituto do Cancer do Estado de Sao Paulo, Sao Paulo, Brazil.&lt;/_author_adr&gt;&lt;_collection_scope&gt;SCIE&lt;/_collection_scope&gt;&lt;_created&gt;64630940&lt;/_created&gt;&lt;_date&gt;2017-03-04&lt;/_date&gt;&lt;_date_display&gt;2017 Mar 4&lt;/_date_display&gt;&lt;_db_updated&gt;PubMed&lt;/_db_updated&gt;&lt;_doi&gt;10.1016/S0140-6736(17)30123-X&lt;/_doi&gt;&lt;_impact_factor&gt; 202.731&lt;/_impact_factor&gt;&lt;_isbn&gt;1474-547X (Electronic); 0140-6736 (Linking)&lt;/_isbn&gt;&lt;_issue&gt;10072&lt;/_issue&gt;&lt;_journal&gt;Lancet&lt;/_journal&gt;&lt;_language&gt;eng&lt;/_language&gt;&lt;_modified&gt;64740730&lt;/_modified&gt;&lt;_ori_publication&gt;Copyright (c) 2017 Elsevier Ltd. All rights reserved.&lt;/_ori_publication&gt;&lt;_pages&gt;917-929&lt;/_pages&gt;&lt;_social_category&gt;医学(1)&lt;/_social_category&gt;&lt;_subject_headings&gt;Adult; Aged; Aged, 80 and over; Antineoplastic Agents/*administration &amp;amp; dosage/adverse effects; Antineoplastic Combined Chemotherapy Protocols/therapeutic use; Carboplatin/administration &amp;amp; dosage/adverse effects; Carcinoma, Non-Small-Cell Lung/*drug therapy/mortality; Cisplatin/administration &amp;amp; dosage/adverse effects; Disease-Free Survival; Female; Humans; Kaplan-Meier Estimate; Lung Neoplasms/*drug therapy/mortality; Male; Middle Aged; Pemetrexed/administration &amp;amp; dosage/adverse effects; Pyrimidines/*administration &amp;amp; dosage/adverse effects; Sulfones/*administration &amp;amp; dosage/adverse effects; Treatment Outcome; Young Adult&lt;/_subject_headings&gt;&lt;_tertiary_title&gt;Lancet (London, England)&lt;/_tertiary_title&gt;&lt;_type_work&gt;Clinical Trial, Phase III; Comparative Study; Journal Article; Multicenter Study; Randomized Controlled Trial&lt;/_type_work&gt;&lt;_url&gt;http://www.ncbi.nlm.nih.gov/entrez/query.fcgi?cmd=Retrieve&amp;amp;db=pubmed&amp;amp;dopt=Abstract&amp;amp;list_uids=28126333&amp;amp;query_hl=1&lt;/_url&gt;&lt;_volume&gt;389&lt;/_volume&gt;&lt;/Details&gt;&lt;Extra&gt;&lt;DBUID&gt;{F96A950B-833F-4880-A151-76DA2D6A2879}&lt;/DBUID&gt;&lt;/Extra&gt;&lt;/Item&gt;&lt;/References&gt;&lt;/Group&gt;&lt;/Citation&gt;_x000a_"/>
    <w:docVar w:name="NE.Ref{2AC23AEE-FE4A-4207-90E7-6F59F46572BE}" w:val=" ADDIN NE.Ref.{2AC23AEE-FE4A-4207-90E7-6F59F46572BE}&lt;Citation&gt;&lt;Group&gt;&lt;References&gt;&lt;Item&gt;&lt;ID&gt;46208&lt;/ID&gt;&lt;UID&gt;{82E41F09-CE78-49CE-9F2E-568B97A0C7AD}&lt;/UID&gt;&lt;Title&gt;Alectinib versus crizotinib in untreated Asian patients with anaplastic lymphoma  kinase-positive non-small-cell lung cancer (ALESIA): a randomised phase 3 study&lt;/Title&gt;&lt;Template&gt;Journal Article&lt;/Template&gt;&lt;Star&gt;0&lt;/Star&gt;&lt;Tag&gt;0&lt;/Tag&gt;&lt;Author&gt;Zhou, C; Kim, S W; Reungwetwattana, T; Zhou, J; Zhang, Y; He, J; Yang, J J; Cheng, Y; Lee, S H; Bu, L; Xu, T; Yang, L; Wang, C; Liu, T; Morcos, P N; Lu, Y; Zhang, L&lt;/Author&gt;&lt;Year&gt;2019&lt;/Year&gt;&lt;Details&gt;&lt;_accessed&gt;64632481&lt;/_accessed&gt;&lt;_accession_num&gt;30981696&lt;/_accession_num&gt;&lt;_author_adr&gt;Shanghai Pulmonary Hospital, Tongji University School of Medicine, Shanghai, China.; Asan Medical Center, Seoul, South Korea.; Faculty of Medicine Ramathibodi Hospital, Mahidol University, Bangkok, Thailand.; The First Affiliated Hospital of College of Medicine, Zhejiang University, Hangzhou, China.; Zhejiang Cancer Hospital, Hangzhou, China.; The First Affiliated Hospital of College of Medicine, Zhejiang University, Hangzhou, China.; Guangdong General Hospital, Guangzhou, China.; The First Affiliated Hospital of Guangzhou Medical University, Guangzhou, China;  Jilin Cancer Hospital, Changchun, China.; Samsung Medical Center, Sungkyunkwan University School of Medicine, Seoul, South  Korea.; Roche Pharma Development, Shanghai, China.; Roche Pharma Development, Shanghai, China.; Roche Pharma Development, Shanghai, China.; Roche Pharma Development, Shanghai, China.; F Hoffmann-La Roche, Basel, Switzerland.; Roche Innovation Center, New York, NY, USA.; West China Hospital, Sichuan University, Chengdu, China.; Sun Yat-sen University Cancer Center, State Key Laboratory of Oncology in South China, Collaborative Innovation Center for Cancer Medicine, Guangzhou, China. Electronic address: ChinazhangLi6@mail.sysu.edu.cn.&lt;/_author_adr&gt;&lt;_collection_scope&gt;SCIE&lt;/_collection_scope&gt;&lt;_created&gt;64630941&lt;/_created&gt;&lt;_date&gt;2019-05-01&lt;/_date&gt;&lt;_date_display&gt;2019 May&lt;/_date_display&gt;&lt;_db_updated&gt;PubMed&lt;/_db_updated&gt;&lt;_doi&gt;10.1016/S2213-2600(19)30053-0&lt;/_doi&gt;&lt;_impact_factor&gt; 102.642&lt;/_impact_factor&gt;&lt;_isbn&gt;2213-2619 (Electronic); 2213-2600 (Linking)&lt;/_isbn&gt;&lt;_issue&gt;5&lt;/_issue&gt;&lt;_journal&gt;Lancet Respir Med&lt;/_journal&gt;&lt;_language&gt;eng&lt;/_language&gt;&lt;_modified&gt;64688891&lt;/_modified&gt;&lt;_ori_publication&gt;Copyright (c) 2019 Elsevier Ltd. All rights reserved.&lt;/_ori_publication&gt;&lt;_pages&gt;437-446&lt;/_pages&gt;&lt;_social_category&gt;医学(1)&lt;/_social_category&gt;&lt;_subject_headings&gt;Adult; *Anaplastic Lymphoma Kinase; Carbazoles/*therapeutic use; Carcinoma, Non-Small-Cell Lung/*drug therapy; China; Crizotinib/*therapeutic use; Female; Humans; Lung Neoplasms/*drug therapy; Male; Middle Aged; Piperidines/*therapeutic use; Protein Kinase Inhibitors/*therapeutic use; Republic of Korea; Thailand; Treatment Outcome&lt;/_subject_headings&gt;&lt;_tertiary_title&gt;The Lancet. Respiratory medicine&lt;/_tertiary_title&gt;&lt;_type_work&gt;Clinical Trial, Phase III; Comparative Study; Journal Article; Randomized Controlled Trial; Research Support, Non-U.S. Gov&amp;apos;t&lt;/_type_work&gt;&lt;_url&gt;http://www.ncbi.nlm.nih.gov/entrez/query.fcgi?cmd=Retrieve&amp;amp;db=pubmed&amp;amp;dopt=Abstract&amp;amp;list_uids=30981696&amp;amp;query_hl=1&lt;/_url&gt;&lt;_volume&gt;7&lt;/_volume&gt;&lt;/Details&gt;&lt;Extra&gt;&lt;DBUID&gt;{F96A950B-833F-4880-A151-76DA2D6A2879}&lt;/DBUID&gt;&lt;/Extra&gt;&lt;/Item&gt;&lt;/References&gt;&lt;/Group&gt;&lt;/Citation&gt;_x000a_"/>
    <w:docVar w:name="NE.Ref{2AE177FB-530E-4B0C-8E8B-49B7E74370FD}" w:val=" ADDIN NE.Ref.{2AE177FB-530E-4B0C-8E8B-49B7E74370FD}&lt;Citation&gt;&lt;Group&gt;&lt;References&gt;&lt;Item&gt;&lt;ID&gt;2946&lt;/ID&gt;&lt;UID&gt;{53D20E6C-F297-4218-8BF2-B4924E9D09F0}&lt;/UID&gt;&lt;Title&gt;Matching-Adjusted Indirect Comparisons of Lorlatinib Versus Chemotherapy for  Patients With Second-Line or Later Anaplastic Lymphoma Kinase-Positive Non-Small  Cell Lung Cancer&lt;/Title&gt;&lt;Template&gt;Journal Article&lt;/Template&gt;&lt;Star&gt;0&lt;/Star&gt;&lt;Tag&gt;0&lt;/Tag&gt;&lt;Author&gt;Smith, S; Albuquerque, De Almeida F; Ines, M; Iadeluca, L; Cooper, M&lt;/Author&gt;&lt;Year&gt;2023&lt;/Year&gt;&lt;Details&gt;&lt;_accession_num&gt;35985941&lt;/_accession_num&gt;&lt;_author_adr&gt;BresMed Health Solutions, Sheffield, England, UK.; Pfizer Portugal, Porto Salvo, Portugal.; Pfizer Portugal, Porto Salvo, Portugal. Electronic address:  monica.ines@pfizer.com.; Pfizer Inc, New York, NY, USA.; BresMed Health Solutions, Sheffield, England, UK.&lt;/_author_adr&gt;&lt;_collection_scope&gt;SSCI;SCIE&lt;/_collection_scope&gt;&lt;_created&gt;64739398&lt;/_created&gt;&lt;_date&gt;2023-01-01&lt;/_date&gt;&lt;_date_display&gt;2023 Jan&lt;/_date_display&gt;&lt;_db_updated&gt;PubMed&lt;/_db_updated&gt;&lt;_doi&gt;10.1016/j.jval.2022.07.002&lt;/_doi&gt;&lt;_impact_factor&gt;   5.101&lt;/_impact_factor&gt;&lt;_isbn&gt;1524-4733 (Electronic); 1098-3015 (Linking)&lt;/_isbn&gt;&lt;_issue&gt;1&lt;/_issue&gt;&lt;_journal&gt;Value Health&lt;/_journal&gt;&lt;_keywords&gt;ALK-positive; chemotherapy; indirect treatment comparison; lorlatinib; non-small cell lung cancer&lt;/_keywords&gt;&lt;_language&gt;eng&lt;/_language&gt;&lt;_modified&gt;64740725&lt;/_modified&gt;&lt;_ori_publication&gt;Copyright (c) 2022. Published by Elsevier Inc.&lt;/_ori_publication&gt;&lt;_pages&gt;64-70&lt;/_pages&gt;&lt;_social_category&gt;医学(2)&lt;/_social_category&gt;&lt;_subject_headings&gt;Humans; *Carcinoma, Non-Small-Cell Lung/drug therapy; Anaplastic Lymphoma Kinase/therapeutic use; Docetaxel/therapeutic use; Pemetrexed/therapeutic use; *Lung Neoplasms/drug therapy; Lactams, Macrocyclic/adverse effects; Protein Kinase Inhibitors/therapeutic use&lt;/_subject_headings&gt;&lt;_tertiary_title&gt;Value in health : the journal of the International Society for Pharmacoeconomics _x000d__x000a_      and Outcomes Research&lt;/_tertiary_title&gt;&lt;_type_work&gt;Journal Article; Systematic Review&lt;/_type_work&gt;&lt;_url&gt;http://www.ncbi.nlm.nih.gov/entrez/query.fcgi?cmd=Retrieve&amp;amp;db=pubmed&amp;amp;dopt=Abstract&amp;amp;list_uids=35985941&amp;amp;query_hl=1&lt;/_url&gt;&lt;_volume&gt;26&lt;/_volume&gt;&lt;/Details&gt;&lt;Extra&gt;&lt;DBUID&gt;{F96A950B-833F-4880-A151-76DA2D6A2879}&lt;/DBUID&gt;&lt;/Extra&gt;&lt;/Item&gt;&lt;/References&gt;&lt;/Group&gt;&lt;/Citation&gt;_x000a_"/>
    <w:docVar w:name="NE.Ref{2AFA979D-BDB4-4F7F-8FE5-398A78F7C5FB}" w:val=" ADDIN NE.Ref.{2AFA979D-BDB4-4F7F-8FE5-398A78F7C5FB}&lt;Citation&gt;&lt;Group&gt;&lt;References&gt;&lt;Item&gt;&lt;ID&gt;4712&lt;/ID&gt;&lt;UID&gt;{47A3B94B-6E54-416D-9EC7-933965560697}&lt;/UID&gt;&lt;Title&gt;Quality of life analysis in patients with KRAS wild-type metastatic colorectal  cancer treated first-line with cetuximab plus irinotecan, fluorouracil and  leucovorin&lt;/Title&gt;&lt;Template&gt;Journal Article&lt;/Template&gt;&lt;Star&gt;0&lt;/Star&gt;&lt;Tag&gt;0&lt;/Tag&gt;&lt;Author&gt;Láng, I; Köhne, C H; Folprecht, G; Rougier, P; Curran, D; Hitre, E; Sartorius, U; Griebsch, I; Van Cutsem, E&lt;/Author&gt;&lt;Year&gt;2013&lt;/Year&gt;&lt;Details&gt;&lt;_accession_num&gt;23116683&lt;/_accession_num&gt;&lt;_author_adr&gt;Department of Medical Oncology and Clinical Pharmacology B, National Institute of  Oncology, Budapest, Hungary. lang@oncol.hu&lt;/_author_adr&gt;&lt;_date_display&gt;2013 Jan&lt;/_date_display&gt;&lt;_date&gt;2013-01-01&lt;/_date&gt;&lt;_doi&gt;10.1016/j.ejca.2012.08.023&lt;/_doi&gt;&lt;_isbn&gt;1879-0852 (Electronic); 0959-8049 (Linking)&lt;/_isbn&gt;&lt;_issue&gt;2&lt;/_issue&gt;&lt;_journal&gt;Eur J Cancer&lt;/_journal&gt;&lt;_language&gt;eng&lt;/_language&gt;&lt;_ori_publication&gt;Copyright © 2012 Elsevier Ltd. All rights reserved.&lt;/_ori_publication&gt;&lt;_pages&gt;439-48&lt;/_pages&gt;&lt;_subject_headings&gt;Adult; Aged; Aged, 80 and over; Antibodies, Monoclonal/administration &amp;amp; dosage/adverse effects; Antibodies, Monoclonal, Humanized; Antineoplastic Combined Chemotherapy Protocols/administration &amp;amp; dosage/adverse _x000d__x000a_      effects/*therapeutic use; Camptothecin/administration &amp;amp; dosage/adverse effects/analogs &amp;amp; derivatives; Cetuximab; Colorectal Neoplasms/*drug therapy/*enzymology/genetics/pathology; Female; Fluorouracil/administration &amp;amp; dosage/adverse effects; Humans; Irinotecan; Leucovorin/administration &amp;amp; dosage/adverse effects; Male; Middle Aged; Neoplasm Metastasis; Proto-Oncogene Proteins/*genetics; Proto-Oncogene Proteins p21(ras); Quality of Life; Surveys and Questionnaires; Survival Analysis; Young Adult; ras Proteins/*genetics&lt;/_subject_headings&gt;&lt;_tertiary_title&gt;European journal of cancer (Oxford, England : 1990)&lt;/_tertiary_title&gt;&lt;_type_work&gt;Clinical Trial, Phase III; Journal Article; Multicenter Study; Randomized Controlled Trial; Research Support, Non-U.S. Gov&amp;apos;t&lt;/_type_work&gt;&lt;_url&gt;http://www.ncbi.nlm.nih.gov/entrez/query.fcgi?cmd=Retrieve&amp;amp;db=pubmed&amp;amp;dopt=Abstract&amp;amp;list_uids=23116683&amp;amp;query_hl=1&lt;/_url&gt;&lt;_volume&gt;49&lt;/_volume&gt;&lt;_created&gt;65020956&lt;/_created&gt;&lt;_modified&gt;65020956&lt;/_modified&gt;&lt;_impact_factor&gt;  10.002&lt;/_impact_factor&gt;&lt;_social_category&gt;医学(1)&lt;/_social_category&gt;&lt;_collection_scope&gt;SCIE&lt;/_collection_scope&gt;&lt;/Details&gt;&lt;Extra&gt;&lt;DBUID&gt;{F96A950B-833F-4880-A151-76DA2D6A2879}&lt;/DBUID&gt;&lt;/Extra&gt;&lt;/Item&gt;&lt;/References&gt;&lt;/Group&gt;&lt;/Citation&gt;_x000a_"/>
    <w:docVar w:name="NE.Ref{2BFEA24D-4E1D-4BF9-9C08-A1611F65DDAC}" w:val=" ADDIN NE.Ref.{2BFEA24D-4E1D-4BF9-9C08-A1611F65DDAC}&lt;Citation&gt;&lt;Group&gt;&lt;References&gt;&lt;Item&gt;&lt;ID&gt;4884&lt;/ID&gt;&lt;UID&gt;{380F026F-B456-4A00-A65A-01F03694FCD3}&lt;/UID&gt;&lt;Title&gt;Efficacy and safety of first line treatments for patients with advanced epidermal  growth factor receptor mutated, non-small cell lung cancer: systematic review and  network meta-analysis&lt;/Title&gt;&lt;Template&gt;Journal Article&lt;/Template&gt;&lt;Star&gt;0&lt;/Star&gt;&lt;Tag&gt;0&lt;/Tag&gt;&lt;Author&gt;Zhao, Y; Liu, J; Cai, X; Pan, Z; Liu, J; Yin, W; Chen, H; Xie, Z; Liang, H; Wang, W; Guo, Z; Zhao, S; Liang, W; He, J&lt;/Author&gt;&lt;Year&gt;2019&lt;/Year&gt;&lt;Details&gt;&lt;_accession_num&gt;31591158&lt;/_accession_num&gt;&lt;_author_adr&gt;Department of Thoracic Surgery and Oncology, First Affiliated Hospital of  Guangzhou Medical University, State Key Laboratory of Respiratory Disease and  National Clinical Research Centre for Respiratory Disease, 151 Yanjiang Road,  Guangzhou 510120, China.; Department of Thoracic Surgery and Oncology, First Affiliated Hospital of  Guangzhou Medical University, State Key Laboratory of Respiratory Disease and  National Clinical Research Centre for Respiratory Disease, 151 Yanjiang Road,  Guangzhou 510120, China.; Department of General Internal Medicine, Sun Yat-sen University Cancer Centre,  State Key Laboratory of Oncology in South China, Collaborative Innovation Centre  for Cancer Medicine, Guangzhou, China.; Department of Oncology, Qingdao Municipal Hospital, Qingdao, China.; Department of Thoracic Surgery and Oncology, First Affiliated Hospital of  Guangzhou Medical University, State Key Laboratory of Respiratory Disease and  National Clinical Research Centre for Respiratory Disease, 151 Yanjiang Road,  Guangzhou 510120, China.; Department of Thoracic Surgery and Oncology, First Affiliated Hospital of  Guangzhou Medical University, State Key Laboratory of Respiratory Disease and  National Clinical Research Centre for Respiratory Disease, 151 Yanjiang Road,  Guangzhou 510120, China.; Department of Thoracic Surgery and Oncology, First Affiliated Hospital of  Guangzhou Medical University, State Key Laboratory of Respiratory Disease and  National Clinical Research Centre for Respiratory Disease, 151 Yanjiang Road,  Guangzhou 510120, China.; Department of Respiratory Medicine, First Affiliated Hospital of Guangzhou  Medical University, State Key Laboratory of Respiratory Disease and National  Clinical Research Centre for Respiratory Disease, Guangzhou, China.; Department of Thoracic Surgery and Oncology, First Affiliated Hospital of  Guangzhou Medical University, State Key Laboratory of Respiratory Disease and  National Clinical Research Centre for Respiratory Disease, 151 Yanjiang Road,  Guangzhou 510120, China drjianxing.he@gmail.com liangwh1987@163.com.; Department of Thoracic Surgery and Oncology, First Affiliated Hospital of  Guangzhou Medical University, State Key Laboratory of Respiratory Disease and  National Clinical Research Centre for Respiratory Disease, 151 Yanjiang Road,  Guangzhou 510120, China.; Department of Thoracic Surgery and Oncology, First Affiliated Hospital of  Guangzhou Medical University, State Key Laboratory of Respiratory Disease and  National Clinical Research Centre for Respiratory Disease, 151 Yanjiang Road,  Guangzhou 510120, China.; Department of Medical Oncology, Sun Yat-sen University Cancer Centre, State Key  Laboratory of Oncology in South China, Collaborative Innovation Centre for Cancer  Medicine, Guangzhou, China.; Department of Thoracic Surgery and Oncology, First Affiliated Hospital of  Guangzhou Medical University, State Key Laboratory of Respiratory Disease and  National Clinical Research Centre for Respiratory Disease, 151 Yanjiang Road,  Guangzhou 510120, China drjianxing.he@gmail.com liangwh1987@163.com.; Department of Thoracic Surgery and Oncology, First Affiliated Hospital of  Guangzhou Medical University, State Key Laboratory of Respiratory Disease and  National Clinical Research Centre for Respiratory Disease, 151 Yanjiang Road,  Guangzhou 510120, China drjianxing.he@gmail.com liangwh1987@163.com.&lt;/_author_adr&gt;&lt;_date_display&gt;2019 Oct 7&lt;/_date_display&gt;&lt;_date&gt;2019-10-07&lt;/_date&gt;&lt;_doi&gt;10.1136/bmj.l5460&lt;/_doi&gt;&lt;_isbn&gt;1756-1833 (Electronic); 0959-8138 (Print); 0959-8138 (Linking)&lt;/_isbn&gt;&lt;_journal&gt;BMJ&lt;/_journal&gt;&lt;_language&gt;eng&lt;/_language&gt;&lt;_ori_publication&gt;Published by the BMJ Publishing Group Limited. For permission to use (where not _x000d__x000a_      already granted under a licence) please go to _x000d__x000a_      http://group.bmj.com/group/rights-licensing/permissions.&lt;/_ori_publication&gt;&lt;_pages&gt;l5460&lt;/_pages&gt;&lt;_subject_headings&gt;Biomarkers, Tumor/genetics; Carcinoma, Non-Small-Cell Lung/*genetics/*therapy; ErbB Receptors/genetics; Humans; *Mutation; Network Meta-Analysis&lt;/_subject_headings&gt;&lt;_tertiary_title&gt;BMJ (Clinical research ed.)&lt;/_tertiary_title&gt;&lt;_type_work&gt;Journal Article; Meta-Analysis; Systematic Review&lt;/_type_work&gt;&lt;_url&gt;http://www.ncbi.nlm.nih.gov/entrez/query.fcgi?cmd=Retrieve&amp;amp;db=pubmed&amp;amp;dopt=Abstract&amp;amp;list_uids=31591158&amp;amp;query_hl=1&lt;/_url&gt;&lt;_volume&gt;367&lt;/_volume&gt;&lt;_created&gt;65089356&lt;/_created&gt;&lt;_modified&gt;65089356&lt;/_modified&gt;&lt;_impact_factor&gt;  93.333&lt;/_impact_factor&gt;&lt;_collection_scope&gt;SCIE&lt;/_collection_scope&gt;&lt;/Details&gt;&lt;Extra&gt;&lt;DBUID&gt;{F96A950B-833F-4880-A151-76DA2D6A2879}&lt;/DBUID&gt;&lt;/Extra&gt;&lt;/Item&gt;&lt;/References&gt;&lt;/Group&gt;&lt;/Citation&gt;_x000a_"/>
    <w:docVar w:name="NE.Ref{2C4E91A9-8A5A-4F88-93CA-73037157AD61}" w:val=" ADDIN NE.Ref.{2C4E91A9-8A5A-4F88-93CA-73037157AD61}&lt;Citation&gt;&lt;Group&gt;&lt;References&gt;&lt;Item&gt;&lt;ID&gt;5027&lt;/ID&gt;&lt;UID&gt;{DEB91D0C-1698-4DAA-BD17-E81964B2A9BA}&lt;/UID&gt;&lt;Title&gt;Medical costs associated with use of systemic therapy in adults with colorectal  cancer&lt;/Title&gt;&lt;Template&gt;Journal Article&lt;/Template&gt;&lt;Star&gt;0&lt;/Star&gt;&lt;Tag&gt;0&lt;/Tag&gt;&lt;Author&gt;Seal, B S; Sullivan, S D; Ramsey, S; Shermock, K M; Ren, J; Kreilick, C; Foltz, Boklage SH; Valluri, S; Sarma, S; Asche, C V&lt;/Author&gt;&lt;Year&gt;2013&lt;/Year&gt;&lt;Details&gt;&lt;_accession_num&gt;23806060&lt;/_accession_num&gt;&lt;_author_adr&gt;U.S. Health Economics &amp;amp; Outcomes Research, Bayer HealthCare Pharmaceuticals Inc.,  Wayne, New Jersey, USA.&lt;/_author_adr&gt;&lt;_date_display&gt;2013 Jul-Aug&lt;/_date_display&gt;&lt;_date&gt;2013-07-01&lt;/_date&gt;&lt;_doi&gt;10.18553/jmcp.2013.19.6.461&lt;/_doi&gt;&lt;_isbn&gt;1944-706X (Electronic); 1083-4087 (Print); 1083-4087 (Linking)&lt;/_isbn&gt;&lt;_issue&gt;6&lt;/_issue&gt;&lt;_journal&gt;J Manag Care Pharm&lt;/_journal&gt;&lt;_language&gt;eng&lt;/_language&gt;&lt;_pages&gt;461-7&lt;/_pages&gt;&lt;_subject_headings&gt;Adolescent; Adult; Ambulatory Care/economics; Antineoplastic Agents/*economics/*therapeutic use; Chemotherapy, Adjuvant/economics; Colorectal Neoplasms/*drug therapy/*economics/mortality/pathology; Comorbidity; *Drug Costs; Female; Health Expenditures; Health Resources/*economics/statistics &amp;amp; numerical data; Hospital Costs; Humans; Linear Models; Longitudinal Studies; Male; Middle Aged; Models, Economic; Radiotherapy, Adjuvant/economics; Retrospective Studies; Time Factors; Treatment Outcome; United States; Young Adult&lt;/_subject_headings&gt;&lt;_tertiary_title&gt;Journal of managed care pharmacy : JMCP&lt;/_tertiary_title&gt;&lt;_type_work&gt;Journal Article; Research Support, Non-U.S. Gov&amp;apos;t&lt;/_type_work&gt;&lt;_url&gt;http://www.ncbi.nlm.nih.gov/entrez/query.fcgi?cmd=Retrieve&amp;amp;db=pubmed&amp;amp;dopt=Abstract&amp;amp;list_uids=23806060&amp;amp;query_hl=1&lt;/_url&gt;&lt;_volume&gt;19&lt;/_volume&gt;&lt;_created&gt;65329740&lt;/_created&gt;&lt;_modified&gt;65329740&lt;/_modified&gt;&lt;_accessed&gt;65330801&lt;/_accessed&gt;&lt;/Details&gt;&lt;Extra&gt;&lt;DBUID&gt;{F96A950B-833F-4880-A151-76DA2D6A2879}&lt;/DBUID&gt;&lt;/Extra&gt;&lt;/Item&gt;&lt;/References&gt;&lt;/Group&gt;&lt;/Citation&gt;_x000a_"/>
    <w:docVar w:name="NE.Ref{2D83D2B8-0624-4A93-8B93-3F8852A41E0C}" w:val=" ADDIN NE.Ref.{2D83D2B8-0624-4A93-8B93-3F8852A41E0C}&lt;Citation&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Group&gt;&lt;References&gt;&lt;Item&gt;&lt;ID&gt;5036&lt;/ID&gt;&lt;UID&gt;{F2CA6EA4-05F3-414C-BD41-AACD34657658}&lt;/UID&gt;&lt;Title&gt;Regorafenib plus best supportive care versus placebo plus best supportive care in  Asian patients with previously treated metastatic colorectal cancer (CONCUR): a  randomised, double-blind, placebo-controlled, phase 3 trial&lt;/Title&gt;&lt;Template&gt;Journal Article&lt;/Template&gt;&lt;Star&gt;0&lt;/Star&gt;&lt;Tag&gt;0&lt;/Tag&gt;&lt;Author&gt;Li, J; Qin, S; Xu, R; Yau, T C; Ma, B; Pan, H; Xu, J; Bai, Y; Chi, Y; Wang, L; Yeh, K H; Bi, F; Cheng, Y; &amp;quot;Le AT&amp;quot;; Lin, J K; Liu, T; Ma, D; Kappeler, C; Kalmus, J; Kim, T W&lt;/Author&gt;&lt;Year&gt;2015&lt;/Year&gt;&lt;Details&gt;&lt;_accession_num&gt;25981818&lt;/_accession_num&gt;&lt;_author_adr&gt;Department of Medical Oncology, Fudan University Shanghai Cancer Center, and  Department of Oncology, Shanghai Medical College, Fudan University, Shanghai,  China.; Department of Medical Oncology, Chinese People&amp;apos;s Liberation Army Cancer Center of  Nanjing Bayi Hospital, Nanjing, China.; Department of Medical Oncology, Sun Yat-Sen University Cancer Center,  Collaborative Innovation Center for Cancer Medicine, Guangzhou, China.; Department of Medicine, University of Hong Kong, Queen Mary Hospital, Hong Kong,  China.; Department of Clinical Oncology, Prince of Wales Hospital, Chinese University of  Hong Kong, Hong Kong, China.; Medical Oncology, Sir Run Run Shaw Hospital Medical School, Zhejiang University,  Hangzhou, China.; Beijing 307 People&amp;apos;s Liberation Army Hospital Cancer Centre, Beijing, China.; Third Affiliated Hospital of Harbin Medical University, Harbin, China.; Department of Medical Oncology, Cancer Hospital, Chinese Academy of Medical  Sciences, Beijing, China.; Comprehensive Cancer Center, Shanghai First People&amp;apos;s Hospital, Shanghai Jiaotong  University, Shanghai, China.; Department of Oncology, National Taiwan University Hospital, Taipei, Taiwan.; Department of Medical Oncology, West China Hospital, Sichuan University, Chengdu,  China.; Jilin Provincial Tumor Hospital, Changchun, China.; Department of Oncology, Cho Ray Hospital, Ho Chi Minh City, Vietnam.; Department of Surgery, Taipei Veterans General Hospital, National Yang-Ming  University, Taipei, Taiwan.; Department of Medical Oncology, Zhong Shan Hospital, Fudan University, Shanghai,  China.; Department of Medical Oncology, Guangdong General Hospital, Guangzhou, Guangdong,  China.; Bayer Pharma AG, Berlin, Germany.; Bayer Pharma AG, Berlin, Germany.; Department of Oncology, Asan Medical Center, University of Ulsan College of  Medicine, Songpa-gu, South Korea. Electronic address: twkimmd@amc.seoul.kr.&lt;/_author_adr&gt;&lt;_date_display&gt;2015 Jun&lt;/_date_display&gt;&lt;_date&gt;2015-06-01&lt;/_date&gt;&lt;_doi&gt;10.1016/S1470-2045(15)70156-7&lt;/_doi&gt;&lt;_isbn&gt;1474-5488 (Electronic); 1470-2045 (Linking)&lt;/_isbn&gt;&lt;_issue&gt;6&lt;/_issue&gt;&lt;_journal&gt;Lancet Oncol&lt;/_journal&gt;&lt;_language&gt;eng&lt;/_language&gt;&lt;_ori_publication&gt;Copyright © 2015 Elsevier Ltd. All rights reserved.&lt;/_ori_publication&gt;&lt;_pages&gt;619-29&lt;/_pages&gt;&lt;_subject_headings&gt;Aged; Antineoplastic Combined Chemotherapy Protocols/*administration &amp;amp; dosage; Asian People; Colorectal Neoplasms/*drug therapy/epidemiology/pathology; Disease-Free Survival; Double-Blind Method; Female; Humans; Kaplan-Meier Estimate; Male; Middle Aged; Neoplasm Metastasis; Phenylurea Compounds/*administration &amp;amp; dosage/adverse effects; Pyridines/*administration &amp;amp; dosage/adverse effects; Treatment Outcom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25981818&amp;amp;query_hl=1&lt;/_url&gt;&lt;_volume&gt;16&lt;/_volume&gt;&lt;_created&gt;65329740&lt;/_created&gt;&lt;_modified&gt;65329740&lt;/_modified&gt;&lt;_impact_factor&gt;  51.100&lt;/_impact_factor&gt;&lt;_social_category&gt;肿瘤学(1)&lt;/_social_category&gt;&lt;_collection_scope&gt;SCIE&lt;/_collection_scope&gt;&lt;/Details&gt;&lt;Extra&gt;&lt;DBUID&gt;{F96A950B-833F-4880-A151-76DA2D6A2879}&lt;/DBUID&gt;&lt;/Extra&gt;&lt;/Item&gt;&lt;/References&gt;&lt;/Group&gt;&lt;Group&gt;&lt;References&gt;&lt;Item&gt;&lt;ID&gt;5038&lt;/ID&gt;&lt;UID&gt;{E1AFF1CE-834F-47CD-AB65-9B4E05D6B565}&lt;/UID&gt;&lt;Title&gt;Effect of Fruquintinib vs Placebo on Overall Survival in Patients With Previously  Treated Metastatic Colorectal Cancer: The FRESCO Randomized Clinical Trial&lt;/Title&gt;&lt;Template&gt;Journal Article&lt;/Template&gt;&lt;Star&gt;0&lt;/Star&gt;&lt;Tag&gt;0&lt;/Tag&gt;&lt;Author&gt;Li, J; Qin, S; Xu, R H; Shen, L; Xu, J; Bai, Y; Yang, L; Deng, Y; Chen, Z D; Zhong, H; Pan, H; Guo, W; Shu, Y; Yuan, Y; Zhou, J; Xu, N; Liu, T; Ma, D; Wu, C; Cheng, Y; Chen, D; Li, W; Sun, S; Yu, Z; Cao, P; Chen, H; Wang, J; Wang, S; Wang, H; Fan, S; Hua, Y; Su, W&lt;/Author&gt;&lt;Year&gt;2018&lt;/Year&gt;&lt;Details&gt;&lt;_accession_num&gt;29946728&lt;/_accession_num&gt;&lt;_author_adr&gt;Department of Medical Oncology, Tongji University Shanghai East Hospital,  Shanghai, China.; Department of Medical Oncology, Shanghai Medical College, Fudan University  Shanghai Cancer Center, Shanghai, China.; Department of Medical Oncology, Nanjing Chinese Medicine University-Affiliated  Bayi Hospital, Nanjing, China.; Department of Medical Oncology, Sun Yat-sen University Cancer Center, State Key  Laboratory of Oncology in South China, Guangzhou, China.; Collaborative Innovation Center for Cancer Medicine, Guangzhou, China.; Department of Medical Oncology, Beijing University Cancer Center, Beijing, China.; Department of Medical Oncology, 307th Hospital of Chinese People&amp;apos;s Liberation  Army, The Affiliated Hospital of Military Medical Sciences, Beijing, China.; Department of Medical Oncology, Harbin Medical University Cancer Hospital,  Harbin, China.; Department of Medical Oncology, Nantong Cancer Hospital, Nantong, China.; Department of Medical Oncology, The Sixth Affiliated Hospital of Sun Yat-sen  University, Guangzhou, China.; Department of Medical Oncology, The Second Hospital of Anhui Medical University,  Hefei, China.; Department of Medical Oncology, Zhejiang Cancer Hospital, Hangzhou, China.; Department of Medical Oncology, Sir RunRun Shaw Hospital, College of Medicine,  Zhejiang University, Hangzhou, China.; Department of Medical Oncology, Shanghai Medical College, Fudan University  Shanghai Cancer Center, Shanghai, China.; Department of Medical Oncology, Jiangsu Provincial Hospital, Nanjing, China.; Department of Medical Oncology, The Second Affiliated Hospital of Zhejiang  University School of Medicine, Hangzhou, China.; Department of Medical Oncology, Peking Union Medical College Hospital, Beijing,  China.; Department of Medical Oncology, The First Affiliated Hospital of Zhejiang  University School of Medicine, Hangzhou, China.; Department of Medical Oncology, Fudan University Zhongshan Hospital, Shanghai  Medical College, Shanghai, China.; Department of Medical Oncology, Guangdong General Hospital, Guangzhou, China.; Department of Medical Oncology, The First People&amp;apos;s Hospital of Changzhou,  Changzhou, China.; Department of Medical Oncology, Jilin Province Cancer Hospital, Changchun, China.; Department of Medical Oncology, Shanghai Jiaotong University Affiliated First  People&amp;apos;s Hospital, Shanghai, China.; Department of Medical Oncology, The First Hospital of Jilin University,  Changchun, China.; Department of Medical Oncology, Xuzhou Central Hospital, Xuzhou, China.; Department of Medical Oncology, The Affiliated Hospital of Medical College  Qingdao University, Qingdao, China.; Department of Medical Oncology, The Third Xiangya Hospital of Central South  University, Changsha, China.; Department of Medical Oncology, Liuzhou Worker&amp;apos;s Hospital, Liuzhou, China.; Department of Medical Oncology, Shanghai Changzheng Hospital, The Second Military  Medical University, Shanghai, China.; Department of Medical Oncology, Peking University Shenzhen Hospital, Beijing  University, Shenzhen, China.; Department of Medical Oncology, The Affiliated Hospital of Xuzhou Medical  College, Xuzhou Medical College, Xuzhou, China.; Hutchison MediPharma Ltd, Shanghai, China.; Hutchison MediPharma Ltd, Shanghai, China.; Hutchison MediPharma Ltd, Shanghai, China.&lt;/_author_adr&gt;&lt;_date_display&gt;2018 Jun 26&lt;/_date_display&gt;&lt;_date&gt;2018-06-26&lt;/_date&gt;&lt;_doi&gt;10.1001/jama.2018.7855&lt;/_doi&gt;&lt;_isbn&gt;1538-3598 (Electronic); 0098-7484 (Print); 0098-7484 (Linking)&lt;/_isbn&gt;&lt;_issue&gt;24&lt;/_issue&gt;&lt;_journal&gt;JAMA&lt;/_journal&gt;&lt;_language&gt;eng&lt;/_language&gt;&lt;_pages&gt;2486-2496&lt;/_pages&gt;&lt;_subject_headings&gt;Adult; Aged; Aged, 80 and over; Antineoplastic Combined Chemotherapy Protocols/adverse effects/*therapeutic use; Benzofurans/*administration &amp;amp; dosage/adverse effects; China; Colorectal Neoplasms/*drug therapy/mortality/pathology/therapy; Combined Modality Therapy; Double-Blind Method; Female; Humans; Intention to Treat Analysis; Male; Middle Aged; Quinazolines/*administration &amp;amp; dosage/adverse effects; Survival Analysis; Vascular Endothelial Growth Factor A/*antagonists &amp;amp; inhibitors; Young Adult&lt;/_subject_headings&gt;&lt;_tertiary_title&gt;JAMA&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946728&amp;amp;query_hl=1&lt;/_url&gt;&lt;_volume&gt;319&lt;/_volume&gt;&lt;_created&gt;65329740&lt;/_created&gt;&lt;_modified&gt;65329740&lt;/_modified&gt;&lt;_impact_factor&gt; 120.700&lt;/_impact_factor&gt;&lt;_social_category&gt;医学：内科(1)&lt;/_social_category&gt;&lt;_collection_scope&gt;SCIE&lt;/_collection_scope&gt;&lt;_accessed&gt;65330873&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2DCE4EF2-3A9B-49FA-977D-EB80ABE89579}" w:val=" ADDIN NE.Ref.{2DCE4EF2-3A9B-49FA-977D-EB80ABE89579}&lt;Citation&gt;&lt;Group&gt;&lt;References&gt;&lt;Item&gt;&lt;ID&gt;46195&lt;/ID&gt;&lt;UID&gt;{93759137-DCD1-4D09-8C71-95D6637C012D}&lt;/UID&gt;&lt;Title&gt;盐酸安罗替尼治疗晚期非小细胞肺癌的疗效及安全性&lt;/Title&gt;&lt;Template&gt;Journal Article&lt;/Template&gt;&lt;Star&gt;0&lt;/Star&gt;&lt;Tag&gt;0&lt;/Tag&gt;&lt;Author&gt;宁瑞玲; 何剑波; 钟东美; 曾爱屏; 于起涛&lt;/Author&gt;&lt;Year&gt;2021&lt;/Year&gt;&lt;Details&gt;&lt;_author_aff&gt;广西医科大学附属肿瘤医院呼吸肿瘤内科;&lt;/_author_aff&gt;&lt;_collection_scope&gt;PKU&lt;/_collection_scope&gt;&lt;_created&gt;63867551&lt;/_created&gt;&lt;_date&gt;2021-06-03&lt;/_date&gt;&lt;_db_updated&gt;CNKI - Reference&lt;/_db_updated&gt;&lt;_issue&gt;14&lt;/_issue&gt;&lt;_journal&gt;现代肿瘤医学&lt;/_journal&gt;&lt;_keywords&gt;非小细胞肺癌;盐酸安罗替尼;不良反应&lt;/_keywords&gt;&lt;_modified&gt;64688891&lt;/_modified&gt;&lt;_pages&gt;2442-2446&lt;/_pages&gt;&lt;_translated_author&gt;Ning, Ruiling;He, Jianbo;Zhong, Dongmei;Ceng, Aiping;Yu, Qitao&lt;/_translated_author&gt;&lt;_url&gt;https://kns.cnki.net/kcms/detail/detail.aspx?FileName=SXZL202114011&amp;amp;DbName=CJFQTEMP&lt;/_url&gt;&lt;_volume&gt;29&lt;/_volume&gt;&lt;/Details&gt;&lt;Extra&gt;&lt;DBUID&gt;{F96A950B-833F-4880-A151-76DA2D6A2879}&lt;/DBUID&gt;&lt;/Extra&gt;&lt;/Item&gt;&lt;/References&gt;&lt;/Group&gt;&lt;/Citation&gt;_x000a_"/>
    <w:docVar w:name="NE.Ref{2E19FF3B-A07A-460D-B0E3-50B026BBFCA3}" w:val=" ADDIN NE.Ref.{2E19FF3B-A07A-460D-B0E3-50B026BBFCA3}&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2E51822A-CAAF-49C2-98D1-DC4BD9A59AB7}" w:val=" ADDIN NE.Ref.{2E51822A-CAAF-49C2-98D1-DC4BD9A59AB7}&lt;Citation&gt;&lt;Group&gt;&lt;References&gt;&lt;Item&gt;&lt;ID&gt;4704&lt;/ID&gt;&lt;UID&gt;{E5D060E0-105D-42BA-85B8-4491B0823450}&lt;/UID&gt;&lt;Title&gt;Health-related quality of life in patients with microsatellite instability-high  or mismatch repair deficient metastatic colorectal cancer treated with first-line  pembrolizumab versus chemotherapy (KEYNOTE-177): an open-label, randomised, phase  3 trial&lt;/Title&gt;&lt;Template&gt;Journal Article&lt;/Template&gt;&lt;Star&gt;0&lt;/Star&gt;&lt;Tag&gt;0&lt;/Tag&gt;&lt;Author&gt;Andre, T; Amonkar, M; Norquist, J M; Shiu, K K; Kim, T W; Jensen, B V; Jensen, L H; Punt, CJA; Smith, D; Garcia-Carbonero, R; Sevilla, I; De La Fouchardiere, C; Rivera, F; Elez, E; Diaz, LA Jr; Yoshino, T; Van Cutsem, E; Yang, P; Farooqui, M; &amp;quot;Le DT&amp;quot;&lt;/Author&gt;&lt;Year&gt;2021&lt;/Year&gt;&lt;Details&gt;&lt;_accession_num&gt;33812497&lt;/_accession_num&gt;&lt;_author_adr&gt;Sorbonne Université and Hõpital Saint-Antoine, Paris, France. Electronic address:  thierry.andre@aphp.fr.; Merck &amp;amp; Co, Kenilworth, NJ, USA.; Merck &amp;amp; Co, Kenilworth, NJ, USA.; University College Hospital, NHS Foundation Trust, London, UK.; Department of Oncology, Asan Medical Center, University of Ulsan College of  Medicine, Seoul, South Korea.; Herlev og Gentofte Hospital, Herlev, Denmark.; University Hospital of Southern Denmark, Vejle, Denmark.; Amsterdam University Medical Center, University of Amsterdam, Amsterdam,  Netherlands; Julius Center, University Medical Center Utrecht, Utrecht  University, Netherlands.; Hopital Haut Leveque, Pessac, France.; Hospital Universitario 12 de Octubre, Imas12, UCM, Madrid, Spain.; Investigación Clínica y Traslacional en Cáncer, Instituto de Investigaciones  Biomédicas de Málaga, Hospitales Universitarios Regional y Virgen de la Victoria  de Málaga, Malaga, Spain.; Centre Leon Berard, Lyon, France.; Hospital Universitario M de Valdecilla, IDIVAL, Santander, Spain.; Vall d&amp;apos;Hebron Barcelona Hospital Campus, Vall d&amp;apos;Hebron Institute of Oncology,  Universitat Autonoma de Barcelona, Barcelona, Spain.; Memorial Sloan Kettering Cancer Center, New York, NY, USA.; National Cancer Center Hospital East, Kashiwa, Japan.; University Hospitals Gasthuisberg/Leuven and KU Leuven, Leuven, Belgium.; MSD China, Shanghai, China.; Merck &amp;amp; Co, Kenilworth, NJ, USA.; Sidney Kimmel Comprehensive Cancer Center, Johns Hopkins University, Baltimore,  MD, USA.&lt;/_author_adr&gt;&lt;_date_display&gt;2021 May&lt;/_date_display&gt;&lt;_date&gt;2021-05-01&lt;/_date&gt;&lt;_doi&gt;10.1016/S1470-2045(21)00064-4&lt;/_doi&gt;&lt;_isbn&gt;1474-5488 (Electronic); 1470-2045 (Linking)&lt;/_isbn&gt;&lt;_issue&gt;5&lt;/_issue&gt;&lt;_journal&gt;Lancet Oncol&lt;/_journal&gt;&lt;_language&gt;eng&lt;/_language&gt;&lt;_ori_publication&gt;Copyright © 2021 Elsevier Ltd. All rights reserved.&lt;/_ori_publication&gt;&lt;_pages&gt;665-677&lt;/_pages&gt;&lt;_subject_headings&gt;Adult; Aged; Antibodies, Monoclonal, Humanized/*therapeutic use; Brain Neoplasms/*drug therapy/genetics/mortality/psychology; Colorectal Neoplasms/*drug therapy/genetics/mortality/psychology; DNA Mismatch Repair; Female; Humans; Male; *Microsatellite Instability; Middle Aged; Neoplasm Metastasis; Neoplastic Syndromes, Hereditary/*drug therapy/genetics/mortality/psychology; *Quality of Lif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33812497&amp;amp;query_hl=1&lt;/_url&gt;&lt;_volume&gt;22&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Citation&gt;_x000a_"/>
    <w:docVar w:name="NE.Ref{2F7BDD98-DA9C-4C86-AA8B-0E5BAF471B08}" w:val=" ADDIN NE.Ref.{2F7BDD98-DA9C-4C86-AA8B-0E5BAF471B08}&lt;Citation&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3001E627-C6B3-44BC-8B72-5BC6782AD914}" w:val=" ADDIN NE.Ref.{3001E627-C6B3-44BC-8B72-5BC6782AD914}&lt;Citation&gt;&lt;Group&gt;&lt;References&gt;&lt;Item&gt;&lt;ID&gt;4889&lt;/ID&gt;&lt;UID&gt;{1BDE4E11-7A9A-47A5-BAD4-5476AD5C6A88}&lt;/UID&gt;&lt;Title&gt;First-line systemic treatment strategies in patients with initially unresectable  colorectal cancer liver metastases (CAIRO5): an open-label, multicentre,  randomised, controlled, phase 3 study from the Dutch Colorectal Cancer Group&lt;/Title&gt;&lt;Template&gt;Journal Article&lt;/Template&gt;&lt;Star&gt;0&lt;/Star&gt;&lt;Tag&gt;0&lt;/Tag&gt;&lt;Author&gt;Bond, MJG; Bolhuis, K; Loosveld, OJL; de Groot, JWB; Droogendijk, H; Helgason, H H; Hendriks, M P; Klaase, J M; Kazemier, G; Liem, MSL; Rijken, A M; Verhoef, C; de Wilt, JHW; de Jong, K P; Gerhards, M F; van Amerongen, M J; Engelbrecht, MRW; van Lienden, K P; Molenaar, I Q; de Valk, B; Haberkorn, BCM; Kerver, E D; Erdkamp, F; van Alphen, R J; Mathijssen-van, Stein D; Komurcu, A; Lopez-Yurda, M; Swijnenburg, R J; Punt, CJA&lt;/Author&gt;&lt;Year&gt;2023&lt;/Year&gt;&lt;Details&gt;&lt;_accession_num&gt;37329889&lt;/_accession_num&gt;&lt;_author_adr&gt;Department of Epidemiology, Julius Centre for Health Sciences and Primary Care,  University Medical Centre Utrecht, Utrecht University, Utrecht, Netherlands.; Department of Gastrointestinal Oncology, The Netherlands Cancer Institute,  Amsterdam, Netherlands; Department of Medical Oncology, Cancer Centre Amsterdam,  Amsterdam University Medical Centre, University of Amsterdam, Netherlands.; Department of Medical Oncology, Amphia Hospital, Breda, Netherlands.; Department of Medical Oncology, Isala Oncology Centre, Zwolle, Netherlands.; Department of Internal Medicine, Bravis Hospital, Roosendaal, Netherlands.; Department of Medical Oncology, Haaglanden Medical Centre, The Hague,  Netherlands.; Department of Medical Oncology, Northwest Clinics, Alkmaar, Netherlands.; Department of Hepatobiliary Surgery and Liver Transplantation, University Medical  Centre Groningen, Groningen, Netherlands.; Department of Surgery, Amsterdam UMC, location Vrije Universiteit, Amsterdam,  Netherlands; Cancer Center Amsterdam, Amsterdam, Netherlands.; Department of Surgery, Medisch Spectrum Twente, Enschede, Netherlands.; Department of Surgery, Amphia Hospital, Breda, Netherlands.; Department of Surgery, Erasmus Medical Centre Cancer Institute, Rotterdam,  Netherlands.; Department of Surgery, Radboud University Medical Centre, Nijmegen, Netherlands.; Department of Hepatobiliary Surgery and Liver Transplantation, University Medical  Centre Groningen, Groningen, Netherlands.; Department of Surgery, OLVG Hospital, Amsterdam, Netherlands.; Department of Radiology, Sint Maartenskliniek, Nijmegen, Netherlands.; Department of Radiology and Nuclear Medicine, Amsterdam University Medical  Centre, University of Amsterdam, Netherlands.; Department of Radiology, Sint Antonius Hospital, Nieuwegein, Netherlands.; Department of Surgery, University Medical Centre Utrecht, Utrecht University,  Utrecht, Netherlands.; Department of Medical Oncology, Spaarne Gasthuis, Hoofddorp, Netherlands.; Department of Medical Oncology, Maasstad Hospital, Rotterdam, Netherlands.; Department of Medical Oncology, OLVG Hospital, Amsterdam, Netherlands.; Department of Medical Oncology, Zuyderland Medical Centre, Heerlen, Netherlands.; Department of Medical Oncology, Elisabeth-TweeSteden Hospital, Tilburg,  Netherlands.; Department of Medical Oncology, Franciscus Gasthuis &amp;amp; Vlietland, Rotterdam,  Netherlands.; The Netherlands Comprehensive Cancer Organisation, Utrecht, Netherlands.; Biometrics Department, The Netherlands Cancer Institute, Amsterdam, Netherlands.; Department of Surgery, Amsterdam University Medical Centre, University of  Amsterdam and Vrije Universiteit Amsterdam, Amsterdam, Netherlands; Cancer Center  Amsterdam, Amsterdam, Netherlands.; Department of Epidemiology, Julius Centre for Health Sciences and Primary Care,  University Medical Centre Utrecht, Utrecht University, Utrecht, Netherlands;  Department of Medical Oncology, Cancer Centre Amsterdam, Amsterdam University  Medical Centre, University of Amsterdam, Netherlands. Electronic address:  c.j.a.punt@umcutrecht.nl.&lt;/_author_adr&gt;&lt;_date_display&gt;2023 Jul&lt;/_date_display&gt;&lt;_date&gt;2023-07-01&lt;/_date&gt;&lt;_doi&gt;10.1016/S1470-2045(23)00219-X&lt;/_doi&gt;&lt;_isbn&gt;1474-5488 (Electronic); 1470-2045 (Linking)&lt;/_isbn&gt;&lt;_issue&gt;7&lt;/_issue&gt;&lt;_journal&gt;Lancet Oncol&lt;/_journal&gt;&lt;_language&gt;eng&lt;/_language&gt;&lt;_ori_publication&gt;Copyright © 2023 Elsevier Ltd. All rights reserved.&lt;/_ori_publication&gt;&lt;_pages&gt;757-771&lt;/_pages&gt;&lt;_subject_headings&gt;Humans; Male; Female; Middle Aged; Bevacizumab; Irinotecan/therapeutic use; Oxaliplatin/therapeutic use; Panitumumab/therapeutic use; Leucovorin; Proto-Oncogene Proteins B-raf/genetics; Camptothecin/therapeutic use; *Colorectal Neoplasms/drug therapy/genetics/pathology; Fluorouracil; *Liver Neoplasms/drug therapy/genetics/secondary; *Hypertension/chemically induced; *Neutropenia/chemically induced; Antineoplastic Combined Chemotherapy Protocols/adverse effects&lt;/_subject_headings&gt;&lt;_tertiary_title&gt;The Lancet. Oncology&lt;/_tertiary_title&gt;&lt;_type_work&gt;Clinical Trial, Phase III; Journal Article; Multicenter Study; Randomized Controlled Trial&lt;/_type_work&gt;&lt;_url&gt;http://www.ncbi.nlm.nih.gov/entrez/query.fcgi?cmd=Retrieve&amp;amp;db=pubmed&amp;amp;dopt=Abstract&amp;amp;list_uids=37329889&amp;amp;query_hl=1&lt;/_url&gt;&lt;_volume&gt;24&lt;/_volume&gt;&lt;_created&gt;65090136&lt;/_created&gt;&lt;_modified&gt;65090136&lt;/_modified&gt;&lt;_impact_factor&gt;  54.433&lt;/_impact_factor&gt;&lt;_social_category&gt;医学(1)&lt;/_social_category&gt;&lt;_collection_scope&gt;SCIE&lt;/_collection_scope&gt;&lt;/Details&gt;&lt;Extra&gt;&lt;DBUID&gt;{F96A950B-833F-4880-A151-76DA2D6A2879}&lt;/DBUID&gt;&lt;/Extra&gt;&lt;/Item&gt;&lt;/References&gt;&lt;/Group&gt;&lt;Group&gt;&lt;References&gt;&lt;Item&gt;&lt;ID&gt;4890&lt;/ID&gt;&lt;UID&gt;{0544ED91-088A-4282-9754-A79EAEE39C5F}&lt;/UID&gt;&lt;Title&gt;Panitumumab vs Bevacizumab Added to Standard First-line Chemotherapy and Overall  Survival Among Patients With RAS Wild-type, Left-Sided Metastatic Colorectal  Cancer: A Randomized Clinical Trial&lt;/Title&gt;&lt;Template&gt;Journal Article&lt;/Template&gt;&lt;Star&gt;0&lt;/Star&gt;&lt;Tag&gt;0&lt;/Tag&gt;&lt;Author&gt;Watanabe, J; Muro, K; Shitara, K; Yamazaki, K; Shiozawa, M; Ohori, H; Takashima, A; Yokota, M; Makiyama, A; Akazawa, N; Ojima, H; Yuasa, Y; Miwa, K; Yasui, H; Oki, E; Sato, T; Naitoh, T; Komatsu, Y; Kato, T; Hihara, M; Soeda, J; Misumi, T; Yamamoto, K; Akagi, K; Ochiai, A; Uetake, H; Tsuchihara, K; Yoshino, T&lt;/Author&gt;&lt;Year&gt;2023&lt;/Year&gt;&lt;Details&gt;&lt;_accession_num&gt;37071094&lt;/_accession_num&gt;&lt;_author_adr&gt;Department of Surgery, Gastroenterological Center, Yokohama City University  Medical Center, Yokohama, Japan.; Department of Clinical Oncology, Aichi Cancer Center Hospital, Nagoya, Japan.; Department of Gastroenterology and Gastrointestinal Oncology, National Cancer  Center Hospital East, Kashiwa, Japan.; Department of Immunology, Nagoya University Graduate School of Medicine, Aichi,  Japan.; Division of Gastrointestinal Oncology, Shizuoka Cancer Center, Shizuoka, Japan.; Division of Gastrointestinal Surgery, Kanagawa Cancer Center, Kanagawa, Japan.; Division of Medical Oncology, Japanese Red Cross Ishinomaki Hospital, Miyagi,  Japan.; Department of Gastrointestinal Medical Oncology, National Cancer Center Hospital,  Tokyo, Japan.; Department of General Surgery, Kurashiki Central Hospital, Okayama, Japan.; Department of Hematology/Oncology, Japan Community Healthcare Organization,  Fukuoka, Japan.; Department of Gastrointestinal Surgery, Sendai City Medical Center, Sendai Open  Hospital, Miyagi, Japan.; Department of Gastroenterological Surgery, Gunma Prefectural Cancer Center,  Gunma, Japan.; Department of Gastroenterological Surgery, Japanese Red Cross Tokushima Hospital,  Tokushima, Japan.; Department of Cancer Multimodel Therapy Center, Kurume University Hospital,  Fukuoka, Japan.; Division of Gastrointestinal Oncology, Shizuoka Cancer Center, Shizuoka, Japan.; Department of Surgery and Science, Graduate School of Medical Sciences, Kyushu  University, Fukuoka, Japan.; Research and Development Center for Medical Education, Department of Clinical  Skills Education, Kitasato University School of Medicine, Sagamihara, Japan.; Department of Lower Gastrointestinal Surgery, Kitasato University School of  Medicine, Sagamihara, Japan.; Division of Cancer Chemotherapy, Hokkaido University Hospital Cancer Center,  Sapporo, Japan.; Department of Surgery, National Hospital Organization Osaka National Hospital,  Osaka, Japan.; Japan Medical Affairs, Japan Oncology Business Unit, Takeda Pharmaceutical  Company Ltd, Tokyo, Japan.; Japan Medical Affairs, Japan Oncology Business Unit, Takeda Pharmaceutical  Company Ltd, Tokyo, Japan.; Department of Biostatistics, Yokohama City University School of Medicine,  Yokohama, Japan.; Department of Biostatistics, Yokohama City University School of Medicine,  Yokohama, Japan.; Division of Molecular Diagnosis and Cancer Prevention, Saitama Cancer Center,  Saitama, Japan.; Pathology Division, Exploratory Oncology Research and Clinical Trial Center,  National Cancer Center, Chiba, Japan.; now with the Research Institute for Biomedical Sciences, Tokyo University of  Science, Tokyo, Japan.; National Hospital Organization, Disaster Medical Center, Tokyo, Japan.; Division of Translational Informatics, Exploratory Oncology Research and Clinical  Trial Center, National Cancer Center, Chiba, Japan.; Department of Gastroenterology and Gastrointestinal Oncology, National Cancer  Center Hospital East, Kashiwa, Japan.&lt;/_author_adr&gt;&lt;_date_display&gt;2023 Apr 18&lt;/_date_display&gt;&lt;_date&gt;2023-04-18&lt;/_date&gt;&lt;_doi&gt;10.1001/jama.2023.4428&lt;/_doi&gt;&lt;_isbn&gt;1538-3598 (Electronic); 0098-7484 (Print); 0098-7484 (Linking)&lt;/_isbn&gt;&lt;_issue&gt;15&lt;/_issue&gt;&lt;_journal&gt;JAMA&lt;/_journal&gt;&lt;_language&gt;eng&lt;/_language&gt;&lt;_pages&gt;1271-1282&lt;/_pages&gt;&lt;_subject_headings&gt;Aged; Female; Humans; Male; Antibodies, Monoclonal/administration &amp;amp; dosage/adverse effects/therapeutic use; Antineoplastic Agents/administration &amp;amp; dosage/adverse effects/therapeutic use; *Antineoplastic Combined Chemotherapy Protocols/adverse effects/therapeutic use; *Bevacizumab/administration &amp;amp; dosage/adverse effects/therapeutic use; Colonic Neoplasms/drug therapy/genetics; *Colorectal Neoplasms/drug therapy/genetics; Fluorouracil/administration &amp;amp; dosage; Leucovorin/administration &amp;amp; dosage; *Panitumumab/administration &amp;amp; dosage/adverse effects/therapeutic use; Oxaliplatin/administration &amp;amp; dosage; ErbB Receptors/antagonists &amp;amp; inhibitors; Vascular Endothelial Growth Factors/antagonists &amp;amp; inhibitors&lt;/_subject_headings&gt;&lt;_tertiary_title&gt;JAMA&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7071094&amp;amp;query_hl=1&lt;/_url&gt;&lt;_volume&gt;329&lt;/_volume&gt;&lt;_created&gt;65090136&lt;/_created&gt;&lt;_modified&gt;65090136&lt;/_modified&gt;&lt;_impact_factor&gt; 157.335&lt;/_impact_factor&gt;&lt;_social_category&gt;医学(1)&lt;/_social_category&gt;&lt;_collection_scope&gt;SCIE&lt;/_collection_scope&gt;&lt;/Details&gt;&lt;Extra&gt;&lt;DBUID&gt;{F96A950B-833F-4880-A151-76DA2D6A2879}&lt;/DBUID&gt;&lt;/Extra&gt;&lt;/Item&gt;&lt;/References&gt;&lt;/Group&gt;&lt;Group&gt;&lt;References&gt;&lt;Item&gt;&lt;ID&gt;4891&lt;/ID&gt;&lt;UID&gt;{E7CCC640-A70F-4D0B-B6FC-9F3CF9DEFBBC}&lt;/UID&gt;&lt;Title&gt;FOLFOX plus panitumumab or FOLFOX alone as additive therapy following R0/1  resection of RAS wild-type colorectal cancer liver metastases - The PARLIM trial  (AIO KRK 0314)&lt;/Title&gt;&lt;Template&gt;Journal Article&lt;/Template&gt;&lt;Star&gt;0&lt;/Star&gt;&lt;Tag&gt;0&lt;/Tag&gt;&lt;Author&gt;Modest, D P; Karthaus, M; Kasper, S; Moosmann, N; Keitel, V; Kiani, A; Uhlig, J; Jacobasch, L; Fischer, V Weikersthal L; Fuchs, M; Kaiser, F; Lerchenmüller, C; Sent, D; Junghanß, C; Held, S; Lorenzen, S; Kaczirek, K; Jung, A; Stintzing, S; Heinemann, V&lt;/Author&gt;&lt;Year&gt;2022&lt;/Year&gt;&lt;Details&gt;&lt;_accession_num&gt;35970102&lt;/_accession_num&gt;&lt;_author_adr&gt;Charité-Universitätsmedizin Berlin, Corporate Member of Freie Universität Berlin  and Humboldt-Universität zu Berlin, Department of Hematology, Oncology and Cancer  Immunology, Charitéplatz 1, 10117, Berlin, Germany; German Cancer Consortium  (DKTK), German Cancer Research Centre (DKFZ), Heidelberg, Germany. Electronic  address: dominik.modest@charite.de.; Department of Hematology and Oncology, Munich Hospital Neuperlach, Munich,  Germany.; Westdeutsches Tumorzentrum, Essen, Germany.; Krankenhaus Barmherzige Brüder Regensburg, Regensburg, Germany.; Department of Gastroenterology, University of Düsseldorf, Germany.; Medical Department IV, Hospital Bayreuth, Bayreuth, Germany.; Oncological Practice, Naunhof, Germany.; Oncological Practice, Dresden, Germany.; Gesundheitszentrum St. Marien, Amberg, Germany.; Department of Gastroenterology, Munich Hospital Bogenhausen, Munich, Germany.; Practice Oncology, Hospital Landshut-Achdorf, Landshut, Germany.; Oncological Practice, Münster, Germany.; Oncological Practice, MVZ Hospital Leverkusen, Leverkusen, Germany.; Medical Department III, Universitaetsmedizin Rostock, Rostock, Germany.; ClinAssess GmbH, Leverkusen, Germany.; German Cancer Consortium (DKTK), German Cancer Research Centre (DKFZ),  Heidelberg, Germany; Department of Internal Medicine III (Haematology/Medical  Oncology), Technical University of Munich Hospital Rechts der Isar, Munchen,  Bayern, Germany.; Department of Surgery, University of Vienna, Vienna, Austria.; German Cancer Consortium (DKTK), German Cancer Research Centre (DKFZ),  Heidelberg, Germany; Institute of Pathology, Ludwig Maximillians Universität  (LMU), Munich, Germany.; Charité-Universitätsmedizin Berlin, Corporate Member of Freie Universität Berlin  and Humboldt-Universität zu Berlin, Department of Hematology, Oncology and Cancer  Immunology, Charitéplatz 1, 10117, Berlin, Germany; German Cancer Consortium  (DKTK), German Cancer Research Centre (DKFZ), Heidelberg, Germany.; German Cancer Consortium (DKTK), German Cancer Research Centre (DKFZ),  Heidelberg, Germany; Department of Medicine III &amp;amp;amp; Comprehensive Cancer  Center, Hospital of the University (LMU), München, Germany.&lt;/_author_adr&gt;&lt;_date_display&gt;2022 Sep&lt;/_date_display&gt;&lt;_date&gt;2022-09-01&lt;/_date&gt;&lt;_doi&gt;10.1016/j.ejca.2022.07.012&lt;/_doi&gt;&lt;_isbn&gt;1879-0852 (Electronic); 0959-8049 (Linking)&lt;/_isbn&gt;&lt;_journal&gt;Eur J Cancer&lt;/_journal&gt;&lt;_keywords&gt;Additive therapy; Adjuvant therapy; Liver metastases; Metastatic colorectal cancer; anti-EGFR antibody; panitumumab&lt;/_keywords&gt;&lt;_language&gt;eng&lt;/_language&gt;&lt;_ori_publication&gt;Copyright © 2022 Elsevier Ltd. All rights reserved.&lt;/_ori_publication&gt;&lt;_pages&gt;297-306&lt;/_pages&gt;&lt;_subject_headings&gt;*Antineoplastic Combined Chemotherapy Protocols/therapeutic use; *Colorectal Neoplasms/drug therapy/pathology; Fluorouracil/therapeutic use; Humans; Leucovorin/therapeutic use; *Liver Neoplasms/drug therapy/secondary/surgery; Organoplatinum Compounds; *Panitumumab/therapeutic use&lt;/_subject_headings&gt;&lt;_tertiary_title&gt;European journal of cancer (Oxford, England : 1990)&lt;/_tertiary_title&gt;&lt;_type_work&gt;Clinical Trial, Phase II; Journal Article; Randomized Controlled Trial; Research Support, Non-U.S. Gov&amp;apos;t&lt;/_type_work&gt;&lt;_url&gt;http://www.ncbi.nlm.nih.gov/entrez/query.fcgi?cmd=Retrieve&amp;amp;db=pubmed&amp;amp;dopt=Abstract&amp;amp;list_uids=35970102&amp;amp;query_hl=1&lt;/_url&gt;&lt;_volume&gt;173&lt;/_volume&gt;&lt;_created&gt;65090136&lt;/_created&gt;&lt;_modified&gt;65090136&lt;/_modified&gt;&lt;_impact_factor&gt;  10.002&lt;/_impact_factor&gt;&lt;_social_category&gt;医学(1)&lt;/_social_category&gt;&lt;_collection_scope&gt;SCIE&lt;/_collection_scope&gt;&lt;/Details&gt;&lt;Extra&gt;&lt;DBUID&gt;{F96A950B-833F-4880-A151-76DA2D6A2879}&lt;/DBUID&gt;&lt;/Extra&gt;&lt;/Item&gt;&lt;/References&gt;&lt;/Group&gt;&lt;Group&gt;&lt;References&gt;&lt;Item&gt;&lt;ID&gt;4892&lt;/ID&gt;&lt;UID&gt;{7FE9DFF5-C993-4E6A-B880-AC5D40EA1F27}&lt;/UID&gt;&lt;Title&gt;Upfront Modified Fluorouracil, Leucovorin, Oxaliplatin, and Irinotecan Plus  Panitumumab Versus Fluorouracil, Leucovorin, and Oxaliplatin Plus Panitumumab for  Patients With RAS/BRAF Wild-Type Metastatic Colorectal Cancer: The Phase III  TRIPLETE Study by GONO&lt;/Title&gt;&lt;Template&gt;Journal Article&lt;/Template&gt;&lt;Star&gt;0&lt;/Star&gt;&lt;Tag&gt;0&lt;/Tag&gt;&lt;Author&gt;Rossini, D; Antoniotti, C; Lonardi, S; Pietrantonio, F; Moretto, R; Antonuzzo, L; Boccaccino, A; Morano, F; Brugia, M; Pozzo, C; Marmorino, F; Bergamo, F; Tamburini, E; Passardi, A; Randon, G; Murgioni, S; Borelli, B; Buonadonna, A; Giordano, M; Fontanini, G; Conca, V; Formica, V; Aglietta, M; Bordonaro, R; Aprile, G; Masi, G; Boni, L; Cremolini, C&lt;/Author&gt;&lt;Year&gt;2022&lt;/Year&gt;&lt;Details&gt;&lt;_accession_num&gt;35666229&lt;/_accession_num&gt;&lt;_author_adr&gt;Department of Translational Research and New Technologies in Medicine and  Surgery, University of Pisa, Pisa, Italy.; Unit of Medical Oncology 2, Azienda Ospedaliero-Universitaria Pisana, Pisa,  Italy.; Department of Translational Research and New Technologies in Medicine and  Surgery, University of Pisa, Pisa, Italy.; Unit of Medical Oncology 2, Azienda Ospedaliero-Universitaria Pisana, Pisa,  Italy.; Medical Oncology 3, Veneto Institute of Oncology IOV-IRCCS, Padua, Italy.; Department of Medical Oncology, Fondazione IRCCS Istituto Nazionale dei Tumori,  Milan, Italy.; Unit of Medical Oncology 2, Azienda Ospedaliero-Universitaria Pisana, Pisa,  Italy.; Clinical Oncology Unit, Careggi University Hospital-Department of Experimental  and Clinical Medicine, University of Florence, Florence, Italy.; Department of Translational Research and New Technologies in Medicine and  Surgery, University of Pisa, Pisa, Italy.; Unit of Medical Oncology 2, Azienda Ospedaliero-Universitaria Pisana, Pisa,  Italy.; Department of Medical Oncology, Fondazione IRCCS Istituto Nazionale dei Tumori,  Milan, Italy.; Medical Oncology Unit, Careggi University Hospital, Florence, Italy.; Medical Oncology, Comprehensive Cancer Center, Fondazione Policlinico  Universitario A. Gemelli IRCCS, Rome, Italy.; Department of Translational Research and New Technologies in Medicine and  Surgery, University of Pisa, Pisa, Italy.; Unit of Medical Oncology 2, Azienda Ospedaliero-Universitaria Pisana, Pisa,  Italy.; Medical Oncology 1, Veneto Institute of Oncology IOV-IRCCS, Padua, Italy.; Oncology and Palliative Care Department, Cardinale G. Panico Tricase City  Hospital, Tricase, Italy.; Department of Medical Oncology, IRCCS Istituto Romagnolo per lo Studio dei Tumori  (IRST) &amp;quot;Dino Amadori,&amp;quot; Meldola, Italy.; Department of Medical Oncology, Fondazione IRCCS Istituto Nazionale dei Tumori,  Milan, Italy.; Medical Oncology 1, Veneto Institute of Oncology IOV-IRCCS, Padua, Italy.; Department of Translational Research and New Technologies in Medicine and  Surgery, University of Pisa, Pisa, Italy.; Unit of Medical Oncology 2, Azienda Ospedaliero-Universitaria Pisana, Pisa,  Italy.; Department of Medical Oncology, CRO Aviano, National Cancer Institute, IRCCS,  Aviano, Italy.; Department of Translational Research and New Technologies in Medicine and  Surgery, University of Pisa, Pisa, Italy.; Unit of Medical Oncology 2, Azienda Ospedaliero-Universitaria Pisana, Pisa,  Italy.; Department of Surgical, Medical, Molecular Pathology and Critical Area,  University of Pisa, Pisa, Italy.; Department of Translational Research and New Technologies in Medicine and  Surgery, University of Pisa, Pisa, Italy.; Unit of Medical Oncology 2, Azienda Ospedaliero-Universitaria Pisana, Pisa,  Italy.; Medical Oncology Unit, Tor Vergata University Hospital, Rome, Italy.; Medical Oncology, Candiolo Cancer Institute, Fondazione del Piemonte per  l&amp;apos;Oncologia (FPO)-Istituto di Ricovero e Cura a Carattere Scientifico (IRCCS),  Torino, Italy.; Medical Oncology Unit, Azienda Ospedaliera di Rilievo Nazionale e Alta  Specializzazione (ARNAS), Ospedale Garibaldi, Catania, Italy.; Department of Oncology, San Bortolo General Hospital, Azienda ULSS8 Berica,  Vicenza, Italy.; Department of Translational Research and New Technologies in Medicine and  Surgery, University of Pisa, Pisa, Italy.; Unit of Medical Oncology 2, Azienda Ospedaliero-Universitaria Pisana, Pisa,  Italy.; Clinical Epidemiology Unit, IRCCS Ospedale Policlinico San Martino, Genova,  Italy.; Department of Translational Research and New Technologies in Medicine and  Surgery, University of Pisa, Pisa, Italy.; Unit of Medical Oncology 2, Azienda Ospedaliero-Universitaria Pisana, Pisa,  Italy.&lt;/_author_adr&gt;&lt;_date_display&gt;2022 Sep 1&lt;/_date_display&gt;&lt;_date&gt;2022-09-01&lt;/_date&gt;&lt;_doi&gt;10.1200/JCO.22.00839&lt;/_doi&gt;&lt;_isbn&gt;1527-7755 (Electronic); 0732-183X (Print); 0732-183X (Linking)&lt;/_isbn&gt;&lt;_issue&gt;25&lt;/_issue&gt;&lt;_journal&gt;J Clin Oncol&lt;/_journal&gt;&lt;_language&gt;eng&lt;/_language&gt;&lt;_pages&gt;2878-2888&lt;/_pages&gt;&lt;_subject_headings&gt;Antineoplastic Combined Chemotherapy Protocols/adverse effects; Camptothecin/adverse effects; *Colonic Neoplasms/drug therapy; *Colorectal Neoplasms/drug therapy/genetics; Fluorouracil; Genes, ras; Humans; Irinotecan/therapeutic use; Leucovorin; Organoplatinum Compounds; Oxaliplatin; Panitumumab; Prospective Studies; Proto-Oncogene Proteins B-raf/genetics; *Rectal Neoplasms/drug therapy; ras Proteins&lt;/_subject_headings&gt;&lt;_tertiary_title&gt;Journal of clinical oncology : official journal of the American Society of _x000d__x000a_      Clinical Oncology&lt;/_tertiary_title&gt;&lt;_type_work&gt;Clinical Trial, Phase III; Journal Article; Randomized Controlled Trial; Research Support, Non-U.S. Gov&amp;apos;t&lt;/_type_work&gt;&lt;_url&gt;http://www.ncbi.nlm.nih.gov/entrez/query.fcgi?cmd=Retrieve&amp;amp;db=pubmed&amp;amp;dopt=Abstract&amp;amp;list_uids=35666229&amp;amp;query_hl=1&lt;/_url&gt;&lt;_volume&gt;40&lt;/_volume&gt;&lt;_created&gt;65090136&lt;/_created&gt;&lt;_modified&gt;65090136&lt;/_modified&gt;&lt;_impact_factor&gt;  50.717&lt;/_impact_factor&gt;&lt;_social_category&gt;医学(1)&lt;/_social_category&gt;&lt;_collection_scope&gt;SCIE&lt;/_collection_scope&gt;&lt;/Details&gt;&lt;Extra&gt;&lt;DBUID&gt;{F96A950B-833F-4880-A151-76DA2D6A2879}&lt;/DBUID&gt;&lt;/Extra&gt;&lt;/Item&gt;&lt;/References&gt;&lt;/Group&gt;&lt;Group&gt;&lt;References&gt;&lt;Item&gt;&lt;ID&gt;4893&lt;/ID&gt;&lt;UID&gt;{899CE183-4212-47AE-8418-53CC183F324A}&lt;/UID&gt;&lt;Title&gt;Upfront FOLFOXIRI plus bevacizumab with or without atezolizumab in the treatment  of patients with metastatic colorectal cancer (AtezoTRIBE): a multicentre,  open-label, randomised, controlled, phase 2 trial&lt;/Title&gt;&lt;Template&gt;Journal Article&lt;/Template&gt;&lt;Star&gt;0&lt;/Star&gt;&lt;Tag&gt;0&lt;/Tag&gt;&lt;Author&gt;Antoniotti, C; Rossini, D; Pietrantonio, F; Catteau, A; Salvatore, L; Lonardi, S; Boquet, I; Tamberi, S; Marmorino, F; Moretto, R; Ambrosini, M; Tamburini, E; Tortora, G; Passardi, A; Bergamo, F; Kassambara, A; Sbarrato, T; Morano, F; Ritorto, G; Borelli, B; Boccaccino, A; Conca, V; Giordano, M; Ugolini, C; Fieschi, J; Papadopulos, A; Massoué, C; Aprile, G; Antonuzzo, L; Gelsomino, F; Martinelli, E; Pella, N; Masi, G; Fontanini, G; Boni, L; Galon, J; Cremolini, C&lt;/Author&gt;&lt;Year&gt;2022&lt;/Year&gt;&lt;Details&gt;&lt;_accession_num&gt;35636444&lt;/_accession_num&gt;&lt;_author_adr&gt;Unit of Medical Oncology 2, University Hospital of Pisa, Pisa, Italy; Department  of Translational Research and New Technologies in Medicine and Surgery,  University of Pisa, Pisa, Italy.; Unit of Medical Oncology 2, University Hospital of Pisa, Pisa, Italy; Department  of Translational Research and New Technologies in Medicine and Surgery,  University of Pisa, Pisa, Italy.; Department of Medical Oncology, Fondazione IRCCS Istituto Nazionale dei Tumori,  Milano, Italy.; Veracyte, Marseille, France.; Oncologia Medica, Comprehensive Cancer Center, Fondazione Policlinico  Universitario Agostino Gemelli IRCCS, Roma, Italy; Oncologia Medica, Università  Cattolica del Sacro Cuore, Roma, Italy.; Medical Oncology 3, Veneto Institute of Oncology IOV-IRCCS, Padova, Italy.; Veracyte, Marseille, France.; Oncology Unit, Ravenna Hospital, AUSL Romagna, Ravenna, Italy.; Unit of Medical Oncology 2, University Hospital of Pisa, Pisa, Italy; Department  of Translational Research and New Technologies in Medicine and Surgery,  University of Pisa, Pisa, Italy.; Unit of Medical Oncology 2, University Hospital of Pisa, Pisa, Italy.; Department of Medical Oncology, Fondazione IRCCS Istituto Nazionale dei Tumori,  Milano, Italy.; Department of Oncology and Palliative Care, Cardinale G Panico, Tricase City  Hospital, Tricase, Italy.; Oncologia Medica, Comprehensive Cancer Center, Fondazione Policlinico  Universitario Agostino Gemelli IRCCS, Roma, Italy; Oncologia Medica, Università  Cattolica del Sacro Cuore, Roma, Italy.; Department of Medical Oncology, IRCCS Istituto Romagnolo per lo Studio dei Tumori  &amp;quot;Dino Amadori&amp;quot;, Meldola, Italy.; Medical Oncology 1, Veneto Institute of Oncology IOV-IRCCS, Padova, Italy.; Veracyte, Marseille, France.; Veracyte, Marseille, France.; Department of Medical Oncology, Fondazione IRCCS Istituto Nazionale dei Tumori,  Milano, Italy.; SSD ColoRectal Cancer Unit, Department of Oncology, AOU Città della Salute e  della Scienza di Torino, Torino, Italy.; Unit of Medical Oncology 2, University Hospital of Pisa, Pisa, Italy.; Unit of Medical Oncology 2, University Hospital of Pisa, Pisa, Italy; Department  of Translational Research and New Technologies in Medicine and Surgery,  University of Pisa, Pisa, Italy.; Unit of Medical Oncology 2, University Hospital of Pisa, Pisa, Italy; Department  of Translational Research and New Technologies in Medicine and Surgery,  University of Pisa, Pisa, Italy.; Department of Surgical, Medical, Molecular Pathology and Critical Area,  University of Pisa, Pisa, Italy.; Department of Surgical, Medical, Molecular Pathology and Critical Area,  University of Pisa, Pisa, Italy.; Veracyte, Marseille, France.; Veracyte, Marseille, France.; Veracyte, Marseille, France.; Department of Oncology, San Bortolo General Hospital, Vicenza, Italy.; Clinical Oncology Unit, Careggi University Hospital, Firenze, Italy; Department  of Experimental and Clinical Medicine, University of Florence, Firenze, Italy.; Department of Oncology and Hematology, Division of Oncology, University Hospital  of Modena, Modena, Italy.; Oncologia Medica, Dipartimento di Medicina di Precisione, Università degli Studi  della Campania Luigi Vanvitelli, Napoli, Italy.; Department of Oncology, Azienda Sanitaria Universitaria Friuli Centrale  University Hospital, Udine, Italy.; Unit of Medical Oncology 2, University Hospital of Pisa, Pisa, Italy; Department  of Translational Research and New Technologies in Medicine and Surgery,  University of Pisa, Pisa, Italy.; Department of Surgical, Medical, Molecular Pathology and Critical Area,  University of Pisa, Pisa, Italy.; Clinical Epidemiology Unit, IRCCS Ospedale Policlinico San Martino, Genova,  Italy.; Veracyte, Marseille, France; INSERM, Laboratory of Integrative Cancer Immunology,  Paris, France; Sorbonne Université, Université de Paris, Centre de Recherche des  Cordeliers, Paris, France; Equipe Labellisée Ligue Contre le Cancer, Paris,  France.; Unit of Medical Oncology 2, University Hospital of Pisa, Pisa, Italy; Department  of Translational Research and New Technologies in Medicine and Surgery,  University of Pisa, Pisa, Italy. Electronic address: chiaracremolini@gmail.com.&lt;/_author_adr&gt;&lt;_date_display&gt;2022 Jul&lt;/_date_display&gt;&lt;_date&gt;2022-07-01&lt;/_date&gt;&lt;_doi&gt;10.1016/S1470-2045(22)00274-1&lt;/_doi&gt;&lt;_isbn&gt;1474-5488 (Electronic); 1470-2045 (Linking)&lt;/_isbn&gt;&lt;_issue&gt;7&lt;/_issue&gt;&lt;_journal&gt;Lancet Oncol&lt;/_journal&gt;&lt;_language&gt;eng&lt;/_language&gt;&lt;_ori_publication&gt;Copyright © 2022 Elsevier Ltd. All rights reserved.&lt;/_ori_publication&gt;&lt;_pages&gt;876-887&lt;/_pages&gt;&lt;_subject_headings&gt;Antibodies, Monoclonal, Humanized; Antineoplastic Combined Chemotherapy Protocols/adverse effects; Bevacizumab; Camptothecin/analogs &amp;amp; derivatives; *Colonic Neoplasms/drug therapy; *Colorectal Neoplasms/pathology; Fluorouracil; Humans; Irinotecan/therapeutic use; Leucovorin; Organoplatinum Compounds; Oxaliplatin/therapeutic use; *Rectal Neoplasm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5636444&amp;amp;query_hl=1&lt;/_url&gt;&lt;_volume&gt;23&lt;/_volume&gt;&lt;_created&gt;65090136&lt;/_created&gt;&lt;_modified&gt;65090136&lt;/_modified&gt;&lt;_impact_factor&gt;  54.433&lt;/_impact_factor&gt;&lt;_social_category&gt;医学(1)&lt;/_social_category&gt;&lt;_collection_scope&gt;SCIE&lt;/_collection_scope&gt;&lt;/Details&gt;&lt;Extra&gt;&lt;DBUID&gt;{F96A950B-833F-4880-A151-76DA2D6A2879}&lt;/DBUID&gt;&lt;/Extra&gt;&lt;/Item&gt;&lt;/References&gt;&lt;/Group&gt;&lt;Group&gt;&lt;References&gt;&lt;Item&gt;&lt;ID&gt;4896&lt;/ID&gt;&lt;UID&gt;{5A5D6D95-3E74-40F0-9D55-40920DD84041}&lt;/UID&gt;&lt;Title&gt;Effect of Bevacizumab in Combination With Standard Oxaliplatin-Based Regimens in  Patients With Metastatic Colorectal Cancer: A Randomized Clinical Trial&lt;/Title&gt;&lt;Template&gt;Journal Article&lt;/Template&gt;&lt;Star&gt;0&lt;/Star&gt;&lt;Tag&gt;0&lt;/Tag&gt;&lt;Author&gt;Avallone, A; Piccirillo, M C; Nasti, G; Rosati, G; Carlomagno, C; Di Gennaro, E; Romano, C; Tatangelo, F; Granata, V; Cassata, A; Silvestro, L; De Stefano, A; Aloj, L; Vicario, V; Nappi, A; Leone, A; Bilancia, D; Arenare, L; Petrillo, A; Lastoria, S; Gallo, C; Botti, G; Delrio, P; Izzo, F; Perrone, F; Budillon, A&lt;/Author&gt;&lt;Year&gt;2021&lt;/Year&gt;&lt;Details&gt;&lt;_accession_num&gt;34309665&lt;/_accession_num&gt;&lt;_author_adr&gt;Experimental Clinical Abdominal Oncology Unit, Istituto Nazionale Tumori-Istituto  di Ricovero e Cura a Carattere Scientifico (IRCCS), Fondazione G. Pascale,  Napoli, Italy.; Clinical Trials Unit, Istituto Nazionale Tumori-IRCCS, Fondazione G. Pascale,  Napoli, Italy.; Innovative Therapy for Abdominal Metastases, IRCCS, Fondazione G. Pascale,  Napoli, Italy.; Medical Oncology Unit, S. Carlo Hospital, Potenza, Italy.; Department of Clinical Medicine and Surgery, University Federico II, Naples,  Italy.; Experimental Pharmacology Unit, Istituto Nazionale Tumori-IRCCS, Fondazione G.  Pascale, Napoli, Italy.; Experimental Clinical Abdominal Oncology Unit, Istituto Nazionale Tumori-Istituto  di Ricovero e Cura a Carattere Scientifico (IRCCS), Fondazione G. Pascale,  Napoli, Italy.; Pathology Unit, Istituto Nazionale Tumori-IRCCS, Fondazione G. Pascale, Napoli,  Italy.; Radiology Unit, Istituto Nazionale Tumori-IRCCS, Fondazione G. Pascale, Napoli,  Italy.; Experimental Clinical Abdominal Oncology Unit, Istituto Nazionale Tumori-Istituto  di Ricovero e Cura a Carattere Scientifico (IRCCS), Fondazione G. Pascale,  Napoli, Italy.; Experimental Clinical Abdominal Oncology Unit, Istituto Nazionale Tumori-Istituto  di Ricovero e Cura a Carattere Scientifico (IRCCS), Fondazione G. Pascale,  Napoli, Italy.; Experimental Clinical Abdominal Oncology Unit, Istituto Nazionale Tumori-Istituto  di Ricovero e Cura a Carattere Scientifico (IRCCS), Fondazione G. Pascale,  Napoli, Italy.; Nuclear Medicine Unit, Istituto Nazionale Tumori-IRCCS, Fondazione G. Pascale,  Napoli, Italy.; currently affiliated with Department of Radiology, University of Cambridge School  of Clinical Medicine, Cambridge, United Kingdom.; Experimental Clinical Abdominal Oncology Unit, Istituto Nazionale Tumori-Istituto  di Ricovero e Cura a Carattere Scientifico (IRCCS), Fondazione G. Pascale,  Napoli, Italy.; Experimental Clinical Abdominal Oncology Unit, Istituto Nazionale Tumori-Istituto  di Ricovero e Cura a Carattere Scientifico (IRCCS), Fondazione G. Pascale,  Napoli, Italy.; Experimental Pharmacology Unit, Istituto Nazionale Tumori-IRCCS, Fondazione G.  Pascale, Napoli, Italy.; Medical Oncology Unit, S. Carlo Hospital, Potenza, Italy.; Clinical Trials Unit, Istituto Nazionale Tumori-IRCCS, Fondazione G. Pascale,  Napoli, Italy.; Radiology Unit, Istituto Nazionale Tumori-IRCCS, Fondazione G. Pascale, Napoli,  Italy.; Nuclear Medicine Unit, Istituto Nazionale Tumori-IRCCS, Fondazione G. Pascale,  Napoli, Italy.; Università della Campania Luigi Vanvitelli, Napoli, Italy.; Pathology Unit, Istituto Nazionale Tumori-IRCCS, Fondazione G. Pascale, Napoli,  Italy.; Colorectal Oncological Surgery, Istituto Nazionale Tumori-IRCCS, Fondazione G.  Pascale, Napoli, Italy.; Colorectal Oncological Surgery, Istituto Nazionale Tumori-IRCCS, Fondazione G.  Pascale, Napoli, Italy.; Hepatobiliary Surgery Unit, Istituto Nazionale Tumori-IRCCS, Fondazione G.  Pascale, Napoli, Italy.; Clinical Trials Unit, Istituto Nazionale Tumori-IRCCS, Fondazione G. Pascale,  Napoli, Italy.; Experimental Pharmacology Unit, Istituto Nazionale Tumori-IRCCS, Fondazione G.  Pascale, Napoli, Italy.&lt;/_author_adr&gt;&lt;_date_display&gt;2021 Jul 1&lt;/_date_display&gt;&lt;_date&gt;2021-07-01&lt;/_date&gt;&lt;_doi&gt;10.1001/jamanetworkopen.2021.18475&lt;/_doi&gt;&lt;_isbn&gt;2574-3805 (Electronic); 2574-3805 (Linking)&lt;/_isbn&gt;&lt;_issue&gt;7&lt;/_issue&gt;&lt;_journal&gt;JAMA Netw Open&lt;/_journal&gt;&lt;_language&gt;eng&lt;/_language&gt;&lt;_pages&gt;e2118475&lt;/_pages&gt;&lt;_subject_headings&gt;Adolescent; Adult; Aged; Angiogenesis Inhibitors/*administration &amp;amp; dosage/adverse effects; Antineoplastic Combined Chemotherapy Protocols/*administration &amp;amp; dosage/adverse _x000d__x000a_      effects; Bevacizumab/*administration &amp;amp; dosage/adverse effects; Colorectal Neoplasms/*drug therapy/mortality/pathology; Diarrhea/chemically induced; Drug-Related Side Effects and Adverse Reactions/etiology; Female; Humans; Male; Middle Aged; Nausea/chemically induced; Neoplasm Metastasis; Oxaliplatin/*administration &amp;amp; dosage/adverse effects; Progression-Free Survival; Quality of Life; Treatment Outcome; Young Adult&lt;/_subject_headings&gt;&lt;_tertiary_title&gt;JAMA network open&lt;/_tertiary_title&gt;&lt;_type_work&gt;Journal Article; Randomized Controlled Trial; Research Support, Non-U.S. Gov&amp;apos;t&lt;/_type_work&gt;&lt;_url&gt;http://www.ncbi.nlm.nih.gov/entrez/query.fcgi?cmd=Retrieve&amp;amp;db=pubmed&amp;amp;dopt=Abstract&amp;amp;list_uids=34309665&amp;amp;query_hl=1&lt;/_url&gt;&lt;_volume&gt;4&lt;/_volume&gt;&lt;_created&gt;65090136&lt;/_created&gt;&lt;_modified&gt;65090136&lt;/_modified&gt;&lt;_impact_factor&gt;  13.353&lt;/_impact_factor&gt;&lt;_social_category&gt;医学(1)&lt;/_social_category&gt;&lt;_collection_scope&gt;SCIE&lt;/_collection_scope&gt;&lt;/Details&gt;&lt;Extra&gt;&lt;DBUID&gt;{F96A950B-833F-4880-A151-76DA2D6A2879}&lt;/DBUID&gt;&lt;/Extra&gt;&lt;/Item&gt;&lt;/References&gt;&lt;/Group&gt;&lt;Group&gt;&lt;References&gt;&lt;Item&gt;&lt;ID&gt;4901&lt;/ID&gt;&lt;UID&gt;{66CCEBD7-CAD0-4A76-9386-2B356CF8D3C2}&lt;/UID&gt;&lt;Title&gt;FOLFIRI plus cetuximab versus FOLFIRI plus bevacizumab as first-line treatment  for patients with metastatic colorectal cancer (FIRE-3): a randomised,  open-label, phase 3 trial&lt;/Title&gt;&lt;Template&gt;Journal Article&lt;/Template&gt;&lt;Star&gt;0&lt;/Star&gt;&lt;Tag&gt;0&lt;/Tag&gt;&lt;Author&gt;Heinemann, V; von Weikersthal, L F; Decker, T; Kiani, A; Vehling-Kaiser, U; Al-Batran, S E; Heintges, T; Lerchenmüller, C; Kahl, C; Seipelt, G; Kullmann, F; Stauch, M; Scheithauer, W; Hielscher, J; Scholz, M; Müller, S; Link, H; Niederle, N; Rost, A; Höffkes, H G; Moehler, M; Lindig, R U; Modest, D P; Rossius, L; Kirchner, T; Jung, A; Stintzing, S&lt;/Author&gt;&lt;Year&gt;2014&lt;/Year&gt;&lt;Details&gt;&lt;_accession_num&gt;25088940&lt;/_accession_num&gt;&lt;_author_adr&gt;Department of Medical Oncology &amp;amp; Comprehensive Cancer Center, University Hospital  Grosshadern, Munich, Germany. Electronic address:  volker.heinemann@med.uni-muenchen.de.; Gesundheitszentrum St Marien, Amberg, Germany.; Oncological Practice, Ravensburg, Germany.; Department of Medicine IV, Klinikum Bayreuth GmbH, Bayreuth, Germany.; Oncological Practice, Landshut, Germany.; Department of Hematology and Oncology, Krankenhaus Nordwest, Frankfurt/Main,  Germany.; Department of Medicine II, Städtisches Klinikum Neuss, Neuss, Germany.; Oncological Practice, Münster, Germany.; Haematology and Oncology, Städtisches Klinikum Magdeburg, Magdeburg, Germany.; Oncological Practice, Bad Soden, Germany.; Department of Medicine I, Klinikum Weiden, Germany.; Oncological Practice, Kronach, Germany.; Department of Internal Medicine I and Comprehensive Cancer Center, Medical  University of Vienna, Vienna, Austria.; Department of Surgery, Klinikum Chemnitz gGmbH, Chirurgische Onkologie, Chemnitz,  Germany.; Department of Medicine, Klinikum Stuttgart Krankenhaus Bad Cannstatt, Stuttgart,  Germany.; Oncological Practice, Ansbach, Germany.; Department of Medicine I, Westpfalz-Klinikum GmbH, Kaiserslautern, Germany.; Department of Oncology, Haematology and Palliative Care, Klinikum Leverkusen  gGmbH, Leverkusen, Germany.; Medical Clinic V (Haematology and Oncology), Klinikum Darmstadt, Darmstadt,  Germany.; Klinikum Fulda, Tumorklinik, Fulda, Germany.; Medical Department 1, Johannes-Gutenberg Universität Mainz, Mainz, Germany.; Klinik für Innere Medizin II, Abteilung Hämatologie/Onkologie,  Universitätsklinikum Jena, Jena, Germany.; Department of Medical Oncology &amp;amp; Comprehensive Cancer Center, University Hospital  Grosshadern, Munich, Germany.; Department of Medical Oncology &amp;amp; Comprehensive Cancer Center, University Hospital  Grosshadern, Munich, Germany; Institute of Pathology, University of Munich,  Munich, Germany.; Institute of Pathology, University of Munich, Munich, Germany.; Institute of Pathology, University of Munich, Munich, Germany.; Department of Medical Oncology &amp;amp; Comprehensive Cancer Center, University Hospital  Grosshadern, Munich, Germany.&lt;/_author_adr&gt;&lt;_date_display&gt;2014 Sep&lt;/_date_display&gt;&lt;_date&gt;2014-09-01&lt;/_date&gt;&lt;_doi&gt;10.1016/S1470-2045(14)70330-4&lt;/_doi&gt;&lt;_isbn&gt;1474-5488 (Electronic); 1470-2045 (Linking)&lt;/_isbn&gt;&lt;_issue&gt;10&lt;/_issue&gt;&lt;_journal&gt;Lancet Oncol&lt;/_journal&gt;&lt;_language&gt;eng&lt;/_language&gt;&lt;_ori_publication&gt;Copyright © 2014 Elsevier Ltd. All rights reserved.&lt;/_ori_publication&gt;&lt;_pages&gt;1065-75&lt;/_pages&gt;&lt;_subject_headings&gt;Adolescent; Adult; Aged; Antibodies, Monoclonal, Humanized/*therapeutic use; Antineoplastic Combined Chemotherapy Protocols/*therapeutic use; Austria; Bevacizumab; Camptothecin/*analogs &amp;amp; derivatives/therapeutic use; Cetuximab; Colorectal Neoplasms/*drug therapy/mortality/*pathology; Disease-Free Survival; Dose-Response Relationship, Drug; Drug Administration Schedule; Female; Fluorouracil/therapeutic use; Germany; Humans; Infusions, Intravenous; Leucovorin/therapeutic use; Male; Maximum Tolerated Dose; Middle Aged; Neoplasm Invasiveness/pathology; Neoplasm Staging; Patient Selection; Prognosis; Survival Rate; Treatment Outcome; Young Adult&lt;/_subject_headings&gt;&lt;_tertiary_title&gt;The Lancet. Oncology&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5088940&amp;amp;query_hl=1&lt;/_url&gt;&lt;_volume&gt;15&lt;/_volume&gt;&lt;_created&gt;65090136&lt;/_created&gt;&lt;_modified&gt;65097602&lt;/_modified&gt;&lt;_impact_factor&gt;  54.433&lt;/_impact_factor&gt;&lt;_social_category&gt;医学(1)&lt;/_social_category&gt;&lt;_collection_scope&gt;SCIE&lt;/_collection_scope&gt;&lt;_accessed&gt;65097602&lt;/_accessed&gt;&lt;/Details&gt;&lt;Extra&gt;&lt;DBUID&gt;{F96A950B-833F-4880-A151-76DA2D6A2879}&lt;/DBUID&gt;&lt;/Extra&gt;&lt;/Item&gt;&lt;/References&gt;&lt;/Group&gt;&lt;Group&gt;&lt;References&gt;&lt;Item&gt;&lt;ID&gt;4902&lt;/ID&gt;&lt;UID&gt;{E07026EF-EAE3-4100-A486-44BDD244F17C}&lt;/UID&gt;&lt;Title&gt;FOLFOXIRI plus bevacizumab versus FOLFOX plus bevacizumab for patients with  metastatic colorectal cancer and ≥3 circulating tumour cells: the randomised  phase III VISNÚ-1 trial&lt;/Title&gt;&lt;Template&gt;Journal Article&lt;/Template&gt;&lt;Star&gt;0&lt;/Star&gt;&lt;Tag&gt;0&lt;/Tag&gt;&lt;Author&gt;Aranda, E; Viéitez, J M; Gómez-España, A; Gil, Calle S; Salud-Salvia, A; Graña, B; Garcia-Alfonso, P; Rivera, F; Quintero-Aldana, G A; Reina-Zoilo, J J; González-Flores, E; Salgado, Fernández M; Guillén-Ponce, C; Garcia-Carbonero, R; Safont, M J; La Casta, Munoa A; García-Paredes, B; López, López R; Sastre, J; Díaz-Rubio, E&lt;/Author&gt;&lt;Year&gt;2020&lt;/Year&gt;&lt;Details&gt;&lt;_accession_num&gt;33148620&lt;/_accession_num&gt;&lt;_author_adr&gt;IMIBIC, University of Cordoba, CIBERONC, Instituto de Salud Carlos III, Hospital  Universitario Reina Sofía, Medical Oncology Department, Cordoba, Spain.  Electronic address: earandaa@seom.org.; Hospital Universitario Central de Asturias, Medical Oncology Department, Oviedo,  Spain.; IMIBIC, University of Cordoba, CIBERONC, Instituto de Salud Carlos III, Hospital  Universitario Reina Sofía, Medical Oncology Department, Cordoba, Spain.; Hospital Universitario Regional y Virgen de la Victoria, Medical Oncology  Department, Málaga, Spain.; Hospital Universitario Arnau de Vilanova de Lleida, Medical Oncology Department,  Lleida, Spain.; University Hospital A Coruña, SERGAS, Medical Oncology Department, La Coruña,  Spain.; Hospital General Universitario Gregorio Marañón, Instituto de Investigación  Sanitaria Gregorio Marañón, Medical Oncology Department, Madrid, Spain.; Hospital Universitario Marqués de Valdecilla, IDIVAL, Medical Oncology  Department, Santander, Spain.; Hospital Universitario Lucus Augusti, Medical Oncology Department, Lugo, Spain.; Complejo Universitario Virgen de la Macarena, Medical Oncology Department,  Seville, Spain.; Hospital Universitario Virgen de las Nieves, Medical Oncology Department,  Granada, Spain.; Complexo Hospitalario Universitario de Ourense, Medical Oncology Department,  Ourense, Spain.; Hospital Universitario Ramón y Cajal, Medical Oncology Department, Madrid, Spain.; Hospital Universitario 12 de Octubre, imas12, UCM, CIBERONC, Medical Oncology  Department, Madrid, Spain; Hospital Universitario Virgen del Rocío, Medical  Oncology Department, Seville, Spain.; Hospital General Universitario de Valencia, Medical Oncology Department,  Valencia, Spain.; Hospital Universitario de Donostia, Medical Oncology Department, San Sebastian,  Spain.; Instituto de Investigación Hospital Clinico San Carlos (IdISSC), CIBERONC,  Hospital Clínico San Carlos, Medical Oncology Department, Madrid, Spain.; University Hospital and Health Research Institute (IDIS), CIBERONC, Santiago de  Compostela University School of Medicine, Medical Oncology Department, Santiago  de Compostela, Spain.; Instituto de Investigación Hospital Clinico San Carlos (IdISSC), CIBERONC,  Hospital Clínico San Carlos, Medical Oncology Department, Madrid, Spain.; Instituto de Investigación Hospital Clinico San Carlos (IdISSC), CIBERONC,  Hospital Clínico San Carlos, Medical Oncology Department, Madrid, Spain.&lt;/_author_adr&gt;&lt;_date_display&gt;2020 Nov&lt;/_date_display&gt;&lt;_date&gt;2020-11-01&lt;/_date&gt;&lt;_doi&gt;10.1136/esmoopen-2020-000944&lt;/_doi&gt;&lt;_isbn&gt;2059-7029 (Electronic); 2059-7029 (Linking)&lt;/_isbn&gt;&lt;_issue&gt;6&lt;/_issue&gt;&lt;_journal&gt;ESMO Open&lt;/_journal&gt;&lt;_keywords&gt;FOLFOX; FOLFOXIRI; bevacizumab; circulating tumor cells; colorectal cancer&lt;/_keywords&gt;&lt;_language&gt;eng&lt;/_language&gt;&lt;_ori_publication&gt;© Author (s) (or their employer(s)) 2020. Re-use permitted under CC BY-NC. No _x000d__x000a_      commercial re-use. Published by BMJ on behalf of the European Society for Medical _x000d__x000a_      Oncology.&lt;/_ori_publication&gt;&lt;_pages&gt;e000944&lt;/_pages&gt;&lt;_subject_headings&gt;Antineoplastic Combined Chemotherapy Protocols; Bevacizumab/adverse effects; Camptothecin/analogs &amp;amp; derivatives; *Colorectal Neoplasms/drug therapy; Fluorouracil; Humans; Leucovorin/adverse effects; *Neoplastic Cells, Circulating; Organoplatinum Compounds&lt;/_subject_headings&gt;&lt;_tertiary_title&gt;ESMO open&lt;/_tertiary_title&gt;&lt;_type_work&gt;Clinical Trial, Phase III; Journal Article; Multicenter Study; Randomized Controlled Trial; Research Support, Non-U.S. Gov&amp;apos;t&lt;/_type_work&gt;&lt;_url&gt;http://www.ncbi.nlm.nih.gov/entrez/query.fcgi?cmd=Retrieve&amp;amp;db=pubmed&amp;amp;dopt=Abstract&amp;amp;list_uids=33148620&amp;amp;query_hl=1&lt;/_url&gt;&lt;_volume&gt;5&lt;/_volume&gt;&lt;_created&gt;65090136&lt;/_created&gt;&lt;_modified&gt;65090136&lt;/_modified&gt;&lt;_impact_factor&gt;   6.883&lt;/_impact_factor&gt;&lt;_social_category&gt;医学(3)&lt;/_social_category&gt;&lt;_collection_scope&gt;SCIE&lt;/_collection_scope&gt;&lt;/Details&gt;&lt;Extra&gt;&lt;DBUID&gt;{F96A950B-833F-4880-A151-76DA2D6A2879}&lt;/DBUID&gt;&lt;/Extra&gt;&lt;/Item&gt;&lt;/References&gt;&lt;/Group&gt;&lt;Group&gt;&lt;References&gt;&lt;Item&gt;&lt;ID&gt;4956&lt;/ID&gt;&lt;UID&gt;{82EA3429-A7F6-4263-9FFD-AD9F7C646305}&lt;/UID&gt;&lt;Title&gt;Trifluridine/tipiracil plus bevacizumab in patients with untreated metastatic  colorectal cancer ineligible for intensive therapy: the randomized TASCO1 study&lt;/Title&gt;&lt;Template&gt;Journal Article&lt;/Template&gt;&lt;Star&gt;0&lt;/Star&gt;&lt;Tag&gt;0&lt;/Tag&gt;&lt;Author&gt;Van Cutsem, E; Danielewicz, I; Saunders, M P; Pfeiffer, P; Argilés, G; Borg, C; Glynne-Jones, R; Punt, CJA; Van de Wouw, A J; Fedyanin, M; Stroyakovskiy, D; Kroening, H; Garcia-Alfonso, P; Wasan, H; Falcone, A; Kanehisa, A; Egorov, A; Aubel, P; Amellal, N; Moiseenko, V&lt;/Author&gt;&lt;Year&gt;2020&lt;/Year&gt;&lt;Details&gt;&lt;_accession_num&gt;32497736&lt;/_accession_num&gt;&lt;_author_adr&gt;University Hospitals Leuven and KU Leuven, Leuven, Belgium. Electronic address:  eric.vancutsem@uzleuven.be.; Szpitale Wojewodzkie w Gdyni/Gdansk Medical University, Gdynia, Poland.; Christie Hospital NHS Foundation Trust, Manchester, UK.; Odense University Hospital, Odense, Denmark.; Vall d&amp;apos;Hebrón Institute of Oncology and Vall d&amp;apos;Hebrón University Hospital,  Barcelona, Spain.; University Hospital Besançon, Besançon, France.; Mount Vernon Hospital, Northwood, UK.; Amsterdam University Medical Centers, Amsterdam.; VieCuri Medisch Centrum Noord-Limburg, Venlo, The Netherlands.; NN Blokhin National Medical Research Center of Oncology, Moscow, Russia.; Moscow City Oncology Hospital N62, Moscow, Russia.; Schwerpunktpraxis für Haematologie und Onkologie Hasselbachplatz, Magdeburg,  Germany.; Hospital General Universitario Gregorio Marañón, Madrid, Spain.; Hammersmith Hospital, Imperial College London, London, UK.; University Hospital of Pisa, Department of Oncology, Pisa, Italy.; Institut de Recherches Internationales Servier, Suresnes, France.; Institut de Recherches Internationales Servier, Suresnes, France.; Institut de Recherches Internationales Servier, Suresnes, France.; Institut de Recherches Internationales Servier, Suresnes, France.; Saint-Petersburg Scientific Practical Center for Specialized Medical Care, St  Petersburg, Russia.&lt;/_author_adr&gt;&lt;_date_display&gt;2020 Sep&lt;/_date_display&gt;&lt;_date&gt;2020-09-01&lt;/_date&gt;&lt;_doi&gt;10.1016/j.annonc.2020.05.024&lt;/_doi&gt;&lt;_isbn&gt;1569-8041 (Electronic); 0923-7534 (Linking)&lt;/_isbn&gt;&lt;_issue&gt;9&lt;/_issue&gt;&lt;_journal&gt;Ann Oncol&lt;/_journal&gt;&lt;_keywords&gt;TASCO1 study; bevacizumab; capecitabine; intensive therapy; metastatic colorectal cancer; trifluridine/tipiracil&lt;/_keywords&gt;&lt;_language&gt;eng&lt;/_language&gt;&lt;_ori_publication&gt;Copyright © 2020 The Authors. Published by Elsevier Ltd.. All rights reserved.&lt;/_ori_publication&gt;&lt;_pages&gt;1160-1168&lt;/_pages&gt;&lt;_subject_headings&gt;*Antineoplastic Combined Chemotherapy Protocols/adverse effects; *Bevacizumab/adverse effects; *Capecitabine/therapeutic use; *Colorectal Neoplasms/drug therapy; Fluorouracil/therapeutic use; Humans; Pyrrolidines; Quality of Life; Thymine; *Trifluridine/adverse effects&lt;/_subject_headings&gt;&lt;_tertiary_title&gt;Annals of oncology : official journal of the European Society for Medical _x000d__x000a_      Oncology&lt;/_tertiary_title&gt;&lt;_type_work&gt;Clinical Trial, Phase II; Journal Article; Randomized Controlled Trial; Research Support, Non-U.S. Gov&amp;apos;t&lt;/_type_work&gt;&lt;_url&gt;http://www.ncbi.nlm.nih.gov/entrez/query.fcgi?cmd=Retrieve&amp;amp;db=pubmed&amp;amp;dopt=Abstract&amp;amp;list_uids=32497736&amp;amp;query_hl=1&lt;/_url&gt;&lt;_volume&gt;31&lt;/_volume&gt;&lt;_created&gt;65097612&lt;/_created&gt;&lt;_modified&gt;65097612&lt;/_modified&gt;&lt;_impact_factor&gt;  51.769&lt;/_impact_factor&gt;&lt;_social_category&gt;医学(1)&lt;/_social_category&gt;&lt;_collection_scope&gt;SCIE&lt;/_collection_scope&gt;&lt;/Details&gt;&lt;Extra&gt;&lt;DBUID&gt;{F96A950B-833F-4880-A151-76DA2D6A2879}&lt;/DBUID&gt;&lt;/Extra&gt;&lt;/Item&gt;&lt;/References&gt;&lt;/Group&gt;&lt;Group&gt;&lt;References&gt;&lt;Item&gt;&lt;ID&gt;4903&lt;/ID&gt;&lt;UID&gt;{0003993B-71EA-4F41-B2A7-CCA90FEA32EC}&lt;/UID&gt;&lt;Title&gt;Upfront FOLFOXIRI plus bevacizumab and reintroduction after progression versus  mFOLFOX6 plus bevacizumab followed by FOLFIRI plus bevacizumab in the treatment  of patients with metastatic colorectal cancer (TRIBE2): a multicentre,  open-label, phase 3, randomised, controlled trial&lt;/Title&gt;&lt;Template&gt;Journal Article&lt;/Template&gt;&lt;Star&gt;0&lt;/Star&gt;&lt;Tag&gt;0&lt;/Tag&gt;&lt;Author&gt;Cremolini, C; Antoniotti, C; Rossini, D; Lonardi, S; Loupakis, F; Pietrantonio, F; Bordonaro, R; Latiano, T P; Tamburini, E; Santini, D; Passardi, A; Marmorino, F; Grande, R; Aprile, G; Zaniboni, A; Murgioni, S; Granetto, C; Buonadonna, A; Moretto, R; Corallo, S; Cordio, S; Antonuzzo, L; Tomasello, G; Masi, G; Ronzoni, M; Di Donato, S; Carlomagno, C; Clavarezza, M; Ritorto, G; Mambrini, A; Roselli, M; Cupini, S; Mammoliti, S; Fenocchio, E; Corgna, E; Zagonel, V; Fontanini, G; Ugolini, C; Boni, L; Falcone, A&lt;/Author&gt;&lt;Year&gt;2020&lt;/Year&gt;&lt;Details&gt;&lt;_accession_num&gt;32164906&lt;/_accession_num&gt;&lt;_author_adr&gt;Department of Oncology, University Hospital of Pisa, Pisa, Italy; Department of  Translational Research and New Technologies in Medicine, University of Pisa,  Pisa, Italy.; Department of Oncology, University Hospital of Pisa, Pisa, Italy; Department of  Translational Research and New Technologies in Medicine, University of Pisa,  Pisa, Italy.; Department of Oncology, University Hospital of Pisa, Pisa, Italy; Department of  Translational Research and New Technologies in Medicine, University of Pisa,  Pisa, Italy.; Medical Oncology Unit 1, Department of Clinical and Experimental Oncology, IRCCS,  Padua, Italy.; Medical Oncology Unit 1, Department of Clinical and Experimental Oncology, IRCCS,  Padua, Italy.; Department of Medical Oncology, Fondazione IRCCS, Istituto Nazionale dei Tumori,  Milan, Italy; Oncology and Hemato-oncology Department, Università degli Studi di  Milano, Milan, Italy.; Medical Oncology Unit, Azienda Ospedaliera di Rilievo Nazionale e di Alta  Specializzazione, Garibaldi Catania, Catania, Italy.; Oncology Unit, Foundation IRCCS, Casa Sollievo della Sofferenza, San Giovanni  Rotondo, Italy.; Oncology Unit, Ospedale degli Infermi, Rimini, Italy; Department of Oncology and  Palliative Care, Cardinale G Panico, Tricase City Hospital, Tricase, Italy.; Department of Medical Oncology, University Campus Biomedico, Rome, Italy.; Department of Medical Oncology, Istituto Scientifico Romagnolo per lo Studio e la  Cura dei Tumori, IRCCS, Meldola, Italy.; Department of Oncology, University Hospital of Pisa, Pisa, Italy; Department of  Translational Research and New Technologies in Medicine, University of Pisa,  Pisa, Italy.; Department of Medical Oncology, F Spaziani Hospital, Lazio, Italy.; Department of Oncology, University and General Hospital, Udine, Italy; Department  of Oncology, San Bortolo General Hospital, Vicenza, Italy.; Medical Oncology Unit, Poliambulanza Foundation, Brescia, Italy.; Medical Oncology Unit 1, Department of Clinical and Experimental Oncology, IRCCS,  Padua, Italy.; Department of Oncology, S Croce and Carle Teaching Hospital, Cuneo, Italy.; Department of Medical Oncology, IRCCS, Centro di Riferimento Oncologico National  Cancer Institute, Aviano, Italy.; Department of Oncology, University Hospital of Pisa, Pisa, Italy.; Department of Medical Oncology, Fondazione IRCCS, Istituto Nazionale dei Tumori,  Milan, Italy.; Medical Oncology Unit, Azienda Ospedaliera di Rilievo Nazionale e di Alta  Specializzazione, Garibaldi Catania, Catania, Italy.; Medical Oncology Unit, Careggi University Hospital, Florence, Italy.; Medical Oncology Unit, Azienda Socio-Sanitaria Territoriale of Cremona, Cremona  Hospital, Cremona, Italy.; Department of Oncology, University Hospital of Pisa, Pisa, Italy; Department of  Translational Research and New Technologies in Medicine, University of Pisa,  Pisa, Italy.; Department of Oncology, Hospital San Raffaele, IRCCS, Milan, Italy.; Department of Medical Oncology, General Hospital, Prato, Italy.; Department of Clinical Medicine and Surgery, University Federico II, Napoli,  Italy.; Medical Oncology Unit, Ente Ospedaliero Ospedali Galliera, Genoa, Italy.; Struttura Semplice Dipartimentale, ColoRectal Cancer Unit, Department of  Oncology, Azienda Ospedaliero-Universitaria, Città della Salute e della Scienza  di Torino, Turin, Italy.; Oncological Department, Azienda UnitàSanitaria Locale, Toscana Nord Ovest,  Oncological Unit of Massa Carrara, Carrara, Italy.; Department of Systems Medicine, Medical Oncology Unit, Tor Vergata University,  Rome, Italy.; Department of Oncology, Division of Medical Oncology, Azienda Toscana Nord Ovest,  Livorno, Italy.; Medical Oncology, IRCCS, Ospedale San Martino Istituto Scientifico Tumori, Genoa,  Italy.; Department of Medical Oncology, Candiolo Cancer Institute, Fondazione del  Piemonte per l&amp;apos;Oncologia, IRCCS, Candiolo, Italy.; Unit of Medical Oncology, Ospedale Santa Maria della Misericordia, Perugia,  Italy.; Medical Oncology Unit 1, Department of Clinical and Experimental Oncology, IRCCS,  Padua, Italy.; Department of Surgical, Medical, Molecular Pathology and Critical Area,  University of Pisa, Pisa, Italy.; Department of Laboratory, Pathology section, University Hospital of Pisa, Pisa,  Italy.; Clinical Trials Coordinating Center, Toscano Cancer Institute, University  Hospital Careggi, Florence, Italy.; Department of Oncology, University Hospital of Pisa, Pisa, Italy; Department of  Translational Research and New Technologies in Medicine, University of Pisa,  Pisa, Italy. Electronic address: alfredo.falcone@med.unipi.it.&lt;/_author_adr&gt;&lt;_date_display&gt;2020 Apr&lt;/_date_display&gt;&lt;_date&gt;2020-04-01&lt;/_date&gt;&lt;_doi&gt;10.1016/S1470-2045(19)30862-9&lt;/_doi&gt;&lt;_isbn&gt;1474-5488 (Electronic); 1470-2045 (Linking)&lt;/_isbn&gt;&lt;_issue&gt;4&lt;/_issue&gt;&lt;_journal&gt;Lancet Oncol&lt;/_journal&gt;&lt;_language&gt;eng&lt;/_language&gt;&lt;_ori_publication&gt;Copyright © 2020 Elsevier Ltd. All rights reserved.&lt;/_ori_publication&gt;&lt;_pages&gt;497-507&lt;/_pages&gt;&lt;_subject_headings&gt;Adolescent; Adult; Aged; Antineoplastic Agents, Immunological/*administration &amp;amp; dosage; Antineoplastic Combined Chemotherapy Protocols/*administration &amp;amp; dosage; Bevacizumab/*administration &amp;amp; dosage; Camptothecin/administration &amp;amp; dosage/*analogs &amp;amp; derivatives; Colorectal Neoplasms/*drug therapy/pathology; Disease Progression; Female; Fluorouracil/administration &amp;amp; dosage; Humans; Leucovorin/administration &amp;amp; dosage; Male; Middle Aged; Neoplasm Metastasis; Organoplatinum Compounds/administration &amp;amp; dosage; Young Adult&lt;/_subject_headings&gt;&lt;_tertiary_title&gt;The Lancet. Oncology&lt;/_tertiary_title&gt;&lt;_type_work&gt;Clinical Trial, Phase III; Comparative Study; Journal Article; Multicenter Study; Randomized Controlled Trial&lt;/_type_work&gt;&lt;_url&gt;http://www.ncbi.nlm.nih.gov/entrez/query.fcgi?cmd=Retrieve&amp;amp;db=pubmed&amp;amp;dopt=Abstract&amp;amp;list_uids=32164906&amp;amp;query_hl=1&lt;/_url&gt;&lt;_volume&gt;21&lt;/_volume&gt;&lt;_created&gt;65090136&lt;/_created&gt;&lt;_modified&gt;65090136&lt;/_modified&gt;&lt;_impact_factor&gt;  54.433&lt;/_impact_factor&gt;&lt;_social_category&gt;医学(1)&lt;/_social_category&gt;&lt;_collection_scope&gt;SCIE&lt;/_collection_scope&gt;&lt;/Details&gt;&lt;Extra&gt;&lt;DBUID&gt;{F96A950B-833F-4880-A151-76DA2D6A2879}&lt;/DBUID&gt;&lt;/Extra&gt;&lt;/Item&gt;&lt;/References&gt;&lt;/Group&gt;&lt;/Citation&gt;_x000a_"/>
    <w:docVar w:name="NE.Ref{3194EF49-648F-4184-9E88-4B3B1A6990E6}" w:val=" ADDIN NE.Ref.{3194EF49-648F-4184-9E88-4B3B1A6990E6}&lt;Citation&gt;&lt;Group&gt;&lt;References&gt;&lt;Item&gt;&lt;ID&gt;5019&lt;/ID&gt;&lt;UID&gt;{443D8660-0E79-4CC3-9241-4472B0EDEF70}&lt;/UID&gt;&lt;Title&gt;VA Federal Supply Schedule Price. https://www.vendorportal.ecms.va.gov/NAC/Pharma/List,Feb 1, 2024&lt;/Title&gt;&lt;Template&gt;Web Page&lt;/Template&gt;&lt;Star&gt;0&lt;/Star&gt;&lt;Tag&gt;0&lt;/Tag&gt;&lt;Author/&gt;&lt;Year&gt;0&lt;/Year&gt;&lt;Details&gt;&lt;_accessed&gt;65330783&lt;/_accessed&gt;&lt;_created&gt;65329707&lt;/_created&gt;&lt;_modified&gt;65329711&lt;/_modified&gt;&lt;/Details&gt;&lt;Extra&gt;&lt;DBUID&gt;{F96A950B-833F-4880-A151-76DA2D6A2879}&lt;/DBUID&gt;&lt;/Extra&gt;&lt;/Item&gt;&lt;/References&gt;&lt;/Group&gt;&lt;/Citation&gt;_x000a_"/>
    <w:docVar w:name="NE.Ref{326D0474-2B38-4307-B69A-E1222AE3FC5F}" w:val=" ADDIN NE.Ref.{326D0474-2B38-4307-B69A-E1222AE3FC5F}&lt;Citation&gt;&lt;Group&gt;&lt;References&gt;&lt;Item&gt;&lt;ID&gt;2990&lt;/ID&gt;&lt;UID&gt;{5BBF0F64-3152-44C0-8F01-E88356E42975}&lt;/UID&gt;&lt;Title&gt;First-line crizotinib versus chemotherapy in ALK-positive lung cancer&lt;/Title&gt;&lt;Template&gt;Journal Article&lt;/Template&gt;&lt;Star&gt;0&lt;/Star&gt;&lt;Tag&gt;0&lt;/Tag&gt;&lt;Author&gt;Solomon, B J; Mok, T; Kim, D W; Wu, Y L; Nakagawa, K; Mekhail, T; Felip, E; Cappuzzo, F; Paolini, J; Usari, T; Iyer, S; Reisman, A; Wilner, K D; Tursi, J; Blackhall, F&lt;/Author&gt;&lt;Year&gt;2014&lt;/Year&gt;&lt;Details&gt;&lt;_accessed&gt;64632481&lt;/_accessed&gt;&lt;_accession_num&gt;25470694&lt;/_accession_num&gt;&lt;_collection_scope&gt;SCIE&lt;/_collection_scope&gt;&lt;_created&gt;64630940&lt;/_created&gt;&lt;_date&gt;2014-12-04&lt;/_date&gt;&lt;_date_display&gt;2014 Dec 4&lt;/_date_display&gt;&lt;_db_updated&gt;PubMed&lt;/_db_updated&gt;&lt;_doi&gt;10.1056/NEJMoa1408440&lt;/_doi&gt;&lt;_impact_factor&gt; 176.079&lt;/_impact_factor&gt;&lt;_isbn&gt;1533-4406 (Electronic); 0028-4793 (Linking)&lt;/_isbn&gt;&lt;_issue&gt;23&lt;/_issue&gt;&lt;_journal&gt;N Engl J Med&lt;/_journal&gt;&lt;_language&gt;eng&lt;/_language&gt;&lt;_modified&gt;64740730&lt;/_modified&gt;&lt;_pages&gt;2167-77&lt;/_pages&gt;&lt;_social_category&gt;医学(1)&lt;/_social_category&gt;&lt;_subject_headings&gt;Adenocarcinoma/drug therapy/mortality; Adult; Aged; Anaplastic Lymphoma Kinase; Antineoplastic Combined Chemotherapy Protocols/adverse effects/*therapeutic use; Carboplatin/administration &amp;amp; dosage; Carcinoma, Non-Small-Cell Lung/*drug therapy/mortality; Cisplatin/administration &amp;amp; dosage; Crizotinib; Disease-Free Survival; Female; Glutamates/administration &amp;amp; dosage; Guanine/administration &amp;amp; dosage/analogs &amp;amp; derivatives; Humans; Kaplan-Meier Estimate; Lung Neoplasms/*drug therapy/mortality; Male; Middle Aged; Pemetrexed; Protein Kinase Inhibitors/adverse effects/*therapeutic use; Pyrazoles/adverse effects/*therapeutic use; Pyridines/adverse effects/*therapeutic use; Receptor Protein-Tyrosine Kinases/*antagonists &amp;amp; inhibitor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5470694&amp;amp;query_hl=1&lt;/_url&gt;&lt;_volume&gt;371&lt;/_volume&gt;&lt;/Details&gt;&lt;Extra&gt;&lt;DBUID&gt;{F96A950B-833F-4880-A151-76DA2D6A2879}&lt;/DBUID&gt;&lt;/Extra&gt;&lt;/Item&gt;&lt;/References&gt;&lt;/Group&gt;&lt;/Citation&gt;_x000a_"/>
    <w:docVar w:name="NE.Ref{327140F1-3DEB-4396-909F-410DF47D8ED9}" w:val=" ADDIN NE.Ref.{327140F1-3DEB-4396-909F-410DF47D8ED9}&lt;Citation&gt;&lt;Group&gt;&lt;References&gt;&lt;Item&gt;&lt;ID&gt;4745&lt;/ID&gt;&lt;UID&gt;{6DD31905-C455-4917-A7D5-E59D042A62C8}&lt;/UID&gt;&lt;Title&gt;A prospective Phase II study to examine the relationship between quality of life  and adverse events of first-line chemotherapy plus cetuximab in patients with  KRAS wild-type unresectable metastatic colorectal cancer: QUACK trial&lt;/Title&gt;&lt;Template&gt;Journal Article&lt;/Template&gt;&lt;Star&gt;0&lt;/Star&gt;&lt;Tag&gt;0&lt;/Tag&gt;&lt;Author&gt;Iwamoto, S; Ooki, A; Morita, S; Hara, H; Tanioka, H; Satake, H; Kataoka, M; Kotaka, M; Kagawa, Y; Nakamura, M; Shingai, T; Ishikawa, M; Miyake, Y; Sudo, T; Hashiguchi, Y; Yabuno, T; Sakamoto, J; Tsuji, A; Ando, M; Yamaguchi, K&lt;/Author&gt;&lt;Year&gt;2018&lt;/Year&gt;&lt;Details&gt;&lt;_accession_num&gt;30051609&lt;/_accession_num&gt;&lt;_author_adr&gt;Cancer Center, Aichi Medical University, Nagakute, Japan.; Department of Gastroenterology, Saitama Cancer Center, Saitama, Japan.; Department of Gastroenterological Chemotherapy, Cancer Institute Hospital of  Japanese Foundation for Cancer Research, Tokyo, Japan.; Department of Biomedical Statistics and Bioinformatics, Kyoto University, Kyoto,  Japan.; Department of Gastroenterology, Saitama Cancer Center, Saitama, Japan.; Department of Medical Oncology, Okayama Rosai Hospital, Okayama, Japan.; Department of Medical Oncology, Kobe City Medical Center General Hospital, Kobe,  Japan.; Department of Surgery, National Hospital Organization Nagoya Medical Center,  Nagoya, Japan.; Gastrointestinal Cancer Center, Sano Hospital, Kobe, Japan.; Department of Surgery, Kansai Rosai Hospital, Amagasaki, Japan.; Comprehensive Cancer Center, Aizawa Hospital, Matsumoto, Japan.; Department of Surgery, Osaka Saiseikai Senri Hospital, Suita, Japan.; Department of Surgery, Shikoku Central Hospital, Shikokuchuo, Japan.; Department of Surgery, Osaka Minato Central Hospital, Osaka, Japan.; Department of Surgery, Yamagata Prefectural Central Hospital, Yamagata, Japan.; Department of Surgery, Teikyo University School of Medicine, Tokyo, Japan.; Department of Surgery, Yokohama Municipal Citizen&amp;apos;s Hospital, Yokohama, Japan.; Tokai Central Hospital, Kakamigahara, Japan.; Department of Medical Oncology, Kagawa University, Takamatsu, Japan.; Center for Advanced Medicine and Clinical Research, Nagoya University, Nagoya,  Japan.; Department of Gastroenterology, Saitama Cancer Center, Saitama, Japan.; Department of Gastroenterological Chemotherapy, Cancer Institute Hospital of  Japanese Foundation for Cancer Research, Tokyo, Japan.&lt;/_author_adr&gt;&lt;_date_display&gt;2018 Sep&lt;/_date_display&gt;&lt;_date&gt;2018-09-01&lt;/_date&gt;&lt;_doi&gt;10.1002/cam4.1623&lt;/_doi&gt;&lt;_isbn&gt;2045-7634 (Electronic); 2045-7634 (Linking)&lt;/_isbn&gt;&lt;_issue&gt;9&lt;/_issue&gt;&lt;_journal&gt;Cancer Med&lt;/_journal&gt;&lt;_keywords&gt;Cetuximab; Quality of Life; adverse event; chemotherapy; colorectal cancer&lt;/_keywords&gt;&lt;_language&gt;eng&lt;/_language&gt;&lt;_ori_publication&gt;© 2018 The Authors. Cancer Medicine published by John Wiley &amp;amp; Sons Ltd.&lt;/_ori_publication&gt;&lt;_pages&gt;4217-4227&lt;/_pages&gt;&lt;_subject_headings&gt;Adult; Aged; Aged, 80 and over; Antineoplastic Combined Chemotherapy Protocols/*adverse effects/therapeutic use; Cetuximab/administration &amp;amp; dosage; Colorectal Neoplasms/diagnosis/*drug therapy/*epidemiology/genetics; Female; Health Care Surveys; Humans; Male; Middle Aged; Neoplasm Staging; Prognosis; Proportional Hazards Models; Proto-Oncogene Proteins p21(ras)/genetics; *Quality of Life; Surveys and Questionnaires; Treatment Outcome&lt;/_subject_headings&gt;&lt;_tertiary_title&gt;Cancer medicine&lt;/_tertiary_title&gt;&lt;_type_work&gt;Clinical Trial, Phase II; Journal Article; Research Support, Non-U.S. Gov&amp;apos;t&lt;/_type_work&gt;&lt;_url&gt;http://www.ncbi.nlm.nih.gov/entrez/query.fcgi?cmd=Retrieve&amp;amp;db=pubmed&amp;amp;dopt=Abstract&amp;amp;list_uids=30051609&amp;amp;query_hl=1&lt;/_url&gt;&lt;_volume&gt;7&lt;/_volume&gt;&lt;_created&gt;65021590&lt;/_created&gt;&lt;_modified&gt;65021590&lt;/_modified&gt;&lt;_impact_factor&gt;   4.711&lt;/_impact_factor&gt;&lt;_social_category&gt;医学(3)&lt;/_social_category&gt;&lt;_collection_scope&gt;SCIE&lt;/_collection_scope&gt;&lt;/Details&gt;&lt;Extra&gt;&lt;DBUID&gt;{F96A950B-833F-4880-A151-76DA2D6A2879}&lt;/DBUID&gt;&lt;/Extra&gt;&lt;/Item&gt;&lt;/References&gt;&lt;/Group&gt;&lt;/Citation&gt;_x000a_"/>
    <w:docVar w:name="NE.Ref{34384A18-3C2B-443A-AF35-3FD5B44FDF53}" w:val=" ADDIN NE.Ref.{34384A18-3C2B-443A-AF35-3FD5B44FDF53}&lt;Citation&gt;&lt;Group&gt;&lt;References&gt;&lt;Item&gt;&lt;ID&gt;3013&lt;/ID&gt;&lt;UID&gt;{DDF77562-F5F9-4F91-93AD-71B2DFC51B31}&lt;/UID&gt;&lt;Title&gt;320MO Envonalkib vs crizotinib in treatment-naïve advanced ALK-positive NSCLC: A randomized, multicenter, phase III trial&lt;/Title&gt;&lt;Template&gt;Journal Article&lt;/Template&gt;&lt;Star&gt;0&lt;/Star&gt;&lt;Tag&gt;0&lt;/Tag&gt;&lt;Author&gt;Zhang, L; Fang, W; Min, J; Yang, N; Yu, Q; Cheng, Y; Zhao, Y; Li, M; Chen, H; Ren, S; Zhou, J; Zhuang, W; Qin, X; Cao, L; Yu, Y; Zhang, J; He, J; Feng, J; Yu, H&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7&lt;/_doi&gt;&lt;_impact_factor&gt;  51.769&lt;/_impact_factor&gt;&lt;_isbn&gt;0923-7534&lt;/_isbn&gt;&lt;_journal&gt;Annals of Oncology&lt;/_journal&gt;&lt;_modified&gt;64740730&lt;/_modified&gt;&lt;_pages&gt;S1564-S1565&lt;/_pages&gt;&lt;_social_category&gt;医学(1)&lt;/_social_category&gt;&lt;_url&gt;https://www.sciencedirect.com/science/article/pii/S0923753422045483&lt;/_url&gt;&lt;_volume&gt;33&lt;/_volume&gt;&lt;/Details&gt;&lt;Extra&gt;&lt;DBUID&gt;{F96A950B-833F-4880-A151-76DA2D6A2879}&lt;/DBUID&gt;&lt;/Extra&gt;&lt;/Item&gt;&lt;/References&gt;&lt;/Group&gt;&lt;Group&gt;&lt;References&gt;&lt;Item&gt;&lt;ID&gt;3009&lt;/ID&gt;&lt;UID&gt;{AB9961F9-B851-4CA9-A9FA-4B3C72889292}&lt;/UID&gt;&lt;Title&gt;Alectinib versus crizotinib in patients with ALK-positive non-small-cell lung cancer (J-ALEX): an open-label, randomised phase 3 trial&lt;/Title&gt;&lt;Template&gt;Journal Article&lt;/Template&gt;&lt;Star&gt;0&lt;/Star&gt;&lt;Tag&gt;0&lt;/Tag&gt;&lt;Author&gt;Hida, T; Nokihara, H; Kondo, M; Kim, Y H; Azuma, K; Seto, T; Takiguchi, Y; Nishio, M; Yoshioka, H; Imamura, F; Hotta, K; Watanabe, S; Goto, K; Satouchi, M; Kozuki, T; Shukuya, T; Nakagawa, K; Mitsudomi, T; Yamamoto, N; Asakawa, T; Asabe, R; Tanaka, T; Tamura, T&lt;/Author&gt;&lt;Year&gt;2017&lt;/Year&gt;&lt;Details&gt;&lt;_accessed&gt;64631491&lt;/_accessed&gt;&lt;_accession_num&gt;28501140&lt;/_accession_num&gt;&lt;_author_adr&gt;Department of Thoracic Oncology, Aichi Cancer Center, Nagoya, Japan.; Department of Thoracic Oncology, National Cancer Center Hospital, Tokyo, Japan.; Department of Respiratory Medicine, Nagoya University Graduate School of Medicine, Nagoya, Japan.; Department of Respiratory Medicine, Kyoto University, Kyoto, Japan.; Institution Division of Respirology, Neurology, and Rheumatology, Department of Internal Medicine, Kurume University School of Medicine, Kurume, Japan.; Department of Thoracic Oncology, National Kyushu Cancer Center, Fukuoka, Japan.; Department of Medical Oncology, Graduate School of Medicine, Chiba University, Chiba, Japan.; Department of Thoracic Medical Oncology, The Cancer Institute Hospital of Japanese Foundation for Cancer Research, Tokyo, Japan.; Department of Respiratory Medicine, Kurashiki Central Hospital, Kurashiki, Japan.; Department of Thoracic Oncology, Osaka Medical Center for Cancer and Cardiovascular Diseases, Osaka, Japan.; Center for Innovative Clinical Medicine, Okayama University Hospital, Okayama, Japan.; Department of Respiratory Medicine and Infectious Diseases, Niigata University Graduate School of Medical and Dental Sciences, Niigata, Japan.; Department of Thoracic Oncology, National Cancer Center Hospital East, Kashiwa, Japan.; Department of Thoracic Oncology, Hyogo Cancer Center, Akashi, Japan.; Department of Thoracic Oncology and Medicine, Shikoku Cancer Center, Matsuyama, Japan.; Department of Respiratory Medicine, Juntendo University, Tokyo, Japan.; Department of Medical Oncology, Kindai University Faculty of Medicine, Osaka-Sayama, Japan.; Division of Thoracic Surgery, Department of Surgery, Kindai University Faculty of Medicine, Osaka-Sayama, Japan.; Third Department of Internal Medicine, Wakayama Medical University, Wakayama, Japan.; Clinical Science and Strategy Department, Chugai Pharmaceutical, Tokyo, Japan.; Clinical Study Management Department, Chugai Pharmaceutical, Tokyo, Japan.; Clinical Science and Strategy Department, Chugai Pharmaceutical, Tokyo, Japan.; Thoracic Center, St. Luke&amp;apos;s International Hospital, Tokyo, Japan. Electronic address: tamuratomohide@gmail.com.&lt;/_author_adr&gt;&lt;_collection_scope&gt;SCIE&lt;/_collection_scope&gt;&lt;_created&gt;64630955&lt;/_created&gt;&lt;_date&gt;2017-07-01&lt;/_date&gt;&lt;_date_display&gt;2017 Jul 1&lt;/_date_display&gt;&lt;_db_updated&gt;PubMed&lt;/_db_updated&gt;&lt;_doi&gt;10.1016/S0140-6736(17)30565-2&lt;/_doi&gt;&lt;_impact_factor&gt; 202.731&lt;/_impact_factor&gt;&lt;_isbn&gt;1474-547X (Electronic); 0140-6736 (Linking)&lt;/_isbn&gt;&lt;_issue&gt;10089&lt;/_issue&gt;&lt;_journal&gt;Lancet&lt;/_journal&gt;&lt;_language&gt;eng&lt;/_language&gt;&lt;_modified&gt;64740730&lt;/_modified&gt;&lt;_ori_publication&gt;Copyright (c) 2017 Elsevier Ltd. All rights reserved.&lt;/_ori_publication&gt;&lt;_pages&gt;29-39&lt;/_pages&gt;&lt;_social_category&gt;医学(1)&lt;/_social_category&gt;&lt;_subject_headings&gt;Adult; Aged; Aged, 80 and over; Anaplastic Lymphoma Kinase; Antineoplastic Agents/adverse effects/blood/*therapeutic use; Brain Neoplasms/secondary; Carbazoles/adverse effects/blood/*therapeutic use; Carcinoma, Non-Small-Cell Lung/*drug therapy/enzymology/pathology/secondary; Crizotinib; Female; Humans; Kaplan-Meier Estimate; Lung Neoplasms/*drug therapy/enzymology/pathology; Male; Middle Aged; Neoplasm Grading; Piperidines/adverse effects/blood/*therapeutic use; Protein Kinase Inhibitors/adverse effects/blood/therapeutic use; Pyrazoles/adverse effects/blood/*therapeutic use; Pyridines/adverse effects/blood/*therapeutic use; Receptor Protein-Tyrosine Kinases/antagonists &amp;amp; inhibitors/*metabolism; Single-Blind Method&lt;/_subject_headings&gt;&lt;_tertiary_title&gt;Lancet (London, England)&lt;/_tertiary_title&gt;&lt;_type_work&gt;Clinical Trial, Phase III; Comparative Study; Journal Article; Multicenter Study; Randomized Controlled Trial&lt;/_type_work&gt;&lt;_url&gt;http://www.ncbi.nlm.nih.gov/entrez/query.fcgi?cmd=Retrieve&amp;amp;db=pubmed&amp;amp;dopt=Abstract&amp;amp;list_uids=28501140&amp;amp;query_hl=1&lt;/_url&gt;&lt;_volume&gt;390&lt;/_volume&gt;&lt;/Details&gt;&lt;Extra&gt;&lt;DBUID&gt;{F96A950B-833F-4880-A151-76DA2D6A2879}&lt;/DBUID&gt;&lt;/Extra&gt;&lt;/Item&gt;&lt;/References&gt;&lt;/Group&gt;&lt;/Citation&gt;_x000a_"/>
    <w:docVar w:name="NE.Ref{346B7309-75F9-4D11-8D71-7EC08D7B0ACE}" w:val=" ADDIN NE.Ref.{346B7309-75F9-4D11-8D71-7EC08D7B0ACE}&lt;Citation&gt;&lt;Group&gt;&lt;References&gt;&lt;Item&gt;&lt;ID&gt;4735&lt;/ID&gt;&lt;UID&gt;{8619417A-ABF8-4993-811C-5E5A47B3F315}&lt;/UID&gt;&lt;Title&gt;Use of indirect and mixed treatment comparisons for technology assessment&lt;/Title&gt;&lt;Template&gt;Journal Article&lt;/Template&gt;&lt;Star&gt;0&lt;/Star&gt;&lt;Tag&gt;0&lt;/Tag&gt;&lt;Author&gt;Sutton, A; Ades, A E; Cooper, N; Abrams, K&lt;/Author&gt;&lt;Year&gt;2008&lt;/Year&gt;&lt;Details&gt;&lt;_accession_num&gt;18767896&lt;/_accession_num&gt;&lt;_author_adr&gt;Department of Health Sciences and NICE Decision Support Unit, University of  Leicester, Leicester, UK. ajs22@le.ac.uk&lt;/_author_adr&gt;&lt;_date_display&gt;2008&lt;/_date_display&gt;&lt;_date&gt;2008-01-20&lt;/_date&gt;&lt;_doi&gt;10.2165/00019053-200826090-00006&lt;/_doi&gt;&lt;_isbn&gt;1170-7690 (Print); 1170-7690 (Linking)&lt;/_isbn&gt;&lt;_issue&gt;9&lt;/_issue&gt;&lt;_journal&gt;Pharmacoeconomics&lt;/_journal&gt;&lt;_language&gt;eng&lt;/_language&gt;&lt;_pages&gt;753-67&lt;/_pages&gt;&lt;_subject_headings&gt;Data Interpretation, Statistical; Humans; Meta-Analysis as Topic; *Models, Statistical; Technology Assessment, Biomedical/*economics&lt;/_subject_headings&gt;&lt;_tertiary_title&gt;PharmacoEconomics&lt;/_tertiary_title&gt;&lt;_type_work&gt;Journal Article; Research Support, Non-U.S. Gov&amp;apos;t; Review&lt;/_type_work&gt;&lt;_url&gt;http://www.ncbi.nlm.nih.gov/entrez/query.fcgi?cmd=Retrieve&amp;amp;db=pubmed&amp;amp;dopt=Abstract&amp;amp;list_uids=18767896&amp;amp;query_hl=1&lt;/_url&gt;&lt;_volume&gt;26&lt;/_volume&gt;&lt;_created&gt;65021590&lt;/_created&gt;&lt;_modified&gt;65021590&lt;/_modified&gt;&lt;_impact_factor&gt;   4.558&lt;/_impact_factor&gt;&lt;_social_category&gt;医学(3)&lt;/_social_category&gt;&lt;_collection_scope&gt;SSCI;SCIE&lt;/_collection_scope&gt;&lt;/Details&gt;&lt;Extra&gt;&lt;DBUID&gt;{F96A950B-833F-4880-A151-76DA2D6A2879}&lt;/DBUID&gt;&lt;/Extra&gt;&lt;/Item&gt;&lt;/References&gt;&lt;/Group&gt;&lt;/Citation&gt;_x000a_"/>
    <w:docVar w:name="NE.Ref{351381B1-F550-4C6E-BFE9-2B6A7972E90E}" w:val=" ADDIN NE.Ref.{351381B1-F550-4C6E-BFE9-2B6A7972E90E}&lt;Citation&gt;&lt;Group&gt;&lt;References&gt;&lt;Item&gt;&lt;ID&gt;4682&lt;/ID&gt;&lt;UID&gt;{10DBA650-BCD1-4F43-9524-D0B73A80A34C}&lt;/UID&gt;&lt;Title&gt;Psychometric validation of the EuroQoL 5-dimension (EQ-5D) questionnaire in  patients with spondyloarthritis&lt;/Title&gt;&lt;Template&gt;Journal Article&lt;/Template&gt;&lt;Star&gt;0&lt;/Star&gt;&lt;Tag&gt;0&lt;/Tag&gt;&lt;Author&gt;Tsang, HHL; Cheung, JPY; Wong, CKH; Cheung, PWH; Lau, C S; Chung, H Y&lt;/Author&gt;&lt;Year&gt;2019&lt;/Year&gt;&lt;Details&gt;&lt;_accession_num&gt;30700326&lt;/_accession_num&gt;&lt;_author_adr&gt;Department of Medicine, The University of Hong Kong, Hong Kong SAR, China.; Department of Orthopaedics &amp;amp; Traumatology, The University of Hong Kong,  Professorial Block, 5th Floor, 102 Pokfulam Road, Pokfulam, Hong Kong SAR, China.  cheungjp@hku.hk.; Department of Family Medicine and Primary Care, The University of Hong Kong, Hong  Kong SAR, China.; Department of Orthopaedics &amp;amp; Traumatology, The University of Hong Kong,  Professorial Block, 5th Floor, 102 Pokfulam Road, Pokfulam, Hong Kong SAR, China.; Department of Medicine, The University of Hong Kong, Hong Kong SAR, China.; Department of Medicine, The University of Hong Kong, Hong Kong SAR, China.&lt;/_author_adr&gt;&lt;_date_display&gt;2019 Jan 30&lt;/_date_display&gt;&lt;_date&gt;2019-01-30&lt;/_date&gt;&lt;_doi&gt;10.1186/s13075-019-1826-x&lt;/_doi&gt;&lt;_isbn&gt;1478-6362 (Electronic); 1478-6354 (Print); 1478-6354 (Linking)&lt;/_isbn&gt;&lt;_issue&gt;1&lt;/_issue&gt;&lt;_journal&gt;Arthritis Res Ther&lt;/_journal&gt;&lt;_keywords&gt;EQ-5D; HRQoL; SpA; Spondyloarthritis&lt;/_keywords&gt;&lt;_language&gt;eng&lt;/_language&gt;&lt;_pages&gt;41&lt;/_pages&gt;&lt;_subject_headings&gt;Adult; Anxiety; Cost-Benefit Analysis; Depression; Female; Humans; Male; Mental Health/standards/statistics &amp;amp; numerical data; Middle Aged; Prospective Studies; Psychometrics/*methods; *Quality of Life; Quality-Adjusted Life Years; Reproducibility of Results; Spondylarthritis/*diagnosis/economics/psychology; *Surveys and Questionnaires&lt;/_subject_headings&gt;&lt;_tertiary_title&gt;Arthritis research &amp;amp; therapy&lt;/_tertiary_title&gt;&lt;_type_work&gt;Journal Article; Research Support, Non-U.S. Gov&amp;apos;t&lt;/_type_work&gt;&lt;_url&gt;http://www.ncbi.nlm.nih.gov/entrez/query.fcgi?cmd=Retrieve&amp;amp;db=pubmed&amp;amp;dopt=Abstract&amp;amp;list_uids=30700326&amp;amp;query_hl=1&lt;/_url&gt;&lt;_volume&gt;21&lt;/_volume&gt;&lt;_created&gt;65020261&lt;/_created&gt;&lt;_modified&gt;65020261&lt;/_modified&gt;&lt;_impact_factor&gt;   5.606&lt;/_impact_factor&gt;&lt;_social_category&gt;医学(2)&lt;/_social_category&gt;&lt;_collection_scope&gt;SCIE&lt;/_collection_scope&gt;&lt;/Details&gt;&lt;Extra&gt;&lt;DBUID&gt;{F96A950B-833F-4880-A151-76DA2D6A2879}&lt;/DBUID&gt;&lt;/Extra&gt;&lt;/Item&gt;&lt;/References&gt;&lt;/Group&gt;&lt;/Citation&gt;_x000a_"/>
    <w:docVar w:name="NE.Ref{3616F7F6-7276-4C84-8874-332FFC8BF694}" w:val=" ADDIN NE.Ref.{3616F7F6-7276-4C84-8874-332FFC8BF694}&lt;Citation&gt;&lt;Group&gt;&lt;References&gt;&lt;Item&gt;&lt;ID&gt;46207&lt;/ID&gt;&lt;UID&gt;{70167C97-52FD-45F8-B2A5-CB7A8869F7D1}&lt;/UID&gt;&lt;Title&gt;Ceritinib Efficacy and Safety in Treatment-Naive Asian Patients With Advanced ALK-Rearranged NSCLC: An ASCEND-4 Subgroup Analysis&lt;/Title&gt;&lt;Template&gt;Journal Article&lt;/Template&gt;&lt;Star&gt;0&lt;/Star&gt;&lt;Tag&gt;0&lt;/Tag&gt;&lt;Author&gt;Tan, DSW; Geater, S; Yu, C J; Tsai, C M; Hsia, T C; Chen, J; Lin, M C; Lu, Y; Sriuranpong, V; Yang, C T; Sen, P; Branle, F; Shi, M; Wu, Y L&lt;/Author&gt;&lt;Year&gt;2021&lt;/Year&gt;&lt;Details&gt;&lt;_accessed&gt;64632481&lt;/_accessed&gt;&lt;_accession_num&gt;34589995&lt;/_accession_num&gt;&lt;_author_adr&gt;Department of Medical Oncology, National Cancer Centre Singapore, Singapore.; Department of Internal Medicine, Prince of Songkla University, Hat Yai, Thailand.; Department of Internal Medicine, National Taiwan University Hospital, Taipei, Taiwan.; Department of Oncology, Taipei Veterans General Hospital, Taipei, Taiwan.; Department of Respiratory Therapy and Internal Medicine, China Medical University Hospital, China Medical University, Taichung, Taiwan.; Department of Lung Cancer Surgery, Tianjin Medical University General Hospital, Tianjin, People&amp;apos;s Republic of China.; Department of Internal Medicine, Kaohsiung Chang Gung Memorial Hospital, Kaohsiung, Taiwan.; Department of Thoracic Oncology, West China Hospital of Sichuan University, Chengdu, People&amp;apos;s Republic of China.; Department of Medicine, Chulalongkorn University and the King Chulalongkorn Memorial Hospital, Bangkok, Thailand.; Department of Thoracic Medicine, Chang Gung Memorial Hospital, Taoyuan, Taiwan.; Novartis Pharmaceuticals Corporation, East Hanover, New Jersey.; Novartis Pharma AG, Basel, Switzerland.; Novartis Pharmaceuticals Corporation, East Hanover, New Jersey.; Guangdong Lung Cancer Institute, Guangdong Provincial Key Laboratory of Translational Medicine in Lung Cancer, Guangdong Provincial People&amp;apos;s Hospital, Guangzhou, Guangdong, People&amp;apos;s Republic of China.&lt;/_author_adr&gt;&lt;_created&gt;64630953&lt;/_created&gt;&lt;_date&gt;2021-03-01&lt;/_date&gt;&lt;_date_display&gt;2021 Mar&lt;/_date_display&gt;&lt;_db_updated&gt;PubMed&lt;/_db_updated&gt;&lt;_doi&gt;10.1016/j.jtocrr.2020.100131&lt;/_doi&gt;&lt;_isbn&gt;2666-3643 (Electronic); 2666-3643 (Linking)&lt;/_isbn&gt;&lt;_issue&gt;3&lt;/_issue&gt;&lt;_journal&gt;JTO Clin Res Rep&lt;/_journal&gt;&lt;_keywords&gt;ALK; ASCEND-4; Ceritinib; NSCLC&lt;/_keywords&gt;&lt;_language&gt;eng&lt;/_language&gt;&lt;_modified&gt;64688891&lt;/_modified&gt;&lt;_ori_publication&gt;(c) 2020 The Authors. Published by Elsevier Inc. on behalf of the International_x000d__x000a_      Association for the Study of Lung Cancer.&lt;/_ori_publication&gt;&lt;_pages&gt;100131&lt;/_pages&gt;&lt;_tertiary_title&gt;JTO clinical and research reports&lt;/_tertiary_title&gt;&lt;_type_work&gt;Journal Article&lt;/_type_work&gt;&lt;_url&gt;http://www.ncbi.nlm.nih.gov/entrez/query.fcgi?cmd=Retrieve&amp;amp;db=pubmed&amp;amp;dopt=Abstract&amp;amp;list_uids=34589995&amp;amp;query_hl=1 _x000d__x000a_https://www.ncbi.nlm.nih.gov/pmc/articles/PMC8474482/pdf/main.pdf _x000d__x000a_&lt;/_url&gt;&lt;_volume&gt;2&lt;/_volume&gt;&lt;/Details&gt;&lt;Extra&gt;&lt;DBUID&gt;{F96A950B-833F-4880-A151-76DA2D6A2879}&lt;/DBUID&gt;&lt;/Extra&gt;&lt;/Item&gt;&lt;/References&gt;&lt;/Group&gt;&lt;/Citation&gt;_x000a_"/>
    <w:docVar w:name="NE.Ref{372F9FFA-0881-4B2A-8F97-8A4785FA2D9E}" w:val=" ADDIN NE.Ref.{372F9FFA-0881-4B2A-8F97-8A4785FA2D9E}&lt;Citation&gt;&lt;Group&gt;&lt;References&gt;&lt;Item&gt;&lt;ID&gt;3002&lt;/ID&gt;&lt;UID&gt;{711DFD34-4864-467B-B056-9996FB2CBA0E}&lt;/UID&gt;&lt;Title&gt; eXalt 3 study: First release of Asian population&amp;apos;s efficacy in ALK-positive nonsmall cell lung cancer&lt;/Title&gt;&lt;Template&gt;Conference Paper&lt;/Template&gt;&lt;Star&gt;0&lt;/Star&gt;&lt;Tag&gt;0&lt;/Tag&gt;&lt;Author&gt;Zhou, Qing&lt;/Author&gt;&lt;Year&gt;2022&lt;/Year&gt;&lt;Details&gt;&lt;_accessed&gt;64739409&lt;/_accessed&gt;&lt;_created&gt;64739409&lt;/_created&gt;&lt;_modified&gt;64740730&lt;/_modified&gt;&lt;_secondary_title&gt;MSK-CTONG Symposium 2022&lt;/_secondary_title&gt;&lt;/Details&gt;&lt;Extra&gt;&lt;DBUID&gt;{F96A950B-833F-4880-A151-76DA2D6A2879}&lt;/DBUID&gt;&lt;/Extra&gt;&lt;/Item&gt;&lt;/References&gt;&lt;/Group&gt;&lt;Group&gt;&lt;References&gt;&lt;Item&gt;&lt;ID&gt;3003&lt;/ID&gt;&lt;UID&gt;{085AB25D-819B-4098-9200-CE648549D759}&lt;/UID&gt;&lt;Title&gt;Ensartinib vs Crizotinib for Patients With Anaplastic Lymphoma Kinase-Positive Non-Small Cell Lung Cancer: A Randomized Clinical Trial&lt;/Title&gt;&lt;Template&gt;Journal Article&lt;/Template&gt;&lt;Star&gt;0&lt;/Star&gt;&lt;Tag&gt;0&lt;/Tag&gt;&lt;Author&gt;Horn, L; Wang, Z; Wu, G; Poddubskaya, E; Mok, T; Reck, M; Wakelee, H; Chiappori, A A; Lee, D H; Breder, V; Orlov, S; Cicin, I; Cheng, Y; Liu, Y; Fan, Y; Whisenant, J G; Zhou, Y; Oertel, V; Harrow, K; Liang, C; Mao, L; Selvaggi, G; Wu, Y L&lt;/Author&gt;&lt;Year&gt;2021&lt;/Year&gt;&lt;Details&gt;&lt;_accessed&gt;64632481&lt;/_accessed&gt;&lt;_accession_num&gt;34473194&lt;/_accession_num&gt;&lt;_author_adr&gt;Division of Hematology and Oncology, Department of Medicine, Vanderbilt-Ingram Cancer Center, Nashville, Tennessee.; Now with Global Clinical Head for Lung Cancer and Lung Cancer Strategy, AstraZeneca, Nashville, Tennessee.; Department of Thoracic Medical Oncology, Peking University Cancer Hospital and Institute, Beijing, China.; Cancer Center, Union Hospital, Tongji Medical College, Huazhong University of Science and Technology, Wuhan, China.; Clinical Center for Oncology, I. M. Sechenov First Moscow State Medical University (Sechenov University), Moscow, Russia.; Clinical Center VitaMed, Moscow, Russia.; Department of Clinical Oncology, State Key Laboratory of Translational Oncology,  The Chinese University of Hong Kong, Hong Kong, China.; Lung Clinic, Airway Research Center North, German Center for Lung Research, Grosshansdorf, Germany.; Department of Medicine, Division of Oncology and Stanford Cancer Institute, Stanford University, Stanford, California.; Thoracic Oncology Program, Moffitt Cancer Center, Tampa, Florida.; Department of Oncology, University of Ulsan College of Medicine, Asan Medical Center, Seoul, South Korea.; Department of Chemotherapy No. 17, N. N. Blokhin Russian Cancer Research Center,  Moscow, Russia.; Department of Biochemistry, Pavlov First Saint Petersburg State Medical University, St Petersburg, Russia.; Department of Medical Oncology, Faculty of Medicine, Trakya University, Edirne, Turkey.; Department of Thoracic Oncology, Jilin Cancer Hospital, Changchun, China.; Department of Medical Oncology, The First Hospital of China Medical University, Shenyang, Liaoning, China.; Thoracic Tumor Center, Zhejiang Cancer Hospital, Hangzhou, China.; Division of Hematology and Oncology, Department of Medicine, Vanderbilt-Ingram Cancer Center, Nashville, Tennessee.; Biometrics, Xcovery Holdings Inc, Palm Beach Gardens, Florida.; Clinical Operations, Xcovery Holdings Inc, Palm Beach Gardens, Florida.; Clinical Operations, Xcovery Holdings Inc, Palm Beach Gardens, Florida.; Now with EQRx, Cambridge, Massachusetts.; Clinical Science, Xcovery Holdings Inc, Palm Beach Gardens, Florida.; Clinical Development, Xcovery Holdings Inc, Palm Beach Gardens, Florida.; Now with Sino Biopharmaceutical Ltd, Beijing, China.; Clinical Development, Xcovery Holdings Inc, Palm Beach Gardens, Florida.; Guangdong Lung Cancer Institute, Guangdong Provincial People&amp;apos;s Hospital and Guangdong Academy of Medical Sciences, Guangzhou, China.&lt;/_author_adr&gt;&lt;_collection_scope&gt;SCIE&lt;/_collection_scope&gt;&lt;_created&gt;64630949&lt;/_created&gt;&lt;_date&gt;2021-11-01&lt;/_date&gt;&lt;_date_display&gt;2021 Nov 1&lt;/_date_display&gt;&lt;_db_updated&gt;PubMed&lt;/_db_updated&gt;&lt;_doi&gt;10.1001/jamaoncol.2021.3523&lt;/_doi&gt;&lt;_impact_factor&gt;  33.006&lt;/_impact_factor&gt;&lt;_isbn&gt;2374-2445 (Electronic); 2374-2437 (Linking)&lt;/_isbn&gt;&lt;_issue&gt;11&lt;/_issue&gt;&lt;_journal&gt;JAMA Oncol&lt;/_journal&gt;&lt;_language&gt;eng&lt;/_language&gt;&lt;_modified&gt;64740730&lt;/_modified&gt;&lt;_pages&gt;1617-1625&lt;/_pages&gt;&lt;_social_category&gt;医学(1)&lt;/_social_category&gt;&lt;_subject_headings&gt;Adolescent; Adult; Anaplastic Lymphoma Kinase; *Carcinoma, Non-Small-Cell Lung/pathology; Crizotinib/adverse effects; Humans; *Lung Neoplasms/pathology; Male; Middle Aged; Piperazines; Protein Kinase Inhibitors/adverse effects; Pyridazines&lt;/_subject_headings&gt;&lt;_tertiary_title&gt;JAMA oncology&lt;/_tertiary_title&gt;&lt;_type_work&gt;Journal Article; Multicenter Study; Randomized Controlled Trial; Research Support, Non-U.S. Gov&amp;apos;t&lt;/_type_work&gt;&lt;_url&gt;http://www.ncbi.nlm.nih.gov/entrez/query.fcgi?cmd=Retrieve&amp;amp;db=pubmed&amp;amp;dopt=Abstract&amp;amp;list_uids=34473194&amp;amp;query_hl=1&lt;/_url&gt;&lt;_volume&gt;7&lt;/_volume&gt;&lt;/Details&gt;&lt;Extra&gt;&lt;DBUID&gt;{F96A950B-833F-4880-A151-76DA2D6A2879}&lt;/DBUID&gt;&lt;/Extra&gt;&lt;/Item&gt;&lt;/References&gt;&lt;/Group&gt;&lt;Group&gt;&lt;References&gt;&lt;Item&gt;&lt;ID&gt;3004&lt;/ID&gt;&lt;UID&gt;{D7E9B090-FD3D-4C4C-BAF1-A71984C3522A}&lt;/UID&gt;&lt;Title&gt;1377O - Phase II study of tepotinib + gefitinib (TEP+GEF) in MET-positive (MET+)/epidermal growth factor receptor (EGFR)-mutant (MT) non-small cell lung cancer (NSCLC)&lt;/Title&gt;&lt;Template&gt;Journal Article&lt;/Template&gt;&lt;Star&gt;0&lt;/Star&gt;&lt;Tag&gt;0&lt;/Tag&gt;&lt;Author&gt;Cheng, Y; Zhou, J; Lu, S; Zhang, Y; Zhao, J; Pan, H; Chen, Y M; Chian, C F; Bruns, R; Johne, A; Scheele, J; Wu, Y L&lt;/Author&gt;&lt;Year&gt;2018&lt;/Year&gt;&lt;Details&gt;&lt;_alternate_title&gt;Annals of OncologyAbstract Book of the 43rd ESMO Congress (ESMO 2018) 19–23 October 2018, Munich, Germany&lt;/_alternate_title&gt;&lt;_date_display&gt;2018&lt;/_date_display&gt;&lt;_date&gt;2018-01-01&lt;/_date&gt;&lt;_doi&gt;https://doi.org/10.1093/annonc/mdy292&lt;/_doi&gt;&lt;_isbn&gt;0923-7534&lt;/_isbn&gt;&lt;_journal&gt;Annals of Oncology&lt;/_journal&gt;&lt;_pages&gt;viii493&lt;/_pages&gt;&lt;_url&gt;https://www.sciencedirect.com/science/article/pii/S0923753419497901&lt;/_url&gt;&lt;_volume&gt;29&lt;/_volume&gt;&lt;_created&gt;64740332&lt;/_created&gt;&lt;_modified&gt;64740730&lt;/_modified&gt;&lt;_impact_factor&gt;  51.769&lt;/_impact_factor&gt;&lt;_social_category&gt;医学(1)&lt;/_social_category&gt;&lt;_collection_scope&gt;SCIE&lt;/_collection_scope&gt;&lt;/Details&gt;&lt;Extra&gt;&lt;DBUID&gt;{F96A950B-833F-4880-A151-76DA2D6A2879}&lt;/DBUID&gt;&lt;/Extra&gt;&lt;/Item&gt;&lt;/References&gt;&lt;/Group&gt;&lt;/Citation&gt;_x000a_"/>
    <w:docVar w:name="NE.Ref{37DE8566-A0BE-490D-863C-008ABA2BEC4E}" w:val=" ADDIN NE.Ref.{37DE8566-A0BE-490D-863C-008ABA2BEC4E}&lt;Citation&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Citation&gt;_x000a_"/>
    <w:docVar w:name="NE.Ref{391715B1-D3B6-46EE-BF7A-E9E7C0D7EA0C}" w:val=" ADDIN NE.Ref.{391715B1-D3B6-46EE-BF7A-E9E7C0D7EA0C}&lt;Citation&gt;&lt;Group&gt;&lt;References&gt;&lt;Item&gt;&lt;ID&gt;46199&lt;/ID&gt;&lt;UID&gt;{08CB0812-A5CC-4A19-9FC4-FEF7AB8B807B}&lt;/UID&gt;&lt;Title&gt;First-Line Lorlatinib or Crizotinib in Advanced ALK-Positive Lung Cancer&lt;/Title&gt;&lt;Template&gt;Journal Article&lt;/Template&gt;&lt;Star&gt;0&lt;/Star&gt;&lt;Tag&gt;0&lt;/Tag&gt;&lt;Author&gt;Shaw, A T; Bauer, T M; de Marinis, F; Felip, E; Goto, Y; Liu, G; Mazieres, J; Kim, D W; Mok, T; Polli, A; Thurm, H; Calella, A M; Peltz, G; Solomon, B J&lt;/Author&gt;&lt;Year&gt;2020&lt;/Year&gt;&lt;Details&gt;&lt;_accessed&gt;64632463&lt;/_accessed&gt;&lt;_accession_num&gt;33207094&lt;/_accession_num&gt;&lt;_collection_scope&gt;SCIE&lt;/_collection_scope&gt;&lt;_created&gt;64630950&lt;/_created&gt;&lt;_date&gt;2020-11-19&lt;/_date&gt;&lt;_date_display&gt;2020 Nov 19&lt;/_date_display&gt;&lt;_db_updated&gt;PubMed&lt;/_db_updated&gt;&lt;_doi&gt;10.1056/NEJMoa2027187&lt;/_doi&gt;&lt;_impact_factor&gt; 176.079&lt;/_impact_factor&gt;&lt;_isbn&gt;1533-4406 (Electronic); 0028-4793 (Linking)&lt;/_isbn&gt;&lt;_issue&gt;21&lt;/_issue&gt;&lt;_journal&gt;N Engl J Med&lt;/_journal&gt;&lt;_language&gt;eng&lt;/_language&gt;&lt;_modified&gt;64688891&lt;/_modified&gt;&lt;_ori_publication&gt;Copyright (c) 2020 Massachusetts Medical Society.&lt;/_ori_publication&gt;&lt;_pages&gt;2018-2029&lt;/_pages&gt;&lt;_social_category&gt;医学(1)&lt;/_social_category&gt;&lt;_subject_headings&gt;Adult; Aged; Aminopyridines; Anaplastic Lymphoma Kinase/*antagonists &amp;amp; inhibitors/genetics; Antineoplastic Agents/adverse effects/*therapeutic use; Carcinoma, Non-Small-Cell Lung/*drug therapy/genetics/mortality; Crizotinib/adverse effects/*therapeutic use; Female; Humans; Hyperlipidemias/chemically induced; Intention to Treat Analysis; Lactams; Lactams, Macrocyclic/adverse effects/*therapeutic use; Lung Neoplasms/*drug therapy/genetics/mortality; Male; Middle Aged; Mutation; Pyrazoles; Survival Analysi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3207094&amp;amp;query_hl=1&lt;/_url&gt;&lt;_volume&gt;383&lt;/_volume&gt;&lt;/Details&gt;&lt;Extra&gt;&lt;DBUID&gt;{F96A950B-833F-4880-A151-76DA2D6A2879}&lt;/DBUID&gt;&lt;/Extra&gt;&lt;/Item&gt;&lt;/References&gt;&lt;/Group&gt;&lt;/Citation&gt;_x000a_"/>
    <w:docVar w:name="NE.Ref{39396256-0018-4817-B0BB-D8A4F2156D34}" w:val=" ADDIN NE.Ref.{39396256-0018-4817-B0BB-D8A4F2156D34}&lt;Citation&gt;&lt;Group&gt;&lt;References&gt;&lt;Item&gt;&lt;ID&gt;4705&lt;/ID&gt;&lt;UID&gt;{000E02BA-CBC1-4F49-95F0-2DF95A40229B}&lt;/UID&gt;&lt;Title&gt;Health-related quality of life in patients with RAS wild-type metastatic  colorectal cancer treated with panitumumab-based first-line treatment strategy: A  pre-specified secondary analysis of the Valentino study&lt;/Title&gt;&lt;Template&gt;Journal Article&lt;/Template&gt;&lt;Star&gt;0&lt;/Star&gt;&lt;Tag&gt;0&lt;/Tag&gt;&lt;Author&gt;Raimondi, A; Di Maio, M; Morano, F; Corallo, S; Lonardi, S; Antoniotti, C; Rimassa, L; Sartore-Bianchi, A; Tampellini, M; Ritorto, G; Murialdo, R; Clavarezza, M; Zaniboni, A; Adamo, V; Tomasello, G; Petrelli, F; Antonuzzo, L; Giordano, M; Cinieri, S; Longarini, R; Bergamo, F; Niger, M; Antista, M; Peverelli, G; de Braud, F; Di Bartolomeo, M; Pietrantonio, F&lt;/Author&gt;&lt;Year&gt;2020&lt;/Year&gt;&lt;Details&gt;&lt;_accession_num&gt;32623288&lt;/_accession_num&gt;&lt;_author_adr&gt;Department of Medical Oncology, Fondazione IRCCS Istituto Nazionale Dei Tumori,  Milan, Italy.; Department of Oncology, University of Turin, Ordine Mauriziano Hospital, Torino,  Italy.; Department of Medical Oncology, Fondazione IRCCS Istituto Nazionale Dei Tumori,  Milan, Italy.; Department of Medical Oncology, Fondazione IRCCS Istituto Nazionale Dei Tumori,  Milan, Italy.; Medical Oncology Unit 1, Department of Oncology, Istituto Oncologico Veneto -  IRCCS, Padua, Italy.; Unit of Medical Oncology, Azienda Ospedaliero-Universitaria Pisana, Department of  Translational Research and New Technologies in Medicine, University of Pisa,  Pisa, Italy.; Medical Oncology and Hematology Unit, Humanitas Cancer Center, Humanitas Clinical  and Research Center - IRCCS, Rozzano, Italy.; Niguarda Cancer Center, Grande Ospedale Metropolitano Niguarda, Milan, Italy;  Oncology and Hemato-oncology Department, University of Milan, Milan, Italy.; Department of Oncology, AOU San Luigi di Orbassano, University of Torino,  Orbassano, Italy.; Colorectal Cancer Unit, Medical Oncology Division 1, Azienda  Ospedaliero-Universitaria Città Della Salute e Della Scienza, Torino, Italy.; Department of Internal Medicine, University of Genoa and IRCCS AOU San  Martino-IST, Genoa, Italy.; Medical Oncology Unit, Ente Ospedaliero Ospedali Galliera, Genoa, Italy.; Medical Oncology Unit, Fondazione Poliambulanza, Brescia, Italy.; Medical Oncology Unit A.O. Papardo &amp;amp; Department of Human Pathology, University of  Messina, Messina, Italy.; Medical Oncology Unit, ASST Ospedale di Cremona, Cremona, Italy.; Medical Oncology Unit, Oncology Department, ASST Bergamo Ovest, Treviglio, Italy.; Department of Medical Oncology, Oncology Unit, AOU Careggi, Florence, Italy.; Medical Oncology Unit, Azienda Socio Sanitaria Territoriale Lariana, Como, Italy.; Medical Oncology Unit, Ospedale Antonio Perrino, Brindisi, Italy.; Medical Oncology Unit, Azienda Ospedaliera San Gerardo, Monza, Italy.; Medical Oncology Unit 1, Department of Oncology, Istituto Oncologico Veneto -  IRCCS, Padua, Italy.; Department of Medical Oncology, Fondazione IRCCS Istituto Nazionale Dei Tumori,  Milan, Italy.; Department of Medical Oncology, Fondazione IRCCS Istituto Nazionale Dei Tumori,  Milan, Italy.; Department of Medical Oncology, Fondazione IRCCS Istituto Nazionale Dei Tumori,  Milan, Italy.; Department of Medical Oncology, Fondazione IRCCS Istituto Nazionale Dei Tumori,  Milan, Italy; Oncology and Hemato-oncology Department, University of Milan,  Milan, Italy.; Department of Medical Oncology, Fondazione IRCCS Istituto Nazionale Dei Tumori,  Milan, Italy.; Department of Medical Oncology, Fondazione IRCCS Istituto Nazionale Dei Tumori,  Milan, Italy; Oncology and Hemato-oncology Department, University of Milan,  Milan, Italy. Electronic address: filippo.pietrantonio@istitutotumori.mi.it.&lt;/_author_adr&gt;&lt;_date_display&gt;2020 Aug&lt;/_date_display&gt;&lt;_date&gt;2020-08-01&lt;/_date&gt;&lt;_doi&gt;10.1016/j.ejca.2020.04.048&lt;/_doi&gt;&lt;_isbn&gt;1879-0852 (Electronic); 0959-8049 (Linking)&lt;/_isbn&gt;&lt;_journal&gt;Eur J Cancer&lt;/_journal&gt;&lt;_keywords&gt;Anti-EGFR therapy; First-line treatment; Metastatic colorectal cancer; Patient-reported outcomes; Quality of life; RAS wild-type&lt;/_keywords&gt;&lt;_language&gt;eng&lt;/_language&gt;&lt;_ori_publication&gt;Copyright © 2020 Elsevier Ltd. All rights reserved.&lt;/_ori_publication&gt;&lt;_pages&gt;230-239&lt;/_pages&gt;&lt;_subject_headings&gt;Aged; Antineoplastic Agents, Immunological/*administration &amp;amp; dosage/adverse effects; Antineoplastic Combined Chemotherapy Protocols/administration &amp;amp; dosage; Biomarkers, Tumor/*genetics; Colorectal Neoplasms/*drug therapy/genetics/pathology; Female; Fluorouracil/administration &amp;amp; dosage; *Genes, ras; Humans; Italy; Leucovorin/administration &amp;amp; dosage; Male; Middle Aged; *Mutation; Neoplasm Metastasis; Organoplatinum Compounds/administration &amp;amp; dosage; Panitumumab/*administration &amp;amp; dosage/adverse effects; Patient Reported Outcome Measures; Progression-Free Survival; *Quality of Life; Time Factors&lt;/_subject_headings&gt;&lt;_tertiary_title&gt;European journal of cancer (Oxford, England : 1990)&lt;/_tertiary_title&gt;&lt;_type_work&gt;Clinical Trial, Phase II; Comparative Study; Equivalence Trial; Journal Article; Multicenter Study; Research Support, Non-U.S. Gov&amp;apos;t&lt;/_type_work&gt;&lt;_url&gt;http://www.ncbi.nlm.nih.gov/entrez/query.fcgi?cmd=Retrieve&amp;amp;db=pubmed&amp;amp;dopt=Abstract&amp;amp;list_uids=32623288&amp;amp;query_hl=1&lt;/_url&gt;&lt;_volume&gt;135&lt;/_volume&gt;&lt;_created&gt;65020956&lt;/_created&gt;&lt;_modified&gt;65020956&lt;/_modified&gt;&lt;_impact_factor&gt;  10.002&lt;/_impact_factor&gt;&lt;_social_category&gt;医学(1)&lt;/_social_category&gt;&lt;_collection_scope&gt;SCIE&lt;/_collection_scope&gt;&lt;/Details&gt;&lt;Extra&gt;&lt;DBUID&gt;{F96A950B-833F-4880-A151-76DA2D6A2879}&lt;/DBUID&gt;&lt;/Extra&gt;&lt;/Item&gt;&lt;/References&gt;&lt;/Group&gt;&lt;Group&gt;&lt;References&gt;&lt;Item&gt;&lt;ID&gt;4710&lt;/ID&gt;&lt;UID&gt;{791BC691-6ECB-4723-8201-CC71D9ACC1A6}&lt;/UID&gt;&lt;Title&gt;Quality of Life Analysis in Patients With RAS Wild-Type Metastatic Colorectal  Cancer Treated With First-Line Cetuximab Plus Chemotherapy&lt;/Title&gt;&lt;Template&gt;Journal Article&lt;/Template&gt;&lt;Star&gt;0&lt;/Star&gt;&lt;Tag&gt;0&lt;/Tag&gt;&lt;Author&gt;Yamaguchi, K; Ando, M; Ooki, A; Beier, F; Guenther, S; von Hohnhorst, P; Van Cutsem, E&lt;/Author&gt;&lt;Year&gt;2017&lt;/Year&gt;&lt;Details&gt;&lt;_accession_num&gt;28081962&lt;/_accession_num&gt;&lt;_author_adr&gt;Department of Gastroenterological Chemotherapy, Cancer Institute Hospital of  Japanese Foundation for Cancer Research, Tokyo, Japan. Electronic address:  kensei.yamaguchi@jfcr.or.jp.; Center for Advanced Medicine and Clinical Research, Nagoya University Graduate  School of Medicine, Aichi, Japan.; Department of Gastroenterology, Saitama Cancer Center Hospital, Saitama, Japan.; Merck KGaA, Darmstadt, Germany.; Merck KGaA, Darmstadt, Germany.; Merck KGaA, Darmstadt, Germany.; Digestive Oncology, University Hospitals Leuven and University of Leuven, Leuven,  Belgium.&lt;/_author_adr&gt;&lt;_date_display&gt;2017 Jun&lt;/_date_display&gt;&lt;_date&gt;2017-06-01&lt;/_date&gt;&lt;_doi&gt;10.1016/j.clcc.2016.07.017&lt;/_doi&gt;&lt;_isbn&gt;1938-0674 (Electronic); 1533-0028 (Linking)&lt;/_isbn&gt;&lt;_issue&gt;2&lt;/_issue&gt;&lt;_journal&gt;Clin Colorectal Cancer&lt;/_journal&gt;&lt;_keywords&gt;CRYSTAL; FOLFIRI; Global health status (GHS); QoL; mCRC&lt;/_keywords&gt;&lt;_language&gt;eng&lt;/_language&gt;&lt;_ori_publication&gt;Copyright © 2016 The Authors. Published by Elsevier Inc. All rights reserved.&lt;/_ori_publication&gt;&lt;_pages&gt;e29-e37&lt;/_pages&gt;&lt;_subject_headings&gt;Adult; Aged; Aged, 80 and over; Antineoplastic Combined Chemotherapy Protocols/*administration &amp;amp; dosage; Camptothecin/administration &amp;amp; dosage/*analogs &amp;amp; derivatives; Cetuximab/administration &amp;amp; dosage; Colorectal Neoplasms/*drug therapy/genetics/pathology; Disease-Free Survival; Female; Fluorouracil/administration &amp;amp; dosage; Humans; Leucovorin/administration &amp;amp; dosage; Male; Middle Aged; Neoplasm Metastasis; Proto-Oncogene Proteins p21(ras)/*genetics; *Quality of Life; Retrospective Studies; Survival Rate; Young Adult; ras Proteins/genetics&lt;/_subject_headings&gt;&lt;_tertiary_title&gt;Clinical colorectal cancer&lt;/_tertiary_title&gt;&lt;_type_work&gt;Journal Article; Research Support, Non-U.S. Gov&amp;apos;t&lt;/_type_work&gt;&lt;_url&gt;http://www.ncbi.nlm.nih.gov/entrez/query.fcgi?cmd=Retrieve&amp;amp;db=pubmed&amp;amp;dopt=Abstract&amp;amp;list_uids=28081962&amp;amp;query_hl=1&lt;/_url&gt;&lt;_volume&gt;16&lt;/_volume&gt;&lt;_created&gt;65020956&lt;/_created&gt;&lt;_modified&gt;65021242&lt;/_modified&gt;&lt;_impact_factor&gt;   4.035&lt;/_impact_factor&gt;&lt;_social_category&gt;医学(2)&lt;/_social_category&gt;&lt;_collection_scope&gt;SCIE&lt;/_collection_scope&gt;&lt;_accessed&gt;65021241&lt;/_accessed&gt;&lt;/Details&gt;&lt;Extra&gt;&lt;DBUID&gt;{F96A950B-833F-4880-A151-76DA2D6A2879}&lt;/DBUID&gt;&lt;/Extra&gt;&lt;/Item&gt;&lt;/References&gt;&lt;/Group&gt;&lt;Group&gt;&lt;References&gt;&lt;Item&gt;&lt;ID&gt;4714&lt;/ID&gt;&lt;UID&gt;{6A6C03BB-AA9D-4B90-98B0-5D8222C94A4C}&lt;/UID&gt;&lt;Title&gt;Health-related quality of life in patients with metastatic colorectal cancer  treated with panitumumab in first- or second-line treatment&lt;/Title&gt;&lt;Template&gt;Journal Article&lt;/Template&gt;&lt;Star&gt;0&lt;/Star&gt;&lt;Tag&gt;0&lt;/Tag&gt;&lt;Author&gt;Bennett, L; Zhao, Z; Barber, B; Zhou, X; Peeters, M; Zhang, J; Xu, F; Wiezorek, J; Douillard, J Y&lt;/Author&gt;&lt;Year&gt;2011&lt;/Year&gt;&lt;Details&gt;&lt;_accession_num&gt;21989186&lt;/_accession_num&gt;&lt;_author_adr&gt;RTI Health Solutions, 3040 East Cornwallis Road, Post Office Box 12194, Research  Triangle Park, NC 22709-2194, USA.&lt;/_author_adr&gt;&lt;_date_display&gt;2011 Nov 8&lt;/_date_display&gt;&lt;_date&gt;2011-11-08&lt;/_date&gt;&lt;_doi&gt;10.1038/bjc.2011.409&lt;/_doi&gt;&lt;_isbn&gt;1532-1827 (Electronic); 0007-0920 (Print); 0007-0920 (Linking)&lt;/_isbn&gt;&lt;_issue&gt;10&lt;/_issue&gt;&lt;_journal&gt;Br J Cancer&lt;/_journal&gt;&lt;_language&gt;eng&lt;/_language&gt;&lt;_ori_publication&gt;2011 Cancer Research UK&lt;/_ori_publication&gt;&lt;_pages&gt;1495-502&lt;/_pages&gt;&lt;_subject_headings&gt;Antibodies, Monoclonal/*therapeutic use; Antineoplastic Agents/*therapeutic use; Colorectal Neoplasms/drug therapy/pathology/*physiopathology; Female; Humans; Male; Middle Aged; Neoplasm Metastasis; Panitumumab; *Quality of Life&lt;/_subject_headings&gt;&lt;_tertiary_title&gt;British journal of cancer&lt;/_tertiary_title&gt;&lt;_type_work&gt;Journal Article; Randomized Controlled Trial; Research Support, Non-U.S. Gov&amp;apos;t&lt;/_type_work&gt;&lt;_url&gt;http://www.ncbi.nlm.nih.gov/entrez/query.fcgi?cmd=Retrieve&amp;amp;db=pubmed&amp;amp;dopt=Abstract&amp;amp;list_uids=21989186&amp;amp;query_hl=1&lt;/_url&gt;&lt;_volume&gt;105&lt;/_volume&gt;&lt;_created&gt;65020956&lt;/_created&gt;&lt;_modified&gt;65020956&lt;/_modified&gt;&lt;_impact_factor&gt;   9.075&lt;/_impact_factor&gt;&lt;_social_category&gt;医学(1)&lt;/_social_category&gt;&lt;_collection_scope&gt;SCIE&lt;/_collection_scope&gt;&lt;/Details&gt;&lt;Extra&gt;&lt;DBUID&gt;{F96A950B-833F-4880-A151-76DA2D6A2879}&lt;/DBUID&gt;&lt;/Extra&gt;&lt;/Item&gt;&lt;/References&gt;&lt;/Group&gt;&lt;Group&gt;&lt;References&gt;&lt;Item&gt;&lt;ID&gt;4716&lt;/ID&gt;&lt;UID&gt;{EE358E54-E1D0-4901-825E-CEDF13B782D3}&lt;/UID&gt;&lt;Title&gt;Health-related quality of life and colorectal cancer-specific symptoms in  patients with chemotherapy-refractory metastatic disease treated with  panitumumab&lt;/Title&gt;&lt;Template&gt;Journal Article&lt;/Template&gt;&lt;Star&gt;0&lt;/Star&gt;&lt;Tag&gt;0&lt;/Tag&gt;&lt;Author&gt;Odom, D; Barber, B; Bennett, L; Peeters, M; Zhao, Z; Kaye, J; Wolf, M; Wiezorek, J&lt;/Author&gt;&lt;Year&gt;2011&lt;/Year&gt;&lt;Details&gt;&lt;_accession_num&gt;21190026&lt;/_accession_num&gt;&lt;_author_adr&gt;RTI Health Solutions, Research Triangle Park, NC 22709-2194, USA.&lt;/_author_adr&gt;&lt;_date_display&gt;2011 Feb&lt;/_date_display&gt;&lt;_date&gt;2011-02-01&lt;/_date&gt;&lt;_doi&gt;10.1007/s00384-010-1112-5&lt;/_doi&gt;&lt;_isbn&gt;1432-1262 (Electronic); 0179-1958 (Print); 0179-1958 (Linking)&lt;/_isbn&gt;&lt;_issue&gt;2&lt;/_issue&gt;&lt;_journal&gt;Int J Colorectal Dis&lt;/_journal&gt;&lt;_language&gt;eng&lt;/_language&gt;&lt;_pages&gt;173-81&lt;/_pages&gt;&lt;_subject_headings&gt;Antibodies, Monoclonal/*therapeutic use; Antineoplastic Agents/*therapeutic use; Colorectal Neoplasms/*drug therapy/genetics/*pathology; *Drug Resistance, Neoplasm; *Health; Humans; Least-Squares Analysis; Linear Models; Neoplasm Metastasis; Panitumumab; Proto-Oncogene Proteins/genetics; Proto-Oncogene Proteins p21(ras); *Quality of Life; ras Proteins/genetics&lt;/_subject_headings&gt;&lt;_tertiary_title&gt;International journal of colorectal disease&lt;/_tertiary_title&gt;&lt;_type_work&gt;Journal Article; Randomized Controlled Trial; Research Support, Non-U.S. Gov&amp;apos;t&lt;/_type_work&gt;&lt;_url&gt;http://www.ncbi.nlm.nih.gov/entrez/query.fcgi?cmd=Retrieve&amp;amp;db=pubmed&amp;amp;dopt=Abstract&amp;amp;list_uids=21190026&amp;amp;query_hl=1&lt;/_url&gt;&lt;_volume&gt;26&lt;/_volume&gt;&lt;_created&gt;65020956&lt;/_created&gt;&lt;_modified&gt;65020956&lt;/_modified&gt;&lt;_impact_factor&gt;   2.796&lt;/_impact_factor&gt;&lt;_social_category&gt;医学(3)&lt;/_social_category&gt;&lt;_collection_scope&gt;SCIE&lt;/_collection_scope&gt;&lt;/Details&gt;&lt;Extra&gt;&lt;DBUID&gt;{F96A950B-833F-4880-A151-76DA2D6A2879}&lt;/DBUID&gt;&lt;/Extra&gt;&lt;/Item&gt;&lt;/References&gt;&lt;/Group&gt;&lt;Group&gt;&lt;References&gt;&lt;Item&gt;&lt;ID&gt;4693&lt;/ID&gt;&lt;UID&gt;{F9D175A2-FE90-4E73-A434-3DA13FBBE032}&lt;/UID&gt;&lt;Title&gt;Panitumumab and irinotecan versus irinotecan alone for patients with KRAS  wild-type, fluorouracil-resistant advanced colorectal cancer (PICCOLO): a  prospectively stratified randomised trial&lt;/Title&gt;&lt;Template&gt;Journal Article&lt;/Template&gt;&lt;Star&gt;0&lt;/Star&gt;&lt;Tag&gt;0&lt;/Tag&gt;&lt;Author&gt;Seymour, M T; Brown, S R; Middleton, G; Maughan, T; Richman, S; Gwyther, S; Lowe, C; Seligmann, J F; Wadsley, J; Maisey, N; Chau, I; Hill, M; Dawson, L; Falk, S; O&amp;apos;Callaghan, A; Benstead, K; Chambers, P; Oliver, A; Marshall, H; Napp, V; Quirke, P&lt;/Author&gt;&lt;Year&gt;2013&lt;/Year&gt;&lt;Details&gt;&lt;_accession_num&gt;23725851&lt;/_accession_num&gt;&lt;_author_adr&gt;Cancer Medicine and Pathology, University of Leeds, Leeds, UK.  m.seymour@ncrn.org.uk&lt;/_author_adr&gt;&lt;_date_display&gt;2013 Jul&lt;/_date_display&gt;&lt;_date&gt;2013-07-01&lt;/_date&gt;&lt;_doi&gt;10.1016/S1470-2045(13)70163-3&lt;/_doi&gt;&lt;_isbn&gt;1474-5488 (Electronic); 1470-2045 (Print); 1470-2045 (Linking)&lt;/_isbn&gt;&lt;_issue&gt;8&lt;/_issue&gt;&lt;_journal&gt;Lancet Oncol&lt;/_journal&gt;&lt;_language&gt;eng&lt;/_language&gt;&lt;_ori_publication&gt;Copyright © 2013 Elsevier Ltd. All rights reserved.&lt;/_ori_publication&gt;&lt;_pages&gt;749-59&lt;/_pages&gt;&lt;_subject_headings&gt;Aged; Antibodies, Monoclonal/administration &amp;amp; dosage; Antimetabolites, Antineoplastic/*therapeutic use; Antineoplastic Agents/administration &amp;amp; dosage/adverse effects/*therapeutic use; Antineoplastic Combined Chemotherapy Protocols/adverse effects/*therapeutic use; Camptothecin/administration &amp;amp; dosage/adverse effects/*analogs &amp;amp; _x000d__x000a_      derivatives/therapeutic use; Chi-Square Distribution; Colorectal Neoplasms/*drug therapy/enzymology/genetics/mortality/pathology; DNA Mutational Analysis; Disease-Free Survival; Drug Administration Schedule; Drug Resistance, Neoplasm/*genetics; ErbB Receptors/antagonists &amp;amp; inhibitors/metabolism; Female; Fluorouracil/*therapeutic use; Humans; Irinotecan; Male; Middle Aged; Mutation; Panitumumab; Proportional Hazards Models; Prospective Studies; Proto-Oncogene Proteins/*genetics; Proto-Oncogene Proteins p21(ras); Time Factors; Treatment Outcome; United Kingdom; ras Proteins/*genetics&lt;/_subject_headings&gt;&lt;_tertiary_title&gt;The Lancet. Oncology&lt;/_tertiary_title&gt;&lt;_type_work&gt;Comparative Study; Journal Article; Multicenter Study; Randomized Controlled Trial; Research Support, Non-U.S. Gov&amp;apos;t&lt;/_type_work&gt;&lt;_url&gt;http://www.ncbi.nlm.nih.gov/entrez/query.fcgi?cmd=Retrieve&amp;amp;db=pubmed&amp;amp;dopt=Abstract&amp;amp;list_uids=23725851&amp;amp;query_hl=1&lt;/_url&gt;&lt;_volume&gt;14&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Citation&gt;_x000a_"/>
    <w:docVar w:name="NE.Ref{39541D9A-ACEC-42B2-9F69-E53D6AA01033}" w:val=" ADDIN NE.Ref.{39541D9A-ACEC-42B2-9F69-E53D6AA01033}&lt;Citation&gt;&lt;Group&gt;&lt;References&gt;&lt;Item&gt;&lt;ID&gt;5025&lt;/ID&gt;&lt;UID&gt;{78B5BC73-2FCE-45C8-9813-4AD5D20274FD}&lt;/UID&gt;&lt;Title&gt;Cost-effectiveness Analysis of Regorafenib and TAS-102 in Refractory Metastatic  Colorectal Cancer in the United States&lt;/Title&gt;&lt;Template&gt;Journal Article&lt;/Template&gt;&lt;Star&gt;0&lt;/Star&gt;&lt;Tag&gt;0&lt;/Tag&gt;&lt;Author&gt;Cho, S K; Hay, J W; Barzi, A&lt;/Author&gt;&lt;Year&gt;2018&lt;/Year&gt;&lt;Details&gt;&lt;_accession_num&gt;30228027&lt;/_accession_num&gt;&lt;_author_adr&gt;School of Pharmacy, University of Southern California, Los Angeles, CA.  Electronic address: sangkcho@usc.edu.; School of Pharmacy, University of Southern California, Los Angeles, CA.; Keck School of Medicine, University of Southern California, Los Angeles, CA.&lt;/_author_adr&gt;&lt;_date_display&gt;2018 Dec&lt;/_date_display&gt;&lt;_date&gt;2018-12-01&lt;/_date&gt;&lt;_doi&gt;10.1016/j.clcc.2018.08.003&lt;/_doi&gt;&lt;_isbn&gt;1938-0674 (Electronic); 1533-0028 (Linking)&lt;/_isbn&gt;&lt;_issue&gt;4&lt;/_issue&gt;&lt;_journal&gt;Clin Colorectal Cancer&lt;/_journal&gt;&lt;_keywords&gt;Colorectal cancer; Cost-effectiveness analysis; Regorafenib; Sensitivity analysis; TAS-102&lt;/_keywords&gt;&lt;_language&gt;eng&lt;/_language&gt;&lt;_ori_publication&gt;Copyright © 2018 Elsevier Inc. All rights reserved.&lt;/_ori_publication&gt;&lt;_pages&gt;e751-e761&lt;/_pages&gt;&lt;_subject_headings&gt;Antineoplastic Combined Chemotherapy Protocols/*economics/therapeutic use; Colorectal Neoplasms/drug therapy/*economics/pathology; *Cost-Benefit Analysis; Double-Blind Method; Drug Combinations; *Drug Resistance, Neoplasm; Follow-Up Studies; Humans; Liver Neoplasms/drug therapy/*economics/secondary; Markov Chains; Palliative Care/*economics; Phenylurea Compounds/administration &amp;amp; dosage; Prognosis; Pyridines/administration &amp;amp; dosage; Pyrrolidines; Quality-Adjusted Life Years; *Salvage Therapy; Survival Rate; Thymine; Trifluridine/administration &amp;amp; dosage; United States; Uracil/analogs &amp;amp; derivatives&lt;/_subject_headings&gt;&lt;_tertiary_title&gt;Clinical colorectal cancer&lt;/_tertiary_title&gt;&lt;_type_work&gt;Clinical Trial, Phase III; Journal Article; Multicenter Study; Randomized Controlled Trial&lt;/_type_work&gt;&lt;_url&gt;http://www.ncbi.nlm.nih.gov/entrez/query.fcgi?cmd=Retrieve&amp;amp;db=pubmed&amp;amp;dopt=Abstract&amp;amp;list_uids=30228027&amp;amp;query_hl=1&lt;/_url&gt;&lt;_volume&gt;17&lt;/_volume&gt;&lt;_created&gt;65329740&lt;/_created&gt;&lt;_modified&gt;65329740&lt;/_modified&gt;&lt;_impact_factor&gt;   3.400&lt;/_impact_factor&gt;&lt;_social_category&gt;肿瘤学(3)&lt;/_social_category&gt;&lt;_collection_scope&gt;SCIE&lt;/_collection_scope&gt;&lt;_accessed&gt;65330792&lt;/_accessed&gt;&lt;/Details&gt;&lt;Extra&gt;&lt;DBUID&gt;{F96A950B-833F-4880-A151-76DA2D6A2879}&lt;/DBUID&gt;&lt;/Extra&gt;&lt;/Item&gt;&lt;/References&gt;&lt;/Group&gt;&lt;/Citation&gt;_x000a_"/>
    <w:docVar w:name="NE.Ref{39A682E1-10AA-4284-977F-5950250ED4D4}" w:val=" ADDIN NE.Ref.{39A682E1-10AA-4284-977F-5950250ED4D4}&lt;Citation&gt;&lt;Group&gt;&lt;References&gt;&lt;Item&gt;&lt;ID&gt;4865&lt;/ID&gt;&lt;UID&gt;{73BAB677-0927-41D4-A58E-4A066878FDD6}&lt;/UID&gt;&lt;Title&gt;Liver metastasis from colorectal cancer: pathogenetic development, immune  landscape of the tumour microenvironment and therapeutic approaches&lt;/Title&gt;&lt;Template&gt;Journal Article&lt;/Template&gt;&lt;Star&gt;0&lt;/Star&gt;&lt;Tag&gt;0&lt;/Tag&gt;&lt;Author&gt;Wang, Y; Zhong, X; He, X; Hu, Z; Huang, H; Chen, J; Chen, K; Zhao, S; Wei, P; Li, D&lt;/Author&gt;&lt;Year&gt;2023&lt;/Year&gt;&lt;Details&gt;&lt;_accession_num&gt;37480104&lt;/_accession_num&gt;&lt;_author_adr&gt;Department of Colorectal Surgery, Fudan University Shanghai Cancer Center,  Shanghai, China.; Department of Oncology, Shanghai Medical College of Fudan University, Shanghai,  China.; Department of Colorectal Surgery, Fudan University Shanghai Cancer Center,  Shanghai, China.; Department of Oncology, Shanghai Medical College of Fudan University, Shanghai,  China.; ZJU-UCLA Joint Center for Medical Education and Research, Cancer Institute, The  Second Affiliated Hospital, Zhejiang University School of Medicine, Hangzhou,  China.; Department of Oncology, Shanghai Medical College of Fudan University, Shanghai,  China.; Department of Pathology, Fudan University Shanghai Cancer Center, Shanghai,  China.; Cancer Institute, Fudan University Shanghai Cancer Center, Shanghai, China.; Institute of Pathology, Fudan University, Shanghai, China.; Department of Oncology, Shanghai Medical College of Fudan University, Shanghai,  China.; Department of Pathology, Fudan University Shanghai Cancer Center, Shanghai,  China.; Cancer Institute, Fudan University Shanghai Cancer Center, Shanghai, China.; Institute of Pathology, Fudan University, Shanghai, China.; Department of Colorectal Surgery, Fudan University Shanghai Cancer Center,  Shanghai, China.; Department of Oncology, Shanghai Medical College of Fudan University, Shanghai,  China.; Department of Oncology, Shanghai Medical College of Fudan University, Shanghai,  China.; Department of Pathology, Fudan University Shanghai Cancer Center, Shanghai,  China.; Cancer Institute, Fudan University Shanghai Cancer Center, Shanghai, China.; Institute of Pathology, Fudan University, Shanghai, China.; Department of Colorectal Surgery, Fudan University Shanghai Cancer Center,  Shanghai, China.; Department of Oncology, Shanghai Medical College of Fudan University, Shanghai,  China.; Department of Oncology, Shanghai Medical College of Fudan University, Shanghai,  China. weiping@fudan.edu.cn.; Department of Pathology, Fudan University Shanghai Cancer Center, Shanghai,  China. weiping@fudan.edu.cn.; Cancer Institute, Fudan University Shanghai Cancer Center, Shanghai, China.  weiping@fudan.edu.cn.; Institute of Pathology, Fudan University, Shanghai, China. weiping@fudan.edu.cn.; Department of Colorectal Surgery, Fudan University Shanghai Cancer Center,  Shanghai, China. li_dawei@fudan.edu.cn.; Department of Oncology, Shanghai Medical College of Fudan University, Shanghai,  China. li_dawei@fudan.edu.cn.&lt;/_author_adr&gt;&lt;_date_display&gt;2023 Jul 22&lt;/_date_display&gt;&lt;_date&gt;2023-07-22&lt;/_date&gt;&lt;_doi&gt;10.1186/s13046-023-02729-7&lt;/_doi&gt;&lt;_isbn&gt;1756-9966 (Electronic); 0392-9078 (Print); 0392-9078 (Linking)&lt;/_isbn&gt;&lt;_issue&gt;1&lt;/_issue&gt;&lt;_journal&gt;J Exp Clin Cancer Res&lt;/_journal&gt;&lt;_keywords&gt;Colorectal cancer liver metastasis; Immune landscape; Immunotherapy; Premetastatic niche; Tumour microenvironment&lt;/_keywords&gt;&lt;_language&gt;eng&lt;/_language&gt;&lt;_ori_publication&gt;© 2023. The Author(s).&lt;/_ori_publication&gt;&lt;_pages&gt;177&lt;/_pages&gt;&lt;_subject_headings&gt;Humans; Tumor Microenvironment; *Liver Neoplasms/therapy; Immunotherapy; *Colorectal Neoplasms/therapy&lt;/_subject_headings&gt;&lt;_tertiary_title&gt;Journal of experimental &amp;amp; clinical cancer research : CR&lt;/_tertiary_title&gt;&lt;_type_work&gt;Journal Article; Review&lt;/_type_work&gt;&lt;_url&gt;http://www.ncbi.nlm.nih.gov/entrez/query.fcgi?cmd=Retrieve&amp;amp;db=pubmed&amp;amp;dopt=Abstract&amp;amp;list_uids=37480104&amp;amp;query_hl=1&lt;/_url&gt;&lt;_volume&gt;42&lt;/_volume&gt;&lt;_created&gt;65089356&lt;/_created&gt;&lt;_modified&gt;65089356&lt;/_modified&gt;&lt;_impact_factor&gt;  12.658&lt;/_impact_factor&gt;&lt;_social_category&gt;医学(1)&lt;/_social_category&gt;&lt;_collection_scope&gt;SCIE&lt;/_collection_scope&gt;&lt;/Details&gt;&lt;Extra&gt;&lt;DBUID&gt;{F96A950B-833F-4880-A151-76DA2D6A2879}&lt;/DBUID&gt;&lt;/Extra&gt;&lt;/Item&gt;&lt;/References&gt;&lt;/Group&gt;&lt;/Citation&gt;_x000a_"/>
    <w:docVar w:name="NE.Ref{3A12B0F6-E4F2-4D14-BB14-6F5C551F2ED0}" w:val=" ADDIN NE.Ref.{3A12B0F6-E4F2-4D14-BB14-6F5C551F2ED0}&lt;Citation&gt;&lt;Group&gt;&lt;References&gt;&lt;Item&gt;&lt;ID&gt;5025&lt;/ID&gt;&lt;UID&gt;{78B5BC73-2FCE-45C8-9813-4AD5D20274FD}&lt;/UID&gt;&lt;Title&gt;Cost-effectiveness Analysis of Regorafenib and TAS-102 in Refractory Metastatic  Colorectal Cancer in the United States&lt;/Title&gt;&lt;Template&gt;Journal Article&lt;/Template&gt;&lt;Star&gt;0&lt;/Star&gt;&lt;Tag&gt;0&lt;/Tag&gt;&lt;Author&gt;Cho, S K; Hay, J W; Barzi, A&lt;/Author&gt;&lt;Year&gt;2018&lt;/Year&gt;&lt;Details&gt;&lt;_accession_num&gt;30228027&lt;/_accession_num&gt;&lt;_author_adr&gt;School of Pharmacy, University of Southern California, Los Angeles, CA.  Electronic address: sangkcho@usc.edu.; School of Pharmacy, University of Southern California, Los Angeles, CA.; Keck School of Medicine, University of Southern California, Los Angeles, CA.&lt;/_author_adr&gt;&lt;_date_display&gt;2018 Dec&lt;/_date_display&gt;&lt;_date&gt;2018-12-01&lt;/_date&gt;&lt;_doi&gt;10.1016/j.clcc.2018.08.003&lt;/_doi&gt;&lt;_isbn&gt;1938-0674 (Electronic); 1533-0028 (Linking)&lt;/_isbn&gt;&lt;_issue&gt;4&lt;/_issue&gt;&lt;_journal&gt;Clin Colorectal Cancer&lt;/_journal&gt;&lt;_keywords&gt;Colorectal cancer; Cost-effectiveness analysis; Regorafenib; Sensitivity analysis; TAS-102&lt;/_keywords&gt;&lt;_language&gt;eng&lt;/_language&gt;&lt;_ori_publication&gt;Copyright © 2018 Elsevier Inc. All rights reserved.&lt;/_ori_publication&gt;&lt;_pages&gt;e751-e761&lt;/_pages&gt;&lt;_subject_headings&gt;Antineoplastic Combined Chemotherapy Protocols/*economics/therapeutic use; Colorectal Neoplasms/drug therapy/*economics/pathology; *Cost-Benefit Analysis; Double-Blind Method; Drug Combinations; *Drug Resistance, Neoplasm; Follow-Up Studies; Humans; Liver Neoplasms/drug therapy/*economics/secondary; Markov Chains; Palliative Care/*economics; Phenylurea Compounds/administration &amp;amp; dosage; Prognosis; Pyridines/administration &amp;amp; dosage; Pyrrolidines; Quality-Adjusted Life Years; *Salvage Therapy; Survival Rate; Thymine; Trifluridine/administration &amp;amp; dosage; United States; Uracil/analogs &amp;amp; derivatives&lt;/_subject_headings&gt;&lt;_tertiary_title&gt;Clinical colorectal cancer&lt;/_tertiary_title&gt;&lt;_type_work&gt;Clinical Trial, Phase III; Journal Article; Multicenter Study; Randomized Controlled Trial&lt;/_type_work&gt;&lt;_url&gt;http://www.ncbi.nlm.nih.gov/entrez/query.fcgi?cmd=Retrieve&amp;amp;db=pubmed&amp;amp;dopt=Abstract&amp;amp;list_uids=30228027&amp;amp;query_hl=1&lt;/_url&gt;&lt;_volume&gt;17&lt;/_volume&gt;&lt;_created&gt;65329740&lt;/_created&gt;&lt;_modified&gt;65329740&lt;/_modified&gt;&lt;_impact_factor&gt;   3.400&lt;/_impact_factor&gt;&lt;_social_category&gt;肿瘤学(3)&lt;/_social_category&gt;&lt;_collection_scope&gt;SCIE&lt;/_collection_scope&gt;&lt;_accessed&gt;65330792&lt;/_accessed&gt;&lt;/Details&gt;&lt;Extra&gt;&lt;DBUID&gt;{F96A950B-833F-4880-A151-76DA2D6A2879}&lt;/DBUID&gt;&lt;/Extra&gt;&lt;/Item&gt;&lt;/References&gt;&lt;/Group&gt;&lt;/Citation&gt;_x000a_"/>
    <w:docVar w:name="NE.Ref{3A25B26D-7F17-40C2-BEF6-A16657287941}" w:val=" ADDIN NE.Ref.{3A25B26D-7F17-40C2-BEF6-A16657287941}&lt;Citation&gt;&lt;Group&gt;&lt;References&gt;&lt;Item&gt;&lt;ID&gt;46197&lt;/ID&gt;&lt;UID&gt;{E111597E-7B08-457B-AEBE-D0E78756A9EF}&lt;/UID&gt;&lt;Title&gt;Ensartinib vs Crizotinib for Patients With Anaplastic Lymphoma Kinase-Positive Non-Small Cell Lung Cancer: A Randomized Clinical Trial&lt;/Title&gt;&lt;Template&gt;Journal Article&lt;/Template&gt;&lt;Star&gt;0&lt;/Star&gt;&lt;Tag&gt;0&lt;/Tag&gt;&lt;Author&gt;Horn, L; Wang, Z; Wu, G; Poddubskaya, E; Mok, T; Reck, M; Wakelee, H; Chiappori, A A; Lee, D H; Breder, V; Orlov, S; Cicin, I; Cheng, Y; Liu, Y; Fan, Y; Whisenant, J G; Zhou, Y; Oertel, V; Harrow, K; Liang, C; Mao, L; Selvaggi, G; Wu, Y L&lt;/Author&gt;&lt;Year&gt;2021&lt;/Year&gt;&lt;Details&gt;&lt;_accessed&gt;64632481&lt;/_accessed&gt;&lt;_accession_num&gt;34473194&lt;/_accession_num&gt;&lt;_author_adr&gt;Division of Hematology and Oncology, Department of Medicine, Vanderbilt-Ingram Cancer Center, Nashville, Tennessee.; Now with Global Clinical Head for Lung Cancer and Lung Cancer Strategy, AstraZeneca, Nashville, Tennessee.; Department of Thoracic Medical Oncology, Peking University Cancer Hospital and Institute, Beijing, China.; Cancer Center, Union Hospital, Tongji Medical College, Huazhong University of Science and Technology, Wuhan, China.; Clinical Center for Oncology, I. M. Sechenov First Moscow State Medical University (Sechenov University), Moscow, Russia.; Clinical Center VitaMed, Moscow, Russia.; Department of Clinical Oncology, State Key Laboratory of Translational Oncology,  The Chinese University of Hong Kong, Hong Kong, China.; Lung Clinic, Airway Research Center North, German Center for Lung Research, Grosshansdorf, Germany.; Department of Medicine, Division of Oncology and Stanford Cancer Institute, Stanford University, Stanford, California.; Thoracic Oncology Program, Moffitt Cancer Center, Tampa, Florida.; Department of Oncology, University of Ulsan College of Medicine, Asan Medical Center, Seoul, South Korea.; Department of Chemotherapy No. 17, N. N. Blokhin Russian Cancer Research Center,  Moscow, Russia.; Department of Biochemistry, Pavlov First Saint Petersburg State Medical University, St Petersburg, Russia.; Department of Medical Oncology, Faculty of Medicine, Trakya University, Edirne, Turkey.; Department of Thoracic Oncology, Jilin Cancer Hospital, Changchun, China.; Department of Medical Oncology, The First Hospital of China Medical University, Shenyang, Liaoning, China.; Thoracic Tumor Center, Zhejiang Cancer Hospital, Hangzhou, China.; Division of Hematology and Oncology, Department of Medicine, Vanderbilt-Ingram Cancer Center, Nashville, Tennessee.; Biometrics, Xcovery Holdings Inc, Palm Beach Gardens, Florida.; Clinical Operations, Xcovery Holdings Inc, Palm Beach Gardens, Florida.; Clinical Operations, Xcovery Holdings Inc, Palm Beach Gardens, Florida.; Now with EQRx, Cambridge, Massachusetts.; Clinical Science, Xcovery Holdings Inc, Palm Beach Gardens, Florida.; Clinical Development, Xcovery Holdings Inc, Palm Beach Gardens, Florida.; Now with Sino Biopharmaceutical Ltd, Beijing, China.; Clinical Development, Xcovery Holdings Inc, Palm Beach Gardens, Florida.; Guangdong Lung Cancer Institute, Guangdong Provincial People&amp;apos;s Hospital and Guangdong Academy of Medical Sciences, Guangzhou, China.&lt;/_author_adr&gt;&lt;_collection_scope&gt;SCIE&lt;/_collection_scope&gt;&lt;_created&gt;64630949&lt;/_created&gt;&lt;_date&gt;2021-11-01&lt;/_date&gt;&lt;_date_display&gt;2021 Nov 1&lt;/_date_display&gt;&lt;_db_updated&gt;PubMed&lt;/_db_updated&gt;&lt;_doi&gt;10.1001/jamaoncol.2021.3523&lt;/_doi&gt;&lt;_impact_factor&gt;  33.006&lt;/_impact_factor&gt;&lt;_isbn&gt;2374-2445 (Electronic); 2374-2437 (Linking)&lt;/_isbn&gt;&lt;_issue&gt;11&lt;/_issue&gt;&lt;_journal&gt;JAMA Oncol&lt;/_journal&gt;&lt;_language&gt;eng&lt;/_language&gt;&lt;_modified&gt;64688891&lt;/_modified&gt;&lt;_pages&gt;1617-1625&lt;/_pages&gt;&lt;_social_category&gt;医学(1)&lt;/_social_category&gt;&lt;_subject_headings&gt;Adolescent; Adult; Anaplastic Lymphoma Kinase; *Carcinoma, Non-Small-Cell Lung/pathology; Crizotinib/adverse effects; Humans; *Lung Neoplasms/pathology; Male; Middle Aged; Piperazines; Protein Kinase Inhibitors/adverse effects; Pyridazines&lt;/_subject_headings&gt;&lt;_tertiary_title&gt;JAMA oncology&lt;/_tertiary_title&gt;&lt;_type_work&gt;Journal Article; Multicenter Study; Randomized Controlled Trial; Research Support, Non-U.S. Gov&amp;apos;t&lt;/_type_work&gt;&lt;_url&gt;http://www.ncbi.nlm.nih.gov/entrez/query.fcgi?cmd=Retrieve&amp;amp;db=pubmed&amp;amp;dopt=Abstract&amp;amp;list_uids=34473194&amp;amp;query_hl=1&lt;/_url&gt;&lt;_volume&gt;7&lt;/_volume&gt;&lt;/Details&gt;&lt;Extra&gt;&lt;DBUID&gt;{F96A950B-833F-4880-A151-76DA2D6A2879}&lt;/DBUID&gt;&lt;/Extra&gt;&lt;/Item&gt;&lt;/References&gt;&lt;/Group&gt;&lt;/Citation&gt;_x000a_"/>
    <w:docVar w:name="NE.Ref{3A266CF1-2176-40D9-B59E-3657B552190D}" w:val=" ADDIN NE.Ref.{3A266CF1-2176-40D9-B59E-3657B552190D}&lt;Citation&gt;&lt;Group&gt;&lt;References&gt;&lt;Item&gt;&lt;ID&gt;46226&lt;/ID&gt;&lt;UID&gt;{654D1673-5E38-4A77-BA65-1E0B70E57408}&lt;/UID&gt;&lt;Title&gt;Updated overall survival and final progression-free survival data for patients  with treatment-naive advanced ALK-positive non-small-cell lung cancer in the ALEX  study&lt;/Title&gt;&lt;Template&gt;Journal Article&lt;/Template&gt;&lt;Star&gt;0&lt;/Star&gt;&lt;Tag&gt;0&lt;/Tag&gt;&lt;Author&gt;Mok, T; Camidge, D R; Gadgeel, S M; Rosell, R; Dziadziuszko, R; Kim, D W; Perol, M; Ou, S I; Ahn, J S; Shaw, A T; Bordogna, W; Smoljanovic, V; Hilton, M; Ruf, T; Noe, J; Peters, S&lt;/Author&gt;&lt;Year&gt;2020&lt;/Year&gt;&lt;Details&gt;&lt;_accession_num&gt;32418886&lt;/_accession_num&gt;&lt;_author_adr&gt;State Key Laboratory of Translational Oncology, Chinese University of Hong Kong,  Shatin, NT, Hong Kong.; University of Colorado, Denver, USA.; Department of Internal Medicine, Rogel Cancer Center/University of Michigan, Ann  Arbor, USA.; Catalan Institute of Oncology, Barcelona, Spain.; Department of Oncology and Radiotherapy, Medical University of Gdansk, Gdansk,  Poland.; Seoul National University Hospital, Seoul, South Korea.; Department of Medical Oncology, Leon Berard Cancer Center, Lyon, France.; Chao Family Comprehensive Cancer Center, University of California, Irvine, USA.; Samsung Medical Center, Sungkyunkwan University School of Medicine, Seoul, South  Korea.; Massachusetts General Hospital, Boston, USA.; F. Hoffmann-La Roche Ltd, Basel, Switzerland.; F. Hoffmann-La Roche Ltd, Basel, Switzerland.; F. Hoffmann-La Roche Ltd, Basel, Switzerland.; F. Hoffmann-La Roche Ltd, Basel, Switzerland.; F. Hoffmann-La Roche Ltd, Basel, Switzerland.; Lausanne University Hospital, Centre Hospitalier Universitaire Vaudois (CHUV),  Lausanne, Switzerland. Electronic address: solange.peters@chuv.ch.&lt;/_author_adr&gt;&lt;_date_display&gt;2020 Aug&lt;/_date_display&gt;&lt;_date&gt;2020-08-01&lt;/_date&gt;&lt;_doi&gt;10.1016/j.annonc.2020.04.478&lt;/_doi&gt;&lt;_isbn&gt;1569-8041 (Electronic); 0923-7534 (Linking)&lt;/_isbn&gt;&lt;_issue&gt;8&lt;/_issue&gt;&lt;_journal&gt;Ann Oncol&lt;/_journal&gt;&lt;_keywords&gt;ALK-positive; alectinib; crizotinib; non-small-cell lung cancer; overall survival; progression-free survival&lt;/_keywords&gt;&lt;_language&gt;eng&lt;/_language&gt;&lt;_ori_publication&gt;Copyright (c) 2020 The Authors. Published by Elsevier Ltd.. All rights reserved.&lt;/_ori_publication&gt;&lt;_pages&gt;1056-1064&lt;/_pages&gt;&lt;_subject_headings&gt;Anaplastic Lymphoma Kinase/genetics; *Carcinoma, Non-Small-Cell Lung/drug therapy/genetics; *Crizotinib/therapeutic use; Humans; *Lung Neoplasms/drug therapy/genetics; Progression-Free Survival; Protein Kinase Inhibitors/therapeutic use&lt;/_subject_headings&gt;&lt;_tertiary_title&gt;Annals of oncology : official journal of the European Society for Medical _x000d__x000a_      Oncology&lt;/_tertiary_title&gt;&lt;_type_work&gt;Journal Article; Randomized Controlled Trial; Research Support, Non-U.S. Gov&amp;apos;t&lt;/_type_work&gt;&lt;_url&gt;http://www.ncbi.nlm.nih.gov/entrez/query.fcgi?cmd=Retrieve&amp;amp;db=pubmed&amp;amp;dopt=Abstract&amp;amp;list_uids=32418886&amp;amp;query_hl=1&lt;/_url&gt;&lt;_volume&gt;31&lt;/_volume&gt;&lt;_created&gt;64688895&lt;/_created&gt;&lt;_modified&gt;64688895&lt;/_modified&gt;&lt;_db_updated&gt;PubMed&lt;/_db_updated&gt;&lt;_impact_factor&gt;  32.976&lt;/_impact_factor&gt;&lt;_collection_scope&gt;SCI;SCIE&lt;/_collection_scope&gt;&lt;/Details&gt;&lt;Extra&gt;&lt;DBUID&gt;{F96A950B-833F-4880-A151-76DA2D6A2879}&lt;/DBUID&gt;&lt;/Extra&gt;&lt;/Item&gt;&lt;/References&gt;&lt;/Group&gt;&lt;/Citation&gt;_x000a_"/>
    <w:docVar w:name="NE.Ref{3B284EA2-7F62-44E7-8591-AF7A970AD504}" w:val=" ADDIN NE.Ref.{3B284EA2-7F62-44E7-8591-AF7A970AD504}&lt;Citation&gt;&lt;Group&gt;&lt;References&gt;&lt;Item&gt;&lt;ID&gt;4685&lt;/ID&gt;&lt;UID&gt;{A7FCD3B3-59A3-41D1-9191-8CADE8916DA6}&lt;/UID&gt;&lt;Title&gt;How health-related quality of life assessment should be used in advanced  colorectal cancer clinical trials&lt;/Title&gt;&lt;Template&gt;Journal Article&lt;/Template&gt;&lt;Star&gt;0&lt;/Star&gt;&lt;Tag&gt;0&lt;/Tag&gt;&lt;Author&gt;Bonnetain, F; Borg, C; Adams, R R; Ajani, J A; Benson, A; Bleiberg, H; Chibaudel, B; Diaz-Rubio, E; Douillard, J Y; Fuchs, C S; Giantonio, B J; Goldberg, R; Heinemann, V; Koopman, M; Labianca, R; Larsen, A K; Maughan, T; Mitchell, E; Peeters, M; Punt, CJA; Schmoll, H J; Tournigand, C; de Gramont, A&lt;/Author&gt;&lt;Year&gt;2017&lt;/Year&gt;&lt;Details&gt;&lt;_accession_num&gt;28430862&lt;/_accession_num&gt;&lt;_author_adr&gt;Methodology and Quality of Life Unit, Oncology Department (INSERM UMR 1098),  Quality of Life and Cancer Clinical Research Platform.; Department of Medical Oncology, University Hospital of Besançon, Besançon.; Centre d&amp;apos;Investigation Clinique en Biothérapie, CIC-1431, Nantes.; 11UMR1098 INSERM/Université de Franche Comté/Etablissement Français du Sang,  Besançon.; Department of Oncology, University Hospital of Besançon, Besançon, France.; Cardiff University and Velindre Cancer Centre, Cardiff, UK.; Department of Gastrointestinal Medical Oncology, The University of Texas MD  Anderson Cancer Center, Houston.; Division of Hematology/Oncology, Northwestern Medical Group, Chicago, USA.; Montagne de Saint Job, Brussels, Belgium.; Institut Hospitalier Franco-Britannique, Levallois-Perret, France.; Medical Oncology Department, Hospital Clínico San Carlos, Madrid, Spain.; Medical Oncology, Institut de Cancérologie de l&amp;apos;Ouest (ICO), Nantes St-Herblain,  France.; Department of Medical Oncology, Dana-Farber Cancer Institute, Boston.; Division of Hematology/Oncology, Department of Medicine, University of  Pennsylvania, Philadelphia.; Department of Medicine, The Ohio State University Comprehensive Cancer  Center-James Cancer Hospital and Solove Research Institute, Columbus, USA.; Department of Internal Medicine III and Comprehensive Cancer Center, Klinikum  Grosshadern, Ludwig-Maximilians-University of Munich, Munich, Germany.; Department of Medical Oncology, University Medical Center Utrecht, Utrecht, The  Netherlands.; Cancer Center, Ospedale Giovanni XXIII, Bergamo, Italy.; Cancer Biology and Therapeutics, INSERM and Université Pierre et Marie Curie,  Hôpital Saint-Antoine, Paris, France.; CRUK/MRC Oxford Institute for Radiation Oncology, Gray Laboratories, University  of Oxford, Oxford, UK.; Department of Medical Oncology, Thomas Jefferson University, Philadelphia, USA.; Department of Oncology, Center for Oncological Research Antwerp, Antwerp  University Hospital, University of Antwerp, Antwerp, Belgium.; Department of Medical Oncology, Academic Medical Centre, University of Amsterdam,  Amsterdam, The Netherlands.; Department of Internal Medicine IV, University Clinic Halle,  Martin-Luther-University Halle-Wittenberg, Halle, Germany.; Department of Oncology, University of Paris Est Creteil; APHP, Henri-Mondor  Hospital, Créteil, France.; Institut Hospitalier Franco-Britannique, Levallois-Perret, France.&lt;/_author_adr&gt;&lt;_date_display&gt;2017 Sep 1&lt;/_date_display&gt;&lt;_date&gt;2017-09-01&lt;/_date&gt;&lt;_doi&gt;10.1093/annonc/mdx191&lt;/_doi&gt;&lt;_isbn&gt;1569-8041 (Electronic); 0923-7534 (Linking)&lt;/_isbn&gt;&lt;_issue&gt;9&lt;/_issue&gt;&lt;_journal&gt;Ann Oncol&lt;/_journal&gt;&lt;_keywords&gt;clinical trial; colorectal cancer; end point; health-related quality of life; longitudinal; methodology&lt;/_keywords&gt;&lt;_language&gt;eng&lt;/_language&gt;&lt;_ori_publication&gt;© The Author 2017. Published by Oxford University Press on behalf of the European _x000d__x000a_      Society for Medical Oncology. All rights reserved. For permissions, please email: _x000d__x000a_      journals.permissions@oup.com.&lt;/_ori_publication&gt;&lt;_pages&gt;2077-2085&lt;/_pages&gt;&lt;_subject_headings&gt;*Clinical Trials as Topic; Colorectal Neoplasms/physiopathology/*therapy; Disease-Free Survival; Humans; *Quality of Life&lt;/_subject_headings&gt;&lt;_tertiary_title&gt;Annals of oncology : official journal of the European Society for Medical _x000d__x000a_      Oncology&lt;/_tertiary_title&gt;&lt;_type_work&gt;Journal Article; Review&lt;/_type_work&gt;&lt;_url&gt;http://www.ncbi.nlm.nih.gov/entrez/query.fcgi?cmd=Retrieve&amp;amp;db=pubmed&amp;amp;dopt=Abstract&amp;amp;list_uids=28430862&amp;amp;query_hl=1&lt;/_url&gt;&lt;_volume&gt;28&lt;/_volume&gt;&lt;_created&gt;65020267&lt;/_created&gt;&lt;_modified&gt;65020267&lt;/_modified&gt;&lt;_impact_factor&gt;  51.769&lt;/_impact_factor&gt;&lt;_social_category&gt;医学(1)&lt;/_social_category&gt;&lt;_collection_scope&gt;SCIE&lt;/_collection_scope&gt;&lt;/Details&gt;&lt;Extra&gt;&lt;DBUID&gt;{F96A950B-833F-4880-A151-76DA2D6A2879}&lt;/DBUID&gt;&lt;/Extra&gt;&lt;/Item&gt;&lt;/References&gt;&lt;/Group&gt;&lt;/Citation&gt;_x000a_"/>
    <w:docVar w:name="NE.Ref{3B433D98-0F70-4042-A277-D7511D19F6B9}" w:val=" ADDIN NE.Ref.{3B433D98-0F70-4042-A277-D7511D19F6B9}&lt;Citation&gt;&lt;Group&gt;&lt;References&gt;&lt;Item&gt;&lt;ID&gt;5038&lt;/ID&gt;&lt;UID&gt;{E1AFF1CE-834F-47CD-AB65-9B4E05D6B565}&lt;/UID&gt;&lt;Title&gt;Effect of Fruquintinib vs Placebo on Overall Survival in Patients With Previously  Treated Metastatic Colorectal Cancer: The FRESCO Randomized Clinical Trial&lt;/Title&gt;&lt;Template&gt;Journal Article&lt;/Template&gt;&lt;Star&gt;0&lt;/Star&gt;&lt;Tag&gt;0&lt;/Tag&gt;&lt;Author&gt;Li, J; Qin, S; Xu, R H; Shen, L; Xu, J; Bai, Y; Yang, L; Deng, Y; Chen, Z D; Zhong, H; Pan, H; Guo, W; Shu, Y; Yuan, Y; Zhou, J; Xu, N; Liu, T; Ma, D; Wu, C; Cheng, Y; Chen, D; Li, W; Sun, S; Yu, Z; Cao, P; Chen, H; Wang, J; Wang, S; Wang, H; Fan, S; Hua, Y; Su, W&lt;/Author&gt;&lt;Year&gt;2018&lt;/Year&gt;&lt;Details&gt;&lt;_accession_num&gt;29946728&lt;/_accession_num&gt;&lt;_author_adr&gt;Department of Medical Oncology, Tongji University Shanghai East Hospital,  Shanghai, China.; Department of Medical Oncology, Shanghai Medical College, Fudan University  Shanghai Cancer Center, Shanghai, China.; Department of Medical Oncology, Nanjing Chinese Medicine University-Affiliated  Bayi Hospital, Nanjing, China.; Department of Medical Oncology, Sun Yat-sen University Cancer Center, State Key  Laboratory of Oncology in South China, Guangzhou, China.; Collaborative Innovation Center for Cancer Medicine, Guangzhou, China.; Department of Medical Oncology, Beijing University Cancer Center, Beijing, China.; Department of Medical Oncology, 307th Hospital of Chinese People&amp;apos;s Liberation  Army, The Affiliated Hospital of Military Medical Sciences, Beijing, China.; Department of Medical Oncology, Harbin Medical University Cancer Hospital,  Harbin, China.; Department of Medical Oncology, Nantong Cancer Hospital, Nantong, China.; Department of Medical Oncology, The Sixth Affiliated Hospital of Sun Yat-sen  University, Guangzhou, China.; Department of Medical Oncology, The Second Hospital of Anhui Medical University,  Hefei, China.; Department of Medical Oncology, Zhejiang Cancer Hospital, Hangzhou, China.; Department of Medical Oncology, Sir RunRun Shaw Hospital, College of Medicine,  Zhejiang University, Hangzhou, China.; Department of Medical Oncology, Shanghai Medical College, Fudan University  Shanghai Cancer Center, Shanghai, China.; Department of Medical Oncology, Jiangsu Provincial Hospital, Nanjing, China.; Department of Medical Oncology, The Second Affiliated Hospital of Zhejiang  University School of Medicine, Hangzhou, China.; Department of Medical Oncology, Peking Union Medical College Hospital, Beijing,  China.; Department of Medical Oncology, The First Affiliated Hospital of Zhejiang  University School of Medicine, Hangzhou, China.; Department of Medical Oncology, Fudan University Zhongshan Hospital, Shanghai  Medical College, Shanghai, China.; Department of Medical Oncology, Guangdong General Hospital, Guangzhou, China.; Department of Medical Oncology, The First People&amp;apos;s Hospital of Changzhou,  Changzhou, China.; Department of Medical Oncology, Jilin Province Cancer Hospital, Changchun, China.; Department of Medical Oncology, Shanghai Jiaotong University Affiliated First  People&amp;apos;s Hospital, Shanghai, China.; Department of Medical Oncology, The First Hospital of Jilin University,  Changchun, China.; Department of Medical Oncology, Xuzhou Central Hospital, Xuzhou, China.; Department of Medical Oncology, The Affiliated Hospital of Medical College  Qingdao University, Qingdao, China.; Department of Medical Oncology, The Third Xiangya Hospital of Central South  University, Changsha, China.; Department of Medical Oncology, Liuzhou Worker&amp;apos;s Hospital, Liuzhou, China.; Department of Medical Oncology, Shanghai Changzheng Hospital, The Second Military  Medical University, Shanghai, China.; Department of Medical Oncology, Peking University Shenzhen Hospital, Beijing  University, Shenzhen, China.; Department of Medical Oncology, The Affiliated Hospital of Xuzhou Medical  College, Xuzhou Medical College, Xuzhou, China.; Hutchison MediPharma Ltd, Shanghai, China.; Hutchison MediPharma Ltd, Shanghai, China.; Hutchison MediPharma Ltd, Shanghai, China.&lt;/_author_adr&gt;&lt;_date_display&gt;2018 Jun 26&lt;/_date_display&gt;&lt;_date&gt;2018-06-26&lt;/_date&gt;&lt;_doi&gt;10.1001/jama.2018.7855&lt;/_doi&gt;&lt;_isbn&gt;1538-3598 (Electronic); 0098-7484 (Print); 0098-7484 (Linking)&lt;/_isbn&gt;&lt;_issue&gt;24&lt;/_issue&gt;&lt;_journal&gt;JAMA&lt;/_journal&gt;&lt;_language&gt;eng&lt;/_language&gt;&lt;_pages&gt;2486-2496&lt;/_pages&gt;&lt;_subject_headings&gt;Adult; Aged; Aged, 80 and over; Antineoplastic Combined Chemotherapy Protocols/adverse effects/*therapeutic use; Benzofurans/*administration &amp;amp; dosage/adverse effects; China; Colorectal Neoplasms/*drug therapy/mortality/pathology/therapy; Combined Modality Therapy; Double-Blind Method; Female; Humans; Intention to Treat Analysis; Male; Middle Aged; Quinazolines/*administration &amp;amp; dosage/adverse effects; Survival Analysis; Vascular Endothelial Growth Factor A/*antagonists &amp;amp; inhibitors; Young Adult&lt;/_subject_headings&gt;&lt;_tertiary_title&gt;JAMA&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946728&amp;amp;query_hl=1&lt;/_url&gt;&lt;_volume&gt;319&lt;/_volume&gt;&lt;_created&gt;65329740&lt;/_created&gt;&lt;_modified&gt;65329740&lt;/_modified&gt;&lt;_impact_factor&gt; 120.700&lt;/_impact_factor&gt;&lt;_social_category&gt;医学：内科(1)&lt;/_social_category&gt;&lt;_collection_scope&gt;SCIE&lt;/_collection_scope&gt;&lt;_accessed&gt;65330873&lt;/_accessed&gt;&lt;/Details&gt;&lt;Extra&gt;&lt;DBUID&gt;{F96A950B-833F-4880-A151-76DA2D6A2879}&lt;/DBUID&gt;&lt;/Extra&gt;&lt;/Item&gt;&lt;/References&gt;&lt;/Group&gt;&lt;/Citation&gt;_x000a_"/>
    <w:docVar w:name="NE.Ref{3BF21C54-523F-4C4F-BE21-0E513835A18C}" w:val=" ADDIN NE.Ref.{3BF21C54-523F-4C4F-BE21-0E513835A18C}&lt;Citation&gt;&lt;Group&gt;&lt;References&gt;&lt;Item&gt;&lt;ID&gt;46230&lt;/ID&gt;&lt;UID&gt;{95361737-E32C-492A-A577-8C42173F82FC}&lt;/UID&gt;&lt;Title&gt;Final efficacy and safety data, and exploratory molecular profiling from the  phase III ALUR study of alectinib versus chemotherapy in crizotinib-pretreated  ALK-positive non-small-cell lung cancer&lt;/Title&gt;&lt;Template&gt;Journal Article&lt;/Template&gt;&lt;Star&gt;0&lt;/Star&gt;&lt;Tag&gt;0&lt;/Tag&gt;&lt;Author&gt;Wolf, J; Helland, A; Oh, I J; Migliorino, M R; Dziadziuszko, R; Wrona, A; de Castro, J; Mazieres, J; Griesinger, F; Chlistalla, M; Cardona, A; Ruf, T; Trunzer, K; Smoljanovic, V; Novello, S&lt;/Author&gt;&lt;Year&gt;2022&lt;/Year&gt;&lt;Details&gt;&lt;_accession_num&gt;35042152&lt;/_accession_num&gt;&lt;_author_adr&gt;Department I of Internal Medicine, Center for Integrated Oncology, University  Hospital Cologne, Cologne, Germany.; Department of Cancer Genetics and Department of Oncology, Institute for Cancer  Research, Oslo University Hospital, University of Oslo, Oslo, Norway.; Department of Internal Medicine, Chonnam National University Medical School,  Hwasun-gun Jeollanam-do, Republic of Korea.; Pulmonary Oncology Unit, Azienda Ospedaliera San Camillo Forlanini Hospital,  Rome, Italy.; Department of Oncology and Radiotherapy, Medical University of Gdansk, Gdansk,  Poland.; Department of Oncology and Radiotherapy, Medical University of Gdansk, Gdansk,  Poland.; Department of Medical Oncology, La Paz University Hospital, IdiPAZ, Madrid,  Spain.; Department of Pneumology, Toulouse University Hospital, Paul Sabatier University,  Toulouse, France.; Department of Hematology and Oncology, Pius Hospital, University Medicine  Oldenburg, Oldenburg, Germany.; F. Hoffmann-La Roche Ltd., Basel, Switzerland.; F. Hoffmann-La Roche Ltd., Basel, Switzerland.; F. Hoffmann-La Roche Ltd., Basel, Switzerland.; F. Hoffmann-La Roche Ltd., Basel, Switzerland.; F. Hoffmann-La Roche Ltd., Basel, Switzerland.; Department of Oncology, University of Turin, Orbassano, Italy. Electronic  address: silvia.novello@unito.it.&lt;/_author_adr&gt;&lt;_date_display&gt;2022 Feb&lt;/_date_display&gt;&lt;_date&gt;2022-02-01&lt;/_date&gt;&lt;_doi&gt;10.1016/j.esmoop.2021.100333&lt;/_doi&gt;&lt;_isbn&gt;2059-7029 (Electronic); 2059-7029 (Linking)&lt;/_isbn&gt;&lt;_issue&gt;1&lt;/_issue&gt;&lt;_journal&gt;ESMO Open&lt;/_journal&gt;&lt;_keywords&gt;ALK-positive NSCLC; ALUR; TP53; alectinib; chemotherapy&lt;/_keywords&gt;&lt;_language&gt;eng&lt;/_language&gt;&lt;_ori_publication&gt;Copyright (c) 2021 The Authors. Published by Elsevier Ltd.. All rights reserved.&lt;/_ori_publication&gt;&lt;_pages&gt;100333&lt;/_pages&gt;&lt;_subject_headings&gt;Anaplastic Lymphoma Kinase/genetics; Carbazoles; *Carcinoma, Non-Small-Cell Lung/drug therapy/genetics/pathology; Crizotinib/adverse effects; Humans; *Lung Neoplasms/drug therapy/genetics/pathology; Piperidines&lt;/_subject_headings&gt;&lt;_tertiary_title&gt;ESMO open&lt;/_tertiary_title&gt;&lt;_type_work&gt;Journal Article; Randomized Controlled Trial; Research Support, Non-U.S. Gov&amp;apos;t&lt;/_type_work&gt;&lt;_url&gt;http://www.ncbi.nlm.nih.gov/entrez/query.fcgi?cmd=Retrieve&amp;amp;db=pubmed&amp;amp;dopt=Abstract&amp;amp;list_uids=35042152&amp;amp;query_hl=1&lt;/_url&gt;&lt;_volume&gt;7&lt;/_volume&gt;&lt;_created&gt;64688902&lt;/_created&gt;&lt;_modified&gt;64688902&lt;/_modified&gt;&lt;_db_updated&gt;PubMed&lt;/_db_updated&gt;&lt;_impact_factor&gt;   6.540&lt;/_impact_factor&gt;&lt;/Details&gt;&lt;Extra&gt;&lt;DBUID&gt;{F96A950B-833F-4880-A151-76DA2D6A2879}&lt;/DBUID&gt;&lt;/Extra&gt;&lt;/Item&gt;&lt;/References&gt;&lt;/Group&gt;&lt;/Citation&gt;_x000a_"/>
    <w:docVar w:name="NE.Ref{3CDACA20-C78B-43D1-9241-8D87D05D56A8}" w:val=" ADDIN NE.Ref.{3CDACA20-C78B-43D1-9241-8D87D05D56A8}&lt;Citation&gt;&lt;Group&gt;&lt;References&gt;&lt;Item&gt;&lt;ID&gt;5021&lt;/ID&gt;&lt;UID&gt;{FC01DC97-7D4C-4C9D-9151-12C0AE958C20}&lt;/UID&gt;&lt;Title&gt;National Institute for Health and Care Excellence. Regorafenib for previously treated metastatic colorectal cancer [ID4002]. https://www.nice.org.uk/guidance(Accessed Feb 2, 2024).&lt;/Title&gt;&lt;Template&gt;Web Page&lt;/Template&gt;&lt;Star&gt;0&lt;/Star&gt;&lt;Tag&gt;0&lt;/Tag&gt;&lt;Author/&gt;&lt;Year&gt;0&lt;/Year&gt;&lt;Details&gt;&lt;_accessed&gt;65330793&lt;/_accessed&gt;&lt;_created&gt;65329711&lt;/_created&gt;&lt;_modified&gt;65329715&lt;/_modified&gt;&lt;/Details&gt;&lt;Extra&gt;&lt;DBUID&gt;{F96A950B-833F-4880-A151-76DA2D6A2879}&lt;/DBUID&gt;&lt;/Extra&gt;&lt;/Item&gt;&lt;/References&gt;&lt;/Group&gt;&lt;/Citation&gt;_x000a_"/>
    <w:docVar w:name="NE.Ref{3CF42F3B-F56C-4270-86EB-B24D2A168540}" w:val=" ADDIN NE.Ref.{3CF42F3B-F56C-4270-86EB-B24D2A168540}&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3D913453-B2B2-4E76-9046-695062C8F088}" w:val=" ADDIN NE.Ref.{3D913453-B2B2-4E76-9046-695062C8F088}&lt;Citation&gt;&lt;Group&gt;&lt;References&gt;&lt;Item&gt;&lt;ID&gt;5040&lt;/ID&gt;&lt;UID&gt;{717BD1CF-CD3B-48EC-B523-80C0C3A00305}&lt;/UID&gt;&lt;Title&gt;Health state utilities for metastatic breast cancer&lt;/Title&gt;&lt;Template&gt;Journal Article&lt;/Template&gt;&lt;Star&gt;0&lt;/Star&gt;&lt;Tag&gt;0&lt;/Tag&gt;&lt;Author&gt;Lloyd, A; Nafees, B; Narewska, J; Dewilde, S; Watkins, J&lt;/Author&gt;&lt;Year&gt;2006&lt;/Year&gt;&lt;Details&gt;&lt;_accession_num&gt;16967055&lt;/_accession_num&gt;&lt;_author_adr&gt;United BioSource Corporation, 20 Bloomsbury Square, London WC1A 2NS, UK.  andrew.lloyd@unitedbiosource.com&lt;/_author_adr&gt;&lt;_date_display&gt;2006 Sep 18&lt;/_date_display&gt;&lt;_date&gt;2006-09-18&lt;/_date&gt;&lt;_doi&gt;10.1038/sj.bjc.6603326&lt;/_doi&gt;&lt;_isbn&gt;0007-0920 (Print); 1532-1827 (Electronic); 0007-0920 (Linking)&lt;/_isbn&gt;&lt;_issue&gt;6&lt;/_issue&gt;&lt;_journal&gt;Br J Cancer&lt;/_journal&gt;&lt;_language&gt;eng&lt;/_language&gt;&lt;_pages&gt;683-90&lt;/_pages&gt;&lt;_subject_headings&gt;Adult; Age Factors; *Attitude to Health; Breast Neoplasms/drug therapy/epidemiology/*psychology; Disease Progression; Female; *Health Status; Humans; Male; Pilot Projects; *Quality of Life; Recurrence; Sex Factors; *Sickness Impact Profile; United Kingdom/epidemiology&lt;/_subject_headings&gt;&lt;_tertiary_title&gt;British journal of cancer&lt;/_tertiary_title&gt;&lt;_type_work&gt;Comparative Study; Journal Article&lt;/_type_work&gt;&lt;_url&gt;http://www.ncbi.nlm.nih.gov/entrez/query.fcgi?cmd=Retrieve&amp;amp;db=pubmed&amp;amp;dopt=Abstract&amp;amp;list_uids=16967055&amp;amp;query_hl=1&lt;/_url&gt;&lt;_volume&gt;95&lt;/_volume&gt;&lt;_created&gt;65329740&lt;/_created&gt;&lt;_modified&gt;65329740&lt;/_modified&gt;&lt;_impact_factor&gt;   8.800&lt;/_impact_factor&gt;&lt;_social_category&gt;肿瘤学(2)&lt;/_social_category&gt;&lt;_collection_scope&gt;SCIE&lt;/_collection_scope&gt;&lt;_accessed&gt;65330884&lt;/_accessed&gt;&lt;/Details&gt;&lt;Extra&gt;&lt;DBUID&gt;{F96A950B-833F-4880-A151-76DA2D6A2879}&lt;/DBUID&gt;&lt;/Extra&gt;&lt;/Item&gt;&lt;/References&gt;&lt;/Group&gt;&lt;/Citation&gt;_x000a_"/>
    <w:docVar w:name="NE.Ref{3DA666E1-E3C7-4EA2-BF18-6BF82A7AF70D}" w:val=" ADDIN NE.Ref.{3DA666E1-E3C7-4EA2-BF18-6BF82A7AF70D}&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Citation&gt;_x000a_"/>
    <w:docVar w:name="NE.Ref{3EA0E4C6-C98C-49AD-B801-C226918AA8B4}" w:val=" ADDIN NE.Ref.{3EA0E4C6-C98C-49AD-B801-C226918AA8B4}&lt;Citation&gt;&lt;Group&gt;&lt;References&gt;&lt;Item&gt;&lt;ID&gt;46225&lt;/ID&gt;&lt;UID&gt;{A04C6318-C1B5-42A2-A035-5CF0A4FA80BF}&lt;/UID&gt;&lt;Title&gt;Network meta-analysis of survival data with fractional polynomials&lt;/Title&gt;&lt;Template&gt;Journal Article&lt;/Template&gt;&lt;Star&gt;0&lt;/Star&gt;&lt;Tag&gt;0&lt;/Tag&gt;&lt;Author&gt;Jansen, J P&lt;/Author&gt;&lt;Year&gt;2011&lt;/Year&gt;&lt;Details&gt;&lt;_accession_num&gt;21548941&lt;/_accession_num&gt;&lt;_author_adr&gt;Mapi Values, Boston, USA. jeroen.jansen@mapivalues.com&lt;/_author_adr&gt;&lt;_date_display&gt;2011 May 6&lt;/_date_display&gt;&lt;_date&gt;2011-05-06&lt;/_date&gt;&lt;_doi&gt;10.1186/1471-2288-11-61&lt;/_doi&gt;&lt;_isbn&gt;1471-2288 (Electronic); 1471-2288 (Linking)&lt;/_isbn&gt;&lt;_journal&gt;BMC Med Res Methodol&lt;/_journal&gt;&lt;_language&gt;eng&lt;/_language&gt;&lt;_pages&gt;61&lt;/_pages&gt;&lt;_subject_headings&gt;Carcinoma, Non-Small-Cell Lung/*mortality; Cost-Benefit Analysis; Humans; Kaplan-Meier Estimate; *Models, Statistical; Proportional Hazards Models; Randomized Controlled Trials as Topic/*statistics &amp;amp; numerical data; Survival Analysis; Treatment Outcome&lt;/_subject_headings&gt;&lt;_tertiary_title&gt;BMC medical research methodology&lt;/_tertiary_title&gt;&lt;_type_work&gt;Journal Article; Meta-Analysis&lt;/_type_work&gt;&lt;_url&gt;http://www.ncbi.nlm.nih.gov/entrez/query.fcgi?cmd=Retrieve&amp;amp;db=pubmed&amp;amp;dopt=Abstract&amp;amp;list_uids=21548941&amp;amp;query_hl=1&lt;/_url&gt;&lt;_volume&gt;11&lt;/_volume&gt;&lt;_created&gt;64323349&lt;/_created&gt;&lt;_modified&gt;64688891&lt;/_modified&gt;&lt;_impact_factor&gt;   4.612&lt;/_impact_factor&gt;&lt;_collection_scope&gt;SCIE&lt;/_collection_scope&gt;&lt;_accessed&gt;64323354&lt;/_accessed&gt;&lt;_social_category&gt;医学(3)&lt;/_social_category&gt;&lt;/Details&gt;&lt;Extra&gt;&lt;DBUID&gt;{F96A950B-833F-4880-A151-76DA2D6A2879}&lt;/DBUID&gt;&lt;/Extra&gt;&lt;/Item&gt;&lt;/References&gt;&lt;/Group&gt;&lt;/Citation&gt;_x000a_"/>
    <w:docVar w:name="NE.Ref{3EAEC81E-71F1-4479-B8E9-A885ADC55DC0}" w:val=" ADDIN NE.Ref.{3EAEC81E-71F1-4479-B8E9-A885ADC55DC0}&lt;Citation&gt;&lt;Group&gt;&lt;References&gt;&lt;Item&gt;&lt;ID&gt;46218&lt;/ID&gt;&lt;UID&gt;{B7477FFC-74E2-44FD-8314-FBE0D3BEDC65}&lt;/UID&gt;&lt;Title&gt;Nonproportional Hazards in Network Meta-Analysis: Efficient Strategies for Model Building and Analysis&lt;/Title&gt;&lt;Template&gt;Journal Article&lt;/Template&gt;&lt;Star&gt;0&lt;/Star&gt;&lt;Tag&gt;0&lt;/Tag&gt;&lt;Author&gt;Wiksten, A; Hawkins, N; Piepho, H P; Gsteiger, S&lt;/Author&gt;&lt;Year&gt;2020&lt;/Year&gt;&lt;Details&gt;&lt;_issue&gt;7&lt;/_issue&gt;&lt;_journal&gt;Value in Health&lt;/_journal&gt;&lt;_volume&gt;23&lt;/_volume&gt;&lt;_created&gt;64323399&lt;/_created&gt;&lt;_modified&gt;64688891&lt;/_modified&gt;&lt;_impact_factor&gt;   5.101&lt;/_impact_factor&gt;&lt;_collection_scope&gt;SCIE;SSCI&lt;/_collection_scope&gt;&lt;_accessed&gt;64323399&lt;/_accessed&gt;&lt;_social_category&gt;医学(2)&lt;/_social_category&gt;&lt;/Details&gt;&lt;Extra&gt;&lt;DBUID&gt;{F96A950B-833F-4880-A151-76DA2D6A2879}&lt;/DBUID&gt;&lt;/Extra&gt;&lt;/Item&gt;&lt;/References&gt;&lt;/Group&gt;&lt;/Citation&gt;_x000a_"/>
    <w:docVar w:name="NE.Ref{3F4A93F8-9BBE-4802-B46A-02DB8AAF07C1}" w:val=" ADDIN NE.Ref.{3F4A93F8-9BBE-4802-B46A-02DB8AAF07C1}&lt;Citation&gt;&lt;Group&gt;&lt;References&gt;&lt;Item&gt;&lt;ID&gt;46229&lt;/ID&gt;&lt;UID&gt;{870AB6FB-20DE-476E-8BCC-8B849FFC8D44}&lt;/UID&gt;&lt;Title&gt;恩沙替尼eXalt 3 研究亚裔数据首发意义非凡，47.1个月PFS刷新记录——恩沙替尼为中国ALK阳性NSCLC患者带来长效持久延迟脑转移一线优选方案&lt;/Title&gt;&lt;Template&gt;Web Page&lt;/Template&gt;&lt;Star&gt;0&lt;/Star&gt;&lt;Tag&gt;0&lt;/Tag&gt;&lt;Author/&gt;&lt;Year&gt;2022&lt;/Year&gt;&lt;Details&gt;&lt;_url&gt;http://www.liangyihui.net/doc/104166&lt;/_url&gt;&lt;_volume&gt;2022&lt;/_volume&gt;&lt;_issue&gt;12月29日&lt;/_issue&gt;&lt;_custom1&gt;肿瘤资讯&lt;/_custom1&gt;&lt;_accessed&gt;64688900&lt;/_accessed&gt;&lt;_created&gt;64688900&lt;/_created&gt;&lt;_modified&gt;64688900&lt;/_modified&gt;&lt;/Details&gt;&lt;Extra&gt;&lt;DBUID&gt;{F96A950B-833F-4880-A151-76DA2D6A2879}&lt;/DBUID&gt;&lt;/Extra&gt;&lt;/Item&gt;&lt;/References&gt;&lt;/Group&gt;&lt;/Citation&gt;_x000a_"/>
    <w:docVar w:name="NE.Ref{4002CC8A-D05F-4149-8EE2-49A184736A04}" w:val=" ADDIN NE.Ref.{4002CC8A-D05F-4149-8EE2-49A184736A04}&lt;Citation&gt;&lt;Group&gt;&lt;References&gt;&lt;Item&gt;&lt;ID&gt;46198&lt;/ID&gt;&lt;UID&gt;{89E0B8BA-E7C2-40E9-81D4-0C4248F08B9F}&lt;/UID&gt;&lt;Title&gt;Ceritinib versus chemotherapy in patients with ALK-rearranged non-small-cell lung cancer previously given chemotherapy and crizotinib (ASCEND-5): a randomised, controlled, open-label, phase 3 trial&lt;/Title&gt;&lt;Template&gt;Journal Article&lt;/Template&gt;&lt;Star&gt;1&lt;/Star&gt;&lt;Tag&gt;0&lt;/Tag&gt;&lt;Author&gt;Shaw, A T; Kim, T M; Crino, L; Gridelli, C; Kiura, K; Liu, G; Novello, S; Bearz, A; Gautschi, O; Mok, T; Nishio, M; Scagliotti, G; Spigel, D R; Deudon, S; Zheng, C; Pantano, S; Urban, P; Massacesi, C; Viraswami-Appanna, K; Felip, E&lt;/Author&gt;&lt;Year&gt;2017&lt;/Year&gt;&lt;Details&gt;&lt;_accessed&gt;64632463&lt;/_accessed&gt;&lt;_accession_num&gt;28602779&lt;/_accession_num&gt;&lt;_author_adr&gt;Massachusetts General Hospital, Boston, MA, USA. Electronic address: ashaw1@mgh.harvard.edu.; Seoul National University Hospital, Seoul, Korea.; Istituto Scientifico Romagnolo per lo Studio e la Cura dei Tumori, Istituto di Ricovero e Cura a Carattere Scientifico, Meldola, Italy.; SG Moscati Hospital, Citta Ospedaliera, Contrada Amoretta, Avellino, Italy.; Okayama University Hospital, Okayama, Japan.; Princess Margaret Cancer Centre, Toronto, ON, Canada.; University of Torino, Torino, Italy.; Istituto di Ricovero e Cura a Carattere Scientifico-Centro di Riferimento Oncologico, Aviano, Italy.; Cantonal Hospital Lucerne, Lucerne, Switzerland.; State Key Laboratory of South China, Chinese University of Hong Kong, Shatin, China.; Cancer Institute Hospital of Japanese Foundation for Cancer Research, Tokyo, Japan.; University of Torino, Torino, Italy.; Sarah Cannon Research Institute, Nashville, TN, USA.; Novartis, Basel, Switzerland.; Novartis, East Hanover, NJ, USA.; Novartis, Basel, Switzerland.; Novartis, Basel, Switzerland.; Novartis, Basel, Switzerland.; Novartis, East Hanover, NJ, USA.; Vall d&amp;apos;Hebron University Hospital, Barcelona, Spain; Vall d&amp;apos;Hebron Institute of Oncology, Barcelona, Spain.&lt;/_author_adr&gt;&lt;_collection_scope&gt;SCIE&lt;/_collection_scope&gt;&lt;_created&gt;64630954&lt;/_created&gt;&lt;_date&gt;2017-07-01&lt;/_date&gt;&lt;_date_display&gt;2017 Jul&lt;/_date_display&gt;&lt;_db_updated&gt;PubMed&lt;/_db_updated&gt;&lt;_doi&gt;10.1016/S1470-2045(17)30339-X&lt;/_doi&gt;&lt;_impact_factor&gt;  54.433&lt;/_impact_factor&gt;&lt;_isbn&gt;1474-5488 (Electronic); 1470-2045 (Linking)&lt;/_isbn&gt;&lt;_issue&gt;7&lt;/_issue&gt;&lt;_journal&gt;Lancet Oncol&lt;/_journal&gt;&lt;_language&gt;eng&lt;/_language&gt;&lt;_modified&gt;64688891&lt;/_modified&gt;&lt;_ori_publication&gt;Copyright (c) 2017 Elsevier Ltd. All rights reserved.&lt;/_ori_publication&gt;&lt;_pages&gt;874-886&lt;/_pages&gt;&lt;_social_category&gt;医学(1)&lt;/_social_category&gt;&lt;_subject_headings&gt;Adult; Alanine Transaminase/blood; Anaplastic Lymphoma Kinase; Antineoplastic Agents/*therapeutic use; Antineoplastic Combined Chemotherapy Protocols/therapeutic use; Aspartate Aminotransferases/blood; Carcinoma, Non-Small-Cell Lung/*drug therapy/genetics/secondary; Crizotinib; Disease Progression; Disease-Free Survival; Docetaxel; Female; Gene Rearrangement; Humans; Lung Neoplasms/*drug therapy/genetics/pathology; Male; Middle Aged; Neoplasm Staging; Pemetrexed/*therapeutic use; Platinum Compounds/administration &amp;amp; dosage; Pyrazoles/therapeutic use; Pyridines/therapeutic use; Pyrimidines/adverse effects/*therapeutic use; Receptor Protein-Tyrosine Kinases/*genetics; Response Evaluation Criteria in Solid Tumors; Retreatment; Sulfones/adverse effects/*therapeutic use; Taxoids/*therapeutic use; gamma-Glutamyltransferase/blood&lt;/_subject_headings&gt;&lt;_tertiary_title&gt;The Lancet. Oncology&lt;/_tertiary_title&gt;&lt;_type_work&gt;Clinical Trial, Phase III; Comparative Study; Journal Article; Multicenter Study; Randomized Controlled Trial&lt;/_type_work&gt;&lt;_url&gt;http://www.ncbi.nlm.nih.gov/entrez/query.fcgi?cmd=Retrieve&amp;amp;db=pubmed&amp;amp;dopt=Abstract&amp;amp;list_uids=28602779&amp;amp;query_hl=1&lt;/_url&gt;&lt;_volume&gt;18&lt;/_volume&gt;&lt;/Details&gt;&lt;Extra&gt;&lt;DBUID&gt;{F96A950B-833F-4880-A151-76DA2D6A2879}&lt;/DBUID&gt;&lt;/Extra&gt;&lt;/Item&gt;&lt;/References&gt;&lt;/Group&gt;&lt;/Citation&gt;_x000a_"/>
    <w:docVar w:name="NE.Ref{41CBB93C-ED00-4529-BBB3-742ED6749BF2}" w:val=" ADDIN NE.Ref.{41CBB93C-ED00-4529-BBB3-742ED6749BF2}&lt;Citation&gt;&lt;Group&gt;&lt;References&gt;&lt;Item&gt;&lt;ID&gt;4738&lt;/ID&gt;&lt;UID&gt;{84E9B5D6-0F72-48CA-A00F-F8A8494BCE56}&lt;/UID&gt;&lt;Title&gt;Evidence-based guidelines for interpreting change scores for the European  Organisation for the Research and Treatment of Cancer Quality of Life  Questionnaire Core 30&lt;/Title&gt;&lt;Template&gt;Journal Article&lt;/Template&gt;&lt;Star&gt;0&lt;/Star&gt;&lt;Tag&gt;0&lt;/Tag&gt;&lt;Author&gt;Cocks, K; King, M T; Velikova, G; de Castro, G Jr; Martyn, St-James M; Fayers, P M; Brown, J M&lt;/Author&gt;&lt;Year&gt;2012&lt;/Year&gt;&lt;Details&gt;&lt;_accession_num&gt;22418017&lt;/_accession_num&gt;&lt;_author_adr&gt;Clinical Trials Research Unit, University of Leeds, UK. kim.cocks@york.ac.uk&lt;/_author_adr&gt;&lt;_date_display&gt;2012 Jul&lt;/_date_display&gt;&lt;_date&gt;2012-07-01&lt;/_date&gt;&lt;_doi&gt;10.1016/j.ejca.2012.02.059&lt;/_doi&gt;&lt;_isbn&gt;1879-0852 (Electronic); 0959-8049 (Linking)&lt;/_isbn&gt;&lt;_issue&gt;11&lt;/_issue&gt;&lt;_journal&gt;Eur J Cancer&lt;/_journal&gt;&lt;_language&gt;eng&lt;/_language&gt;&lt;_ori_publication&gt;Copyright © 2012 Elsevier Ltd. All rights reserved.&lt;/_ori_publication&gt;&lt;_pages&gt;1713-21&lt;/_pages&gt;&lt;_subject_headings&gt;*Evidence-Based Medicine; Expert Testimony; *Guidelines as Topic; Humans; Meta-Analysis as Topic; Neoplasms/*psychology; *Quality of Life; *Surveys and Questionnaires&lt;/_subject_headings&gt;&lt;_tertiary_title&gt;European journal of cancer (Oxford, England : 1990)&lt;/_tertiary_title&gt;&lt;_type_work&gt;Journal Article; Research Support, Non-U.S. Gov&amp;apos;t&lt;/_type_work&gt;&lt;_url&gt;http://www.ncbi.nlm.nih.gov/entrez/query.fcgi?cmd=Retrieve&amp;amp;db=pubmed&amp;amp;dopt=Abstract&amp;amp;list_uids=22418017&amp;amp;query_hl=1&lt;/_url&gt;&lt;_volume&gt;48&lt;/_volume&gt;&lt;_created&gt;65021590&lt;/_created&gt;&lt;_modified&gt;65021590&lt;/_modified&gt;&lt;_impact_factor&gt;  10.002&lt;/_impact_factor&gt;&lt;_social_category&gt;医学(1)&lt;/_social_category&gt;&lt;_collection_scope&gt;SCIE&lt;/_collection_scope&gt;&lt;/Details&gt;&lt;Extra&gt;&lt;DBUID&gt;{F96A950B-833F-4880-A151-76DA2D6A2879}&lt;/DBUID&gt;&lt;/Extra&gt;&lt;/Item&gt;&lt;/References&gt;&lt;/Group&gt;&lt;/Citation&gt;_x000a_"/>
    <w:docVar w:name="NE.Ref{4219064A-20DD-48DE-9648-13A6568B91D8}" w:val=" ADDIN NE.Ref.{4219064A-20DD-48DE-9648-13A6568B91D8}&lt;Citation&gt;&lt;Group&gt;&lt;References&gt;&lt;Item&gt;&lt;ID&gt;4680&lt;/ID&gt;&lt;UID&gt;{476DDC6A-E5A4-4767-957C-90F27199564C}&lt;/UID&gt;&lt;Title&gt;Role of Patient-Reported Outcomes in Clinical Trials in Metastatic Colorectal  Cancer: A Scoping Review&lt;/Title&gt;&lt;Template&gt;Journal Article&lt;/Template&gt;&lt;Star&gt;0&lt;/Star&gt;&lt;Tag&gt;0&lt;/Tag&gt;&lt;Author&gt;Maring, J G; Eijsink, JFH; Tichelaar, F D; Veluwenkamp-Worawutputtapong, P; Postma, M J; Touw, D J; de Groot, JWB&lt;/Author&gt;&lt;Year&gt;2023&lt;/Year&gt;&lt;Details&gt;&lt;_accession_num&gt;36831478&lt;/_accession_num&gt;&lt;_author_adr&gt;Department of Clinical Pharmacy, Isala, NL 8025 AB Zwolle, The Netherlands.; Department of Clinical Pharmacy, Isala, NL 8025 AB Zwolle, The Netherlands.; Department of Clinical Pharmacy and Pharmacology, University Medical Center  Groningen, University of Groningen, NL 9713 GZ Groningen, The Netherlands.; Department of Health Sciences, University Medical Centre Groningen, University of  Groningen, NL 9713 GZ Groningen, The Netherlands.; Department of Clinical Pharmacy, Isala, NL 8025 AB Zwolle, The Netherlands.; Department of Health Sciences, University Medical Centre Groningen, University of  Groningen, NL 9713 GZ Groningen, The Netherlands.; Department of Economics, Econometrics &amp;amp; Finance, Faculty of Economics &amp;amp; Business,  University of Groningen, NL 9713 GZ Groningen, The Netherlands.; Department of Clinical Pharmacy and Pharmacology, University Medical Center  Groningen, University of Groningen, NL 9713 GZ Groningen, The Netherlands.; Department of Pharmaceutical Analysis, Groningen Research Institute of Pharmacy,  University of Groningen, NL 9713 GZ Groningen, The Netherlands.; Isala Oncology Center, Isala, NL 8025 AB Zwolle, The Netherlands.&lt;/_author_adr&gt;&lt;_date_display&gt;2023 Feb 10&lt;/_date_display&gt;&lt;_date&gt;2023-02-10&lt;/_date&gt;&lt;_doi&gt;10.3390/cancers15041135&lt;/_doi&gt;&lt;_isbn&gt;2072-6694 (Print); 2072-6694 (Electronic); 2072-6694 (Linking)&lt;/_isbn&gt;&lt;_issue&gt;4&lt;/_issue&gt;&lt;_journal&gt;Cancers (Basel)&lt;/_journal&gt;&lt;_keywords&gt;PROM; colorectal cancer; mCRC; review&lt;/_keywords&gt;&lt;_language&gt;eng&lt;/_language&gt;&lt;_tertiary_title&gt;Cancers&lt;/_tertiary_title&gt;&lt;_type_work&gt;Journal Article; Review&lt;/_type_work&gt;&lt;_url&gt;http://www.ncbi.nlm.nih.gov/entrez/query.fcgi?cmd=Retrieve&amp;amp;db=pubmed&amp;amp;dopt=Abstract&amp;amp;list_uids=36831478&amp;amp;query_hl=1&lt;/_url&gt;&lt;_volume&gt;15&lt;/_volume&gt;&lt;_created&gt;65020259&lt;/_created&gt;&lt;_modified&gt;65020259&lt;/_modified&gt;&lt;_impact_factor&gt;   6.575&lt;/_impact_factor&gt;&lt;_social_category&gt;医学(2)&lt;/_social_category&gt;&lt;_collection_scope&gt;SCIE&lt;/_collection_scope&gt;&lt;/Details&gt;&lt;Extra&gt;&lt;DBUID&gt;{F96A950B-833F-4880-A151-76DA2D6A2879}&lt;/DBUID&gt;&lt;/Extra&gt;&lt;/Item&gt;&lt;/References&gt;&lt;/Group&gt;&lt;/Citation&gt;_x000a_"/>
    <w:docVar w:name="NE.Ref{43B371F9-5F4E-46A7-9F60-96638671AF2F}" w:val=" ADDIN NE.Ref.{43B371F9-5F4E-46A7-9F60-96638671AF2F}&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Citation&gt;_x000a_"/>
    <w:docVar w:name="NE.Ref{442A1576-079C-4B52-BBA6-7FE8DDFE3202}" w:val=" ADDIN NE.Ref.{442A1576-079C-4B52-BBA6-7FE8DDFE3202}&lt;Citation&gt;&lt;Group&gt;&lt;References&gt;&lt;Item&gt;&lt;ID&gt;4730&lt;/ID&gt;&lt;UID&gt;{78C9C2FA-CF7E-4F0D-9161-0F284B21ECE2}&lt;/UID&gt;&lt;Title&gt;Comparison of Health State Utility Measures in Patients With Head and Neck  Cancer&lt;/Title&gt;&lt;Template&gt;Journal Article&lt;/Template&gt;&lt;Star&gt;0&lt;/Star&gt;&lt;Tag&gt;0&lt;/Tag&gt;&lt;Author&gt;Noel, C W; Lee, D J; Kong, Q; Xu, W; Simpson, C; Brown, D; Gilbert, R W; Gullane, P J; Irish, J C; Huang, S H; O&amp;apos;Sullivan, B; Goldstein, D P; de Almeida, J R&lt;/Author&gt;&lt;Year&gt;2015&lt;/Year&gt;&lt;Details&gt;&lt;_accession_num&gt;26204439&lt;/_accession_num&gt;&lt;_author_adr&gt;Faculty of Medicine, University of Toronto, Toronto, Ontario, Canada.; Faculty of Medicine, University of Toronto, Toronto, Ontario, Canada.; Department of Biostatistics, University Health Network, Toronto, Ontario,  Canada3Department of Statistics and Actuarial Science, University of Waterloo,  Waterloo, Ontario, Canada.; Department of Statistics and Actuarial Science, University of Waterloo, Waterloo,  Ontario, Canada4Dalla Lana School of Public Health, University of Toronto,  Toronto, Ontario, Canada.; Department of Otolaryngology-Head and Neck Surgery, Princess Margaret Cancer  Centre-University Health Network, University of Toronto, Toronto, Ontario,  Canada.; Department of Otolaryngology-Head and Neck Surgery, Princess Margaret Cancer  Centre-University Health Network, University of Toronto, Toronto, Ontario,  Canada.; Department of Otolaryngology-Head and Neck Surgery, Princess Margaret Cancer  Centre-University Health Network, University of Toronto, Toronto, Ontario,  Canada.; Department of Otolaryngology-Head and Neck Surgery, Princess Margaret Cancer  Centre-University Health Network, University of Toronto, Toronto, Ontario,  Canada.; Department of Otolaryngology-Head and Neck Surgery, Princess Margaret Cancer  Centre-University Health Network, University of Toronto, Toronto, Ontario,  Canada.; Department of Radiation Oncology, Princess Margaret Cancer Centre-University  Health Network, University of Toronto, Toronto, Ontario, Canada.; Department of Radiation Oncology, Princess Margaret Cancer Centre-University  Health Network, University of Toronto, Toronto, Ontario, Canada.; Department of Otolaryngology-Head and Neck Surgery, Princess Margaret Cancer  Centre-University Health Network, University of Toronto, Toronto, Ontario,  Canada.; Department of Otolaryngology-Head and Neck Surgery, Princess Margaret Cancer  Centre-University Health Network, University of Toronto, Toronto, Ontario,  Canada.&lt;/_author_adr&gt;&lt;_date_display&gt;2015 Aug&lt;/_date_display&gt;&lt;_date&gt;2015-08-01&lt;/_date&gt;&lt;_doi&gt;10.1001/jamaoto.2015.1314&lt;/_doi&gt;&lt;_isbn&gt;2168-619X (Electronic); 2168-6181 (Linking)&lt;/_isbn&gt;&lt;_issue&gt;8&lt;/_issue&gt;&lt;_journal&gt;JAMA Otolaryngol Head Neck Surg&lt;/_journal&gt;&lt;_language&gt;eng&lt;/_language&gt;&lt;_pages&gt;696-703&lt;/_pages&gt;&lt;_subject_headings&gt;Adult; Aged; Aged, 80 and over; Carcinoma, Squamous Cell/pathology/psychology/*therapy; Cohort Studies; Cost-Benefit Analysis; Female; Head and Neck Neoplasms/pathology/psychology/*therapy; Health Services/*statistics &amp;amp; numerical data; *Health Status Indicators; Humans; Male; Middle Aged; Ontario; *Quality of Life; Reproducibility of Results; Socioeconomic Factors; *Surveys and Questionnaires&lt;/_subject_headings&gt;&lt;_tertiary_title&gt;JAMA otolaryngology-- head &amp;amp; neck surgery&lt;/_tertiary_title&gt;&lt;_type_work&gt;Comparative Study; Journal Article&lt;/_type_work&gt;&lt;_url&gt;http://www.ncbi.nlm.nih.gov/entrez/query.fcgi?cmd=Retrieve&amp;amp;db=pubmed&amp;amp;dopt=Abstract&amp;amp;list_uids=26204439&amp;amp;query_hl=1&lt;/_url&gt;&lt;_volume&gt;141&lt;/_volume&gt;&lt;_created&gt;65021590&lt;/_created&gt;&lt;_modified&gt;65021590&lt;/_modified&gt;&lt;_impact_factor&gt;   8.961&lt;/_impact_factor&gt;&lt;_social_category&gt;医学(1)&lt;/_social_category&gt;&lt;_collection_scope&gt;SCIE&lt;/_collection_scope&gt;&lt;/Details&gt;&lt;Extra&gt;&lt;DBUID&gt;{F96A950B-833F-4880-A151-76DA2D6A2879}&lt;/DBUID&gt;&lt;/Extra&gt;&lt;/Item&gt;&lt;/References&gt;&lt;/Group&gt;&lt;/Citation&gt;_x000a_"/>
    <w:docVar w:name="NE.Ref{4453767A-2D41-4D44-B8B2-5C6D82820027}" w:val=" ADDIN NE.Ref.{4453767A-2D41-4D44-B8B2-5C6D82820027}&lt;Citation&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Group&gt;&lt;References&gt;&lt;Item&gt;&lt;ID&gt;5036&lt;/ID&gt;&lt;UID&gt;{F2CA6EA4-05F3-414C-BD41-AACD34657658}&lt;/UID&gt;&lt;Title&gt;Regorafenib plus best supportive care versus placebo plus best supportive care in  Asian patients with previously treated metastatic colorectal cancer (CONCUR): a  randomised, double-blind, placebo-controlled, phase 3 trial&lt;/Title&gt;&lt;Template&gt;Journal Article&lt;/Template&gt;&lt;Star&gt;0&lt;/Star&gt;&lt;Tag&gt;0&lt;/Tag&gt;&lt;Author&gt;Li, J; Qin, S; Xu, R; Yau, T C; Ma, B; Pan, H; Xu, J; Bai, Y; Chi, Y; Wang, L; Yeh, K H; Bi, F; Cheng, Y; &amp;quot;Le AT&amp;quot;; Lin, J K; Liu, T; Ma, D; Kappeler, C; Kalmus, J; Kim, T W&lt;/Author&gt;&lt;Year&gt;2015&lt;/Year&gt;&lt;Details&gt;&lt;_accession_num&gt;25981818&lt;/_accession_num&gt;&lt;_author_adr&gt;Department of Medical Oncology, Fudan University Shanghai Cancer Center, and  Department of Oncology, Shanghai Medical College, Fudan University, Shanghai,  China.; Department of Medical Oncology, Chinese People&amp;apos;s Liberation Army Cancer Center of  Nanjing Bayi Hospital, Nanjing, China.; Department of Medical Oncology, Sun Yat-Sen University Cancer Center,  Collaborative Innovation Center for Cancer Medicine, Guangzhou, China.; Department of Medicine, University of Hong Kong, Queen Mary Hospital, Hong Kong,  China.; Department of Clinical Oncology, Prince of Wales Hospital, Chinese University of  Hong Kong, Hong Kong, China.; Medical Oncology, Sir Run Run Shaw Hospital Medical School, Zhejiang University,  Hangzhou, China.; Beijing 307 People&amp;apos;s Liberation Army Hospital Cancer Centre, Beijing, China.; Third Affiliated Hospital of Harbin Medical University, Harbin, China.; Department of Medical Oncology, Cancer Hospital, Chinese Academy of Medical  Sciences, Beijing, China.; Comprehensive Cancer Center, Shanghai First People&amp;apos;s Hospital, Shanghai Jiaotong  University, Shanghai, China.; Department of Oncology, National Taiwan University Hospital, Taipei, Taiwan.; Department of Medical Oncology, West China Hospital, Sichuan University, Chengdu,  China.; Jilin Provincial Tumor Hospital, Changchun, China.; Department of Oncology, Cho Ray Hospital, Ho Chi Minh City, Vietnam.; Department of Surgery, Taipei Veterans General Hospital, National Yang-Ming  University, Taipei, Taiwan.; Department of Medical Oncology, Zhong Shan Hospital, Fudan University, Shanghai,  China.; Department of Medical Oncology, Guangdong General Hospital, Guangzhou, Guangdong,  China.; Bayer Pharma AG, Berlin, Germany.; Bayer Pharma AG, Berlin, Germany.; Department of Oncology, Asan Medical Center, University of Ulsan College of  Medicine, Songpa-gu, South Korea. Electronic address: twkimmd@amc.seoul.kr.&lt;/_author_adr&gt;&lt;_date_display&gt;2015 Jun&lt;/_date_display&gt;&lt;_date&gt;2015-06-01&lt;/_date&gt;&lt;_doi&gt;10.1016/S1470-2045(15)70156-7&lt;/_doi&gt;&lt;_isbn&gt;1474-5488 (Electronic); 1470-2045 (Linking)&lt;/_isbn&gt;&lt;_issue&gt;6&lt;/_issue&gt;&lt;_journal&gt;Lancet Oncol&lt;/_journal&gt;&lt;_language&gt;eng&lt;/_language&gt;&lt;_ori_publication&gt;Copyright © 2015 Elsevier Ltd. All rights reserved.&lt;/_ori_publication&gt;&lt;_pages&gt;619-29&lt;/_pages&gt;&lt;_subject_headings&gt;Aged; Antineoplastic Combined Chemotherapy Protocols/*administration &amp;amp; dosage; Asian People; Colorectal Neoplasms/*drug therapy/epidemiology/pathology; Disease-Free Survival; Double-Blind Method; Female; Humans; Kaplan-Meier Estimate; Male; Middle Aged; Neoplasm Metastasis; Phenylurea Compounds/*administration &amp;amp; dosage/adverse effects; Pyridines/*administration &amp;amp; dosage/adverse effects; Treatment Outcom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25981818&amp;amp;query_hl=1&lt;/_url&gt;&lt;_volume&gt;16&lt;/_volume&gt;&lt;_created&gt;65329740&lt;/_created&gt;&lt;_modified&gt;65329740&lt;/_modified&gt;&lt;_impact_factor&gt;  51.100&lt;/_impact_factor&gt;&lt;_social_category&gt;肿瘤学(1)&lt;/_social_category&gt;&lt;_collection_scope&gt;SCIE&lt;/_collection_scope&gt;&lt;/Details&gt;&lt;Extra&gt;&lt;DBUID&gt;{F96A950B-833F-4880-A151-76DA2D6A2879}&lt;/DBUID&gt;&lt;/Extra&gt;&lt;/Item&gt;&lt;/References&gt;&lt;/Group&gt;&lt;Group&gt;&lt;References&gt;&lt;Item&gt;&lt;ID&gt;5038&lt;/ID&gt;&lt;UID&gt;{E1AFF1CE-834F-47CD-AB65-9B4E05D6B565}&lt;/UID&gt;&lt;Title&gt;Effect of Fruquintinib vs Placebo on Overall Survival in Patients With Previously  Treated Metastatic Colorectal Cancer: The FRESCO Randomized Clinical Trial&lt;/Title&gt;&lt;Template&gt;Journal Article&lt;/Template&gt;&lt;Star&gt;0&lt;/Star&gt;&lt;Tag&gt;0&lt;/Tag&gt;&lt;Author&gt;Li, J; Qin, S; Xu, R H; Shen, L; Xu, J; Bai, Y; Yang, L; Deng, Y; Chen, Z D; Zhong, H; Pan, H; Guo, W; Shu, Y; Yuan, Y; Zhou, J; Xu, N; Liu, T; Ma, D; Wu, C; Cheng, Y; Chen, D; Li, W; Sun, S; Yu, Z; Cao, P; Chen, H; Wang, J; Wang, S; Wang, H; Fan, S; Hua, Y; Su, W&lt;/Author&gt;&lt;Year&gt;2018&lt;/Year&gt;&lt;Details&gt;&lt;_accession_num&gt;29946728&lt;/_accession_num&gt;&lt;_author_adr&gt;Department of Medical Oncology, Tongji University Shanghai East Hospital,  Shanghai, China.; Department of Medical Oncology, Shanghai Medical College, Fudan University  Shanghai Cancer Center, Shanghai, China.; Department of Medical Oncology, Nanjing Chinese Medicine University-Affiliated  Bayi Hospital, Nanjing, China.; Department of Medical Oncology, Sun Yat-sen University Cancer Center, State Key  Laboratory of Oncology in South China, Guangzhou, China.; Collaborative Innovation Center for Cancer Medicine, Guangzhou, China.; Department of Medical Oncology, Beijing University Cancer Center, Beijing, China.; Department of Medical Oncology, 307th Hospital of Chinese People&amp;apos;s Liberation  Army, The Affiliated Hospital of Military Medical Sciences, Beijing, China.; Department of Medical Oncology, Harbin Medical University Cancer Hospital,  Harbin, China.; Department of Medical Oncology, Nantong Cancer Hospital, Nantong, China.; Department of Medical Oncology, The Sixth Affiliated Hospital of Sun Yat-sen  University, Guangzhou, China.; Department of Medical Oncology, The Second Hospital of Anhui Medical University,  Hefei, China.; Department of Medical Oncology, Zhejiang Cancer Hospital, Hangzhou, China.; Department of Medical Oncology, Sir RunRun Shaw Hospital, College of Medicine,  Zhejiang University, Hangzhou, China.; Department of Medical Oncology, Shanghai Medical College, Fudan University  Shanghai Cancer Center, Shanghai, China.; Department of Medical Oncology, Jiangsu Provincial Hospital, Nanjing, China.; Department of Medical Oncology, The Second Affiliated Hospital of Zhejiang  University School of Medicine, Hangzhou, China.; Department of Medical Oncology, Peking Union Medical College Hospital, Beijing,  China.; Department of Medical Oncology, The First Affiliated Hospital of Zhejiang  University School of Medicine, Hangzhou, China.; Department of Medical Oncology, Fudan University Zhongshan Hospital, Shanghai  Medical College, Shanghai, China.; Department of Medical Oncology, Guangdong General Hospital, Guangzhou, China.; Department of Medical Oncology, The First People&amp;apos;s Hospital of Changzhou,  Changzhou, China.; Department of Medical Oncology, Jilin Province Cancer Hospital, Changchun, China.; Department of Medical Oncology, Shanghai Jiaotong University Affiliated First  People&amp;apos;s Hospital, Shanghai, China.; Department of Medical Oncology, The First Hospital of Jilin University,  Changchun, China.; Department of Medical Oncology, Xuzhou Central Hospital, Xuzhou, China.; Department of Medical Oncology, The Affiliated Hospital of Medical College  Qingdao University, Qingdao, China.; Department of Medical Oncology, The Third Xiangya Hospital of Central South  University, Changsha, China.; Department of Medical Oncology, Liuzhou Worker&amp;apos;s Hospital, Liuzhou, China.; Department of Medical Oncology, Shanghai Changzheng Hospital, The Second Military  Medical University, Shanghai, China.; Department of Medical Oncology, Peking University Shenzhen Hospital, Beijing  University, Shenzhen, China.; Department of Medical Oncology, The Affiliated Hospital of Xuzhou Medical  College, Xuzhou Medical College, Xuzhou, China.; Hutchison MediPharma Ltd, Shanghai, China.; Hutchison MediPharma Ltd, Shanghai, China.; Hutchison MediPharma Ltd, Shanghai, China.&lt;/_author_adr&gt;&lt;_date_display&gt;2018 Jun 26&lt;/_date_display&gt;&lt;_date&gt;2018-06-26&lt;/_date&gt;&lt;_doi&gt;10.1001/jama.2018.7855&lt;/_doi&gt;&lt;_isbn&gt;1538-3598 (Electronic); 0098-7484 (Print); 0098-7484 (Linking)&lt;/_isbn&gt;&lt;_issue&gt;24&lt;/_issue&gt;&lt;_journal&gt;JAMA&lt;/_journal&gt;&lt;_language&gt;eng&lt;/_language&gt;&lt;_pages&gt;2486-2496&lt;/_pages&gt;&lt;_subject_headings&gt;Adult; Aged; Aged, 80 and over; Antineoplastic Combined Chemotherapy Protocols/adverse effects/*therapeutic use; Benzofurans/*administration &amp;amp; dosage/adverse effects; China; Colorectal Neoplasms/*drug therapy/mortality/pathology/therapy; Combined Modality Therapy; Double-Blind Method; Female; Humans; Intention to Treat Analysis; Male; Middle Aged; Quinazolines/*administration &amp;amp; dosage/adverse effects; Survival Analysis; Vascular Endothelial Growth Factor A/*antagonists &amp;amp; inhibitors; Young Adult&lt;/_subject_headings&gt;&lt;_tertiary_title&gt;JAMA&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946728&amp;amp;query_hl=1&lt;/_url&gt;&lt;_volume&gt;319&lt;/_volume&gt;&lt;_created&gt;65329740&lt;/_created&gt;&lt;_modified&gt;65329740&lt;/_modified&gt;&lt;_impact_factor&gt; 120.700&lt;/_impact_factor&gt;&lt;_social_category&gt;医学：内科(1)&lt;/_social_category&gt;&lt;_collection_scope&gt;SCIE&lt;/_collection_scope&gt;&lt;_accessed&gt;65330873&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460403C3-42B3-4130-B718-1FD3D33C5EF7}" w:val=" ADDIN NE.Ref.{460403C3-42B3-4130-B718-1FD3D33C5EF7}&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Citation&gt;_x000a_"/>
    <w:docVar w:name="NE.Ref{4615FAAB-DF59-4338-AD13-B749E5280F7F}" w:val=" ADDIN NE.Ref.{4615FAAB-DF59-4338-AD13-B749E5280F7F}&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Citation&gt;_x000a_"/>
    <w:docVar w:name="NE.Ref{48431D84-069F-4836-A7AC-8783C6E68E11}" w:val=" ADDIN NE.Ref.{48431D84-069F-4836-A7AC-8783C6E68E11}&lt;Citation&gt;&lt;Group&gt;&lt;References&gt;&lt;Item&gt;&lt;ID&gt;46193&lt;/ID&gt;&lt;UID&gt;{8A7E52AF-B534-44D7-A514-FB67FD53F6A2}&lt;/UID&gt;&lt;Title&gt;Non-Small Cell Lung Cancer: Epidemiology, Screening, Diagnosis, and Treatment&lt;/Title&gt;&lt;Template&gt;Journal Article&lt;/Template&gt;&lt;Star&gt;0&lt;/Star&gt;&lt;Tag&gt;0&lt;/Tag&gt;&lt;Author&gt;Duma, N; Santana-Davila, R; Molina, J R&lt;/Author&gt;&lt;Year&gt;2019&lt;/Year&gt;&lt;Details&gt;&lt;_accessed&gt;64073675&lt;/_accessed&gt;&lt;_accession_num&gt;31378236&lt;/_accession_num&gt;&lt;_author_adr&gt;Division of Medical Oncology, Mayo Clinic, Rochester, MN.; Division of Medical Oncology, Department of Medicine, University of Washington, Seattle.; Division of Medical Oncology, Mayo Clinic, Rochester, MN.&lt;/_author_adr&gt;&lt;_collection_scope&gt;SCI;SCIE&lt;/_collection_scope&gt;&lt;_created&gt;64069789&lt;/_created&gt;&lt;_date&gt;2019-08-01&lt;/_date&gt;&lt;_date_display&gt;2019 Aug&lt;/_date_display&gt;&lt;_db_updated&gt;PubMed&lt;/_db_updated&gt;&lt;_doi&gt;10.1016/j.mayocp.2019.01.013&lt;/_doi&gt;&lt;_impact_factor&gt;  11.104&lt;/_impact_factor&gt;&lt;_isbn&gt;1942-5546 (Electronic); 0025-6196 (Linking)&lt;/_isbn&gt;&lt;_issue&gt;8&lt;/_issue&gt;&lt;_journal&gt;Mayo Clin Proc&lt;/_journal&gt;&lt;_language&gt;eng&lt;/_language&gt;&lt;_modified&gt;64688891&lt;/_modified&gt;&lt;_ori_publication&gt;Copyright (c) 2019 Mayo Foundation for Medical Education and Research. Published _x000d__x000a_      by Elsevier Inc. All rights reserved.&lt;/_ori_publication&gt;&lt;_pages&gt;1623-1640&lt;/_pages&gt;&lt;_subject_headings&gt;Carcinoma, Non-Small-Cell Lung/*diagnosis/epidemiology/prevention &amp;amp;_x000d__x000a_      control/*therapy; Chemoradiotherapy/*methods; Chemotherapy, Adjuvant; Disease-Free Survival; Early Detection of Cancer/*methods; Education, Medical, Continuing; Female; Humans; Immunotherapy/methods; Lung Neoplasms/*diagnosis/epidemiology/prevention &amp;amp; control/*therapy; Male; Molecular Targeted Therapy/methods; Pneumonectomy/methods; Prognosis; Risk Assessment; Survival Analysis; United States&lt;/_subject_headings&gt;&lt;_tertiary_title&gt;Mayo Clinic proceedings&lt;/_tertiary_title&gt;&lt;_type_work&gt;Journal Article; Review&lt;/_type_work&gt;&lt;_url&gt;http://www.ncbi.nlm.nih.gov/entrez/query.fcgi?cmd=Retrieve&amp;amp;db=pubmed&amp;amp;dopt=Abstract&amp;amp;list_uids=31378236&amp;amp;query_hl=1&lt;/_url&gt;&lt;_volume&gt;94&lt;/_volume&gt;&lt;_social_category&gt;医学(2)&lt;/_social_category&gt;&lt;/Details&gt;&lt;Extra&gt;&lt;DBUID&gt;{F96A950B-833F-4880-A151-76DA2D6A2879}&lt;/DBUID&gt;&lt;/Extra&gt;&lt;/Item&gt;&lt;/References&gt;&lt;/Group&gt;&lt;Group&gt;&lt;References&gt;&lt;Item&gt;&lt;ID&gt;46194&lt;/ID&gt;&lt;UID&gt;{92264B25-4477-42EE-A40C-B33E1C66064D}&lt;/UID&gt;&lt;Title&gt;非小细胞肺癌免疫治疗研究进展&lt;/Title&gt;&lt;Template&gt;Journal Article&lt;/Template&gt;&lt;Star&gt;0&lt;/Star&gt;&lt;Tag&gt;0&lt;/Tag&gt;&lt;Author&gt;杜洋; 范承娟; 申维喜; 信涛&lt;/Author&gt;&lt;Year&gt;2021&lt;/Year&gt;&lt;Details&gt;&lt;_author_aff&gt;哈尔滨医科大学附属第二医院;&lt;/_author_aff&gt;&lt;_collection_scope&gt;PKU&lt;/_collection_scope&gt;&lt;_created&gt;63867534&lt;/_created&gt;&lt;_date&gt;2021-06-03&lt;/_date&gt;&lt;_db_updated&gt;CNKI - Reference&lt;/_db_updated&gt;&lt;_issue&gt;13&lt;/_issue&gt;&lt;_journal&gt;现代肿瘤医学&lt;/_journal&gt;&lt;_keywords&gt;肺癌;免疫检查点抑制剂;免疫治疗&lt;/_keywords&gt;&lt;_modified&gt;64688891&lt;/_modified&gt;&lt;_pages&gt;2368-2371&lt;/_pages&gt;&lt;_translated_author&gt;Du, Yang;Fan, Chengjuan;Shen, Weixi;Xin, Tao&lt;/_translated_author&gt;&lt;_url&gt;https://kns.cnki.net/kcms/detail/detail.aspx?FileName=SXZL202113039&amp;amp;DbName=CJFQTEMP&lt;/_url&gt;&lt;_volume&gt;29&lt;/_volume&gt;&lt;/Details&gt;&lt;Extra&gt;&lt;DBUID&gt;{F96A950B-833F-4880-A151-76DA2D6A2879}&lt;/DBUID&gt;&lt;/Extra&gt;&lt;/Item&gt;&lt;/References&gt;&lt;/Group&gt;&lt;/Citation&gt;_x000a_"/>
    <w:docVar w:name="NE.Ref{4A0F41CE-D175-4169-82B6-9354152D3485}" w:val=" ADDIN NE.Ref.{4A0F41CE-D175-4169-82B6-9354152D3485}&lt;Citation&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Group&gt;&lt;References&gt;&lt;Item&gt;&lt;ID&gt;5036&lt;/ID&gt;&lt;UID&gt;{F2CA6EA4-05F3-414C-BD41-AACD34657658}&lt;/UID&gt;&lt;Title&gt;Regorafenib plus best supportive care versus placebo plus best supportive care in  Asian patients with previously treated metastatic colorectal cancer (CONCUR): a  randomised, double-blind, placebo-controlled, phase 3 trial&lt;/Title&gt;&lt;Template&gt;Journal Article&lt;/Template&gt;&lt;Star&gt;0&lt;/Star&gt;&lt;Tag&gt;0&lt;/Tag&gt;&lt;Author&gt;Li, J; Qin, S; Xu, R; Yau, T C; Ma, B; Pan, H; Xu, J; Bai, Y; Chi, Y; Wang, L; Yeh, K H; Bi, F; Cheng, Y; &amp;quot;Le AT&amp;quot;; Lin, J K; Liu, T; Ma, D; Kappeler, C; Kalmus, J; Kim, T W&lt;/Author&gt;&lt;Year&gt;2015&lt;/Year&gt;&lt;Details&gt;&lt;_accession_num&gt;25981818&lt;/_accession_num&gt;&lt;_author_adr&gt;Department of Medical Oncology, Fudan University Shanghai Cancer Center, and  Department of Oncology, Shanghai Medical College, Fudan University, Shanghai,  China.; Department of Medical Oncology, Chinese People&amp;apos;s Liberation Army Cancer Center of  Nanjing Bayi Hospital, Nanjing, China.; Department of Medical Oncology, Sun Yat-Sen University Cancer Center,  Collaborative Innovation Center for Cancer Medicine, Guangzhou, China.; Department of Medicine, University of Hong Kong, Queen Mary Hospital, Hong Kong,  China.; Department of Clinical Oncology, Prince of Wales Hospital, Chinese University of  Hong Kong, Hong Kong, China.; Medical Oncology, Sir Run Run Shaw Hospital Medical School, Zhejiang University,  Hangzhou, China.; Beijing 307 People&amp;apos;s Liberation Army Hospital Cancer Centre, Beijing, China.; Third Affiliated Hospital of Harbin Medical University, Harbin, China.; Department of Medical Oncology, Cancer Hospital, Chinese Academy of Medical  Sciences, Beijing, China.; Comprehensive Cancer Center, Shanghai First People&amp;apos;s Hospital, Shanghai Jiaotong  University, Shanghai, China.; Department of Oncology, National Taiwan University Hospital, Taipei, Taiwan.; Department of Medical Oncology, West China Hospital, Sichuan University, Chengdu,  China.; Jilin Provincial Tumor Hospital, Changchun, China.; Department of Oncology, Cho Ray Hospital, Ho Chi Minh City, Vietnam.; Department of Surgery, Taipei Veterans General Hospital, National Yang-Ming  University, Taipei, Taiwan.; Department of Medical Oncology, Zhong Shan Hospital, Fudan University, Shanghai,  China.; Department of Medical Oncology, Guangdong General Hospital, Guangzhou, Guangdong,  China.; Bayer Pharma AG, Berlin, Germany.; Bayer Pharma AG, Berlin, Germany.; Department of Oncology, Asan Medical Center, University of Ulsan College of  Medicine, Songpa-gu, South Korea. Electronic address: twkimmd@amc.seoul.kr.&lt;/_author_adr&gt;&lt;_date_display&gt;2015 Jun&lt;/_date_display&gt;&lt;_date&gt;2015-06-01&lt;/_date&gt;&lt;_doi&gt;10.1016/S1470-2045(15)70156-7&lt;/_doi&gt;&lt;_isbn&gt;1474-5488 (Electronic); 1470-2045 (Linking)&lt;/_isbn&gt;&lt;_issue&gt;6&lt;/_issue&gt;&lt;_journal&gt;Lancet Oncol&lt;/_journal&gt;&lt;_language&gt;eng&lt;/_language&gt;&lt;_ori_publication&gt;Copyright © 2015 Elsevier Ltd. All rights reserved.&lt;/_ori_publication&gt;&lt;_pages&gt;619-29&lt;/_pages&gt;&lt;_subject_headings&gt;Aged; Antineoplastic Combined Chemotherapy Protocols/*administration &amp;amp; dosage; Asian People; Colorectal Neoplasms/*drug therapy/epidemiology/pathology; Disease-Free Survival; Double-Blind Method; Female; Humans; Kaplan-Meier Estimate; Male; Middle Aged; Neoplasm Metastasis; Phenylurea Compounds/*administration &amp;amp; dosage/adverse effects; Pyridines/*administration &amp;amp; dosage/adverse effects; Treatment Outcom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25981818&amp;amp;query_hl=1&lt;/_url&gt;&lt;_volume&gt;16&lt;/_volume&gt;&lt;_created&gt;65329740&lt;/_created&gt;&lt;_modified&gt;65329740&lt;/_modified&gt;&lt;_impact_factor&gt;  51.100&lt;/_impact_factor&gt;&lt;_social_category&gt;肿瘤学(1)&lt;/_social_category&gt;&lt;_collection_scope&gt;SCIE&lt;/_collection_scope&gt;&lt;/Details&gt;&lt;Extra&gt;&lt;DBUID&gt;{F96A950B-833F-4880-A151-76DA2D6A2879}&lt;/DBUID&gt;&lt;/Extra&gt;&lt;/Item&gt;&lt;/References&gt;&lt;/Group&gt;&lt;/Citation&gt;_x000a_"/>
    <w:docVar w:name="NE.Ref{4A1770C4-6FBC-4020-BC5C-364E4F622DAF}" w:val=" ADDIN NE.Ref.{4A1770C4-6FBC-4020-BC5C-364E4F622DAF}&lt;Citation&gt;&lt;Group&gt;&lt;References&gt;&lt;Item&gt;&lt;ID&gt;4742&lt;/ID&gt;&lt;UID&gt;{F46D721E-AAAF-44DE-B850-413FDE462A6B}&lt;/UID&gt;&lt;Title&gt;Global Burden of 5 Major Types of Gastrointestinal Cancer&lt;/Title&gt;&lt;Template&gt;Journal Article&lt;/Template&gt;&lt;Star&gt;0&lt;/Star&gt;&lt;Tag&gt;0&lt;/Tag&gt;&lt;Author&gt;Arnold, M; Abnet, C C; Neale, R E; Vignat, J; Giovannucci, E L; McGlynn, K A; Bray, F&lt;/Author&gt;&lt;Year&gt;2020&lt;/Year&gt;&lt;Details&gt;&lt;_accession_num&gt;32247694&lt;/_accession_num&gt;&lt;_author_adr&gt;Section of Cancer Surveillance, International Agency for Research on Cancer,  Lyon, France. Electronic address: arnoldm@iarc.fr.; Division of Cancer Epidemiology and Genetics, National Cancer Institute,  Bethesda, Maryland.; Population Health Division, QIMR Berghofer Medical Research Institute, Herston,  Queensland, Australia.; Section of Cancer Surveillance, International Agency for Research on Cancer,  Lyon, France.; Department of Epidemiology, Harvard T.H. Chan School of Public Health, Boston,  Massachusetts.; Division of Cancer Epidemiology and Genetics, National Cancer Institute,  Bethesda, Maryland.; Section of Cancer Surveillance, International Agency for Research on Cancer,  Lyon, France.&lt;/_author_adr&gt;&lt;_date_display&gt;2020 Jul&lt;/_date_display&gt;&lt;_date&gt;2020-07-01&lt;/_date&gt;&lt;_doi&gt;10.1053/j.gastro.2020.02.068&lt;/_doi&gt;&lt;_isbn&gt;1528-0012 (Electronic); 0016-5085 (Print); 0016-5085 (Linking)&lt;/_isbn&gt;&lt;_issue&gt;1&lt;/_issue&gt;&lt;_journal&gt;Gastroenterology&lt;/_journal&gt;&lt;_keywords&gt;Cancer; Epidemiology; Global; Incidence; Mortality; Risk Factors&lt;/_keywords&gt;&lt;_language&gt;eng&lt;/_language&gt;&lt;_ori_publication&gt;Copyright © 2020 World Health Organization. Published by Elsevier Inc. All rights _x000d__x000a_      reserved.&lt;/_ori_publication&gt;&lt;_pages&gt;335-349.e15&lt;/_pages&gt;&lt;_subject_headings&gt;Aged; Americas/epidemiology; Asia/epidemiology; Australasia/epidemiology; Databases, Factual/statistics &amp;amp; numerical data; Europe/epidemiology; Female; Gastrointestinal Neoplasms/*epidemiology/prevention &amp;amp; control; Geography; Global Burden of Disease/*statistics &amp;amp; numerical data/trends; Global Health/statistics &amp;amp; numerical data/trends; Health Services Needs and Demand; Humans; Incidence; Liver Neoplasms/*epidemiology/prevention &amp;amp; control; Male; Mass Screening/organization &amp;amp; administration; Mortality/trends; Pancreatic Neoplasms/*epidemiology/prevention &amp;amp; control; Risk Factors; Sex Factors&lt;/_subject_headings&gt;&lt;_tertiary_title&gt;Gastroenterology&lt;/_tertiary_title&gt;&lt;_type_work&gt;Journal Article&lt;/_type_work&gt;&lt;_url&gt;http://www.ncbi.nlm.nih.gov/entrez/query.fcgi?cmd=Retrieve&amp;amp;db=pubmed&amp;amp;dopt=Abstract&amp;amp;list_uids=32247694&amp;amp;query_hl=1&lt;/_url&gt;&lt;_volume&gt;159&lt;/_volume&gt;&lt;_created&gt;65021590&lt;/_created&gt;&lt;_modified&gt;65021590&lt;/_modified&gt;&lt;_impact_factor&gt;  33.883&lt;/_impact_factor&gt;&lt;_social_category&gt;医学(1)&lt;/_social_category&gt;&lt;_collection_scope&gt;SCIE&lt;/_collection_scope&gt;&lt;/Details&gt;&lt;Extra&gt;&lt;DBUID&gt;{F96A950B-833F-4880-A151-76DA2D6A2879}&lt;/DBUID&gt;&lt;/Extra&gt;&lt;/Item&gt;&lt;/References&gt;&lt;/Group&gt;&lt;/Citation&gt;_x000a_"/>
    <w:docVar w:name="NE.Ref{4AE0022B-179A-4361-A68A-392F10EB9CC9}" w:val=" ADDIN NE.Ref.{4AE0022B-179A-4361-A68A-392F10EB9CC9}&lt;Citation&gt;&lt;Group&gt;&lt;References&gt;&lt;Item&gt;&lt;ID&gt;4721&lt;/ID&gt;&lt;UID&gt;{DFED8C1E-9045-4C0D-ABD5-DD365BDBE185}&lt;/UID&gt;&lt;Title&gt;EPIC: phase III trial of cetuximab plus irinotecan after fluoropyrimidine and  oxaliplatin failure in patients with metastatic colorectal cancer&lt;/Title&gt;&lt;Template&gt;Journal Article&lt;/Template&gt;&lt;Star&gt;0&lt;/Star&gt;&lt;Tag&gt;0&lt;/Tag&gt;&lt;Author&gt;Sobrero, A F; Maurel, J; Fehrenbacher, L; Scheithauer, W; Abubakr, Y A; Lutz, M P; Vega-Villegas, M E; Eng, C; Steinhauer, E U; Prausova, J; Lenz, H J; Borg, C; Middleton, G; Kröning, H; Luppi, G; Kisker, O; Zubel, A; Langer, C; Kopit, J; Burris, HA Rd&lt;/Author&gt;&lt;Year&gt;2008&lt;/Year&gt;&lt;Details&gt;&lt;_accession_num&gt;18390971&lt;/_accession_num&gt;&lt;_author_adr&gt;Department of Medical Oncology, Ospedale San Martino, Genoa, 16132, Italy.  alberto.sobrero@hsanmartino.liguria.it&lt;/_author_adr&gt;&lt;_date_display&gt;2008 May 10&lt;/_date_display&gt;&lt;_date&gt;2008-05-10&lt;/_date&gt;&lt;_doi&gt;10.1200/JCO.2007.13.1193&lt;/_doi&gt;&lt;_isbn&gt;1527-7755 (Electronic); 0732-183X (Linking)&lt;/_isbn&gt;&lt;_issue&gt;14&lt;/_issue&gt;&lt;_journal&gt;J Clin Oncol&lt;/_journal&gt;&lt;_language&gt;eng&lt;/_language&gt;&lt;_pages&gt;2311-9&lt;/_pages&gt;&lt;_subject_headings&gt;Adult; Aged; Aged, 80 and over; Antibodies, Monoclonal/administration &amp;amp; dosage/adverse effects; Antibodies, Monoclonal, Humanized; Antineoplastic Combined Chemotherapy Protocols/adverse effects/*therapeutic use; Camptothecin/administration &amp;amp; dosage/adverse effects/*analogs &amp;amp; _x000d__x000a_      derivatives/therapeutic use; Cetuximab; Colorectal Neoplasms/*drug therapy/pathology; Disease-Free Survival; ErbB Receptors/biosynthesis; Female; Humans; Irinotecan; Male; Middle Aged; Neoplasm Metastasis; Organoplatinum Compounds/administration &amp;amp; dosage/adverse effects; Oxaliplatin; Pyrimidines/administration &amp;amp; dosage/adverse effects; Quality of Life&lt;/_subject_headings&gt;&lt;_tertiary_title&gt;Journal of clinical oncology : official journal of the American Society of _x000d__x000a_      Clinical Oncology&lt;/_tertiary_title&gt;&lt;_type_work&gt;Clinical Trial, Phase III; Journal Article; Multicenter Study; Randomized Controlled Trial&lt;/_type_work&gt;&lt;_url&gt;http://www.ncbi.nlm.nih.gov/entrez/query.fcgi?cmd=Retrieve&amp;amp;db=pubmed&amp;amp;dopt=Abstract&amp;amp;list_uids=18390971&amp;amp;query_hl=1&lt;/_url&gt;&lt;_volume&gt;26&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4BF43683-9197-4243-AFDC-CDA7366B2FF4}" w:val=" ADDIN NE.Ref.{4BF43683-9197-4243-AFDC-CDA7366B2FF4}&lt;Citation&gt;&lt;Group&gt;&lt;References&gt;&lt;Item&gt;&lt;ID&gt;46227&lt;/ID&gt;&lt;UID&gt;{E9C039B3-8B47-492D-A9E8-30F5DCB49633}&lt;/UID&gt;&lt;Title&gt;Efficacy and Safety of Brigatinib Compared With Crizotinib in Asian vs. Non-Asian  Patients With Locally Advanced or Metastatic ALK-Inhibitor-Naive ALK+ Non-Small  Cell Lung Cancer: Final Results From the Phase III ALTA-1L Study&lt;/Title&gt;&lt;Template&gt;Journal Article&lt;/Template&gt;&lt;Star&gt;0&lt;/Star&gt;&lt;Tag&gt;0&lt;/Tag&gt;&lt;Author&gt;Ahn, M J; Kim, H R; Yang, JCH; Han, J Y; Li, J Y; Hochmair, M J; Chang, G C; Delmonte, A; Lee, K H; Campelo, R G; Gridelli, C; Spira, A I; Califano, R; Griesinger, F; Ghosh, S; Felip, E; Kim, D W; Liu, Y; Zhang, P; Popat, S; Camidge, D R&lt;/Author&gt;&lt;Year&gt;2022&lt;/Year&gt;&lt;Details&gt;&lt;_accession_num&gt;36038416&lt;/_accession_num&gt;&lt;_author_adr&gt;Division of Hematology-Oncology, Samsung Medical Center, Sungkyunkwan University  School of Medicine, Seoul, South Korea. Electronic address: silkahn@skku.edu.; Division of Medical Oncology, Department of Internal Medicine, Yonsei Cancer  Center, Yonsei University College of Medicine, Seoul, South Korea.; Department of Medical Oncology, National Taiwan University Cancer Center, Taipei,  Taiwan, and Department of Oncology, National Taiwan University Hospital, Taipei,  Taiwan.; Center for Lung Cancer, National Cancer Center, Goyang, South Korea.; Department of Clinical Oncology, Hong Kong United Oncology Centre, Kowloon, Hong  Kong.; Department of Respiratory and Critical Care Medicine, Karl Landsteiner Institute  of Lung Research and Pulmonary Oncology, Klinik Floridsdorf, Vienna, Austria.; School of Medicine, and Institute of Medicine, Chung Shan Medical University,  Division of Pulmonary Medicine, Department of Internal Medicine, Chung Shan  Medical University Hospital, and Division of Chest Medicine, Department of  Internal Medicine, Taichung Veterans General Hospital, Taichung, Taiwan.; Medical Oncology, Istituto Romagnolo per lo Studio dei Tumori &amp;quot;Dino Amadori&amp;quot;  (IRST), IRCCS, Meldola, Italy.; Department of Internal Medicine, Chungbuk National University Hospital, Chungbuk  National University College of Medicine, Cheongju, South Korea.; Medical Oncology Department, Thoracic Tumors Unit, Complejo Hospitalario  Universitario A Coruna, A Coruna, Spain.; Division of Medical Oncology, A.O.S.G. Moscati, Avellino, Italy.; Medical Oncology, Virginia Cancer Specialists and US Oncology Research, Fairfax,  VA.; Department of Medical Oncology, The Christie NHS Foundation Trust, and Division  of Cancer Sciences, The University of Manchester, Manchester, England, UK.; University Department of Internal Medicine-Oncology, Pius-Hospital Oldenburg,  University of Oldenburg, Oldenburg, Germany.; Department of Medical Oncology, Guy&amp;apos;s and St Thomas&amp;apos; NHS Foundation Trust,  London, England, UK.; Medical Oncology Department, Vall d&amp;apos;Hebron University Hospital, Barcelona, Spain.; Department of Internal Medicine, Seoul National University College of Medicine  and Seoul National University Hospital, Seoul, Republic of Korea.; Oncology Statistics, Takeda Development Center Americas, Inc., Lexington, MA.; Clinical Science, Takeda Development Center Americas, Inc., Lexington, MA.; Lung Unit, The Royal Marsden Hospital and The Institute of Cancer Research,  London, England, UK.; Department of Medicine, Division of Medical Oncology, University of Colorado  Cancer Center, Aurora, CO.&lt;/_author_adr&gt;&lt;_date_display&gt;2022 Dec&lt;/_date_display&gt;&lt;_date&gt;2022-12-01&lt;/_date&gt;&lt;_doi&gt;10.1016/j.cllc.2022.07.008&lt;/_doi&gt;&lt;_isbn&gt;1938-0690 (Electronic); 1525-7304 (Linking)&lt;/_isbn&gt;&lt;_issue&gt;8&lt;/_issue&gt;&lt;_journal&gt;Clin Lung Cancer&lt;/_journal&gt;&lt;_keywords&gt;ALK TKI-naive; Anaplastic lymphoma kinase; Clinical trial; First line; Tyrosine kinase inhibitor&lt;/_keywords&gt;&lt;_language&gt;eng&lt;/_language&gt;&lt;_ori_publication&gt;Copyright (c) 2022. Published by Elsevier Inc.&lt;/_ori_publication&gt;&lt;_pages&gt;720-730&lt;/_pages&gt;&lt;_subject_headings&gt;Humans; *Carcinoma, Non-Small-Cell Lung/drug therapy/ethnology; Crizotinib/adverse effects; *Lung Neoplasms/drug therapy/ethnology/pathology; Protein Kinase Inhibitors/therapeutic use; Asian People&lt;/_subject_headings&gt;&lt;_tertiary_title&gt;Clinical lung cancer&lt;/_tertiary_title&gt;&lt;_type_work&gt;Clinical Trial, Phase III; Journal Article; Randomized Controlled Trial&lt;/_type_work&gt;&lt;_url&gt;http://www.ncbi.nlm.nih.gov/entrez/query.fcgi?cmd=Retrieve&amp;amp;db=pubmed&amp;amp;dopt=Abstract&amp;amp;list_uids=36038416&amp;amp;query_hl=1&lt;/_url&gt;&lt;_volume&gt;23&lt;/_volume&gt;&lt;_created&gt;64688896&lt;/_created&gt;&lt;_modified&gt;64688896&lt;/_modified&gt;&lt;_db_updated&gt;PubMed&lt;/_db_updated&gt;&lt;_impact_factor&gt;   4.785&lt;/_impact_factor&gt;&lt;_collection_scope&gt;SCIE&lt;/_collection_scope&gt;&lt;/Details&gt;&lt;Extra&gt;&lt;DBUID&gt;{F96A950B-833F-4880-A151-76DA2D6A2879}&lt;/DBUID&gt;&lt;/Extra&gt;&lt;/Item&gt;&lt;/References&gt;&lt;/Group&gt;&lt;/Citation&gt;_x000a_"/>
    <w:docVar w:name="NE.Ref{4D513E98-C1BE-447D-BB58-31E0EE552CEA}" w:val=" ADDIN NE.Ref.{4D513E98-C1BE-447D-BB58-31E0EE552CEA}&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4D7ADB52-069A-4939-BBC4-C7AF05B31170}" w:val=" ADDIN NE.Ref.{4D7ADB52-069A-4939-BBC4-C7AF05B31170}&lt;Citation&gt;&lt;Group&gt;&lt;References&gt;&lt;Item&gt;&lt;ID&gt;46197&lt;/ID&gt;&lt;UID&gt;{E111597E-7B08-457B-AEBE-D0E78756A9EF}&lt;/UID&gt;&lt;Title&gt;Ensartinib vs Crizotinib for Patients With Anaplastic Lymphoma Kinase-Positive Non-Small Cell Lung Cancer: A Randomized Clinical Trial&lt;/Title&gt;&lt;Template&gt;Journal Article&lt;/Template&gt;&lt;Star&gt;0&lt;/Star&gt;&lt;Tag&gt;0&lt;/Tag&gt;&lt;Author&gt;Horn, L; Wang, Z; Wu, G; Poddubskaya, E; Mok, T; Reck, M; Wakelee, H; Chiappori, A A; Lee, D H; Breder, V; Orlov, S; Cicin, I; Cheng, Y; Liu, Y; Fan, Y; Whisenant, J G; Zhou, Y; Oertel, V; Harrow, K; Liang, C; Mao, L; Selvaggi, G; Wu, Y L&lt;/Author&gt;&lt;Year&gt;2021&lt;/Year&gt;&lt;Details&gt;&lt;_accessed&gt;64632481&lt;/_accessed&gt;&lt;_accession_num&gt;34473194&lt;/_accession_num&gt;&lt;_author_adr&gt;Division of Hematology and Oncology, Department of Medicine, Vanderbilt-Ingram Cancer Center, Nashville, Tennessee.; Now with Global Clinical Head for Lung Cancer and Lung Cancer Strategy, AstraZeneca, Nashville, Tennessee.; Department of Thoracic Medical Oncology, Peking University Cancer Hospital and Institute, Beijing, China.; Cancer Center, Union Hospital, Tongji Medical College, Huazhong University of Science and Technology, Wuhan, China.; Clinical Center for Oncology, I. M. Sechenov First Moscow State Medical University (Sechenov University), Moscow, Russia.; Clinical Center VitaMed, Moscow, Russia.; Department of Clinical Oncology, State Key Laboratory of Translational Oncology,  The Chinese University of Hong Kong, Hong Kong, China.; Lung Clinic, Airway Research Center North, German Center for Lung Research, Grosshansdorf, Germany.; Department of Medicine, Division of Oncology and Stanford Cancer Institute, Stanford University, Stanford, California.; Thoracic Oncology Program, Moffitt Cancer Center, Tampa, Florida.; Department of Oncology, University of Ulsan College of Medicine, Asan Medical Center, Seoul, South Korea.; Department of Chemotherapy No. 17, N. N. Blokhin Russian Cancer Research Center,  Moscow, Russia.; Department of Biochemistry, Pavlov First Saint Petersburg State Medical University, St Petersburg, Russia.; Department of Medical Oncology, Faculty of Medicine, Trakya University, Edirne, Turkey.; Department of Thoracic Oncology, Jilin Cancer Hospital, Changchun, China.; Department of Medical Oncology, The First Hospital of China Medical University, Shenyang, Liaoning, China.; Thoracic Tumor Center, Zhejiang Cancer Hospital, Hangzhou, China.; Division of Hematology and Oncology, Department of Medicine, Vanderbilt-Ingram Cancer Center, Nashville, Tennessee.; Biometrics, Xcovery Holdings Inc, Palm Beach Gardens, Florida.; Clinical Operations, Xcovery Holdings Inc, Palm Beach Gardens, Florida.; Clinical Operations, Xcovery Holdings Inc, Palm Beach Gardens, Florida.; Now with EQRx, Cambridge, Massachusetts.; Clinical Science, Xcovery Holdings Inc, Palm Beach Gardens, Florida.; Clinical Development, Xcovery Holdings Inc, Palm Beach Gardens, Florida.; Now with Sino Biopharmaceutical Ltd, Beijing, China.; Clinical Development, Xcovery Holdings Inc, Palm Beach Gardens, Florida.; Guangdong Lung Cancer Institute, Guangdong Provincial People&amp;apos;s Hospital and Guangdong Academy of Medical Sciences, Guangzhou, China.&lt;/_author_adr&gt;&lt;_collection_scope&gt;SCIE&lt;/_collection_scope&gt;&lt;_created&gt;64630949&lt;/_created&gt;&lt;_date&gt;2021-11-01&lt;/_date&gt;&lt;_date_display&gt;2021 Nov 1&lt;/_date_display&gt;&lt;_db_updated&gt;PubMed&lt;/_db_updated&gt;&lt;_doi&gt;10.1001/jamaoncol.2021.3523&lt;/_doi&gt;&lt;_impact_factor&gt;  33.006&lt;/_impact_factor&gt;&lt;_isbn&gt;2374-2445 (Electronic); 2374-2437 (Linking)&lt;/_isbn&gt;&lt;_issue&gt;11&lt;/_issue&gt;&lt;_journal&gt;JAMA Oncol&lt;/_journal&gt;&lt;_language&gt;eng&lt;/_language&gt;&lt;_modified&gt;64688891&lt;/_modified&gt;&lt;_pages&gt;1617-1625&lt;/_pages&gt;&lt;_social_category&gt;医学(1)&lt;/_social_category&gt;&lt;_subject_headings&gt;Adolescent; Adult; Anaplastic Lymphoma Kinase; *Carcinoma, Non-Small-Cell Lung/pathology; Crizotinib/adverse effects; Humans; *Lung Neoplasms/pathology; Male; Middle Aged; Piperazines; Protein Kinase Inhibitors/adverse effects; Pyridazines&lt;/_subject_headings&gt;&lt;_tertiary_title&gt;JAMA oncology&lt;/_tertiary_title&gt;&lt;_type_work&gt;Journal Article; Multicenter Study; Randomized Controlled Trial; Research Support, Non-U.S. Gov&amp;apos;t&lt;/_type_work&gt;&lt;_url&gt;http://www.ncbi.nlm.nih.gov/entrez/query.fcgi?cmd=Retrieve&amp;amp;db=pubmed&amp;amp;dopt=Abstract&amp;amp;list_uids=34473194&amp;amp;query_hl=1&lt;/_url&gt;&lt;_volume&gt;7&lt;/_volume&gt;&lt;/Details&gt;&lt;Extra&gt;&lt;DBUID&gt;{F96A950B-833F-4880-A151-76DA2D6A2879}&lt;/DBUID&gt;&lt;/Extra&gt;&lt;/Item&gt;&lt;/References&gt;&lt;/Group&gt;&lt;Group&gt;&lt;References&gt;&lt;Item&gt;&lt;ID&gt;46198&lt;/ID&gt;&lt;UID&gt;{89E0B8BA-E7C2-40E9-81D4-0C4248F08B9F}&lt;/UID&gt;&lt;Title&gt;Ceritinib versus chemotherapy in patients with ALK-rearranged non-small-cell lung cancer previously given chemotherapy and crizotinib (ASCEND-5): a randomised, controlled, open-label, phase 3 trial&lt;/Title&gt;&lt;Template&gt;Journal Article&lt;/Template&gt;&lt;Star&gt;1&lt;/Star&gt;&lt;Tag&gt;0&lt;/Tag&gt;&lt;Author&gt;Shaw, A T; Kim, T M; Crino, L; Gridelli, C; Kiura, K; Liu, G; Novello, S; Bearz, A; Gautschi, O; Mok, T; Nishio, M; Scagliotti, G; Spigel, D R; Deudon, S; Zheng, C; Pantano, S; Urban, P; Massacesi, C; Viraswami-Appanna, K; Felip, E&lt;/Author&gt;&lt;Year&gt;2017&lt;/Year&gt;&lt;Details&gt;&lt;_accessed&gt;64632463&lt;/_accessed&gt;&lt;_accession_num&gt;28602779&lt;/_accession_num&gt;&lt;_author_adr&gt;Massachusetts General Hospital, Boston, MA, USA. Electronic address: ashaw1@mgh.harvard.edu.; Seoul National University Hospital, Seoul, Korea.; Istituto Scientifico Romagnolo per lo Studio e la Cura dei Tumori, Istituto di Ricovero e Cura a Carattere Scientifico, Meldola, Italy.; SG Moscati Hospital, Citta Ospedaliera, Contrada Amoretta, Avellino, Italy.; Okayama University Hospital, Okayama, Japan.; Princess Margaret Cancer Centre, Toronto, ON, Canada.; University of Torino, Torino, Italy.; Istituto di Ricovero e Cura a Carattere Scientifico-Centro di Riferimento Oncologico, Aviano, Italy.; Cantonal Hospital Lucerne, Lucerne, Switzerland.; State Key Laboratory of South China, Chinese University of Hong Kong, Shatin, China.; Cancer Institute Hospital of Japanese Foundation for Cancer Research, Tokyo, Japan.; University of Torino, Torino, Italy.; Sarah Cannon Research Institute, Nashville, TN, USA.; Novartis, Basel, Switzerland.; Novartis, East Hanover, NJ, USA.; Novartis, Basel, Switzerland.; Novartis, Basel, Switzerland.; Novartis, Basel, Switzerland.; Novartis, East Hanover, NJ, USA.; Vall d&amp;apos;Hebron University Hospital, Barcelona, Spain; Vall d&amp;apos;Hebron Institute of Oncology, Barcelona, Spain.&lt;/_author_adr&gt;&lt;_collection_scope&gt;SCIE&lt;/_collection_scope&gt;&lt;_created&gt;64630954&lt;/_created&gt;&lt;_date&gt;2017-07-01&lt;/_date&gt;&lt;_date_display&gt;2017 Jul&lt;/_date_display&gt;&lt;_db_updated&gt;PubMed&lt;/_db_updated&gt;&lt;_doi&gt;10.1016/S1470-2045(17)30339-X&lt;/_doi&gt;&lt;_impact_factor&gt;  54.433&lt;/_impact_factor&gt;&lt;_isbn&gt;1474-5488 (Electronic); 1470-2045 (Linking)&lt;/_isbn&gt;&lt;_issue&gt;7&lt;/_issue&gt;&lt;_journal&gt;Lancet Oncol&lt;/_journal&gt;&lt;_language&gt;eng&lt;/_language&gt;&lt;_modified&gt;64688891&lt;/_modified&gt;&lt;_ori_publication&gt;Copyright (c) 2017 Elsevier Ltd. All rights reserved.&lt;/_ori_publication&gt;&lt;_pages&gt;874-886&lt;/_pages&gt;&lt;_social_category&gt;医学(1)&lt;/_social_category&gt;&lt;_subject_headings&gt;Adult; Alanine Transaminase/blood; Anaplastic Lymphoma Kinase; Antineoplastic Agents/*therapeutic use; Antineoplastic Combined Chemotherapy Protocols/therapeutic use; Aspartate Aminotransferases/blood; Carcinoma, Non-Small-Cell Lung/*drug therapy/genetics/secondary; Crizotinib; Disease Progression; Disease-Free Survival; Docetaxel; Female; Gene Rearrangement; Humans; Lung Neoplasms/*drug therapy/genetics/pathology; Male; Middle Aged; Neoplasm Staging; Pemetrexed/*therapeutic use; Platinum Compounds/administration &amp;amp; dosage; Pyrazoles/therapeutic use; Pyridines/therapeutic use; Pyrimidines/adverse effects/*therapeutic use; Receptor Protein-Tyrosine Kinases/*genetics; Response Evaluation Criteria in Solid Tumors; Retreatment; Sulfones/adverse effects/*therapeutic use; Taxoids/*therapeutic use; gamma-Glutamyltransferase/blood&lt;/_subject_headings&gt;&lt;_tertiary_title&gt;The Lancet. Oncology&lt;/_tertiary_title&gt;&lt;_type_work&gt;Clinical Trial, Phase III; Comparative Study; Journal Article; Multicenter Study; Randomized Controlled Trial&lt;/_type_work&gt;&lt;_url&gt;http://www.ncbi.nlm.nih.gov/entrez/query.fcgi?cmd=Retrieve&amp;amp;db=pubmed&amp;amp;dopt=Abstract&amp;amp;list_uids=28602779&amp;amp;query_hl=1&lt;/_url&gt;&lt;_volume&gt;18&lt;/_volume&gt;&lt;/Details&gt;&lt;Extra&gt;&lt;DBUID&gt;{F96A950B-833F-4880-A151-76DA2D6A2879}&lt;/DBUID&gt;&lt;/Extra&gt;&lt;/Item&gt;&lt;/References&gt;&lt;/Group&gt;&lt;Group&gt;&lt;References&gt;&lt;Item&gt;&lt;ID&gt;46199&lt;/ID&gt;&lt;UID&gt;{08CB0812-A5CC-4A19-9FC4-FEF7AB8B807B}&lt;/UID&gt;&lt;Title&gt;First-Line Lorlatinib or Crizotinib in Advanced ALK-Positive Lung Cancer&lt;/Title&gt;&lt;Template&gt;Journal Article&lt;/Template&gt;&lt;Star&gt;0&lt;/Star&gt;&lt;Tag&gt;0&lt;/Tag&gt;&lt;Author&gt;Shaw, A T; Bauer, T M; de Marinis, F; Felip, E; Goto, Y; Liu, G; Mazieres, J; Kim, D W; Mok, T; Polli, A; Thurm, H; Calella, A M; Peltz, G; Solomon, B J&lt;/Author&gt;&lt;Year&gt;2020&lt;/Year&gt;&lt;Details&gt;&lt;_accessed&gt;64632463&lt;/_accessed&gt;&lt;_accession_num&gt;33207094&lt;/_accession_num&gt;&lt;_collection_scope&gt;SCIE&lt;/_collection_scope&gt;&lt;_created&gt;64630950&lt;/_created&gt;&lt;_date&gt;2020-11-19&lt;/_date&gt;&lt;_date_display&gt;2020 Nov 19&lt;/_date_display&gt;&lt;_db_updated&gt;PubMed&lt;/_db_updated&gt;&lt;_doi&gt;10.1056/NEJMoa2027187&lt;/_doi&gt;&lt;_impact_factor&gt; 176.079&lt;/_impact_factor&gt;&lt;_isbn&gt;1533-4406 (Electronic); 0028-4793 (Linking)&lt;/_isbn&gt;&lt;_issue&gt;21&lt;/_issue&gt;&lt;_journal&gt;N Engl J Med&lt;/_journal&gt;&lt;_language&gt;eng&lt;/_language&gt;&lt;_modified&gt;64688891&lt;/_modified&gt;&lt;_ori_publication&gt;Copyright (c) 2020 Massachusetts Medical Society.&lt;/_ori_publication&gt;&lt;_pages&gt;2018-2029&lt;/_pages&gt;&lt;_social_category&gt;医学(1)&lt;/_social_category&gt;&lt;_subject_headings&gt;Adult; Aged; Aminopyridines; Anaplastic Lymphoma Kinase/*antagonists &amp;amp; inhibitors/genetics; Antineoplastic Agents/adverse effects/*therapeutic use; Carcinoma, Non-Small-Cell Lung/*drug therapy/genetics/mortality; Crizotinib/adverse effects/*therapeutic use; Female; Humans; Hyperlipidemias/chemically induced; Intention to Treat Analysis; Lactams; Lactams, Macrocyclic/adverse effects/*therapeutic use; Lung Neoplasms/*drug therapy/genetics/mortality; Male; Middle Aged; Mutation; Pyrazoles; Survival Analysi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3207094&amp;amp;query_hl=1&lt;/_url&gt;&lt;_volume&gt;383&lt;/_volume&gt;&lt;/Details&gt;&lt;Extra&gt;&lt;DBUID&gt;{F96A950B-833F-4880-A151-76DA2D6A2879}&lt;/DBUID&gt;&lt;/Extra&gt;&lt;/Item&gt;&lt;/References&gt;&lt;/Group&gt;&lt;Group&gt;&lt;References&gt;&lt;Item&gt;&lt;ID&gt;46200&lt;/ID&gt;&lt;UID&gt;{7467B3CC-6C0C-4909-A09F-3D57AEE6FBD9}&lt;/UID&gt;&lt;Title&gt;Brigatinib versus Crizotinib in ALK-Positive Non-Small-Cell Lung Cancer&lt;/Title&gt;&lt;Template&gt;Journal Article&lt;/Template&gt;&lt;Star&gt;0&lt;/Star&gt;&lt;Tag&gt;0&lt;/Tag&gt;&lt;Author&gt;Camidge, D R; Kim, H R; Ahn, M J; Yang, J C; Han, J Y; Lee, J S; Hochmair, M J; Li, J Y; Chang, G C; Lee, K H; Gridelli, C; Delmonte, A; Garcia, Campelo R; Kim, D W; Bearz, A; Griesinger, F; Morabito, A; Felip, E; Califano, R; Ghosh, S; Spira, A; Gettinger, S N; Tiseo, M; Gupta, N; Haney, J; Kerstein, D; Popat, S&lt;/Author&gt;&lt;Year&gt;2018&lt;/Year&gt;&lt;Details&gt;&lt;_accessed&gt;64632453&lt;/_accessed&gt;&lt;_accession_num&gt;30280657&lt;/_accession_num&gt;&lt;_collection_scope&gt;SCIE&lt;/_collection_scope&gt;&lt;_created&gt;64630986&lt;/_created&gt;&lt;_date&gt;2018-11-22&lt;/_date&gt;&lt;_date_display&gt;2018 Nov 22&lt;/_date_display&gt;&lt;_db_updated&gt;PubMed&lt;/_db_updated&gt;&lt;_doi&gt;10.1056/NEJMoa1810171&lt;/_doi&gt;&lt;_impact_factor&gt; 176.079&lt;/_impact_factor&gt;&lt;_isbn&gt;1533-4406 (Electronic); 0028-4793 (Linking)&lt;/_isbn&gt;&lt;_issue&gt;21&lt;/_issue&gt;&lt;_journal&gt;N Engl J Med&lt;/_journal&gt;&lt;_language&gt;eng&lt;/_language&gt;&lt;_modified&gt;64688891&lt;/_modified&gt;&lt;_pages&gt;2027-2039&lt;/_pages&gt;&lt;_social_category&gt;医学(1)&lt;/_social_category&gt;&lt;_subject_headings&gt;Adult; Aged; Aged, 80 and over; Anaplastic Lymphoma Kinase/analysis/*antagonists &amp;amp; inhibitors; Antineoplastic Agents/adverse effects/*therapeutic use; Brain Neoplasms/secondary; Carcinoma, Non-Small-Cell Lung/chemistry/*drug therapy/secondary; Crizotinib/adverse effects/*therapeutic use; Female; Humans; Kaplan-Meier Estimate; Lung Neoplasms/chemistry/*drug therapy/pathology; Male; Middle Aged; Organophosphorus Compounds/adverse effects/*therapeutic use; Progression-Free Survival; Pyrimidines/adverse effects/*therapeutic use&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0280657&amp;amp;query_hl=1&lt;/_url&gt;&lt;_volume&gt;379&lt;/_volume&gt;&lt;/Details&gt;&lt;Extra&gt;&lt;DBUID&gt;{F96A950B-833F-4880-A151-76DA2D6A2879}&lt;/DBUID&gt;&lt;/Extra&gt;&lt;/Item&gt;&lt;/References&gt;&lt;/Group&gt;&lt;Group&gt;&lt;References&gt;&lt;Item&gt;&lt;ID&gt;46201&lt;/ID&gt;&lt;UID&gt;{9E2DD50C-1DCF-457C-B683-FC678251535A}&lt;/UID&gt;&lt;Title&gt;Alectinib versus Crizotinib in Untreated ALK-Positive Non-Small-Cell Lung Cancer&lt;/Title&gt;&lt;Template&gt;Journal Article&lt;/Template&gt;&lt;Star&gt;0&lt;/Star&gt;&lt;Tag&gt;0&lt;/Tag&gt;&lt;Author&gt;Peters, S; Camidge, D R; Shaw, A T; Gadgeel, S; Ahn, J S; Kim, D W; Ou, S I; Perol, M; Dziadziuszko, R; Rosell, R; Zeaiter, A; Mitry, E; Golding, S; Balas, B; Noe, J; Morcos, P N; Mok, T&lt;/Author&gt;&lt;Year&gt;2017&lt;/Year&gt;&lt;Details&gt;&lt;_accessed&gt;64632453&lt;/_accessed&gt;&lt;_accession_num&gt;28586279&lt;/_accession_num&gt;&lt;_collection_scope&gt;SCIE&lt;/_collection_scope&gt;&lt;_created&gt;64630944&lt;/_created&gt;&lt;_date&gt;2017-08-31&lt;/_date&gt;&lt;_date_display&gt;2017 Aug 31&lt;/_date_display&gt;&lt;_db_updated&gt;PubMed&lt;/_db_updated&gt;&lt;_doi&gt;10.1056/NEJMoa1704795&lt;/_doi&gt;&lt;_impact_factor&gt; 176.079&lt;/_impact_factor&gt;&lt;_isbn&gt;1533-4406 (Electronic); 0028-4793 (Linking)&lt;/_isbn&gt;&lt;_issue&gt;9&lt;/_issue&gt;&lt;_journal&gt;N Engl J Med&lt;/_journal&gt;&lt;_language&gt;eng&lt;/_language&gt;&lt;_modified&gt;64688891&lt;/_modified&gt;&lt;_pages&gt;829-838&lt;/_pages&gt;&lt;_social_category&gt;医学(1)&lt;/_social_category&gt;&lt;_subject_headings&gt;Adult; Aged, 80 and over; Anaplastic Lymphoma Kinase; Animals; Antineoplastic Agents/adverse effects/therapeutic use; Carbazoles/adverse effects/*therapeutic use; Carcinoma, Non-Small-Cell Lung/*drug therapy/mortality; Central Nervous System Neoplasms/drug therapy/*secondary; Crizotinib; Disease-Free Survival; Female; Follow-Up Studies; Humans; Intention to Treat Analysis; Kaplan-Meier Estimate; Lung Neoplasms/*drug therapy/mortality; Male; Middle Aged; Piperidines/adverse effects/*therapeutic use; Protein Kinase Inhibitors/adverse effects/*therapeutic use; Pyrazoles/adverse effects/*therapeutic use; Pyridines/adverse effects/*therapeutic use; Receptor Protein-Tyrosine Kinases/analysis/antagonists &amp;amp; inhibitors; Young Adult&lt;/_subject_headings&gt;&lt;_tertiary_title&gt;The New England journal of medicine&lt;/_tertiary_title&gt;&lt;_type_work&gt;Clinical Trial, Phase III; Comparative Study; Journal Article; Multicenter Study; Randomized Controlled Trial&lt;/_type_work&gt;&lt;_url&gt;http://www.ncbi.nlm.nih.gov/entrez/query.fcgi?cmd=Retrieve&amp;amp;db=pubmed&amp;amp;dopt=Abstract&amp;amp;list_uids=28586279&amp;amp;query_hl=1&lt;/_url&gt;&lt;_volume&gt;377&lt;/_volume&gt;&lt;/Details&gt;&lt;Extra&gt;&lt;DBUID&gt;{F96A950B-833F-4880-A151-76DA2D6A2879}&lt;/DBUID&gt;&lt;/Extra&gt;&lt;/Item&gt;&lt;/References&gt;&lt;/Group&gt;&lt;Group&gt;&lt;References&gt;&lt;Item&gt;&lt;ID&gt;46202&lt;/ID&gt;&lt;UID&gt;{4B64A322-E4EA-4491-BD66-79CF9493DD09}&lt;/UID&gt;&lt;Title&gt;First-line crizotinib versus chemotherapy in ALK-positive lung cancer&lt;/Title&gt;&lt;Template&gt;Journal Article&lt;/Template&gt;&lt;Star&gt;0&lt;/Star&gt;&lt;Tag&gt;0&lt;/Tag&gt;&lt;Author&gt;Solomon, B J; Mok, T; Kim, D W; Wu, Y L; Nakagawa, K; Mekhail, T; Felip, E; Cappuzzo, F; Paolini, J; Usari, T; Iyer, S; Reisman, A; Wilner, K D; Tursi, J; Blackhall, F&lt;/Author&gt;&lt;Year&gt;2014&lt;/Year&gt;&lt;Details&gt;&lt;_accessed&gt;64632481&lt;/_accessed&gt;&lt;_accession_num&gt;25470694&lt;/_accession_num&gt;&lt;_collection_scope&gt;SCIE&lt;/_collection_scope&gt;&lt;_created&gt;64630940&lt;/_created&gt;&lt;_date&gt;2014-12-04&lt;/_date&gt;&lt;_date_display&gt;2014 Dec 4&lt;/_date_display&gt;&lt;_db_updated&gt;PubMed&lt;/_db_updated&gt;&lt;_doi&gt;10.1056/NEJMoa1408440&lt;/_doi&gt;&lt;_impact_factor&gt; 176.079&lt;/_impact_factor&gt;&lt;_isbn&gt;1533-4406 (Electronic); 0028-4793 (Linking)&lt;/_isbn&gt;&lt;_issue&gt;23&lt;/_issue&gt;&lt;_journal&gt;N Engl J Med&lt;/_journal&gt;&lt;_language&gt;eng&lt;/_language&gt;&lt;_modified&gt;64688891&lt;/_modified&gt;&lt;_pages&gt;2167-77&lt;/_pages&gt;&lt;_social_category&gt;医学(1)&lt;/_social_category&gt;&lt;_subject_headings&gt;Adenocarcinoma/drug therapy/mortality; Adult; Aged; Anaplastic Lymphoma Kinase; Antineoplastic Combined Chemotherapy Protocols/adverse effects/*therapeutic use; Carboplatin/administration &amp;amp; dosage; Carcinoma, Non-Small-Cell Lung/*drug therapy/mortality; Cisplatin/administration &amp;amp; dosage; Crizotinib; Disease-Free Survival; Female; Glutamates/administration &amp;amp; dosage; Guanine/administration &amp;amp; dosage/analogs &amp;amp; derivatives; Humans; Kaplan-Meier Estimate; Lung Neoplasms/*drug therapy/mortality; Male; Middle Aged; Pemetrexed; Protein Kinase Inhibitors/adverse effects/*therapeutic use; Pyrazoles/adverse effects/*therapeutic use; Pyridines/adverse effects/*therapeutic use; Receptor Protein-Tyrosine Kinases/*antagonists &amp;amp; inhibitor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5470694&amp;amp;query_hl=1&lt;/_url&gt;&lt;_volume&gt;371&lt;/_volume&gt;&lt;/Details&gt;&lt;Extra&gt;&lt;DBUID&gt;{F96A950B-833F-4880-A151-76DA2D6A2879}&lt;/DBUID&gt;&lt;/Extra&gt;&lt;/Item&gt;&lt;/References&gt;&lt;/Group&gt;&lt;Group&gt;&lt;References&gt;&lt;Item&gt;&lt;ID&gt;46203&lt;/ID&gt;&lt;UID&gt;{215C111E-D5EE-4F01-9F67-533F1AD6C6A3}&lt;/UID&gt;&lt;Title&gt;Crizotinib versus chemotherapy in advanced ALK-positive lung cancer&lt;/Title&gt;&lt;Template&gt;Journal Article&lt;/Template&gt;&lt;Star&gt;1&lt;/Star&gt;&lt;Tag&gt;0&lt;/Tag&gt;&lt;Author&gt;Shaw, A T; Kim, D W; Nakagawa, K; Seto, T; Crino, L; Ahn, M J; De Pas, T; Besse, B; Solomon, B J; Blackhall, F; Wu, Y L; Thomas, M; O&amp;apos;Byrne, K J; Moro-Sibilot, D; Camidge, D R; Mok, T; Hirsh, V; Riely, G J; Iyer, S; Tassell, V; Polli, A; Wilner, K D; Janne, P A&lt;/Author&gt;&lt;Year&gt;2013&lt;/Year&gt;&lt;Details&gt;&lt;_accessed&gt;64632466&lt;/_accessed&gt;&lt;_accession_num&gt;23724913&lt;/_accession_num&gt;&lt;_author_adr&gt;Massachusetts General Hospital, Boston, MA 02114, USA. ashaw1@partners.org&lt;/_author_adr&gt;&lt;_collection_scope&gt;SCIE&lt;/_collection_scope&gt;&lt;_created&gt;64630997&lt;/_created&gt;&lt;_date&gt;2013-06-20&lt;/_date&gt;&lt;_date_display&gt;2013 Jun 20&lt;/_date_display&gt;&lt;_db_updated&gt;PubMed&lt;/_db_updated&gt;&lt;_doi&gt;10.1056/NEJMoa1214886&lt;/_doi&gt;&lt;_impact_factor&gt; 176.079&lt;/_impact_factor&gt;&lt;_isbn&gt;1533-4406 (Electronic); 0028-4793 (Linking)&lt;/_isbn&gt;&lt;_issue&gt;25&lt;/_issue&gt;&lt;_journal&gt;N Engl J Med&lt;/_journal&gt;&lt;_language&gt;eng&lt;/_language&gt;&lt;_modified&gt;64688891&lt;/_modified&gt;&lt;_pages&gt;2385-94&lt;/_pages&gt;&lt;_social_category&gt;医学(1)&lt;/_social_category&gt;&lt;_subject_headings&gt;Adult; Aged; Aged, 80 and over; Antineoplastic Agents/adverse effects/*therapeutic use; Carcinoma, Non-Small-Cell Lung/*drug therapy/mortality; Crizotinib; Disease-Free Survival; Docetaxel; Female; Glutamates/adverse effects/therapeutic use; Guanine/adverse effects/analogs &amp;amp; derivatives/therapeutic use; Humans; Kaplan-Meier Estimate; Lung Neoplasms/*drug therapy/mortality; Male; Middle Aged; Pemetrexed; Protein Kinase Inhibitors/adverse effects/*therapeutic use; Pyrazoles/adverse effects/*therapeutic use; Pyridines/adverse effects/*therapeutic use; Quality of Life; Taxoids/adverse effects/therapeutic use; Young Adult&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3724913&amp;amp;query_hl=1&lt;/_url&gt;&lt;_volume&gt;368&lt;/_volume&gt;&lt;/Details&gt;&lt;Extra&gt;&lt;DBUID&gt;{F96A950B-833F-4880-A151-76DA2D6A2879}&lt;/DBUID&gt;&lt;/Extra&gt;&lt;/Item&gt;&lt;/References&gt;&lt;/Group&gt;&lt;/Citation&gt;_x000a_"/>
    <w:docVar w:name="NE.Ref{4E5F12DD-8B09-4ECC-BF57-EB5861BAD4CD}" w:val=" ADDIN NE.Ref.{4E5F12DD-8B09-4ECC-BF57-EB5861BAD4CD}&lt;Citation&gt;&lt;Group&gt;&lt;References&gt;&lt;Item&gt;&lt;ID&gt;2997&lt;/ID&gt;&lt;UID&gt;{F7276F66-05F3-4615-919F-AC3936FC39E7}&lt;/UID&gt;&lt;Title&gt;Alectinib versus Crizotinib in Untreated ALK-Positive Non-Small-Cell Lung Cancer&lt;/Title&gt;&lt;Template&gt;Journal Article&lt;/Template&gt;&lt;Star&gt;0&lt;/Star&gt;&lt;Tag&gt;0&lt;/Tag&gt;&lt;Author&gt;Peters, S; Camidge, D R; Shaw, A T; Gadgeel, S; Ahn, J S; Kim, D W; Ou, S I; Perol, M; Dziadziuszko, R; Rosell, R; Zeaiter, A; Mitry, E; Golding, S; Balas, B; Noe, J; Morcos, P N; Mok, T&lt;/Author&gt;&lt;Year&gt;2017&lt;/Year&gt;&lt;Details&gt;&lt;_accessed&gt;64632453&lt;/_accessed&gt;&lt;_accession_num&gt;28586279&lt;/_accession_num&gt;&lt;_collection_scope&gt;SCIE&lt;/_collection_scope&gt;&lt;_created&gt;64630944&lt;/_created&gt;&lt;_date&gt;2017-08-31&lt;/_date&gt;&lt;_date_display&gt;2017 Aug 31&lt;/_date_display&gt;&lt;_db_updated&gt;PubMed&lt;/_db_updated&gt;&lt;_doi&gt;10.1056/NEJMoa1704795&lt;/_doi&gt;&lt;_impact_factor&gt; 176.079&lt;/_impact_factor&gt;&lt;_isbn&gt;1533-4406 (Electronic); 0028-4793 (Linking)&lt;/_isbn&gt;&lt;_issue&gt;9&lt;/_issue&gt;&lt;_journal&gt;N Engl J Med&lt;/_journal&gt;&lt;_language&gt;eng&lt;/_language&gt;&lt;_modified&gt;64740730&lt;/_modified&gt;&lt;_pages&gt;829-838&lt;/_pages&gt;&lt;_social_category&gt;医学(1)&lt;/_social_category&gt;&lt;_subject_headings&gt;Adult; Aged, 80 and over; Anaplastic Lymphoma Kinase; Animals; Antineoplastic Agents/adverse effects/therapeutic use; Carbazoles/adverse effects/*therapeutic use; Carcinoma, Non-Small-Cell Lung/*drug therapy/mortality; Central Nervous System Neoplasms/drug therapy/*secondary; Crizotinib; Disease-Free Survival; Female; Follow-Up Studies; Humans; Intention to Treat Analysis; Kaplan-Meier Estimate; Lung Neoplasms/*drug therapy/mortality; Male; Middle Aged; Piperidines/adverse effects/*therapeutic use; Protein Kinase Inhibitors/adverse effects/*therapeutic use; Pyrazoles/adverse effects/*therapeutic use; Pyridines/adverse effects/*therapeutic use; Receptor Protein-Tyrosine Kinases/analysis/antagonists &amp;amp; inhibitors; Young Adult&lt;/_subject_headings&gt;&lt;_tertiary_title&gt;The New England journal of medicine&lt;/_tertiary_title&gt;&lt;_type_work&gt;Clinical Trial, Phase III; Comparative Study; Journal Article; Multicenter Study; Randomized Controlled Trial&lt;/_type_work&gt;&lt;_url&gt;http://www.ncbi.nlm.nih.gov/entrez/query.fcgi?cmd=Retrieve&amp;amp;db=pubmed&amp;amp;dopt=Abstract&amp;amp;list_uids=28586279&amp;amp;query_hl=1&lt;/_url&gt;&lt;_volume&gt;377&lt;/_volume&gt;&lt;/Details&gt;&lt;Extra&gt;&lt;DBUID&gt;{F96A950B-833F-4880-A151-76DA2D6A2879}&lt;/DBUID&gt;&lt;/Extra&gt;&lt;/Item&gt;&lt;/References&gt;&lt;/Group&gt;&lt;Group&gt;&lt;References&gt;&lt;Item&gt;&lt;ID&gt;3018&lt;/ID&gt;&lt;UID&gt;{D71F9B2B-4620-4936-AA79-2D51F38A3C1A}&lt;/UID&gt;&lt;Title&gt;Crizotinib versus chemotherapy in advanced ALK-positive lung cancer&lt;/Title&gt;&lt;Template&gt;Journal Article&lt;/Template&gt;&lt;Star&gt;1&lt;/Star&gt;&lt;Tag&gt;0&lt;/Tag&gt;&lt;Author&gt;Shaw, A T; Kim, D W; Nakagawa, K; Seto, T; Crino, L; Ahn, M J; De Pas, T; Besse, B; Solomon, B J; Blackhall, F; Wu, Y L; Thomas, M; O&amp;apos;Byrne, K J; Moro-Sibilot, D; Camidge, D R; Mok, T; Hirsh, V; Riely, G J; Iyer, S; Tassell, V; Polli, A; Wilner, K D; Janne, P A&lt;/Author&gt;&lt;Year&gt;2013&lt;/Year&gt;&lt;Details&gt;&lt;_accessed&gt;64632466&lt;/_accessed&gt;&lt;_accession_num&gt;23724913&lt;/_accession_num&gt;&lt;_author_adr&gt;Massachusetts General Hospital, Boston, MA 02114, USA. ashaw1@partners.org&lt;/_author_adr&gt;&lt;_collection_scope&gt;SCIE&lt;/_collection_scope&gt;&lt;_created&gt;64630997&lt;/_created&gt;&lt;_date&gt;2013-06-20&lt;/_date&gt;&lt;_date_display&gt;2013 Jun 20&lt;/_date_display&gt;&lt;_db_updated&gt;PubMed&lt;/_db_updated&gt;&lt;_doi&gt;10.1056/NEJMoa1214886&lt;/_doi&gt;&lt;_impact_factor&gt; 176.079&lt;/_impact_factor&gt;&lt;_isbn&gt;1533-4406 (Electronic); 0028-4793 (Linking)&lt;/_isbn&gt;&lt;_issue&gt;25&lt;/_issue&gt;&lt;_journal&gt;N Engl J Med&lt;/_journal&gt;&lt;_language&gt;eng&lt;/_language&gt;&lt;_modified&gt;64740730&lt;/_modified&gt;&lt;_pages&gt;2385-94&lt;/_pages&gt;&lt;_social_category&gt;医学(1)&lt;/_social_category&gt;&lt;_subject_headings&gt;Adult; Aged; Aged, 80 and over; Antineoplastic Agents/adverse effects/*therapeutic use; Carcinoma, Non-Small-Cell Lung/*drug therapy/mortality; Crizotinib; Disease-Free Survival; Docetaxel; Female; Glutamates/adverse effects/therapeutic use; Guanine/adverse effects/analogs &amp;amp; derivatives/therapeutic use; Humans; Kaplan-Meier Estimate; Lung Neoplasms/*drug therapy/mortality; Male; Middle Aged; Pemetrexed; Protein Kinase Inhibitors/adverse effects/*therapeutic use; Pyrazoles/adverse effects/*therapeutic use; Pyridines/adverse effects/*therapeutic use; Quality of Life; Taxoids/adverse effects/therapeutic use; Young Adult&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3724913&amp;amp;query_hl=1&lt;/_url&gt;&lt;_volume&gt;368&lt;/_volume&gt;&lt;/Details&gt;&lt;Extra&gt;&lt;DBUID&gt;{F96A950B-833F-4880-A151-76DA2D6A2879}&lt;/DBUID&gt;&lt;/Extra&gt;&lt;/Item&gt;&lt;/References&gt;&lt;/Group&gt;&lt;Group&gt;&lt;References&gt;&lt;Item&gt;&lt;ID&gt;2994&lt;/ID&gt;&lt;UID&gt;{C5F928ED-3171-4414-BDBA-515DE60795AC}&lt;/UID&gt;&lt;Title&gt;First-Line Lorlatinib or Crizotinib in Advanced ALK-Positive Lung Cancer&lt;/Title&gt;&lt;Template&gt;Journal Article&lt;/Template&gt;&lt;Star&gt;0&lt;/Star&gt;&lt;Tag&gt;0&lt;/Tag&gt;&lt;Author&gt;Shaw, A T; Bauer, T M; de Marinis, F; Felip, E; Goto, Y; Liu, G; Mazieres, J; Kim, D W; Mok, T; Polli, A; Thurm, H; Calella, A M; Peltz, G; Solomon, B J&lt;/Author&gt;&lt;Year&gt;2020&lt;/Year&gt;&lt;Details&gt;&lt;_accessed&gt;64632463&lt;/_accessed&gt;&lt;_accession_num&gt;33207094&lt;/_accession_num&gt;&lt;_collection_scope&gt;SCIE&lt;/_collection_scope&gt;&lt;_created&gt;64630950&lt;/_created&gt;&lt;_date&gt;2020-11-19&lt;/_date&gt;&lt;_date_display&gt;2020 Nov 19&lt;/_date_display&gt;&lt;_db_updated&gt;PubMed&lt;/_db_updated&gt;&lt;_doi&gt;10.1056/NEJMoa2027187&lt;/_doi&gt;&lt;_impact_factor&gt; 176.079&lt;/_impact_factor&gt;&lt;_isbn&gt;1533-4406 (Electronic); 0028-4793 (Linking)&lt;/_isbn&gt;&lt;_issue&gt;21&lt;/_issue&gt;&lt;_journal&gt;N Engl J Med&lt;/_journal&gt;&lt;_language&gt;eng&lt;/_language&gt;&lt;_modified&gt;64740730&lt;/_modified&gt;&lt;_ori_publication&gt;Copyright (c) 2020 Massachusetts Medical Society.&lt;/_ori_publication&gt;&lt;_pages&gt;2018-2029&lt;/_pages&gt;&lt;_social_category&gt;医学(1)&lt;/_social_category&gt;&lt;_subject_headings&gt;Adult; Aged; Aminopyridines; Anaplastic Lymphoma Kinase/*antagonists &amp;amp; inhibitors/genetics; Antineoplastic Agents/adverse effects/*therapeutic use; Carcinoma, Non-Small-Cell Lung/*drug therapy/genetics/mortality; Crizotinib/adverse effects/*therapeutic use; Female; Humans; Hyperlipidemias/chemically induced; Intention to Treat Analysis; Lactams; Lactams, Macrocyclic/adverse effects/*therapeutic use; Lung Neoplasms/*drug therapy/genetics/mortality; Male; Middle Aged; Mutation; Pyrazoles; Survival Analysi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3207094&amp;amp;query_hl=1&lt;/_url&gt;&lt;_volume&gt;383&lt;/_volume&gt;&lt;/Details&gt;&lt;Extra&gt;&lt;DBUID&gt;{F96A950B-833F-4880-A151-76DA2D6A2879}&lt;/DBUID&gt;&lt;/Extra&gt;&lt;/Item&gt;&lt;/References&gt;&lt;/Group&gt;&lt;/Citation&gt;_x000a_"/>
    <w:docVar w:name="NE.Ref{4F26EF0C-A101-47A3-BE39-1CBBCFDFDE1C}" w:val=" ADDIN NE.Ref.{4F26EF0C-A101-47A3-BE39-1CBBCFDFDE1C}&lt;Citation&gt;&lt;Group&gt;&lt;References&gt;&lt;Item&gt;&lt;ID&gt;4700&lt;/ID&gt;&lt;UID&gt;{0A4A76C1-D5C7-4A61-B1DA-7994029F6515}&lt;/UID&gt;&lt;Title&gt;Famitinib versus placebo in the treatment of refractory metastatic colorectal  cancer: a multicenter, randomized, double-blinded, placebo-controlled, phase II  clinical trial&lt;/Title&gt;&lt;Template&gt;Journal Article&lt;/Template&gt;&lt;Star&gt;0&lt;/Star&gt;&lt;Tag&gt;0&lt;/Tag&gt;&lt;Author&gt;Xu, R H; Shen, L; Wang, K M; Wu, G; Shi, C M; Ding, K F; Lin, L Z; Wang, J W; Xiong, J P; Wu, C P; Li, J; Liu, Y P; Wang, D; Ba, Y; Feng, J P; Bai, Y X; Bi, J W; Ma, L W; Lei, J; Yang, Q; Yu, H&lt;/Author&gt;&lt;Year&gt;2017&lt;/Year&gt;&lt;Details&gt;&lt;_accession_num&gt;29273089&lt;/_accession_num&gt;&lt;_author_adr&gt;Department of Medical Oncology, Sun Yat-sen University Cancer Center, State Key  Laboratory of Oncology in South China, Collaborative Innovation Center for Cancer  Medicine, Guangzhou, 510060, Guangdong, P. R. China.; Key Laboratory of Carcinogenesis and Translational Research (Ministry of  Education), Department of Gastrointestinal Oncology, Peking University Cancer  Hospital &amp;amp; Institute, No 52, Fucheng Road, Haidian District, Beijing, 100142, P.  R. China. lin100@medmail.com.cn.; Department of Medical Oncology, Second Affiliated Hospital of Nanjing Medical  University, Nanjing, 210011, Jiangsu, P. R. China.; Cancer Center of Union Hospital, Tongji Medical College, Huazhong University of  Science and Technology, Wuhan, 430030, Hubei, P. R. China.; Department of Medical Oncology, Fujian Medical University Union Hospital, Fuzhou,  350001, Fujian, P. R. China.; Department of Surgical Oncology, Second Hospital Affiliated to Zhejiang  University School of Medicine, Hangzhou, 310009, Zhejiang, P. R. China.; Department of Oncology, First Affiliated Hospital of Guangzhou Medical University  of Chinese Medicine, Guangzhou, 510405, Guangdong, P. R. China.; Department of Medical Oncology, Chinese Academy of Medical Sciences Cancer  Hospital, Beijing, 100021, P. R. China.; Department of Medical Oncology, First Affiliated Hospital of Nanchang University,  Nanchang, 330006, Jiangxi, P. R. China.; Department of Medical Oncology, First People&amp;apos;s Hospital of Changzhou, Changzhou,  213003, Jiangsu, P. R. China.; Department of Medical Oncology, Fudan University Cancer Hospital, Shanghai,  200032, P. R. China.; Department of Medical Oncology, First Hospital of China Medical University,  Shenyang, 110001, Liaoning, P. R. China.; Cancer Center, Daping Hospital and Institute of Surgery Research, Third Military  Medical University, Chongqing, 400042, P. R. China.; Department of Gastrointestinal Medical Oncology, Tianjin Medical University  Cancer Institute and Hospital, Tianjin, 300060, P. R. China.; Department of Oncology, PuAi Hospital of Tongji Medical College, Huazhong  University of Science and Technology, Wuhan, 430032, Hubei, P. R. China.; Department of Medical Oncology, Harbin Medical University Cancer Hospital,  Harbin, 150081, Heilongjiang, P. R. China.; Department of Oncology, Jinan Military General Hospital, Jinan, 250000, Shandong,  P. R. China.; Department of Tumor Chemotherapy and Radiology, Peking University Third Hospital,  Beijing, 100191, P. R. China.; Department of Gastrointestinal Surgery, First Affiliated Hospital of Guangzhou  Medical University, Guangzhou, 510120, Guangdong, P. R. China.; Department of Clinical Medicine, Jiangsu Hengrui Medicine Co., Ltd, Lianyungang,  222047, Jiangsu, P. R. China.; Department of Epidemic and Health Statistics, Nanjing Medical University,  Nanjing, 211166, Jiangsu, P. R. China.&lt;/_author_adr&gt;&lt;_date_display&gt;2017 Dec 22&lt;/_date_display&gt;&lt;_date&gt;2017-12-22&lt;/_date&gt;&lt;_doi&gt;10.1186/s40880-017-0263-y&lt;/_doi&gt;&lt;_isbn&gt;1944-446X (Electronic); 1000-467X (Print); 1944-446X (Linking)&lt;/_isbn&gt;&lt;_issue&gt;1&lt;/_issue&gt;&lt;_journal&gt;Chin J Cancer&lt;/_journal&gt;&lt;_keywords&gt;Colorectal cancer; Efficacy; Famitinib; Safety&lt;/_keywords&gt;&lt;_language&gt;eng&lt;/_language&gt;&lt;_pages&gt;97&lt;/_pages&gt;&lt;_subject_headings&gt;Administration, Oral; Adult; Aged; Colorectal Neoplasms/*drug therapy; Double-Blind Method; Drug Administration Schedule; Female; Humans; Indoles/*administration &amp;amp; dosage/adverse effects; Male; Neoplasm Metastasis; Protein Kinase Inhibitors/*administration &amp;amp; dosage/adverse effects; Pyrroles/*administration &amp;amp; dosage/adverse effects; Survival Analysis; Treatment Outcome&lt;/_subject_headings&gt;&lt;_tertiary_title&gt;Chinese journal of cancer&lt;/_tertiary_title&gt;&lt;_type_work&gt;Clinical Trial, Phase II; Journal Article; Multicenter Study; Randomized Controlled Trial; Research Support, Non-U.S. Gov&amp;apos;t&lt;/_type_work&gt;&lt;_url&gt;http://www.ncbi.nlm.nih.gov/entrez/query.fcgi?cmd=Retrieve&amp;amp;db=pubmed&amp;amp;dopt=Abstract&amp;amp;list_uids=29273089&amp;amp;query_hl=1&lt;/_url&gt;&lt;_volume&gt;36&lt;/_volume&gt;&lt;_created&gt;65020956&lt;/_created&gt;&lt;_modified&gt;65020956&lt;/_modified&gt;&lt;/Details&gt;&lt;Extra&gt;&lt;DBUID&gt;{F96A950B-833F-4880-A151-76DA2D6A2879}&lt;/DBUID&gt;&lt;/Extra&gt;&lt;/Item&gt;&lt;/References&gt;&lt;/Group&gt;&lt;/Citation&gt;_x000a_"/>
    <w:docVar w:name="NE.Ref{5036DE48-3AC0-482A-BE1F-4FD0A3F6812D}" w:val=" ADDIN NE.Ref.{5036DE48-3AC0-482A-BE1F-4FD0A3F6812D}&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Citation&gt;_x000a_"/>
    <w:docVar w:name="NE.Ref{510A385A-5FC6-4EDC-B790-A68DC6FD5861}" w:val=" ADDIN NE.Ref.{510A385A-5FC6-4EDC-B790-A68DC6FD5861}&lt;Citation&gt;&lt;Group&gt;&lt;References&gt;&lt;Item&gt;&lt;ID&gt;4754&lt;/ID&gt;&lt;UID&gt;{A72984F6-E8B8-4C51-8A5E-766F3B97848A}&lt;/UID&gt;&lt;Title&gt;Determining the relationship between toxicity and quality of life in an ovarian  cancer chemotherapy clinical trial&lt;/Title&gt;&lt;Template&gt;Journal Article&lt;/Template&gt;&lt;Star&gt;0&lt;/Star&gt;&lt;Tag&gt;0&lt;/Tag&gt;&lt;Author&gt;Butler, L; Bacon, M; Carey, M; Zee, B; Tu, D; Bezjak, A&lt;/Author&gt;&lt;Year&gt;2004&lt;/Year&gt;&lt;Details&gt;&lt;_accession_num&gt;15197209&lt;/_accession_num&gt;&lt;_author_adr&gt;Dalhousie University, Halifax, Nova Scotia, Canada. lorna.butler@dal.ca&lt;/_author_adr&gt;&lt;_date_display&gt;2004 Jun 15&lt;/_date_display&gt;&lt;_date&gt;2004-06-15&lt;/_date&gt;&lt;_doi&gt;10.1200/JCO.2004.01.106&lt;/_doi&gt;&lt;_isbn&gt;0732-183X (Print); 0732-183X (Linking)&lt;/_isbn&gt;&lt;_issue&gt;12&lt;/_issue&gt;&lt;_journal&gt;J Clin Oncol&lt;/_journal&gt;&lt;_language&gt;eng&lt;/_language&gt;&lt;_pages&gt;2461-8&lt;/_pages&gt;&lt;_subject_headings&gt;Antineoplastic Combined Chemotherapy Protocols/*adverse effects; Cisplatin/*adverse effects; Female; Humans; Matched-Pair Analysis; Ovarian Neoplasms/*drug therapy; Paclitaxel/*adverse effects; *Quality of Life&lt;/_subject_headings&gt;&lt;_tertiary_title&gt;Journal of clinical oncology : official journal of the American Society of _x000d__x000a_      Clinical Oncology&lt;/_tertiary_title&gt;&lt;_type_work&gt;Clinical Trial; Journal Article; Multicenter Study; Randomized Controlled Trial; Research Support, Non-U.S. Gov&amp;apos;t&lt;/_type_work&gt;&lt;_url&gt;http://www.ncbi.nlm.nih.gov/entrez/query.fcgi?cmd=Retrieve&amp;amp;db=pubmed&amp;amp;dopt=Abstract&amp;amp;list_uids=15197209&amp;amp;query_hl=1&lt;/_url&gt;&lt;_volume&gt;22&lt;/_volume&gt;&lt;_created&gt;65021590&lt;/_created&gt;&lt;_modified&gt;65021590&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521C37C9-A299-4C2D-816A-5D92162FB05C}" w:val=" ADDIN NE.Ref.{521C37C9-A299-4C2D-816A-5D92162FB05C}&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53E23E5A-7E12-43D0-AAE4-0EA3D0FC542D}" w:val=" ADDIN NE.Ref.{53E23E5A-7E12-43D0-AAE4-0EA3D0FC542D}&lt;Citation&gt;&lt;Group&gt;&lt;References&gt;&lt;Item&gt;&lt;ID&gt;4691&lt;/ID&gt;&lt;UID&gt;{30E1F1B1-5626-4151-8871-871955149488}&lt;/UID&gt;&lt;Title&gt;Panitumumab versus cetuximab in patients with chemotherapy-refractory wild-type  KRAS exon 2 metastatic colorectal cancer (ASPECCT): a randomised, multicentre,  open-label, non-inferiority phase 3 study&lt;/Title&gt;&lt;Template&gt;Journal Article&lt;/Template&gt;&lt;Star&gt;0&lt;/Star&gt;&lt;Tag&gt;0&lt;/Tag&gt;&lt;Author&gt;Price, T J; Peeters, M; Kim, T W; Li, J; Cascinu, S; Ruff, P; Suresh, A S; Thomas, A; Tjulandin, S; Zhang, K; Murugappan, S; Sidhu, R&lt;/Author&gt;&lt;Year&gt;2014&lt;/Year&gt;&lt;Details&gt;&lt;_accession_num&gt;24739896&lt;/_accession_num&gt;&lt;_author_adr&gt;The Queen Elizabeth Hospital and University of Adelaide, Woodville, SA,  Australia. Electronic address: timothy.price@health.sa.gov.au.; Antwerp University Hospital and University of Antwerp, Edegem, Belgium.; Asan Medical Center, University of Ulsan, Seoul, South Korea.; Fudan University Cancer Centre, Shanghai, China.; Universita Politecnica delle Marche, Ancona, Italy.; University of Witwatersrand Faculty of Health Sciences, Johannesburg, South  Africa.; Apollo Hospital, Hyderabad, India.; Leicester Royal Infirmary, Leicester, UK.; N N Blokhin Cancer Research Center of RAMS, Moscow, Russia.; Amgen Inc, Thousand Oaks, CA, USA.; Amgen Inc, Thousand Oaks, CA, USA.; Amgen Inc, Thousand Oaks, CA, USA.&lt;/_author_adr&gt;&lt;_date_display&gt;2014 May&lt;/_date_display&gt;&lt;_date&gt;2014-05-01&lt;/_date&gt;&lt;_doi&gt;10.1016/S1470-2045(14)70118-4&lt;/_doi&gt;&lt;_isbn&gt;1474-5488 (Electronic); 1470-2045 (Linking)&lt;/_isbn&gt;&lt;_issue&gt;6&lt;/_issue&gt;&lt;_journal&gt;Lancet Oncol&lt;/_journal&gt;&lt;_language&gt;eng&lt;/_language&gt;&lt;_ori_publication&gt;Copyright © 2014 Elsevier Ltd. All rights reserved.&lt;/_ori_publication&gt;&lt;_pages&gt;569-79&lt;/_pages&gt;&lt;_subject_headings&gt;Aged; Antibodies, Monoclonal/*therapeutic use; Antibodies, Monoclonal, Humanized/*therapeutic use; Antineoplastic Agents/*therapeutic use; Cetuximab; Colorectal Neoplasms/*drug therapy/genetics/mortality; Exons; Female; Humans; Kaplan-Meier Estimate; Male; Middle Aged; Panitumumab; Proportional Hazards Models; Proto-Oncogene Proteins/genetics; Proto-Oncogene Proteins p21(ras); Treatment Outcome; ras Proteins/genetics&lt;/_subject_headings&gt;&lt;_tertiary_title&gt;The Lancet. Oncology&lt;/_tertiary_title&gt;&lt;_type_work&gt;Clinical Trial, Phase III; Journal Article; Multicenter Study; Randomized Controlled Trial; Research Support, Non-U.S. Gov&amp;apos;t&lt;/_type_work&gt;&lt;_url&gt;http://www.ncbi.nlm.nih.gov/entrez/query.fcgi?cmd=Retrieve&amp;amp;db=pubmed&amp;amp;dopt=Abstract&amp;amp;list_uids=24739896&amp;amp;query_hl=1&lt;/_url&gt;&lt;_volume&gt;15&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Citation&gt;_x000a_"/>
    <w:docVar w:name="NE.Ref{5429220C-2DDA-47F7-9B16-4C717C00BE9C}" w:val=" ADDIN NE.Ref.{5429220C-2DDA-47F7-9B16-4C717C00BE9C}&lt;Citation&gt;&lt;Group&gt;&lt;References&gt;&lt;Item&gt;&lt;ID&gt;2404&lt;/ID&gt;&lt;UID&gt;{00B4DD74-82A4-4D9A-BD75-0F44ACD3159A}&lt;/UID&gt;&lt;Title&gt;The Effect of Advances in Lung-Cancer Treatment on Population Mortality&lt;/Title&gt;&lt;Template&gt;Journal Article&lt;/Template&gt;&lt;Star&gt;0&lt;/Star&gt;&lt;Tag&gt;0&lt;/Tag&gt;&lt;Author&gt;Howlader, N; Forjaz, G; Mooradian, M J; Meza, R; Kong, C Y; Cronin, K A; Mariotto, A B; Lowy, D R; Feuer, E J&lt;/Author&gt;&lt;Year&gt;2020&lt;/Year&gt;&lt;Details&gt;&lt;_accession_num&gt;32786189&lt;/_accession_num&gt;&lt;_author_adr&gt;From the Surveillance Research Program, Division of Cancer Control and Population Sciences (N.H., G.F., K.A.C., A.B.M., E.J.F.) and Office of the Director (D.R.L.), National Cancer Institute, Bethesda, MD; Massachusetts General Hospital, Harvard Medical School, Boston (M.J.M., C.Y.K.); and the Department of  Epidemiology, School of Public Health, University of Michigan, Ann Arbor (R.M.).; From the Surveillance Research Program, Division of Cancer Control and Population Sciences (N.H., G.F., K.A.C., A.B.M., E.J.F.) and Office of the Director (D.R.L.), National Cancer Institute, Bethesda, MD; Massachusetts General Hospital, Harvard Medical School, Boston (M.J.M., C.Y.K.); and the Department of  Epidemiology, School of Public Health, University of Michigan, Ann Arbor (R.M.).; From the Surveillance Research Program, Division of Cancer Control and Population Sciences (N.H., G.F., K.A.C., A.B.M., E.J.F.) and Office of the Director (D.R.L.), National Cancer Institute, Bethesda, MD; Massachusetts General Hospital, Harvard Medical School, Boston (M.J.M., C.Y.K.); and the Department of  Epidemiology, School of Public Health, University of Michigan, Ann Arbor (R.M.).; From the Surveillance Research Program, Division of Cancer Control and Population Sciences (N.H., G.F., K.A.C., A.B.M., E.J.F.) and Office of the Director (D.R.L.), National Cancer Institute, Bethesda, MD; Massachusetts General Hospital, Harvard Medical School, Boston (M.J.M., C.Y.K.); and the Department of  Epidemiology, School of Public Health, University of Michigan, Ann Arbor (R.M.).; From the Surveillance Research Program, Division of Cancer Control and Population Sciences (N.H., G.F., K.A.C., A.B.M., E.J.F.) and Office of the Director (D.R.L.), National Cancer Institute, Bethesda, MD; Massachusetts General Hospital, Harvard Medical School, Boston (M.J.M., C.Y.K.); and the Department of  Epidemiology, School of Public Health, University of Michigan, Ann Arbor (R.M.).; From the Surveillance Research Program, Division of Cancer Control and Population Sciences (N.H., G.F., K.A.C., A.B.M., E.J.F.) and Office of the Director (D.R.L.), National Cancer Institute, Bethesda, MD; Massachusetts General Hospital, Harvard Medical School, Boston (M.J.M., C.Y.K.); and the Department of  Epidemiology, School of Public Health, University of Michigan, Ann Arbor (R.M.).; From the Surveillance Research Program, Division of Cancer Control and Population Sciences (N.H., G.F., K.A.C., A.B.M., E.J.F.) and Office of the Director (D.R.L.), National Cancer Institute, Bethesda, MD; Massachusetts General Hospital, Harvard Medical School, Boston (M.J.M., C.Y.K.); and the Department of  Epidemiology, School of Public Health, University of Michigan, Ann Arbor (R.M.).; From the Surveillance Research Program, Division of Cancer Control and Population Sciences (N.H., G.F., K.A.C., A.B.M., E.J.F.) and Office of the Director (D.R.L.), National Cancer Institute, Bethesda, MD; Massachusetts General Hospital, Harvard Medical School, Boston (M.J.M., C.Y.K.); and the Department of  Epidemiology, School of Public Health, University of Michigan, Ann Arbor (R.M.).; From the Surveillance Research Program, Division of Cancer Control and Population Sciences (N.H., G.F., K.A.C., A.B.M., E.J.F.) and Office of the Director (D.R.L.), National Cancer Institute, Bethesda, MD; Massachusetts General Hospital, Harvard Medical School, Boston (M.J.M., C.Y.K.); and the Department of  Epidemiology, School of Public Health, University of Michigan, Ann Arbor (R.M.).&lt;/_author_adr&gt;&lt;_created&gt;63867837&lt;/_created&gt;&lt;_date&gt;2020-08-13&lt;/_date&gt;&lt;_date_display&gt;2020 Aug 13&lt;/_date_display&gt;&lt;_db_updated&gt;PubMed&lt;/_db_updated&gt;&lt;_doi&gt;10.1056/NEJMoa1916623&lt;/_doi&gt;&lt;_impact_factor&gt; 176.079&lt;/_impact_factor&gt;&lt;_isbn&gt;1533-4406 (Electronic); 0028-4793 (Linking)&lt;/_isbn&gt;&lt;_issue&gt;7&lt;/_issue&gt;&lt;_journal&gt;N Engl J Med&lt;/_journal&gt;&lt;_language&gt;eng&lt;/_language&gt;&lt;_modified&gt;64630791&lt;/_modified&gt;&lt;_ori_publication&gt;Copyright (c) 2020 Massachusetts Medical Society.&lt;/_ori_publication&gt;&lt;_pages&gt;640-649&lt;/_pages&gt;&lt;_subject_headings&gt;Carcinoma, Non-Small-Cell Lung/epidemiology/*mortality; Female; Humans; Incidence; Lung Neoplasms/epidemiology/*mortality; Male; Mortality/trends; SEER Program; Sex Factors; United States/epidemiology&lt;/_subject_headings&gt;&lt;_tertiary_title&gt;The New England journal of medicine&lt;/_tertiary_title&gt;&lt;_type_work&gt;Journal Article&lt;/_type_work&gt;&lt;_url&gt;http://www.ncbi.nlm.nih.gov/entrez/query.fcgi?cmd=Retrieve&amp;amp;db=pubmed&amp;amp;dopt=Abstract&amp;amp;list_uids=32786189&amp;amp;query_hl=1&lt;/_url&gt;&lt;_volume&gt;383&lt;/_volume&gt;&lt;_collection_scope&gt;SCIE&lt;/_collection_scope&gt;&lt;_social_category&gt;医学(1)&lt;/_social_category&gt;&lt;/Details&gt;&lt;Extra&gt;&lt;DBUID&gt;{F96A950B-833F-4880-A151-76DA2D6A2879}&lt;/DBUID&gt;&lt;/Extra&gt;&lt;/Item&gt;&lt;/References&gt;&lt;/Group&gt;&lt;/Citation&gt;_x000a_"/>
    <w:docVar w:name="NE.Ref{54339829-4DFA-4596-A804-D1E6D35A0923}" w:val=" ADDIN NE.Ref.{54339829-4DFA-4596-A804-D1E6D35A0923}&lt;Citation&gt;&lt;Group&gt;&lt;References&gt;&lt;Item&gt;&lt;ID&gt;4733&lt;/ID&gt;&lt;UID&gt;{07226204-2A23-4E30-8A40-C1B94CAD95D7}&lt;/UID&gt;&lt;Title&gt;Folic acid supplementation and malaria susceptibility and severity among people  taking antifolate antimalarial drugs in endemic areas&lt;/Title&gt;&lt;Template&gt;Journal Article&lt;/Template&gt;&lt;Star&gt;0&lt;/Star&gt;&lt;Tag&gt;0&lt;/Tag&gt;&lt;Author&gt;Crider, K; Williams, J; Qi, Y P; Gutman, J; Yeung, L; Mai, C; Finkelstain, J; Mehta, S; Pons-Duran, C; Menéndez, C; Moraleda, C; Rogers, L; Daniels, K; Green, P&lt;/Author&gt;&lt;Year&gt;2022&lt;/Year&gt;&lt;Details&gt;&lt;_accession_num&gt;36321557&lt;/_accession_num&gt;&lt;_author_adr&gt;National Center on Birth Defects and Developmental Disabilities, US Centers for  Disease Control and Prevention, Atlanta, GA, USA.; National Center on Birth Defects and Developmental Disabilities, US Centers for  Disease Control and Prevention, Atlanta, GA, USA.; National Center on Birth Defects and Developmental Disabilities, US Centers for  Disease Control and Prevention, Atlanta, GA, USA.; Division of Parasitic Diseases &amp;amp; Malaria, Malaria Branch, Center for Global  Health, US Centers for Disease Control and Prevention (CDC), Roybal Campus,  Atlanta, GA, USA.; National Center on Birth Defects and Developmental Disabilities, US Centers for  Disease Control and Prevention, Atlanta, GA, USA.; National Center on Birth Defects and Developmental Disabilities, US Centers for  Disease Control and Prevention, Atlanta, GA, USA.; Division of Nutritional Sciences, Cornell University, Ithaca, New York, USA.; Division of Nutritional Sciences, Cornell University, Ithaca, New York, USA.; ISGlobal, Hospital Clínic Universitat de Barcelona, Barcelona, Spain.; ISGlobal, Hospital Clínic Universitat de Barcelona, Barcelona, Spain.; ISGlobal, Hospital Clínic Universitat de Barcelona, Barcelona, Spain.; Food &amp;amp; Nutrition Action in Health Systems, Department of Nutrition and Food  Safety, World Health Organization, Geneva, Switzerland.; Eagle Global Scientific LLC, Atlanta, USA.; National Center on Birth Defects and Developmental Disabilities, US Centers for  Disease Control and Prevention, Atlanta, GA, USA.&lt;/_author_adr&gt;&lt;_date_display&gt;2022 Feb 1&lt;/_date_display&gt;&lt;_date&gt;2022-02-01&lt;/_date&gt;&lt;_doi&gt;10.1002/14651858.CD014217&lt;/_doi&gt;&lt;_isbn&gt;1469-493X (Electronic); 1361-6137 (Linking)&lt;/_isbn&gt;&lt;_issue&gt;2022&lt;/_issue&gt;&lt;_journal&gt;Cochrane Database Syst Rev&lt;/_journal&gt;&lt;_language&gt;eng&lt;/_language&gt;&lt;_ori_publication&gt;Copyright © 2022 The Cochrane Collaboration. Published by John Wiley &amp;amp; Sons, Ltd.&lt;/_ori_publication&gt;&lt;_subject_headings&gt;Child; Infant; Pregnancy; Infant, Newborn; Female; Humans; Child, Preschool; *Antimalarials/therapeutic use; Sulfadoxine/therapeutic use; Pyrimethamine/therapeutic use; *Folic Acid Antagonists/therapeutic use; Birth Weight; Parasitemia/drug therapy; Vitamins; Folic Acid/therapeutic use; *Anemia/drug therapy; *Neural Tube Defects; Dietary Supplements; Iron/therapeutic use; Recurrence&lt;/_subject_headings&gt;&lt;_tertiary_title&gt;The Cochrane database of systematic reviews&lt;/_tertiary_title&gt;&lt;_type_work&gt;English Abstract; Meta-Analysis; Research Support, Non-U.S. Gov&amp;apos;t; Systematic Review&lt;/_type_work&gt;&lt;_url&gt;http://www.ncbi.nlm.nih.gov/entrez/query.fcgi?cmd=Retrieve&amp;amp;db=pubmed&amp;amp;dopt=Abstract&amp;amp;list_uids=36321557&amp;amp;query_hl=1&lt;/_url&gt;&lt;_volume&gt;2&lt;/_volume&gt;&lt;_created&gt;65021590&lt;/_created&gt;&lt;_modified&gt;65021590&lt;/_modified&gt;&lt;_impact_factor&gt;  12.008&lt;/_impact_factor&gt;&lt;_social_category&gt;医学(2)&lt;/_social_category&gt;&lt;_collection_scope&gt;SCIE&lt;/_collection_scope&gt;&lt;/Details&gt;&lt;Extra&gt;&lt;DBUID&gt;{F96A950B-833F-4880-A151-76DA2D6A2879}&lt;/DBUID&gt;&lt;/Extra&gt;&lt;/Item&gt;&lt;/References&gt;&lt;/Group&gt;&lt;/Citation&gt;_x000a_"/>
    <w:docVar w:name="NE.Ref{54502CF9-9762-4DD3-877A-EE4110821998}" w:val=" ADDIN NE.Ref.{54502CF9-9762-4DD3-877A-EE4110821998}&lt;Citation&gt;&lt;Group&gt;&lt;References&gt;&lt;Item&gt;&lt;ID&gt;4740&lt;/ID&gt;&lt;UID&gt;{0DB584F9-905A-4329-87D8-8715811A5EDF}&lt;/UID&gt;&lt;Title&gt;Pembrolizumab in Microsatellite-Instability-High Advanced Colorectal Cancer&lt;/Title&gt;&lt;Template&gt;Journal Article&lt;/Template&gt;&lt;Star&gt;0&lt;/Star&gt;&lt;Tag&gt;0&lt;/Tag&gt;&lt;Author&gt;André, T; Shiu, K K; Kim, T W; Jensen, B V; Jensen, L H; Punt, C; Smith, D; Garcia-Carbonero, R; Benavides, M; Gibbs, P; de la Fouchardiere, C; Rivera, F; Elez, E; Bendell, J; &amp;quot;Le DT&amp;quot;; Yoshino, T; Van Cutsem, E; Yang, P; Farooqui, MZH; Marinello, P; Diaz, LA Jr&lt;/Author&gt;&lt;Year&gt;2020&lt;/Year&gt;&lt;Details&gt;&lt;_accession_num&gt;33264544&lt;/_accession_num&gt;&lt;_author_adr&gt;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lt;/_author_adr&gt;&lt;_date_display&gt;2020 Dec 3&lt;/_date_display&gt;&lt;_date&gt;2020-12-03&lt;/_date&gt;&lt;_doi&gt;10.1056/NEJMoa2017699&lt;/_doi&gt;&lt;_isbn&gt;1533-4406 (Electronic); 0028-4793 (Linking)&lt;/_isbn&gt;&lt;_issue&gt;23&lt;/_issue&gt;&lt;_journal&gt;N Engl J Med&lt;/_journal&gt;&lt;_language&gt;eng&lt;/_language&gt;&lt;_ori_publication&gt;Copyright © 2020 Massachusetts Medical Society.&lt;/_ori_publication&gt;&lt;_pages&gt;2207-2218&lt;/_pages&gt;&lt;_subject_headings&gt;Adult; Aged; Aged, 80 and over; Antibodies, Monoclonal, Humanized/adverse effects/*therapeutic use; Antineoplastic Agents, Immunological/adverse effects/*therapeutic use; Antineoplastic Combined Chemotherapy Protocols/*therapeutic use; Biomarkers, Tumor/genetics; Brain Neoplasms; Colorectal Neoplasms/*drug therapy/genetics/mortality; Female; Fluorouracil/therapeutic use; Humans; Immune Checkpoint Inhibitors/adverse effects/*therapeutic use; Kaplan-Meier Estimate; Male; *Microsatellite Instability; Middle Aged; Mutation; Neoplastic Syndromes, Hereditary; Progression-Free Survival&lt;/_subject_headings&gt;&lt;_tertiary_title&gt;The New England journal of medicine&lt;/_tertiary_title&gt;&lt;_type_work&gt;Comparative Study; Journal Article; Multicenter Study; Randomized Controlled Trial; Research Support, Non-U.S. Gov&amp;apos;t&lt;/_type_work&gt;&lt;_url&gt;http://www.ncbi.nlm.nih.gov/entrez/query.fcgi?cmd=Retrieve&amp;amp;db=pubmed&amp;amp;dopt=Abstract&amp;amp;list_uids=33264544&amp;amp;query_hl=1&lt;/_url&gt;&lt;_volume&gt;383&lt;/_volume&gt;&lt;_created&gt;65021590&lt;/_created&gt;&lt;_modified&gt;65021590&lt;/_modified&gt;&lt;_impact_factor&gt; 176.079&lt;/_impact_factor&gt;&lt;_social_category&gt;医学(1)&lt;/_social_category&gt;&lt;_collection_scope&gt;SCIE&lt;/_collection_scope&gt;&lt;/Details&gt;&lt;Extra&gt;&lt;DBUID&gt;{F96A950B-833F-4880-A151-76DA2D6A2879}&lt;/DBUID&gt;&lt;/Extra&gt;&lt;/Item&gt;&lt;/References&gt;&lt;/Group&gt;&lt;/Citation&gt;_x000a_"/>
    <w:docVar w:name="NE.Ref{5474D441-CEC9-4BE6-9CC6-240CDB0BE865}" w:val=" ADDIN NE.Ref.{5474D441-CEC9-4BE6-9CC6-240CDB0BE865}&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54DD0986-5368-47DE-8F4D-83102EF850D8}" w:val=" ADDIN NE.Ref.{54DD0986-5368-47DE-8F4D-83102EF850D8}&lt;Citation&gt;&lt;Group&gt;&lt;References&gt;&lt;Item&gt;&lt;ID&gt;4887&lt;/ID&gt;&lt;UID&gt;{C80BDC57-8FE3-431A-8D94-4332D6EC3E33}&lt;/UID&gt;&lt;Title&gt;Intra-arterial therapies for unresectable and chemorefractory colorectal cancer  liver metastases: a systematic review and meta-analysis&lt;/Title&gt;&lt;Template&gt;Journal Article&lt;/Template&gt;&lt;Star&gt;0&lt;/Star&gt;&lt;Tag&gt;0&lt;/Tag&gt;&lt;Author&gt;Levy, J; Zuckerman, J; Garfinkle, R; Acuna, S A; Touchette, J; Vanounou, T; Pelletier, J S&lt;/Author&gt;&lt;Year&gt;2018&lt;/Year&gt;&lt;Details&gt;&lt;_accession_num&gt;29887263&lt;/_accession_num&gt;&lt;_author_adr&gt;University of Toronto Division of General Surgery, Toronto, ON, Canada;  University of Toronto Institute of Health Policy Management and Evaluation,  Toronto, ON, Canada. Electronic address: Jordan.Levy@mail.utoronto.ca.; University of Toronto Division of General Surgery, Toronto, ON, Canada.; Sir Mortimer B Davis Jewish General Hospital, Hepatobiliary and Pancreatic  Surgery, Montreal, QC, Canada.; University of Toronto Division of General Surgery, Toronto, ON, Canada;  University of Toronto Institute of Health Policy Management and Evaluation,  Toronto, ON, Canada.; Sir Mortimer B Davis Jewish General Hospital Health Sciences Library, Montreal,  QC, Canada.; Sir Mortimer B Davis Jewish General Hospital, Hepatobiliary and Pancreatic  Surgery, Montreal, QC, Canada.; Sir Mortimer B Davis Jewish General Hospital, Hepatobiliary and Pancreatic  Surgery, Montreal, QC, Canada.&lt;/_author_adr&gt;&lt;_date_display&gt;2018 Oct&lt;/_date_display&gt;&lt;_date&gt;2018-10-01&lt;/_date&gt;&lt;_doi&gt;10.1016/j.hpb.2018.04.001&lt;/_doi&gt;&lt;_isbn&gt;1477-2574 (Electronic); 1365-182X (Linking)&lt;/_isbn&gt;&lt;_issue&gt;10&lt;/_issue&gt;&lt;_journal&gt;HPB (Oxford)&lt;/_journal&gt;&lt;_language&gt;eng&lt;/_language&gt;&lt;_ori_publication&gt;Copyright © 2018 International Hepato-Pancreato-Biliary Association Inc. _x000d__x000a_      Published by Elsevier Ltd. All rights reserved.&lt;/_ori_publication&gt;&lt;_pages&gt;905-915&lt;/_pages&gt;&lt;_subject_headings&gt;Aged; *Brachytherapy/adverse effects/mortality; *Chemoembolization, Therapeutic/adverse effects/mortality; Colorectal Neoplasms/mortality/*pathology; *Drug Resistance, Neoplasm; Female; Humans; Liver Neoplasms/mortality/*secondary/*therapy; Male; Middle Aged; Radiopharmaceuticals/*administration &amp;amp; dosage/adverse effects; Risk Factors; Time Factors; Treatment Outcome; Yttrium Radioisotopes/*administration &amp;amp; dosage/adverse effects&lt;/_subject_headings&gt;&lt;_tertiary_title&gt;HPB : the official journal of the International Hepato Pancreato Biliary _x000d__x000a_      Association&lt;/_tertiary_title&gt;&lt;_type_work&gt;Journal Article; Meta-Analysis; Systematic Review&lt;/_type_work&gt;&lt;_url&gt;http://www.ncbi.nlm.nih.gov/entrez/query.fcgi?cmd=Retrieve&amp;amp;db=pubmed&amp;amp;dopt=Abstract&amp;amp;list_uids=29887263&amp;amp;query_hl=1&lt;/_url&gt;&lt;_volume&gt;20&lt;/_volume&gt;&lt;_created&gt;65090136&lt;/_created&gt;&lt;_modified&gt;65090136&lt;/_modified&gt;&lt;_impact_factor&gt;   3.842&lt;/_impact_factor&gt;&lt;_social_category&gt;医学(3)&lt;/_social_category&gt;&lt;_collection_scope&gt;SCIE&lt;/_collection_scope&gt;&lt;/Details&gt;&lt;Extra&gt;&lt;DBUID&gt;{F96A950B-833F-4880-A151-76DA2D6A2879}&lt;/DBUID&gt;&lt;/Extra&gt;&lt;/Item&gt;&lt;/References&gt;&lt;/Group&gt;&lt;/Citation&gt;_x000a_"/>
    <w:docVar w:name="NE.Ref{5526EE5F-838A-45C5-BF65-B0DC3656F8F2}" w:val=" ADDIN NE.Ref.{5526EE5F-838A-45C5-BF65-B0DC3656F8F2}&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5562154E-8E97-485B-B605-105C0AB96011}" w:val=" ADDIN NE.Ref.{5562154E-8E97-485B-B605-105C0AB96011}&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Citation&gt;_x000a_"/>
    <w:docVar w:name="NE.Ref{5595FC60-F391-402A-99FB-ABD936120AC1}" w:val=" ADDIN NE.Ref.{5595FC60-F391-402A-99FB-ABD936120AC1}&lt;Citation&gt;&lt;Group&gt;&lt;References&gt;&lt;Item&gt;&lt;ID&gt;4704&lt;/ID&gt;&lt;UID&gt;{E5D060E0-105D-42BA-85B8-4491B0823450}&lt;/UID&gt;&lt;Title&gt;Health-related quality of life in patients with microsatellite instability-high  or mismatch repair deficient metastatic colorectal cancer treated with first-line  pembrolizumab versus chemotherapy (KEYNOTE-177): an open-label, randomised, phase  3 trial&lt;/Title&gt;&lt;Template&gt;Journal Article&lt;/Template&gt;&lt;Star&gt;0&lt;/Star&gt;&lt;Tag&gt;0&lt;/Tag&gt;&lt;Author&gt;Andre, T; Amonkar, M; Norquist, J M; Shiu, K K; Kim, T W; Jensen, B V; Jensen, L H; Punt, CJA; Smith, D; Garcia-Carbonero, R; Sevilla, I; De La Fouchardiere, C; Rivera, F; Elez, E; Diaz, LA Jr; Yoshino, T; Van Cutsem, E; Yang, P; Farooqui, M; &amp;quot;Le DT&amp;quot;&lt;/Author&gt;&lt;Year&gt;2021&lt;/Year&gt;&lt;Details&gt;&lt;_accession_num&gt;33812497&lt;/_accession_num&gt;&lt;_author_adr&gt;Sorbonne Université and Hõpital Saint-Antoine, Paris, France. Electronic address:  thierry.andre@aphp.fr.; Merck &amp;amp; Co, Kenilworth, NJ, USA.; Merck &amp;amp; Co, Kenilworth, NJ, USA.; University College Hospital, NHS Foundation Trust, London, UK.; Department of Oncology, Asan Medical Center, University of Ulsan College of  Medicine, Seoul, South Korea.; Herlev og Gentofte Hospital, Herlev, Denmark.; University Hospital of Southern Denmark, Vejle, Denmark.; Amsterdam University Medical Center, University of Amsterdam, Amsterdam,  Netherlands; Julius Center, University Medical Center Utrecht, Utrecht  University, Netherlands.; Hopital Haut Leveque, Pessac, France.; Hospital Universitario 12 de Octubre, Imas12, UCM, Madrid, Spain.; Investigación Clínica y Traslacional en Cáncer, Instituto de Investigaciones  Biomédicas de Málaga, Hospitales Universitarios Regional y Virgen de la Victoria  de Málaga, Malaga, Spain.; Centre Leon Berard, Lyon, France.; Hospital Universitario M de Valdecilla, IDIVAL, Santander, Spain.; Vall d&amp;apos;Hebron Barcelona Hospital Campus, Vall d&amp;apos;Hebron Institute of Oncology,  Universitat Autonoma de Barcelona, Barcelona, Spain.; Memorial Sloan Kettering Cancer Center, New York, NY, USA.; National Cancer Center Hospital East, Kashiwa, Japan.; University Hospitals Gasthuisberg/Leuven and KU Leuven, Leuven, Belgium.; MSD China, Shanghai, China.; Merck &amp;amp; Co, Kenilworth, NJ, USA.; Sidney Kimmel Comprehensive Cancer Center, Johns Hopkins University, Baltimore,  MD, USA.&lt;/_author_adr&gt;&lt;_date_display&gt;2021 May&lt;/_date_display&gt;&lt;_date&gt;2021-05-01&lt;/_date&gt;&lt;_doi&gt;10.1016/S1470-2045(21)00064-4&lt;/_doi&gt;&lt;_isbn&gt;1474-5488 (Electronic); 1470-2045 (Linking)&lt;/_isbn&gt;&lt;_issue&gt;5&lt;/_issue&gt;&lt;_journal&gt;Lancet Oncol&lt;/_journal&gt;&lt;_language&gt;eng&lt;/_language&gt;&lt;_ori_publication&gt;Copyright © 2021 Elsevier Ltd. All rights reserved.&lt;/_ori_publication&gt;&lt;_pages&gt;665-677&lt;/_pages&gt;&lt;_subject_headings&gt;Adult; Aged; Antibodies, Monoclonal, Humanized/*therapeutic use; Brain Neoplasms/*drug therapy/genetics/mortality/psychology; Colorectal Neoplasms/*drug therapy/genetics/mortality/psychology; DNA Mismatch Repair; Female; Humans; Male; *Microsatellite Instability; Middle Aged; Neoplasm Metastasis; Neoplastic Syndromes, Hereditary/*drug therapy/genetics/mortality/psychology; *Quality of Lif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33812497&amp;amp;query_hl=1&lt;/_url&gt;&lt;_volume&gt;22&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Citation&gt;_x000a_"/>
    <w:docVar w:name="NE.Ref{56CD24EB-7E99-4A26-9370-0CCF50FE158B}" w:val=" ADDIN NE.Ref.{56CD24EB-7E99-4A26-9370-0CCF50FE158B}&lt;Citation&gt;&lt;Group&gt;&lt;References&gt;&lt;Item&gt;&lt;ID&gt;46231&lt;/ID&gt;&lt;UID&gt;{BA52CD87-A75F-413A-A173-CC8C06C5170B}&lt;/UID&gt;&lt;Title&gt;Alectinib (ALC) vs crizotinib (CRZ) in Asian patients (pts) with treatment-naïve advanced ALK+ non-small cell lung cancer (NSCLC): 5-year update from the phase III ALESIA study&lt;/Title&gt;&lt;Template&gt;Journal Article&lt;/Template&gt;&lt;Star&gt;0&lt;/Star&gt;&lt;Tag&gt;0&lt;/Tag&gt;&lt;Author&gt;Zhou, C; Lu, Y; Kim, S; Reungwetwattana, T Baisamut; Zhou, J; Zhang, Y; He, J&lt;/Author&gt;&lt;Year&gt;2022&lt;/Year&gt;&lt;Details&gt;&lt;_journal&gt;Annals of Oncology&lt;/_journal&gt;&lt;_issue&gt;33&lt;/_issue&gt;&lt;_volume&gt;(suppl_9)&lt;/_volume&gt;&lt;_pages&gt;S1560-S1597&lt;/_pages&gt;&lt;_accessed&gt;64688913&lt;/_accessed&gt;&lt;_impact_factor&gt;  32.976&lt;/_impact_factor&gt;&lt;_collection_scope&gt;SCI;SCIE&lt;/_collection_scope&gt;&lt;_created&gt;64688913&lt;/_created&gt;&lt;_modified&gt;64688913&lt;/_modified&gt;&lt;/Details&gt;&lt;Extra&gt;&lt;DBUID&gt;{F96A950B-833F-4880-A151-76DA2D6A2879}&lt;/DBUID&gt;&lt;/Extra&gt;&lt;/Item&gt;&lt;/References&gt;&lt;/Group&gt;&lt;Group&gt;&lt;References&gt;&lt;Item&gt;&lt;ID&gt;46232&lt;/ID&gt;&lt;UID&gt;{8B8227A1-B584-4671-A187-B4C3A1284CA1}&lt;/UID&gt;&lt;Title&gt;ALTA-3: A randomized trial of brigatinib (BRG) vs alectinib (ALC) in crizotinib (CRZ)-refractory advanced ALK+ NSCLC &lt;/Title&gt;&lt;Template&gt;Journal Article&lt;/Template&gt;&lt;Star&gt;0&lt;/Star&gt;&lt;Tag&gt;0&lt;/Tag&gt;&lt;Author&gt;Yang, J C; Liu, G; Lu, S; He, J; Burotto, M; Vincent, S; Yin, J; Ma, X; Popat, S&lt;/Author&gt;&lt;Year&gt;2022&lt;/Year&gt;&lt;Details&gt;&lt;_accessed&gt;64688917&lt;/_accessed&gt;&lt;_created&gt;64688917&lt;/_created&gt;&lt;_modified&gt;64688918&lt;/_modified&gt;&lt;_journal&gt;Annals of Oncology&lt;/_journal&gt;&lt;_issue&gt;33&lt;/_issue&gt;&lt;_volume&gt;(suppl_9)&lt;/_volume&gt;&lt;_pages&gt;S1560-S1597. &lt;/_pages&gt;&lt;_impact_factor&gt;  32.976&lt;/_impact_factor&gt;&lt;_collection_scope&gt;SCI;SCIE&lt;/_collection_scope&gt;&lt;/Details&gt;&lt;Extra&gt;&lt;DBUID&gt;{F96A950B-833F-4880-A151-76DA2D6A2879}&lt;/DBUID&gt;&lt;/Extra&gt;&lt;/Item&gt;&lt;/References&gt;&lt;/Group&gt;&lt;Group&gt;&lt;References&gt;&lt;Item&gt;&lt;ID&gt;46233&lt;/ID&gt;&lt;UID&gt;{473FBEE6-0FAC-41F1-9C52-1D7DC210B8DF}&lt;/UID&gt;&lt;Title&gt;Envonalkib vs Crizotinib in treatment-naïve advanced ALK-positive NSCLC: A randomized, multicenter, phase III trial&lt;/Title&gt;&lt;Template&gt;Journal Article&lt;/Template&gt;&lt;Star&gt;0&lt;/Star&gt;&lt;Tag&gt;0&lt;/Tag&gt;&lt;Author&gt;Zhang, L; Fang, W F; Min, J; Yang, N; Yu, Q; Cheng, Y; Zhao, Y&lt;/Author&gt;&lt;Year&gt;2022&lt;/Year&gt;&lt;Details&gt;&lt;_journal&gt;Annals of Oncology&lt;/_journal&gt;&lt;_issue&gt;33&lt;/_issue&gt;&lt;_volume&gt;suppl_9&lt;/_volume&gt;&lt;_pages&gt;S1560-S1597&lt;/_pages&gt;&lt;_accessed&gt;64688924&lt;/_accessed&gt;&lt;_impact_factor&gt;  32.976&lt;/_impact_factor&gt;&lt;_collection_scope&gt;SCI;SCIE&lt;/_collection_scope&gt;&lt;_created&gt;64688924&lt;/_created&gt;&lt;_modified&gt;64688924&lt;/_modified&gt;&lt;/Details&gt;&lt;Extra&gt;&lt;DBUID&gt;{F96A950B-833F-4880-A151-76DA2D6A2879}&lt;/DBUID&gt;&lt;/Extra&gt;&lt;/Item&gt;&lt;/References&gt;&lt;/Group&gt;&lt;/Citation&gt;_x000a_"/>
    <w:docVar w:name="NE.Ref{57BD78B2-A23F-4271-AB9A-E837F71A8428}" w:val=" ADDIN NE.Ref.{57BD78B2-A23F-4271-AB9A-E837F71A8428}&lt;Citation&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57F867A7-DE45-410E-A5BB-83F8253FBED6}" w:val=" ADDIN NE.Ref.{57F867A7-DE45-410E-A5BB-83F8253FBED6}&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Citation&gt;_x000a_"/>
    <w:docVar w:name="NE.Ref{582F4D5F-40F6-4692-B601-CF7211A126EB}" w:val=" ADDIN NE.Ref.{582F4D5F-40F6-4692-B601-CF7211A126EB}&lt;Citation&gt;&lt;Group&gt;&lt;References&gt;&lt;Item&gt;&lt;ID&gt;5019&lt;/ID&gt;&lt;UID&gt;{443D8660-0E79-4CC3-9241-4472B0EDEF70}&lt;/UID&gt;&lt;Title&gt;VA Federal Supply Schedule Price. https://www.vendorportal.ecms.va.gov/NAC/Pharma/List,Feb 1, 2024&lt;/Title&gt;&lt;Template&gt;Web Page&lt;/Template&gt;&lt;Star&gt;0&lt;/Star&gt;&lt;Tag&gt;0&lt;/Tag&gt;&lt;Author/&gt;&lt;Year&gt;0&lt;/Year&gt;&lt;Details&gt;&lt;_accessed&gt;65330783&lt;/_accessed&gt;&lt;_created&gt;65329707&lt;/_created&gt;&lt;_modified&gt;65329711&lt;/_modified&gt;&lt;/Details&gt;&lt;Extra&gt;&lt;DBUID&gt;{F96A950B-833F-4880-A151-76DA2D6A2879}&lt;/DBUID&gt;&lt;/Extra&gt;&lt;/Item&gt;&lt;/References&gt;&lt;/Group&gt;&lt;/Citation&gt;_x000a_"/>
    <w:docVar w:name="NE.Ref{583C213A-E538-4E68-B540-8979B60832BE}" w:val=" ADDIN NE.Ref.{583C213A-E538-4E68-B540-8979B60832BE}&lt;Citation&gt;&lt;Group&gt;&lt;References&gt;&lt;Item&gt;&lt;ID&gt;5038&lt;/ID&gt;&lt;UID&gt;{E1AFF1CE-834F-47CD-AB65-9B4E05D6B565}&lt;/UID&gt;&lt;Title&gt;Effect of Fruquintinib vs Placebo on Overall Survival in Patients With Previously  Treated Metastatic Colorectal Cancer: The FRESCO Randomized Clinical Trial&lt;/Title&gt;&lt;Template&gt;Journal Article&lt;/Template&gt;&lt;Star&gt;0&lt;/Star&gt;&lt;Tag&gt;0&lt;/Tag&gt;&lt;Author&gt;Li, J; Qin, S; Xu, R H; Shen, L; Xu, J; Bai, Y; Yang, L; Deng, Y; Chen, Z D; Zhong, H; Pan, H; Guo, W; Shu, Y; Yuan, Y; Zhou, J; Xu, N; Liu, T; Ma, D; Wu, C; Cheng, Y; Chen, D; Li, W; Sun, S; Yu, Z; Cao, P; Chen, H; Wang, J; Wang, S; Wang, H; Fan, S; Hua, Y; Su, W&lt;/Author&gt;&lt;Year&gt;2018&lt;/Year&gt;&lt;Details&gt;&lt;_accession_num&gt;29946728&lt;/_accession_num&gt;&lt;_author_adr&gt;Department of Medical Oncology, Tongji University Shanghai East Hospital,  Shanghai, China.; Department of Medical Oncology, Shanghai Medical College, Fudan University  Shanghai Cancer Center, Shanghai, China.; Department of Medical Oncology, Nanjing Chinese Medicine University-Affiliated  Bayi Hospital, Nanjing, China.; Department of Medical Oncology, Sun Yat-sen University Cancer Center, State Key  Laboratory of Oncology in South China, Guangzhou, China.; Collaborative Innovation Center for Cancer Medicine, Guangzhou, China.; Department of Medical Oncology, Beijing University Cancer Center, Beijing, China.; Department of Medical Oncology, 307th Hospital of Chinese People&amp;apos;s Liberation  Army, The Affiliated Hospital of Military Medical Sciences, Beijing, China.; Department of Medical Oncology, Harbin Medical University Cancer Hospital,  Harbin, China.; Department of Medical Oncology, Nantong Cancer Hospital, Nantong, China.; Department of Medical Oncology, The Sixth Affiliated Hospital of Sun Yat-sen  University, Guangzhou, China.; Department of Medical Oncology, The Second Hospital of Anhui Medical University,  Hefei, China.; Department of Medical Oncology, Zhejiang Cancer Hospital, Hangzhou, China.; Department of Medical Oncology, Sir RunRun Shaw Hospital, College of Medicine,  Zhejiang University, Hangzhou, China.; Department of Medical Oncology, Shanghai Medical College, Fudan University  Shanghai Cancer Center, Shanghai, China.; Department of Medical Oncology, Jiangsu Provincial Hospital, Nanjing, China.; Department of Medical Oncology, The Second Affiliated Hospital of Zhejiang  University School of Medicine, Hangzhou, China.; Department of Medical Oncology, Peking Union Medical College Hospital, Beijing,  China.; Department of Medical Oncology, The First Affiliated Hospital of Zhejiang  University School of Medicine, Hangzhou, China.; Department of Medical Oncology, Fudan University Zhongshan Hospital, Shanghai  Medical College, Shanghai, China.; Department of Medical Oncology, Guangdong General Hospital, Guangzhou, China.; Department of Medical Oncology, The First People&amp;apos;s Hospital of Changzhou,  Changzhou, China.; Department of Medical Oncology, Jilin Province Cancer Hospital, Changchun, China.; Department of Medical Oncology, Shanghai Jiaotong University Affiliated First  People&amp;apos;s Hospital, Shanghai, China.; Department of Medical Oncology, The First Hospital of Jilin University,  Changchun, China.; Department of Medical Oncology, Xuzhou Central Hospital, Xuzhou, China.; Department of Medical Oncology, The Affiliated Hospital of Medical College  Qingdao University, Qingdao, China.; Department of Medical Oncology, The Third Xiangya Hospital of Central South  University, Changsha, China.; Department of Medical Oncology, Liuzhou Worker&amp;apos;s Hospital, Liuzhou, China.; Department of Medical Oncology, Shanghai Changzheng Hospital, The Second Military  Medical University, Shanghai, China.; Department of Medical Oncology, Peking University Shenzhen Hospital, Beijing  University, Shenzhen, China.; Department of Medical Oncology, The Affiliated Hospital of Xuzhou Medical  College, Xuzhou Medical College, Xuzhou, China.; Hutchison MediPharma Ltd, Shanghai, China.; Hutchison MediPharma Ltd, Shanghai, China.; Hutchison MediPharma Ltd, Shanghai, China.&lt;/_author_adr&gt;&lt;_date_display&gt;2018 Jun 26&lt;/_date_display&gt;&lt;_date&gt;2018-06-26&lt;/_date&gt;&lt;_doi&gt;10.1001/jama.2018.7855&lt;/_doi&gt;&lt;_isbn&gt;1538-3598 (Electronic); 0098-7484 (Print); 0098-7484 (Linking)&lt;/_isbn&gt;&lt;_issue&gt;24&lt;/_issue&gt;&lt;_journal&gt;JAMA&lt;/_journal&gt;&lt;_language&gt;eng&lt;/_language&gt;&lt;_pages&gt;2486-2496&lt;/_pages&gt;&lt;_subject_headings&gt;Adult; Aged; Aged, 80 and over; Antineoplastic Combined Chemotherapy Protocols/adverse effects/*therapeutic use; Benzofurans/*administration &amp;amp; dosage/adverse effects; China; Colorectal Neoplasms/*drug therapy/mortality/pathology/therapy; Combined Modality Therapy; Double-Blind Method; Female; Humans; Intention to Treat Analysis; Male; Middle Aged; Quinazolines/*administration &amp;amp; dosage/adverse effects; Survival Analysis; Vascular Endothelial Growth Factor A/*antagonists &amp;amp; inhibitors; Young Adult&lt;/_subject_headings&gt;&lt;_tertiary_title&gt;JAMA&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946728&amp;amp;query_hl=1&lt;/_url&gt;&lt;_volume&gt;319&lt;/_volume&gt;&lt;_created&gt;65329740&lt;/_created&gt;&lt;_modified&gt;65329740&lt;/_modified&gt;&lt;_impact_factor&gt; 120.700&lt;/_impact_factor&gt;&lt;_social_category&gt;医学：内科(1)&lt;/_social_category&gt;&lt;_collection_scope&gt;SCIE&lt;/_collection_scope&gt;&lt;_accessed&gt;65330873&lt;/_accessed&gt;&lt;/Details&gt;&lt;Extra&gt;&lt;DBUID&gt;{F96A950B-833F-4880-A151-76DA2D6A2879}&lt;/DBUID&gt;&lt;/Extra&gt;&lt;/Item&gt;&lt;/References&gt;&lt;/Group&gt;&lt;/Citation&gt;_x000a_"/>
    <w:docVar w:name="NE.Ref{597ED702-C8FC-421C-ADB2-E7462A1A1CF6}" w:val=" ADDIN NE.Ref.{597ED702-C8FC-421C-ADB2-E7462A1A1CF6}&lt;Citation&gt;&lt;Group&gt;&lt;References&gt;&lt;Item&gt;&lt;ID&gt;46214&lt;/ID&gt;&lt;UID&gt;{C51B6175-7E7F-4EC5-A830-014F0A329807}&lt;/UID&gt;&lt;Title&gt;Flexible parametric proportional-hazards and proportional-odds models for censored survival data, with application to prognostic modelling and estimation of treatment effects&lt;/Title&gt;&lt;Template&gt;Journal Article&lt;/Template&gt;&lt;Star&gt;0&lt;/Star&gt;&lt;Tag&gt;0&lt;/Tag&gt;&lt;Author&gt;Royston, P; Parmar, M K&lt;/Author&gt;&lt;Year&gt;2002&lt;/Year&gt;&lt;Details&gt;&lt;_accession_num&gt;12210632&lt;/_accession_num&gt;&lt;_author_adr&gt;Cancer Division, MRC Clinical Trials Unit, 222 Euston Road, London NW1 2DA, UK. patrick.royston@ctu.mrc.ac.uk&lt;/_author_adr&gt;&lt;_collection_scope&gt;SCI;SCIE&lt;/_collection_scope&gt;&lt;_created&gt;64482348&lt;/_created&gt;&lt;_date&gt;2002-08-15&lt;/_date&gt;&lt;_date_display&gt;2002 Aug 15&lt;/_date_display&gt;&lt;_db_updated&gt;PubMed&lt;/_db_updated&gt;&lt;_doi&gt;10.1002/sim.1203&lt;/_doi&gt;&lt;_impact_factor&gt;   2.497&lt;/_impact_factor&gt;&lt;_isbn&gt;0277-6715 (Print); 0277-6715 (Linking)&lt;/_isbn&gt;&lt;_issue&gt;15&lt;/_issue&gt;&lt;_journal&gt;Stat Med&lt;/_journal&gt;&lt;_language&gt;eng&lt;/_language&gt;&lt;_modified&gt;64688891&lt;/_modified&gt;&lt;_ori_publication&gt;Copyright 2002 John Wiley &amp;amp; Sons, Ltd.&lt;/_ori_publication&gt;&lt;_pages&gt;2175-97&lt;/_pages&gt;&lt;_social_category&gt;医学(3)&lt;/_social_category&gt;&lt;_subject_headings&gt;Antineoplastic Agents/therapeutic use; Breast Neoplasms/mortality; Carcinoma, Transitional Cell/drug therapy/mortality; Female; Humans; *Models, Biological; Prognosis; *Proportional Hazards Models; *Survival Analysis; Treatment Outcome; Urinary Bladder Neoplasms/drug therapy/mortality&lt;/_subject_headings&gt;&lt;_tertiary_title&gt;Statistics in medicine&lt;/_tertiary_title&gt;&lt;_type_work&gt;Journal Article&lt;/_type_work&gt;&lt;_url&gt;http://www.ncbi.nlm.nih.gov/entrez/query.fcgi?cmd=Retrieve&amp;amp;db=pubmed&amp;amp;dopt=Abstract&amp;amp;list_uids=12210632&amp;amp;query_hl=1&lt;/_url&gt;&lt;_volume&gt;21&lt;/_volume&gt;&lt;/Details&gt;&lt;Extra&gt;&lt;DBUID&gt;{F96A950B-833F-4880-A151-76DA2D6A2879}&lt;/DBUID&gt;&lt;/Extra&gt;&lt;/Item&gt;&lt;/References&gt;&lt;/Group&gt;&lt;/Citation&gt;_x000a_"/>
    <w:docVar w:name="NE.Ref{5AFA8B63-312B-42C9-913A-AEF0BDEEE6A7}" w:val=" ADDIN NE.Ref.{5AFA8B63-312B-42C9-913A-AEF0BDEEE6A7}&lt;Citation&gt;&lt;Group&gt;&lt;References&gt;&lt;Item&gt;&lt;ID&gt;4744&lt;/ID&gt;&lt;UID&gt;{BC7FD756-C554-4190-B216-950A5B1EF139}&lt;/UID&gt;&lt;Title&gt;Efficacy and safety of anti-EGFR monoclonal antibodies combined with different  chemotherapy regimens in patients with RAS wild-type metastatic colorectal  cancer: A meta-analysis&lt;/Title&gt;&lt;Template&gt;Journal Article&lt;/Template&gt;&lt;Star&gt;0&lt;/Star&gt;&lt;Tag&gt;0&lt;/Tag&gt;&lt;Author&gt;Sun, H; Li, Y; Su, Y; Wu, X; Zhou, X; Han, J; Li, J&lt;/Author&gt;&lt;Year&gt;2019&lt;/Year&gt;&lt;Details&gt;&lt;_accession_num&gt;31596544&lt;/_accession_num&gt;&lt;_author_adr&gt;Department of Evidence-Based Medicine and Clinical Epidemiology, West China  Hospital, Sichuan University, Chengdu, Sichuan, China.; Department of Evidence-Based Medicine and Clinical Epidemiology, West China  Hospital, Sichuan University, Chengdu, Sichuan, China.; Department of Evidence-Based Medicine and Clinical Epidemiology, West China  Hospital, Sichuan University, Chengdu, Sichuan, China.; Chengdu Fifth People&amp;apos;s Hospital, Chengdu, Sichuan, China.; Department of Clinical Research Management, West China Hospital, Sichuan  University, Chengdu, Sichuan, China.; School of Life Science and Technology, Shanghai Jiaotong University, Shanghai,  China.; Department of Evidence-Based Medicine and Clinical Epidemiology, West China  Hospital, Sichuan University, Chengdu, Sichuan, China.&lt;/_author_adr&gt;&lt;_date_display&gt;2019 Nov&lt;/_date_display&gt;&lt;_date&gt;2019-11-01&lt;/_date&gt;&lt;_doi&gt;10.1111/jebm.12360&lt;/_doi&gt;&lt;_isbn&gt;1756-5391 (Electronic); 1756-5391 (Linking)&lt;/_isbn&gt;&lt;_issue&gt;4&lt;/_issue&gt;&lt;_journal&gt;J Evid Based Med&lt;/_journal&gt;&lt;_keywords&gt;anti-EGFR monoclonal antibodies; colorectal cancer; meta-analysis; overall survival; progression-free survival&lt;/_keywords&gt;&lt;_language&gt;eng&lt;/_language&gt;&lt;_ori_publication&gt;© 2019 Chinese Cochrane Center, West China Hospital of Sichuan University and _x000d__x000a_      John Wiley &amp;amp; Sons Australia, Ltd.&lt;/_ori_publication&gt;&lt;_pages&gt;300-312&lt;/_pages&gt;&lt;_subject_headings&gt;Antineoplastic Agents, Immunological/*therapeutic use; *Antineoplastic Combined Chemotherapy Protocols; Cetuximab/*therapeutic use; Colorectal Neoplasms/*drug therapy/genetics; ErbB Receptors/antagonists &amp;amp; inhibitors/immunology; Genes, ras; Humans; Irinotecan/therapeutic use; Oxaliplatin/therapeutic use; Panitumumab/*therapeutic use&lt;/_subject_headings&gt;&lt;_tertiary_title&gt;Journal of evidence-based medicine&lt;/_tertiary_title&gt;&lt;_type_work&gt;Journal Article; Meta-Analysis&lt;/_type_work&gt;&lt;_url&gt;http://www.ncbi.nlm.nih.gov/entrez/query.fcgi?cmd=Retrieve&amp;amp;db=pubmed&amp;amp;dopt=Abstract&amp;amp;list_uids=31596544&amp;amp;query_hl=1&lt;/_url&gt;&lt;_volume&gt;12&lt;/_volume&gt;&lt;_created&gt;65021590&lt;/_created&gt;&lt;_modified&gt;65021590&lt;/_modified&gt;&lt;_impact_factor&gt;   6.224&lt;/_impact_factor&gt;&lt;_social_category&gt;医学(2)&lt;/_social_category&gt;&lt;_collection_scope&gt;SCIE&lt;/_collection_scope&gt;&lt;/Details&gt;&lt;Extra&gt;&lt;DBUID&gt;{F96A950B-833F-4880-A151-76DA2D6A2879}&lt;/DBUID&gt;&lt;/Extra&gt;&lt;/Item&gt;&lt;/References&gt;&lt;/Group&gt;&lt;/Citation&gt;_x000a_"/>
    <w:docVar w:name="NE.Ref{5BC8E7BD-BC9F-4634-868B-3F55974DD659}" w:val=" ADDIN NE.Ref.{5BC8E7BD-BC9F-4634-868B-3F55974DD659}&lt;Citation&gt;&lt;Group&gt;&lt;References&gt;&lt;Item&gt;&lt;ID&gt;4764&lt;/ID&gt;&lt;UID&gt;{D80F9FC1-F742-41A2-86FF-BE3ED0EDB8A0}&lt;/UID&gt;&lt;Title&gt;Efficacy and safety of immunochemotherapy, immunotherapy, chemotherapy, and  targeted therapy as first-line treatment for advanced and metastatic esophageal  cancer: a systematic review and network meta-analysis&lt;/Title&gt;&lt;Template&gt;Journal Article&lt;/Template&gt;&lt;Star&gt;0&lt;/Star&gt;&lt;Tag&gt;0&lt;/Tag&gt;&lt;Author&gt;Gao, Z; Huang, S; Wang, S; Tang, D; Xu, W; Zeng, R; Qiao, G&lt;/Author&gt;&lt;Year&gt;2023&lt;/Year&gt;&lt;Details&gt;&lt;_accession_num&gt;37457900&lt;/_accession_num&gt;&lt;_author_adr&gt;Department of Thoracic Surgery, Guangdong Provincial People&amp;apos;s Hospital (Guangdong  Academy of Medical Sciences), Southern Medical University, Guangzhou, China.; Centre of Cancer Cell and Molecular Biology, Barts Cancer Institute, Queen Mary  University of London, John Vane Science Centre, Charterhouse Square, London, UK.; Department of Thoracic Surgery, Guangdong Provincial People&amp;apos;s Hospital (Guangdong  Academy of Medical Sciences), Southern Medical University, Guangzhou, China.; Department of Thoracic Surgery, Guangdong Provincial People&amp;apos;s Hospital (Guangdong  Academy of Medical Sciences), Southern Medical University, Guangzhou, China.; Department of Clinical Oncology, Li Ka Shing Faculty of Medicine, The University  of Hong Kong, Hong Kong, China.; Department of Clinical Oncology, The University of Hong Kong-Shenzhen Hospital,  Shenzhen, China.; Department of Thoracic Surgery, Guangdong Provincial People&amp;apos;s Hospital (Guangdong  Academy of Medical Sciences), Southern Medical University, Guangzhou, China.; School of Public Health, Chongqing Medical University, Chongqing, China.; Department of Gastroenterology, Guangdong Provincial People&amp;apos;s Hospital (Guangdong  Academy of Medical Sciences), Southern Medical University, Guangzhou, China.; Department of Thoracic Surgery, Guangdong Provincial People&amp;apos;s Hospital (Guangdong  Academy of Medical Sciences), Southern Medical University, Guangzhou, China.&lt;/_author_adr&gt;&lt;_date_display&gt;2023 Sep&lt;/_date_display&gt;&lt;_date&gt;2023-09-01&lt;/_date&gt;&lt;_doi&gt;10.1016/j.lanwpc.2023.100841&lt;/_doi&gt;&lt;_isbn&gt;2666-6065 (Electronic); 2666-6065 (Linking)&lt;/_isbn&gt;&lt;_journal&gt;Lancet Reg Health West Pac&lt;/_journal&gt;&lt;_keywords&gt;Chemotherapy; Esophageal carcinoma; Immunotherapy; Metastasis; Overall survival; PD-L1&lt;/_keywords&gt;&lt;_language&gt;eng&lt;/_language&gt;&lt;_ori_publication&gt;© 2023 The Author(s).&lt;/_ori_publication&gt;&lt;_pages&gt;100841&lt;/_pages&gt;&lt;_tertiary_title&gt;The Lancet regional health. Western Pacific&lt;/_tertiary_title&gt;&lt;_type_work&gt;Journal Article&lt;/_type_work&gt;&lt;_url&gt;http://www.ncbi.nlm.nih.gov/entrez/query.fcgi?cmd=Retrieve&amp;amp;db=pubmed&amp;amp;dopt=Abstract&amp;amp;list_uids=37457900&amp;amp;query_hl=1&lt;/_url&gt;&lt;_volume&gt;38&lt;/_volume&gt;&lt;_created&gt;65021590&lt;/_created&gt;&lt;_modified&gt;65021590&lt;/_modified&gt;&lt;_impact_factor&gt;   8.559&lt;/_impact_factor&gt;&lt;_collection_scope&gt;SSCI;SCIE&lt;/_collection_scope&gt;&lt;/Details&gt;&lt;Extra&gt;&lt;DBUID&gt;{F96A950B-833F-4880-A151-76DA2D6A2879}&lt;/DBUID&gt;&lt;/Extra&gt;&lt;/Item&gt;&lt;/References&gt;&lt;/Group&gt;&lt;/Citation&gt;_x000a_"/>
    <w:docVar w:name="NE.Ref{5C1C9887-C47A-43C0-88A2-64E87B54F63A}" w:val=" ADDIN NE.Ref.{5C1C9887-C47A-43C0-88A2-64E87B54F63A}&lt;Citation&gt;&lt;Group&gt;&lt;References&gt;&lt;Item&gt;&lt;ID&gt;46204&lt;/ID&gt;&lt;UID&gt;{C9FC3445-F95C-49D8-B305-672BA565B27F}&lt;/UID&gt;&lt;Title&gt;Post Hoc Analysis of Lorlatinib Intracranial Efficacy and Safety in Patients With ALK-Positive Advanced Non-Small-Cell Lung Cancer From the Phase III CROWN Study&lt;/Title&gt;&lt;Template&gt;Journal Article&lt;/Template&gt;&lt;Star&gt;0&lt;/Star&gt;&lt;Tag&gt;0&lt;/Tag&gt;&lt;Author&gt;Solomon, B J; Bauer, T M; Ignatius, Ou SH; Liu, G; Hayashi, H; Bearz, A; Penkov, K; Wu, Y L; Arrieta, O; Jassem, J; Calella, A M; Peltz, G; Polli, A; Thurm, H; Mok, T&lt;/Author&gt;&lt;Year&gt;2022&lt;/Year&gt;&lt;Details&gt;&lt;_accessed&gt;64632502&lt;/_accessed&gt;&lt;_accession_num&gt;35605188&lt;/_accession_num&gt;&lt;_author_adr&gt;Peter MacCallum Cancer Centre, Melbourne, VIC, Australia.; Sarah Cannon Research Institute/Tennessee Oncology, PLLC, Nashville, TN.; University of California Irvine School of Medicine, Orange, CA.; Princess Margaret Cancer Centre, Toronto, Canada.; Kindai University Faculty of Medicine, Osaka-Sayama, Osaka, Japan.; Centro di Riferimento Oncologico, Istituto Nazionale Tumori, IRCCS, Aviano, Italy.; Private Medical Institution Euromedservice, St Petersburg, Russian Federation.; Guangdong Lung Cancer Institute, Guangdong Provincial People&amp;apos;s Hospital and Guangdong Academy of Medical Sciences, Guangzhou, China.; Instituto Nacional de Cancerologia (INCan), Mexico City, Mexico.; Medical University of Gdansk, Gdansk, Poland.; Pfizer Oncology, Milan, Italy.; Pfizer Oncology, Groton, CT.; Pfizer Oncology, Milan, Italy.; Pfizer Oncology, La Jolla, CA.; State Key Laboratory of Translational Oncology, Chinese University of Hong Kong,  Shatin, Hong Kong.&lt;/_author_adr&gt;&lt;_collection_scope&gt;SCIE&lt;/_collection_scope&gt;&lt;_created&gt;64630993&lt;/_created&gt;&lt;_date&gt;2022-11-01&lt;/_date&gt;&lt;_date_display&gt;2022 Nov 1&lt;/_date_display&gt;&lt;_db_updated&gt;PubMed&lt;/_db_updated&gt;&lt;_doi&gt;10.1200/JCO.21.02278&lt;/_doi&gt;&lt;_impact_factor&gt;  50.717&lt;/_impact_factor&gt;&lt;_isbn&gt;1527-7755 (Electronic); 0732-183X (Linking)&lt;/_isbn&gt;&lt;_issue&gt;31&lt;/_issue&gt;&lt;_journal&gt;J Clin Oncol&lt;/_journal&gt;&lt;_language&gt;eng&lt;/_language&gt;&lt;_modified&gt;64688891&lt;/_modified&gt;&lt;_pages&gt;3593-3602&lt;/_pages&gt;&lt;_social_category&gt;医学(1)&lt;/_social_category&gt;&lt;_subject_headings&gt;Humans; *Carcinoma, Non-Small-Cell Lung/drug therapy/genetics; Crizotinib/adverse effects; Anaplastic Lymphoma Kinase; *Lung Neoplasms/drug therapy/genetics; Quality of Life; Lactams, Macrocyclic/adverse effects; *Brain Neoplasms/drug therapy/secondary; Protein Kinase Inhibitors/therapeutic use&lt;/_subject_headings&gt;&lt;_tertiary_title&gt;Journal of clinical oncology : official journal of the American Society of_x000d__x000a_      Clinical Oncology&lt;/_tertiary_title&gt;&lt;_type_work&gt;Randomized Controlled Trial; Journal Article&lt;/_type_work&gt;&lt;_url&gt;http://www.ncbi.nlm.nih.gov/entrez/query.fcgi?cmd=Retrieve&amp;amp;db=pubmed&amp;amp;dopt=Abstract&amp;amp;list_uids=35605188&amp;amp;query_hl=1 _x000d__x000a_https://www.ncbi.nlm.nih.gov/pmc/articles/PMC9622589/pdf/jco-40-3593.pdf _x000d__x000a_&lt;/_url&gt;&lt;_volume&gt;40&lt;/_volume&gt;&lt;/Details&gt;&lt;Extra&gt;&lt;DBUID&gt;{F96A950B-833F-4880-A151-76DA2D6A2879}&lt;/DBUID&gt;&lt;/Extra&gt;&lt;/Item&gt;&lt;/References&gt;&lt;/Group&gt;&lt;Group&gt;&lt;References&gt;&lt;Item&gt;&lt;ID&gt;46205&lt;/ID&gt;&lt;UID&gt;{67905BEA-F213-4767-B85A-4C5B34BE8922}&lt;/UID&gt;&lt;Title&gt;Brigatinib Versus Crizotinib in ALK Inhibitor-Naive Advanced ALK-Positive NSCLC:  Final Results of Phase 3 ALTA-1L Trial&lt;/Title&gt;&lt;Template&gt;Journal Article&lt;/Template&gt;&lt;Star&gt;0&lt;/Star&gt;&lt;Tag&gt;0&lt;/Tag&gt;&lt;Author&gt;Camidge, D R; Kim, H R; Ahn, M J; Yang, JCH; Han, J Y; Hochmair, M J; Lee, K H; Delmonte, A; Garcia, Campelo MR; Kim, D W; Griesinger, F; Felip, E; Califano, R; Spira, A I; Gettinger, S N; Tiseo, M; Lin, H M; Liu, Y; Vranceanu, F; Niu, H; Zhang, P; Popat, S&lt;/Author&gt;&lt;Year&gt;2021&lt;/Year&gt;&lt;Details&gt;&lt;_accessed&gt;64632482&lt;/_accessed&gt;&lt;_accession_num&gt;34537440&lt;/_accession_num&gt;&lt;_author_adr&gt;Department of Medicine, University of Colorado Cancer Center, Aurora, Colorado. Electronic address: ross.camidge@cuanschutz.edu.; Division of Medical Oncology, Department of Internal Medicine, Yonsei Cancer Center, Yonsei University College of Medicine, Seoul, South Korea.; Division of Hematology-Oncology, Samsung Medical Center, Seoul, South Korea.; Department of Medical Oncology, National Taiwan University Cancer Center, Taipei, Taiwan.; Department of Precision Medicine, National Cancer Center, Gyeonggi, South Korea.; Department of Respiratory and Critical Care Medicine, Karl Landsteiner Institute  of Lung Research and Pulmonary Oncology, Vienna, Austria.; Internal Medicine Department, Chungbuk National University Hospital, Chungbuk, South Korea.; Department of Medical Oncology, Istituto Romagnolo per lo Studio dei Tumori &amp;quot;Dino Amadori&amp;quot; (IRST) Istituto di Ricovero e Cura a Carattere Scientifico (IRCCS), Meldola, Italy.; Department of Medical Oncology, Complejo Hospitalario Universitario A Coruna (CHUAC), University Hospital A Coruna, A Coruna, Spain.; Department of Internal Medicine, Seoul National University Hospital, Seoul National University College of Medicine, Seoul, South Korea.; Department of Hematology and Oncology, Pius-Hospital Oldenburg, University of Oldenburg, Oldenburg, Germany.; Vall d&amp;apos;Hebron Institute of Oncology, Vall d&amp;apos;Hebron University Hospital, Barcelona, Spain.; Department of Medical Oncology, The Christie NHS Foundation Trust, Manchester, United Kingdom; Department of Medical Oncology, Division of Cancer Sciences, The  University of Manchester, Manchester, England, United Kingdom.; Department of Medical Oncology, Virginia Cancer Specialists, US Oncology Research, Fairfax, Virginia.; Department of Medical Oncology, Yale Cancer Center, New Haven, Connecticut.; Department of Medicine and Surgery, University Hospital of Parma, Parma, Italy.; Global Evidence and Outcome, Millennium Pharmaceuticals, Inc., a wholly-owned subsidiary of Takeda Pharmaceutical Company Limited, Cambridge, Massachusetts.; Oncology Statistics, Millennium Pharmaceuticals, Inc., a wholly-owned subsidiary  of Takeda Pharmaceutical Company Limited, Cambridge, Massachusetts.; Clinical Science, Millennium Pharmaceuticals, Inc., a wholly-owned subsidiary of  Takeda Pharmaceutical Company Limited, Cambridge, Massachusetts.; Oncology Translational Sciences, Millennium Pharmaceuticals, Inc., a wholly-owned subsidiary of Takeda Pharmaceutical Company Limited, Cambridge, Massachusetts.; Oncology Clinical Research, Millennium Pharmaceuticals, Inc., a wholly-owned subsidiary of Takeda Pharmaceutical Company Limited, Cambridge, Massachusetts.; Royal Marsden Hospital, London, United Kingdom.&lt;/_author_adr&gt;&lt;_collection_scope&gt;SCIE&lt;/_collection_scope&gt;&lt;_created&gt;64630982&lt;/_created&gt;&lt;_date&gt;2021-12-01&lt;/_date&gt;&lt;_date_display&gt;2021 Dec&lt;/_date_display&gt;&lt;_db_updated&gt;PubMed&lt;/_db_updated&gt;&lt;_doi&gt;10.1016/j.jtho.2021.07.035&lt;/_doi&gt;&lt;_impact_factor&gt;  20.121&lt;/_impact_factor&gt;&lt;_isbn&gt;1556-1380 (Electronic); 1556-0864 (Linking)&lt;/_isbn&gt;&lt;_issue&gt;12&lt;/_issue&gt;&lt;_journal&gt;J Thorac Oncol&lt;/_journal&gt;&lt;_keywords&gt;ALK tyrosine kinase inhibitor; Anaplastic lymphoma kinase; Brigatinib; Crizotinib; Non-small cell lung cancer&lt;/_keywords&gt;&lt;_language&gt;eng&lt;/_language&gt;&lt;_modified&gt;64688891&lt;/_modified&gt;&lt;_ori_publication&gt;Copyright (c) 2021 International Association for the Study of Lung Cancer._x000d__x000a_      Published by Elsevier Inc. All rights reserved.&lt;/_ori_publication&gt;&lt;_pages&gt;2091-2108&lt;/_pages&gt;&lt;_social_category&gt;医学(1)&lt;/_social_category&gt;&lt;_subject_headings&gt;Anaplastic Lymphoma Kinase/genetics; Crizotinib/therapeutic use; Humans; *Lung Neoplasms/drug therapy/genetics; Organophosphorus Compounds; Protein Kinase Inhibitors/therapeutic use; Pyrimidines/therapeutic use&lt;/_subject_headings&gt;&lt;_tertiary_title&gt;Journal of thoracic oncology : official publication of the International_x000d__x000a_      Association for the Study of Lung Cancer&lt;/_tertiary_title&gt;&lt;_type_work&gt;Journal Article; Randomized Controlled Trial; Research Support, Non-U.S. Gov&amp;apos;t&lt;/_type_work&gt;&lt;_url&gt;http://www.ncbi.nlm.nih.gov/entrez/query.fcgi?cmd=Retrieve&amp;amp;db=pubmed&amp;amp;dopt=Abstract&amp;amp;list_uids=34537440&amp;amp;query_hl=1&lt;/_url&gt;&lt;_volume&gt;16&lt;/_volume&gt;&lt;/Details&gt;&lt;Extra&gt;&lt;DBUID&gt;{F96A950B-833F-4880-A151-76DA2D6A2879}&lt;/DBUID&gt;&lt;/Extra&gt;&lt;/Item&gt;&lt;/References&gt;&lt;/Group&gt;&lt;Group&gt;&lt;References&gt;&lt;Item&gt;&lt;ID&gt;46206&lt;/ID&gt;&lt;UID&gt;{F264300B-42F8-441B-8DC9-4014AEFCD636}&lt;/UID&gt;&lt;Title&gt;Results of PROFILE 1029, a Phase III Comparison of First-Line Crizotinib versus Chemotherapy in East Asian Patients with ALK-Positive Advanced Non-Small Cell Lung Cancer&lt;/Title&gt;&lt;Template&gt;Journal Article&lt;/Template&gt;&lt;Star&gt;0&lt;/Star&gt;&lt;Tag&gt;0&lt;/Tag&gt;&lt;Author&gt;Wu, Y L; Lu, S; Lu, Y; Zhou, J; Shi, Y K; Sriuranpong, V; Ho, JCM; Ong, C K; Tsai, C M; Chung, C H; Wilner, K D; Tang, Y; Masters, E T; Selaru, P; Mok, T S&lt;/Author&gt;&lt;Year&gt;2018&lt;/Year&gt;&lt;Details&gt;&lt;_accessed&gt;64632481&lt;/_accessed&gt;&lt;_accession_num&gt;29966800&lt;/_accession_num&gt;&lt;_author_adr&gt;Guangdong Lung Cancer Institute, Guangdong General Hospital and Guangdong Academy of Medical Sciences, Guangzhou, People&amp;apos;s Republic of China. Electronic address: syylwu@live.cn.; Department of Shanghai Lung Cancer Center, Shanghai Chest Hospital, Jiao Tong University, Shanghai, People&amp;apos;s Republic of China.; Department of Thoracic Oncology, West China Hospital, Sichuan University, Chengdu, People&amp;apos;s Republic of China.; Respiratory Department, First Affiliated Hospital, School of Medicine, Zhejiang University, Hangzhou, People&amp;apos;s Republic of China.; Department of Medical Oncology, Beijing Key Laboratory of Clinical Study on Anticancer Molecular Targeted Drugs, National Cancer Center/Cancer Hospital, Chinese Academy of Medical Sciences and Peking Union Medical College, Beijing, People&amp;apos;s Republic of China.; Medical Oncology Unit, Department of Medicine, Chulalongkorn University and the King Chulalongkorn Memorial Hospital, Bangkok, Thailand.; Department of Medicine, The University of Hong Kong, Hong Kong, People&amp;apos;s Republic of China.; Department of Respiratory Medicine, Hospital Pulau Pinang, Pulau Pinang, Malaysia.; Department of Oncology, Taipei Veterans General Hospital, Taipei, Taiwan, Republic of China.; Pfizer Oncology, New York, New York.; Pfizer Oncology, La Jolla, California.; Pfizer Oncology, La Jolla, California.; Pfizer Oncology, New York, New York.; Pfizer Oncology, La Jolla, California.; Department of Clinical Oncology, State Laboratory of South China, The Chinese University of Hong Kong, Hong Kong, People&amp;apos;s Republic of China.&lt;/_author_adr&gt;&lt;_collection_scope&gt;SCIE&lt;/_collection_scope&gt;&lt;_created&gt;64630945&lt;/_created&gt;&lt;_date&gt;2018-10-01&lt;/_date&gt;&lt;_date_display&gt;2018 Oct&lt;/_date_display&gt;&lt;_db_updated&gt;PubMed&lt;/_db_updated&gt;&lt;_doi&gt;10.1016/j.jtho.2018.06.012&lt;/_doi&gt;&lt;_impact_factor&gt;  20.121&lt;/_impact_factor&gt;&lt;_isbn&gt;1556-1380 (Electronic); 1556-0864 (Linking)&lt;/_isbn&gt;&lt;_issue&gt;10&lt;/_issue&gt;&lt;_journal&gt;J Thorac Oncol&lt;/_journal&gt;&lt;_keywords&gt;ALK-positive advanced non-small cell lung cancer; chemotherapy; crizotinib; phase III&lt;/_keywords&gt;&lt;_language&gt;eng&lt;/_language&gt;&lt;_modified&gt;64688891&lt;/_modified&gt;&lt;_ori_publication&gt;Copyright (c) 2018 International Association for the Study of Lung Cancer._x000d__x000a_      Published by Elsevier Inc. All rights reserved.&lt;/_ori_publication&gt;&lt;_pages&gt;1539-1548&lt;/_pages&gt;&lt;_social_category&gt;医学(1)&lt;/_social_category&gt;&lt;_subject_headings&gt;Adult; Aged; Antineoplastic Combined Chemotherapy Protocols/pharmacology/*therapeutic use; Asians; Carcinoma, Non-Small-Cell Lung/*drug therapy/pathology; Crizotinib/pharmacology/*therapeutic use; Female; Humans; Lung Neoplasms/*drug therapy/pathology; Male; Middle Aged; Young Adult&lt;/_subject_headings&gt;&lt;_tertiary_title&gt;Journal of thoracic oncology : official publication of the International_x000d__x000a_      Association for the Study of Lung Cancer&lt;/_tertiary_title&gt;&lt;_type_work&gt;Clinical Trial, Phase III; Journal Article; Research Support, Non-U.S. Gov&amp;apos;t&lt;/_type_work&gt;&lt;_url&gt;http://www.ncbi.nlm.nih.gov/entrez/query.fcgi?cmd=Retrieve&amp;amp;db=pubmed&amp;amp;dopt=Abstract&amp;amp;list_uids=29966800&amp;amp;query_hl=1&lt;/_url&gt;&lt;_volume&gt;13&lt;/_volume&gt;&lt;/Details&gt;&lt;Extra&gt;&lt;DBUID&gt;{F96A950B-833F-4880-A151-76DA2D6A2879}&lt;/DBUID&gt;&lt;/Extra&gt;&lt;/Item&gt;&lt;/References&gt;&lt;/Group&gt;&lt;Group&gt;&lt;References&gt;&lt;Item&gt;&lt;ID&gt;46197&lt;/ID&gt;&lt;UID&gt;{E111597E-7B08-457B-AEBE-D0E78756A9EF}&lt;/UID&gt;&lt;Title&gt;Ensartinib vs Crizotinib for Patients With Anaplastic Lymphoma Kinase-Positive Non-Small Cell Lung Cancer: A Randomized Clinical Trial&lt;/Title&gt;&lt;Template&gt;Journal Article&lt;/Template&gt;&lt;Star&gt;0&lt;/Star&gt;&lt;Tag&gt;0&lt;/Tag&gt;&lt;Author&gt;Horn, L; Wang, Z; Wu, G; Poddubskaya, E; Mok, T; Reck, M; Wakelee, H; Chiappori, A A; Lee, D H; Breder, V; Orlov, S; Cicin, I; Cheng, Y; Liu, Y; Fan, Y; Whisenant, J G; Zhou, Y; Oertel, V; Harrow, K; Liang, C; Mao, L; Selvaggi, G; Wu, Y L&lt;/Author&gt;&lt;Year&gt;2021&lt;/Year&gt;&lt;Details&gt;&lt;_accessed&gt;64632481&lt;/_accessed&gt;&lt;_accession_num&gt;34473194&lt;/_accession_num&gt;&lt;_author_adr&gt;Division of Hematology and Oncology, Department of Medicine, Vanderbilt-Ingram Cancer Center, Nashville, Tennessee.; Now with Global Clinical Head for Lung Cancer and Lung Cancer Strategy, AstraZeneca, Nashville, Tennessee.; Department of Thoracic Medical Oncology, Peking University Cancer Hospital and Institute, Beijing, China.; Cancer Center, Union Hospital, Tongji Medical College, Huazhong University of Science and Technology, Wuhan, China.; Clinical Center for Oncology, I. M. Sechenov First Moscow State Medical University (Sechenov University), Moscow, Russia.; Clinical Center VitaMed, Moscow, Russia.; Department of Clinical Oncology, State Key Laboratory of Translational Oncology,  The Chinese University of Hong Kong, Hong Kong, China.; Lung Clinic, Airway Research Center North, German Center for Lung Research, Grosshansdorf, Germany.; Department of Medicine, Division of Oncology and Stanford Cancer Institute, Stanford University, Stanford, California.; Thoracic Oncology Program, Moffitt Cancer Center, Tampa, Florida.; Department of Oncology, University of Ulsan College of Medicine, Asan Medical Center, Seoul, South Korea.; Department of Chemotherapy No. 17, N. N. Blokhin Russian Cancer Research Center,  Moscow, Russia.; Department of Biochemistry, Pavlov First Saint Petersburg State Medical University, St Petersburg, Russia.; Department of Medical Oncology, Faculty of Medicine, Trakya University, Edirne, Turkey.; Department of Thoracic Oncology, Jilin Cancer Hospital, Changchun, China.; Department of Medical Oncology, The First Hospital of China Medical University, Shenyang, Liaoning, China.; Thoracic Tumor Center, Zhejiang Cancer Hospital, Hangzhou, China.; Division of Hematology and Oncology, Department of Medicine, Vanderbilt-Ingram Cancer Center, Nashville, Tennessee.; Biometrics, Xcovery Holdings Inc, Palm Beach Gardens, Florida.; Clinical Operations, Xcovery Holdings Inc, Palm Beach Gardens, Florida.; Clinical Operations, Xcovery Holdings Inc, Palm Beach Gardens, Florida.; Now with EQRx, Cambridge, Massachusetts.; Clinical Science, Xcovery Holdings Inc, Palm Beach Gardens, Florida.; Clinical Development, Xcovery Holdings Inc, Palm Beach Gardens, Florida.; Now with Sino Biopharmaceutical Ltd, Beijing, China.; Clinical Development, Xcovery Holdings Inc, Palm Beach Gardens, Florida.; Guangdong Lung Cancer Institute, Guangdong Provincial People&amp;apos;s Hospital and Guangdong Academy of Medical Sciences, Guangzhou, China.&lt;/_author_adr&gt;&lt;_collection_scope&gt;SCIE&lt;/_collection_scope&gt;&lt;_created&gt;64630949&lt;/_created&gt;&lt;_date&gt;2021-11-01&lt;/_date&gt;&lt;_date_display&gt;2021 Nov 1&lt;/_date_display&gt;&lt;_db_updated&gt;PubMed&lt;/_db_updated&gt;&lt;_doi&gt;10.1001/jamaoncol.2021.3523&lt;/_doi&gt;&lt;_impact_factor&gt;  33.006&lt;/_impact_factor&gt;&lt;_isbn&gt;2374-2445 (Electronic); 2374-2437 (Linking)&lt;/_isbn&gt;&lt;_issue&gt;11&lt;/_issue&gt;&lt;_journal&gt;JAMA Oncol&lt;/_journal&gt;&lt;_language&gt;eng&lt;/_language&gt;&lt;_modified&gt;64688891&lt;/_modified&gt;&lt;_pages&gt;1617-1625&lt;/_pages&gt;&lt;_social_category&gt;医学(1)&lt;/_social_category&gt;&lt;_subject_headings&gt;Adolescent; Adult; Anaplastic Lymphoma Kinase; *Carcinoma, Non-Small-Cell Lung/pathology; Crizotinib/adverse effects; Humans; *Lung Neoplasms/pathology; Male; Middle Aged; Piperazines; Protein Kinase Inhibitors/adverse effects; Pyridazines&lt;/_subject_headings&gt;&lt;_tertiary_title&gt;JAMA oncology&lt;/_tertiary_title&gt;&lt;_type_work&gt;Journal Article; Multicenter Study; Randomized Controlled Trial; Research Support, Non-U.S. Gov&amp;apos;t&lt;/_type_work&gt;&lt;_url&gt;http://www.ncbi.nlm.nih.gov/entrez/query.fcgi?cmd=Retrieve&amp;amp;db=pubmed&amp;amp;dopt=Abstract&amp;amp;list_uids=34473194&amp;amp;query_hl=1&lt;/_url&gt;&lt;_volume&gt;7&lt;/_volume&gt;&lt;/Details&gt;&lt;Extra&gt;&lt;DBUID&gt;{F96A950B-833F-4880-A151-76DA2D6A2879}&lt;/DBUID&gt;&lt;/Extra&gt;&lt;/Item&gt;&lt;/References&gt;&lt;/Group&gt;&lt;Group&gt;&lt;References&gt;&lt;Item&gt;&lt;ID&gt;46207&lt;/ID&gt;&lt;UID&gt;{70167C97-52FD-45F8-B2A5-CB7A8869F7D1}&lt;/UID&gt;&lt;Title&gt;Ceritinib Efficacy and Safety in Treatment-Naive Asian Patients With Advanced ALK-Rearranged NSCLC: An ASCEND-4 Subgroup Analysis&lt;/Title&gt;&lt;Template&gt;Journal Article&lt;/Template&gt;&lt;Star&gt;0&lt;/Star&gt;&lt;Tag&gt;0&lt;/Tag&gt;&lt;Author&gt;Tan, DSW; Geater, S; Yu, C J; Tsai, C M; Hsia, T C; Chen, J; Lin, M C; Lu, Y; Sriuranpong, V; Yang, C T; Sen, P; Branle, F; Shi, M; Wu, Y L&lt;/Author&gt;&lt;Year&gt;2021&lt;/Year&gt;&lt;Details&gt;&lt;_accessed&gt;64632481&lt;/_accessed&gt;&lt;_accession_num&gt;34589995&lt;/_accession_num&gt;&lt;_author_adr&gt;Department of Medical Oncology, National Cancer Centre Singapore, Singapore.; Department of Internal Medicine, Prince of Songkla University, Hat Yai, Thailand.; Department of Internal Medicine, National Taiwan University Hospital, Taipei, Taiwan.; Department of Oncology, Taipei Veterans General Hospital, Taipei, Taiwan.; Department of Respiratory Therapy and Internal Medicine, China Medical University Hospital, China Medical University, Taichung, Taiwan.; Department of Lung Cancer Surgery, Tianjin Medical University General Hospital, Tianjin, People&amp;apos;s Republic of China.; Department of Internal Medicine, Kaohsiung Chang Gung Memorial Hospital, Kaohsiung, Taiwan.; Department of Thoracic Oncology, West China Hospital of Sichuan University, Chengdu, People&amp;apos;s Republic of China.; Department of Medicine, Chulalongkorn University and the King Chulalongkorn Memorial Hospital, Bangkok, Thailand.; Department of Thoracic Medicine, Chang Gung Memorial Hospital, Taoyuan, Taiwan.; Novartis Pharmaceuticals Corporation, East Hanover, New Jersey.; Novartis Pharma AG, Basel, Switzerland.; Novartis Pharmaceuticals Corporation, East Hanover, New Jersey.; Guangdong Lung Cancer Institute, Guangdong Provincial Key Laboratory of Translational Medicine in Lung Cancer, Guangdong Provincial People&amp;apos;s Hospital, Guangzhou, Guangdong, People&amp;apos;s Republic of China.&lt;/_author_adr&gt;&lt;_created&gt;64630953&lt;/_created&gt;&lt;_date&gt;2021-03-01&lt;/_date&gt;&lt;_date_display&gt;2021 Mar&lt;/_date_display&gt;&lt;_db_updated&gt;PubMed&lt;/_db_updated&gt;&lt;_doi&gt;10.1016/j.jtocrr.2020.100131&lt;/_doi&gt;&lt;_isbn&gt;2666-3643 (Electronic); 2666-3643 (Linking)&lt;/_isbn&gt;&lt;_issue&gt;3&lt;/_issue&gt;&lt;_journal&gt;JTO Clin Res Rep&lt;/_journal&gt;&lt;_keywords&gt;ALK; ASCEND-4; Ceritinib; NSCLC&lt;/_keywords&gt;&lt;_language&gt;eng&lt;/_language&gt;&lt;_modified&gt;64688891&lt;/_modified&gt;&lt;_ori_publication&gt;(c) 2020 The Authors. Published by Elsevier Inc. on behalf of the International_x000d__x000a_      Association for the Study of Lung Cancer.&lt;/_ori_publication&gt;&lt;_pages&gt;100131&lt;/_pages&gt;&lt;_tertiary_title&gt;JTO clinical and research reports&lt;/_tertiary_title&gt;&lt;_type_work&gt;Journal Article&lt;/_type_work&gt;&lt;_url&gt;http://www.ncbi.nlm.nih.gov/entrez/query.fcgi?cmd=Retrieve&amp;amp;db=pubmed&amp;amp;dopt=Abstract&amp;amp;list_uids=34589995&amp;amp;query_hl=1 _x000d__x000a_https://www.ncbi.nlm.nih.gov/pmc/articles/PMC8474482/pdf/main.pdf _x000d__x000a_&lt;/_url&gt;&lt;_volume&gt;2&lt;/_volume&gt;&lt;/Details&gt;&lt;Extra&gt;&lt;DBUID&gt;{F96A950B-833F-4880-A151-76DA2D6A2879}&lt;/DBUID&gt;&lt;/Extra&gt;&lt;/Item&gt;&lt;/References&gt;&lt;/Group&gt;&lt;Group&gt;&lt;References&gt;&lt;Item&gt;&lt;ID&gt;46208&lt;/ID&gt;&lt;UID&gt;{82E41F09-CE78-49CE-9F2E-568B97A0C7AD}&lt;/UID&gt;&lt;Title&gt;Alectinib versus crizotinib in untreated Asian patients with anaplastic lymphoma  kinase-positive non-small-cell lung cancer (ALESIA): a randomised phase 3 study&lt;/Title&gt;&lt;Template&gt;Journal Article&lt;/Template&gt;&lt;Star&gt;0&lt;/Star&gt;&lt;Tag&gt;0&lt;/Tag&gt;&lt;Author&gt;Zhou, C; Kim, S W; Reungwetwattana, T; Zhou, J; Zhang, Y; He, J; Yang, J J; Cheng, Y; Lee, S H; Bu, L; Xu, T; Yang, L; Wang, C; Liu, T; Morcos, P N; Lu, Y; Zhang, L&lt;/Author&gt;&lt;Year&gt;2019&lt;/Year&gt;&lt;Details&gt;&lt;_accessed&gt;64632481&lt;/_accessed&gt;&lt;_accession_num&gt;30981696&lt;/_accession_num&gt;&lt;_author_adr&gt;Shanghai Pulmonary Hospital, Tongji University School of Medicine, Shanghai, China.; Asan Medical Center, Seoul, South Korea.; Faculty of Medicine Ramathibodi Hospital, Mahidol University, Bangkok, Thailand.; The First Affiliated Hospital of College of Medicine, Zhejiang University, Hangzhou, China.; Zhejiang Cancer Hospital, Hangzhou, China.; The First Affiliated Hospital of College of Medicine, Zhejiang University, Hangzhou, China.; Guangdong General Hospital, Guangzhou, China.; The First Affiliated Hospital of Guangzhou Medical University, Guangzhou, China;  Jilin Cancer Hospital, Changchun, China.; Samsung Medical Center, Sungkyunkwan University School of Medicine, Seoul, South  Korea.; Roche Pharma Development, Shanghai, China.; Roche Pharma Development, Shanghai, China.; Roche Pharma Development, Shanghai, China.; Roche Pharma Development, Shanghai, China.; F Hoffmann-La Roche, Basel, Switzerland.; Roche Innovation Center, New York, NY, USA.; West China Hospital, Sichuan University, Chengdu, China.; Sun Yat-sen University Cancer Center, State Key Laboratory of Oncology in South China, Collaborative Innovation Center for Cancer Medicine, Guangzhou, China. Electronic address: ChinazhangLi6@mail.sysu.edu.cn.&lt;/_author_adr&gt;&lt;_collection_scope&gt;SCIE&lt;/_collection_scope&gt;&lt;_created&gt;64630941&lt;/_created&gt;&lt;_date&gt;2019-05-01&lt;/_date&gt;&lt;_date_display&gt;2019 May&lt;/_date_display&gt;&lt;_db_updated&gt;PubMed&lt;/_db_updated&gt;&lt;_doi&gt;10.1016/S2213-2600(19)30053-0&lt;/_doi&gt;&lt;_impact_factor&gt; 102.642&lt;/_impact_factor&gt;&lt;_isbn&gt;2213-2619 (Electronic); 2213-2600 (Linking)&lt;/_isbn&gt;&lt;_issue&gt;5&lt;/_issue&gt;&lt;_journal&gt;Lancet Respir Med&lt;/_journal&gt;&lt;_language&gt;eng&lt;/_language&gt;&lt;_modified&gt;64688891&lt;/_modified&gt;&lt;_ori_publication&gt;Copyright (c) 2019 Elsevier Ltd. All rights reserved.&lt;/_ori_publication&gt;&lt;_pages&gt;437-446&lt;/_pages&gt;&lt;_social_category&gt;医学(1)&lt;/_social_category&gt;&lt;_subject_headings&gt;Adult; *Anaplastic Lymphoma Kinase; Carbazoles/*therapeutic use; Carcinoma, Non-Small-Cell Lung/*drug therapy; China; Crizotinib/*therapeutic use; Female; Humans; Lung Neoplasms/*drug therapy; Male; Middle Aged; Piperidines/*therapeutic use; Protein Kinase Inhibitors/*therapeutic use; Republic of Korea; Thailand; Treatment Outcome&lt;/_subject_headings&gt;&lt;_tertiary_title&gt;The Lancet. Respiratory medicine&lt;/_tertiary_title&gt;&lt;_type_work&gt;Clinical Trial, Phase III; Comparative Study; Journal Article; Randomized Controlled Trial; Research Support, Non-U.S. Gov&amp;apos;t&lt;/_type_work&gt;&lt;_url&gt;http://www.ncbi.nlm.nih.gov/entrez/query.fcgi?cmd=Retrieve&amp;amp;db=pubmed&amp;amp;dopt=Abstract&amp;amp;list_uids=30981696&amp;amp;query_hl=1&lt;/_url&gt;&lt;_volume&gt;7&lt;/_volume&gt;&lt;/Details&gt;&lt;Extra&gt;&lt;DBUID&gt;{F96A950B-833F-4880-A151-76DA2D6A2879}&lt;/DBUID&gt;&lt;/Extra&gt;&lt;/Item&gt;&lt;/References&gt;&lt;/Group&gt;&lt;/Citation&gt;_x000a_"/>
    <w:docVar w:name="NE.Ref{5C50F931-A370-4E0D-9746-BBEA289DC247}" w:val=" ADDIN NE.Ref.{5C50F931-A370-4E0D-9746-BBEA289DC247}&lt;Citation&gt;&lt;Group&gt;&lt;References&gt;&lt;Item&gt;&lt;ID&gt;5019&lt;/ID&gt;&lt;UID&gt;{443D8660-0E79-4CC3-9241-4472B0EDEF70}&lt;/UID&gt;&lt;Title&gt;VA Federal Supply Schedule Price. https://www.vendorportal.ecms.va.gov/NAC/Pharma/List,Feb 1, 2024&lt;/Title&gt;&lt;Template&gt;Web Page&lt;/Template&gt;&lt;Star&gt;0&lt;/Star&gt;&lt;Tag&gt;0&lt;/Tag&gt;&lt;Author/&gt;&lt;Year&gt;0&lt;/Year&gt;&lt;Details&gt;&lt;_accessed&gt;65330783&lt;/_accessed&gt;&lt;_created&gt;65329707&lt;/_created&gt;&lt;_modified&gt;65329711&lt;/_modified&gt;&lt;/Details&gt;&lt;Extra&gt;&lt;DBUID&gt;{F96A950B-833F-4880-A151-76DA2D6A2879}&lt;/DBUID&gt;&lt;/Extra&gt;&lt;/Item&gt;&lt;/References&gt;&lt;/Group&gt;&lt;/Citation&gt;_x000a_"/>
    <w:docVar w:name="NE.Ref{5C74A2EA-A061-4B29-9CCC-E673C85CFDF2}" w:val=" ADDIN NE.Ref.{5C74A2EA-A061-4B29-9CCC-E673C85CFDF2}&lt;Citation&gt;&lt;Group&gt;&lt;References&gt;&lt;Item&gt;&lt;ID&gt;5038&lt;/ID&gt;&lt;UID&gt;{E1AFF1CE-834F-47CD-AB65-9B4E05D6B565}&lt;/UID&gt;&lt;Title&gt;Effect of Fruquintinib vs Placebo on Overall Survival in Patients With Previously  Treated Metastatic Colorectal Cancer: The FRESCO Randomized Clinical Trial&lt;/Title&gt;&lt;Template&gt;Journal Article&lt;/Template&gt;&lt;Star&gt;0&lt;/Star&gt;&lt;Tag&gt;0&lt;/Tag&gt;&lt;Author&gt;Li, J; Qin, S; Xu, R H; Shen, L; Xu, J; Bai, Y; Yang, L; Deng, Y; Chen, Z D; Zhong, H; Pan, H; Guo, W; Shu, Y; Yuan, Y; Zhou, J; Xu, N; Liu, T; Ma, D; Wu, C; Cheng, Y; Chen, D; Li, W; Sun, S; Yu, Z; Cao, P; Chen, H; Wang, J; Wang, S; Wang, H; Fan, S; Hua, Y; Su, W&lt;/Author&gt;&lt;Year&gt;2018&lt;/Year&gt;&lt;Details&gt;&lt;_accession_num&gt;29946728&lt;/_accession_num&gt;&lt;_author_adr&gt;Department of Medical Oncology, Tongji University Shanghai East Hospital,  Shanghai, China.; Department of Medical Oncology, Shanghai Medical College, Fudan University  Shanghai Cancer Center, Shanghai, China.; Department of Medical Oncology, Nanjing Chinese Medicine University-Affiliated  Bayi Hospital, Nanjing, China.; Department of Medical Oncology, Sun Yat-sen University Cancer Center, State Key  Laboratory of Oncology in South China, Guangzhou, China.; Collaborative Innovation Center for Cancer Medicine, Guangzhou, China.; Department of Medical Oncology, Beijing University Cancer Center, Beijing, China.; Department of Medical Oncology, 307th Hospital of Chinese People&amp;apos;s Liberation  Army, The Affiliated Hospital of Military Medical Sciences, Beijing, China.; Department of Medical Oncology, Harbin Medical University Cancer Hospital,  Harbin, China.; Department of Medical Oncology, Nantong Cancer Hospital, Nantong, China.; Department of Medical Oncology, The Sixth Affiliated Hospital of Sun Yat-sen  University, Guangzhou, China.; Department of Medical Oncology, The Second Hospital of Anhui Medical University,  Hefei, China.; Department of Medical Oncology, Zhejiang Cancer Hospital, Hangzhou, China.; Department of Medical Oncology, Sir RunRun Shaw Hospital, College of Medicine,  Zhejiang University, Hangzhou, China.; Department of Medical Oncology, Shanghai Medical College, Fudan University  Shanghai Cancer Center, Shanghai, China.; Department of Medical Oncology, Jiangsu Provincial Hospital, Nanjing, China.; Department of Medical Oncology, The Second Affiliated Hospital of Zhejiang  University School of Medicine, Hangzhou, China.; Department of Medical Oncology, Peking Union Medical College Hospital, Beijing,  China.; Department of Medical Oncology, The First Affiliated Hospital of Zhejiang  University School of Medicine, Hangzhou, China.; Department of Medical Oncology, Fudan University Zhongshan Hospital, Shanghai  Medical College, Shanghai, China.; Department of Medical Oncology, Guangdong General Hospital, Guangzhou, China.; Department of Medical Oncology, The First People&amp;apos;s Hospital of Changzhou,  Changzhou, China.; Department of Medical Oncology, Jilin Province Cancer Hospital, Changchun, China.; Department of Medical Oncology, Shanghai Jiaotong University Affiliated First  People&amp;apos;s Hospital, Shanghai, China.; Department of Medical Oncology, The First Hospital of Jilin University,  Changchun, China.; Department of Medical Oncology, Xuzhou Central Hospital, Xuzhou, China.; Department of Medical Oncology, The Affiliated Hospital of Medical College  Qingdao University, Qingdao, China.; Department of Medical Oncology, The Third Xiangya Hospital of Central South  University, Changsha, China.; Department of Medical Oncology, Liuzhou Worker&amp;apos;s Hospital, Liuzhou, China.; Department of Medical Oncology, Shanghai Changzheng Hospital, The Second Military  Medical University, Shanghai, China.; Department of Medical Oncology, Peking University Shenzhen Hospital, Beijing  University, Shenzhen, China.; Department of Medical Oncology, The Affiliated Hospital of Xuzhou Medical  College, Xuzhou Medical College, Xuzhou, China.; Hutchison MediPharma Ltd, Shanghai, China.; Hutchison MediPharma Ltd, Shanghai, China.; Hutchison MediPharma Ltd, Shanghai, China.&lt;/_author_adr&gt;&lt;_date_display&gt;2018 Jun 26&lt;/_date_display&gt;&lt;_date&gt;2018-06-26&lt;/_date&gt;&lt;_doi&gt;10.1001/jama.2018.7855&lt;/_doi&gt;&lt;_isbn&gt;1538-3598 (Electronic); 0098-7484 (Print); 0098-7484 (Linking)&lt;/_isbn&gt;&lt;_issue&gt;24&lt;/_issue&gt;&lt;_journal&gt;JAMA&lt;/_journal&gt;&lt;_language&gt;eng&lt;/_language&gt;&lt;_pages&gt;2486-2496&lt;/_pages&gt;&lt;_subject_headings&gt;Adult; Aged; Aged, 80 and over; Antineoplastic Combined Chemotherapy Protocols/adverse effects/*therapeutic use; Benzofurans/*administration &amp;amp; dosage/adverse effects; China; Colorectal Neoplasms/*drug therapy/mortality/pathology/therapy; Combined Modality Therapy; Double-Blind Method; Female; Humans; Intention to Treat Analysis; Male; Middle Aged; Quinazolines/*administration &amp;amp; dosage/adverse effects; Survival Analysis; Vascular Endothelial Growth Factor A/*antagonists &amp;amp; inhibitors; Young Adult&lt;/_subject_headings&gt;&lt;_tertiary_title&gt;JAMA&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946728&amp;amp;query_hl=1&lt;/_url&gt;&lt;_volume&gt;319&lt;/_volume&gt;&lt;_created&gt;65329740&lt;/_created&gt;&lt;_modified&gt;65329740&lt;/_modified&gt;&lt;_impact_factor&gt; 120.700&lt;/_impact_factor&gt;&lt;_social_category&gt;医学：内科(1)&lt;/_social_category&gt;&lt;_collection_scope&gt;SCIE&lt;/_collection_scope&gt;&lt;_accessed&gt;65330873&lt;/_accessed&gt;&lt;/Details&gt;&lt;Extra&gt;&lt;DBUID&gt;{F96A950B-833F-4880-A151-76DA2D6A2879}&lt;/DBUID&gt;&lt;/Extra&gt;&lt;/Item&gt;&lt;/References&gt;&lt;/Group&gt;&lt;/Citation&gt;_x000a_"/>
    <w:docVar w:name="NE.Ref{5CC8E052-D06D-4BB4-9D7C-FEBF5DBB5909}" w:val=" ADDIN NE.Ref.{5CC8E052-D06D-4BB4-9D7C-FEBF5DBB5909}&lt;Citation&gt;&lt;Group&gt;&lt;References&gt;&lt;Item&gt;&lt;ID&gt;2412&lt;/ID&gt;&lt;UID&gt;{7F38A881-F2CE-4400-935E-CCB9B5704E5C}&lt;/UID&gt;&lt;Title&gt;Network meta-analysis of survival data with fractional polynomials&lt;/Title&gt;&lt;Template&gt;Journal Article&lt;/Template&gt;&lt;Star&gt;0&lt;/Star&gt;&lt;Tag&gt;0&lt;/Tag&gt;&lt;Author&gt;Jansen, J P&lt;/Author&gt;&lt;Year&gt;2011&lt;/Year&gt;&lt;Details&gt;&lt;_accession_num&gt;21548941&lt;/_accession_num&gt;&lt;_author_adr&gt;Mapi Values, Boston, USA. jeroen.jansen@mapivalues.com&lt;/_author_adr&gt;&lt;_collection_scope&gt;SCIE&lt;/_collection_scope&gt;&lt;_created&gt;64299976&lt;/_created&gt;&lt;_date&gt;2011-05-06&lt;/_date&gt;&lt;_date_display&gt;2011 May 6&lt;/_date_display&gt;&lt;_db_updated&gt;PubMed&lt;/_db_updated&gt;&lt;_doi&gt;10.1186/1471-2288-11-61&lt;/_doi&gt;&lt;_impact_factor&gt;   4.612&lt;/_impact_factor&gt;&lt;_isbn&gt;1471-2288 (Electronic); 1471-2288 (Linking)&lt;/_isbn&gt;&lt;_journal&gt;BMC Med Res Methodol&lt;/_journal&gt;&lt;_language&gt;eng&lt;/_language&gt;&lt;_modified&gt;64630791&lt;/_modified&gt;&lt;_pages&gt;61&lt;/_pages&gt;&lt;_subject_headings&gt;Carcinoma, Non-Small-Cell Lung/*mortality; Cost-Benefit Analysis; Humans; Kaplan-Meier Estimate; *Models, Statistical; Proportional Hazards Models; Randomized Controlled Trials as Topic/*statistics &amp;amp; numerical data; Survival Analysis; Treatment Outcome&lt;/_subject_headings&gt;&lt;_tertiary_title&gt;BMC medical research methodology&lt;/_tertiary_title&gt;&lt;_type_work&gt;Journal Article; Meta-Analysis&lt;/_type_work&gt;&lt;_url&gt;http://www.ncbi.nlm.nih.gov/entrez/query.fcgi?cmd=Retrieve&amp;amp;db=pubmed&amp;amp;dopt=Abstract&amp;amp;list_uids=21548941&amp;amp;query_hl=1&lt;/_url&gt;&lt;_volume&gt;11&lt;/_volume&gt;&lt;_social_category&gt;医学(3)&lt;/_social_category&gt;&lt;/Details&gt;&lt;Extra&gt;&lt;DBUID&gt;{F96A950B-833F-4880-A151-76DA2D6A2879}&lt;/DBUID&gt;&lt;/Extra&gt;&lt;/Item&gt;&lt;/References&gt;&lt;/Group&gt;&lt;/Citation&gt;_x000a_"/>
    <w:docVar w:name="NE.Ref{5CD50856-F182-487A-91B1-3136D2882409}" w:val=" ADDIN NE.Ref.{5CD50856-F182-487A-91B1-3136D2882409}&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Citation&gt;_x000a_"/>
    <w:docVar w:name="NE.Ref{5DC509D3-6783-4D11-AF44-4EE0722B0277}" w:val=" ADDIN NE.Ref.{5DC509D3-6783-4D11-AF44-4EE0722B0277}&lt;Citation&gt;&lt;Group&gt;&lt;References&gt;&lt;Item&gt;&lt;ID&gt;4709&lt;/ID&gt;&lt;UID&gt;{56D0A462-A796-49E0-B0D6-139C95356E63}&lt;/UID&gt;&lt;Title&gt;Health-related quality of life in patients with metastatic colorectal cancer,  association with systemic inflammatory response and RAS and BRAF mutation status&lt;/Title&gt;&lt;Template&gt;Journal Article&lt;/Template&gt;&lt;Star&gt;0&lt;/Star&gt;&lt;Tag&gt;0&lt;/Tag&gt;&lt;Author&gt;Thomsen, M; Guren, M G; Skovlund, E; Glimelius, B; Hjermstad, M J; Johansen, J S; Kure, E; Sorbye, H; Pfeiffer, P; Christoffersen, T; Guren, T K; Tveit, K M&lt;/Author&gt;&lt;Year&gt;2017&lt;/Year&gt;&lt;Details&gt;&lt;_accession_num&gt;28595137&lt;/_accession_num&gt;&lt;_author_adr&gt;Department of Oncology, Oslo University Hospital, Oslo, Norway; Institute of  Clinical Medicine, University of Oslo, Oslo, Norway. Electronic address:  uxthmg@ous-hf.no.; Department of Oncology, Oslo University Hospital, Oslo, Norway; K.G. Jebsen  Colorectal Cancer Research Centre, Oslo University Hospital, Oslo, Norway.; Department of Public Health and Nursing, NTNU, Trondheim, Norway; Mental and  Physical Health, Norwegian Institute of Public Health, Oslo, Norway.; Department of Immunology, Genetics and Pathology, Uppsala University, Uppsala,  Sweden.; Regional Advisory Unit for Palliative Care, Department of Oncology, Oslo  University Hospital, Oslo, Norway; European Palliative Care Research Centre,  Department of Cancer Research and Molecular Medicine, Faculty of Medicine,  Norwegian University of Science and Technology, Trondheim, Norway.; Department of Oncology, Herlev and Gentofte Hospital, Copenhagen University  Hospital, Herlev, Denmark.; Department of Cancer Genetics, Institute for Cancer Research, Oslo University  Hospital, Oslo, Norway.; Department of Oncology, Haukeland University Hospital, and Clinical Science,  University of Bergen, Bergen, Norway.; Department of Oncology, Odense University Hospital, Institute of Clinical  Research, University of Southern Denmark, Odense, Denmark.; Department of Pharmacology, Institute of Clinical Medicine, Faculty of Medicine,  University of Oslo, Oslo, Norway.; Department of Oncology, Oslo University Hospital, Oslo, Norway; K.G. Jebsen  Colorectal Cancer Research Centre, Oslo University Hospital, Oslo, Norway.; Department of Oncology, Oslo University Hospital, Oslo, Norway; Institute of  Clinical Medicine, University of Oslo, Oslo, Norway; K.G. Jebsen Colorectal  Cancer Research Centre, Oslo University Hospital, Oslo, Norway.&lt;/_author_adr&gt;&lt;_date_display&gt;2017 Aug&lt;/_date_display&gt;&lt;_date&gt;2017-08-01&lt;/_date&gt;&lt;_doi&gt;10.1016/j.ejca.2017.04.026&lt;/_doi&gt;&lt;_isbn&gt;1879-0852 (Electronic); 0959-8049 (Linking)&lt;/_isbn&gt;&lt;_journal&gt;Eur J Cancer&lt;/_journal&gt;&lt;_keywords&gt;Chemotherapy; HRQoL; Inflammation; RAS and BRAF mutation status; mCRC&lt;/_keywords&gt;&lt;_language&gt;eng&lt;/_language&gt;&lt;_ori_publication&gt;Copyright © 2017 Elsevier Ltd. All rights reserved.&lt;/_ori_publication&gt;&lt;_pages&gt;26-35&lt;/_pages&gt;&lt;_subject_headings&gt;Adult; Aged; Antineoplastic Combined Chemotherapy Protocols/*therapeutic use; Biomarkers, Tumor/analysis; C-Reactive Protein/analysis; Cetuximab/administration &amp;amp; dosage; Cisplatin/administration &amp;amp; dosage; Colorectal Neoplasms/*drug therapy/genetics/pathology; Female; GTP Phosphohydrolases/*genetics; *Health Status; Humans; Inflammation/genetics/pathology; Male; Membrane Proteins/*genetics; Middle Aged; Mutation; Proto-Oncogene Proteins B-raf/*genetics; Proto-Oncogene Proteins p21(ras)/*genetics; *Quality of Life&lt;/_subject_headings&gt;&lt;_tertiary_title&gt;European journal of cancer (Oxford, England : 1990)&lt;/_tertiary_title&gt;&lt;_type_work&gt;Clinical Trial, Phase III; Journal Article; Randomized Controlled Trial; Research Support, Non-U.S. Gov&amp;apos;t&lt;/_type_work&gt;&lt;_url&gt;http://www.ncbi.nlm.nih.gov/entrez/query.fcgi?cmd=Retrieve&amp;amp;db=pubmed&amp;amp;dopt=Abstract&amp;amp;list_uids=28595137&amp;amp;query_hl=1&lt;/_url&gt;&lt;_volume&gt;81&lt;/_volume&gt;&lt;_created&gt;65020956&lt;/_created&gt;&lt;_modified&gt;65020956&lt;/_modified&gt;&lt;_impact_factor&gt;  10.002&lt;/_impact_factor&gt;&lt;_social_category&gt;医学(1)&lt;/_social_category&gt;&lt;_collection_scope&gt;SCIE&lt;/_collection_scope&gt;&lt;/Details&gt;&lt;Extra&gt;&lt;DBUID&gt;{F96A950B-833F-4880-A151-76DA2D6A2879}&lt;/DBUID&gt;&lt;/Extra&gt;&lt;/Item&gt;&lt;/References&gt;&lt;/Group&gt;&lt;/Citation&gt;_x000a_"/>
    <w:docVar w:name="NE.Ref{5E5A53E6-D4DB-4F8D-8223-B082E9D454FF}" w:val=" ADDIN NE.Ref.{5E5A53E6-D4DB-4F8D-8223-B082E9D454FF}&lt;Citation&gt;&lt;Group&gt;&lt;References&gt;&lt;Item&gt;&lt;ID&gt;2965&lt;/ID&gt;&lt;UID&gt;{CEC75124-5A84-4D3B-A402-7426233177A4}&lt;/UID&gt;&lt;Title&gt;Enhanced secondary analysis of survival data: reconstructing the data from  published Kaplan-Meier survival curves&lt;/Title&gt;&lt;Template&gt;Journal Article&lt;/Template&gt;&lt;Star&gt;0&lt;/Star&gt;&lt;Tag&gt;0&lt;/Tag&gt;&lt;Author&gt;Guyot, P; Ades, A E; Ouwens, M J; Welton, N J&lt;/Author&gt;&lt;Year&gt;2012&lt;/Year&gt;&lt;Details&gt;&lt;_accession_num&gt;22297116&lt;/_accession_num&gt;&lt;_author_adr&gt;School of Social and Community Medicine, University of Bristol, Canynge Hall, 39  Whatley Road, Bristol BS8 2PS UK. epxpg@bristol.ac.uk&lt;/_author_adr&gt;&lt;_collection_scope&gt;SCIE&lt;/_collection_scope&gt;&lt;_created&gt;64739507&lt;/_created&gt;&lt;_date&gt;2012-02-01&lt;/_date&gt;&lt;_date_display&gt;2012 Feb 1&lt;/_date_display&gt;&lt;_db_updated&gt;PubMed&lt;/_db_updated&gt;&lt;_doi&gt;10.1186/1471-2288-12-9&lt;/_doi&gt;&lt;_impact_factor&gt;   4.612&lt;/_impact_factor&gt;&lt;_isbn&gt;1471-2288 (Electronic); 1471-2288 (Linking)&lt;/_isbn&gt;&lt;_journal&gt;BMC Med Res Methodol&lt;/_journal&gt;&lt;_language&gt;eng&lt;/_language&gt;&lt;_modified&gt;64740725&lt;/_modified&gt;&lt;_pages&gt;9&lt;/_pages&gt;&lt;_social_category&gt;医学(3)&lt;/_social_category&gt;&lt;_subject_headings&gt;*Algorithms; *Data Interpretation, Statistical; Humans; *Kaplan-Meier Estimate; Meta-Analysis as Topic; Observer Variation; Proportional Hazards Models; Randomized Controlled Trials as Topic; Reproducibility of Results; Research Design/*standards; Survival Analysis&lt;/_subject_headings&gt;&lt;_tertiary_title&gt;BMC medical research methodology&lt;/_tertiary_title&gt;&lt;_type_work&gt;Journal Article; Research Support, Non-U.S. Gov&amp;apos;t&lt;/_type_work&gt;&lt;_url&gt;http://www.ncbi.nlm.nih.gov/entrez/query.fcgi?cmd=Retrieve&amp;amp;db=pubmed&amp;amp;dopt=Abstract&amp;amp;list_uids=22297116&amp;amp;query_hl=1&lt;/_url&gt;&lt;_volume&gt;12&lt;/_volume&gt;&lt;/Details&gt;&lt;Extra&gt;&lt;DBUID&gt;{F96A950B-833F-4880-A151-76DA2D6A2879}&lt;/DBUID&gt;&lt;/Extra&gt;&lt;/Item&gt;&lt;/References&gt;&lt;/Group&gt;&lt;/Citation&gt;_x000a_"/>
    <w:docVar w:name="NE.Ref{5EBAC5D9-47BA-4A61-889D-C3F5B2B876DC}" w:val=" ADDIN NE.Ref.{5EBAC5D9-47BA-4A61-889D-C3F5B2B876DC}&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Citation&gt;_x000a_"/>
    <w:docVar w:name="NE.Ref{5EDB3518-632A-4D28-8860-E62B2634723E}" w:val=" ADDIN NE.Ref.{5EDB3518-632A-4D28-8860-E62B2634723E}&lt;Citation&gt;&lt;Group&gt;&lt;References&gt;&lt;Item&gt;&lt;ID&gt;4877&lt;/ID&gt;&lt;UID&gt;{8E62B5FD-AE04-4FF3-B6ED-16E698839B71}&lt;/UID&gt;&lt;Title&gt;Colorectal Cancer Immunotherapy: Options and Strategies&lt;/Title&gt;&lt;Template&gt;Journal Article&lt;/Template&gt;&lt;Star&gt;0&lt;/Star&gt;&lt;Tag&gt;0&lt;/Tag&gt;&lt;Author&gt;Johdi, N A; Sukor, N F&lt;/Author&gt;&lt;Year&gt;2020&lt;/Year&gt;&lt;Details&gt;&lt;_accession_num&gt;33042104&lt;/_accession_num&gt;&lt;_author_adr&gt;UKM Medical Molecular Biology Institute (UMBI), National University of Malaysia,  Bangi, Malaysia.; UKM Medical Molecular Biology Institute (UMBI), National University of Malaysia,  Bangi, Malaysia.&lt;/_author_adr&gt;&lt;_date_display&gt;2020&lt;/_date_display&gt;&lt;_date&gt;2020-01-20&lt;/_date&gt;&lt;_doi&gt;10.3389/fimmu.2020.01624&lt;/_doi&gt;&lt;_isbn&gt;1664-3224 (Electronic); 1664-3224 (Linking)&lt;/_isbn&gt;&lt;_journal&gt;Front Immunol&lt;/_journal&gt;&lt;_keywords&gt;FDA; T-cells; antibodies; colorectal carcinoma; cytokines; immunotherapy; treatments&lt;/_keywords&gt;&lt;_language&gt;eng&lt;/_language&gt;&lt;_ori_publication&gt;Copyright © 2020 Johdi and Sukor.&lt;/_ori_publication&gt;&lt;_pages&gt;1624&lt;/_pages&gt;&lt;_subject_headings&gt;Animals; Antineoplastic Agents, Immunological/pharmacology/therapeutic use; Biomarkers, Tumor; Cancer Vaccines; Colorectal Neoplasms/*immunology/pathology/*therapy; Combined Modality Therapy; *Disease Management; Humans; Immune Checkpoint Inhibitors/pharmacology/therapeutic use; *Immunotherapy/adverse effects/methods; Immunotherapy, Adoptive; Molecular Targeted Therapy/adverse effects/methods&lt;/_subject_headings&gt;&lt;_tertiary_title&gt;Frontiers in immunology&lt;/_tertiary_title&gt;&lt;_type_work&gt;Journal Article; Research Support, Non-U.S. Gov&amp;apos;t; Review&lt;/_type_work&gt;&lt;_url&gt;http://www.ncbi.nlm.nih.gov/entrez/query.fcgi?cmd=Retrieve&amp;amp;db=pubmed&amp;amp;dopt=Abstract&amp;amp;list_uids=33042104&amp;amp;query_hl=1&lt;/_url&gt;&lt;_volume&gt;11&lt;/_volume&gt;&lt;_created&gt;65089356&lt;/_created&gt;&lt;_modified&gt;65089356&lt;/_modified&gt;&lt;_impact_factor&gt;   8.786&lt;/_impact_factor&gt;&lt;_social_category&gt;医学(2)&lt;/_social_category&gt;&lt;_collection_scope&gt;SCIE&lt;/_collection_scope&gt;&lt;/Details&gt;&lt;Extra&gt;&lt;DBUID&gt;{F96A950B-833F-4880-A151-76DA2D6A2879}&lt;/DBUID&gt;&lt;/Extra&gt;&lt;/Item&gt;&lt;/References&gt;&lt;/Group&gt;&lt;/Citation&gt;_x000a_"/>
    <w:docVar w:name="NE.Ref{600498BC-E8FB-4FF0-A5BA-19C2CD876982}" w:val=" ADDIN NE.Ref.{600498BC-E8FB-4FF0-A5BA-19C2CD876982}&lt;Citation&gt;&lt;Group&gt;&lt;References&gt;&lt;Item&gt;&lt;ID&gt;46219&lt;/ID&gt;&lt;UID&gt;{D4C18B12-DA4F-49FC-B608-94E3F04BE24F}&lt;/UID&gt;&lt;Title&gt;Bayesian one-step IPD network meta-analysis of time-to-event data using  Royston-Parmar models&lt;/Title&gt;&lt;Template&gt;Journal Article&lt;/Template&gt;&lt;Star&gt;0&lt;/Star&gt;&lt;Tag&gt;0&lt;/Tag&gt;&lt;Author&gt;Freeman, S C; Carpenter, J R&lt;/Author&gt;&lt;Year&gt;2017&lt;/Year&gt;&lt;Details&gt;&lt;_accession_num&gt;28742955&lt;/_accession_num&gt;&lt;_author_adr&gt;MRC Clinical Trials Unit at UCL, Aviation House, 125 Kingsway, London, WC2B 6NH,  UK.; Department of Health Sciences, Univeristy of Leicester, University Road,  Leicester, LE1 7RH, UK.; MRC Clinical Trials Unit at UCL, Aviation House, 125 Kingsway, London, WC2B 6NH,  UK.; London School of Hygiene &amp;amp; Tropical Medicine, Keppel Street, London, WC1E 7HT,  UK.&lt;/_author_adr&gt;&lt;_date_display&gt;2017 Dec&lt;/_date_display&gt;&lt;_date&gt;2017-12-01&lt;/_date&gt;&lt;_doi&gt;10.1002/jrsm.1253&lt;/_doi&gt;&lt;_isbn&gt;1759-2887 (Electronic); 1759-2879 (Print); 1759-2879 (Linking)&lt;/_isbn&gt;&lt;_issue&gt;4&lt;/_issue&gt;&lt;_journal&gt;Res Synth Methods&lt;/_journal&gt;&lt;_keywords&gt;IPD; Royston-Parmar; network meta-analysis; time-to-event data&lt;/_keywords&gt;&lt;_language&gt;eng&lt;/_language&gt;&lt;_ori_publication&gt;© 2017 The Authors. Research Synthesis Methods Published by John Wiley &amp;amp; Sons _x000d__x000a_      Ltd.&lt;/_ori_publication&gt;&lt;_pages&gt;451-464&lt;/_pages&gt;&lt;_subject_headings&gt;Algorithms; Bayes Theorem; Female; Humans; Medical Oncology/methods; *Network Meta-Analysis; Proportional Hazards Models; Reproducibility of Results; *Research Design; Time Factors; Uterine Cervical Neoplasms/*drug therapy/*radiotherapy/*surgery&lt;/_subject_headings&gt;&lt;_tertiary_title&gt;Research synthesis methods&lt;/_tertiary_title&gt;&lt;_type_work&gt;Journal Article&lt;/_type_work&gt;&lt;_url&gt;http://www.ncbi.nlm.nih.gov/entrez/query.fcgi?cmd=Retrieve&amp;amp;db=pubmed&amp;amp;dopt=Abstract&amp;amp;list_uids=28742955&amp;amp;query_hl=1&lt;/_url&gt;&lt;_volume&gt;8&lt;/_volume&gt;&lt;_created&gt;64323362&lt;/_created&gt;&lt;_modified&gt;64688891&lt;/_modified&gt;&lt;_impact_factor&gt;   9.308&lt;/_impact_factor&gt;&lt;_collection_scope&gt;SCIE&lt;/_collection_scope&gt;&lt;_accessed&gt;64323364&lt;/_accessed&gt;&lt;_social_category&gt;综合性期刊(2)&lt;/_social_category&gt;&lt;/Details&gt;&lt;Extra&gt;&lt;DBUID&gt;{F96A950B-833F-4880-A151-76DA2D6A2879}&lt;/DBUID&gt;&lt;/Extra&gt;&lt;/Item&gt;&lt;/References&gt;&lt;/Group&gt;&lt;Group&gt;&lt;References&gt;&lt;Item&gt;&lt;ID&gt;46220&lt;/ID&gt;&lt;UID&gt;{E3AAA649-C3D8-40A7-A843-A124978F00D6}&lt;/UID&gt;&lt;Title&gt;Individual patient data meta-analysis of survival data using Poisson regression models&lt;/Title&gt;&lt;Template&gt;Journal Article&lt;/Template&gt;&lt;Star&gt;0&lt;/Star&gt;&lt;Tag&gt;0&lt;/Tag&gt;&lt;Author&gt;Crowther, M J; Riley, R D; Staessen, J A; Wang, J; Gueyffier, F; Lambert, P C&lt;/Author&gt;&lt;Year&gt;2012&lt;/Year&gt;&lt;Details&gt;&lt;_issue&gt;1&lt;/_issue&gt;&lt;_journal&gt;Bmc Medical Research Methodology&lt;/_journal&gt;&lt;_pages&gt;34&lt;/_pages&gt;&lt;_volume&gt;12&lt;/_volume&gt;&lt;_created&gt;64323400&lt;/_created&gt;&lt;_modified&gt;64688891&lt;/_modified&gt;&lt;_impact_factor&gt;   4.612&lt;/_impact_factor&gt;&lt;_collection_scope&gt;SCIE&lt;/_collection_scope&gt;&lt;_accessed&gt;64632525&lt;/_accessed&gt;&lt;_social_category&gt;医学(3)&lt;/_social_category&gt;&lt;/Details&gt;&lt;Extra&gt;&lt;DBUID&gt;{F96A950B-833F-4880-A151-76DA2D6A2879}&lt;/DBUID&gt;&lt;/Extra&gt;&lt;/Item&gt;&lt;/References&gt;&lt;/Group&gt;&lt;/Citation&gt;_x000a_"/>
    <w:docVar w:name="NE.Ref{608617A1-8D67-4B21-8B68-73E8973E10FD}" w:val=" ADDIN NE.Ref.{608617A1-8D67-4B21-8B68-73E8973E10FD}&lt;Citation&gt;&lt;Group&gt;&lt;References&gt;&lt;Item&gt;&lt;ID&gt;4710&lt;/ID&gt;&lt;UID&gt;{791BC691-6ECB-4723-8201-CC71D9ACC1A6}&lt;/UID&gt;&lt;Title&gt;Quality of Life Analysis in Patients With RAS Wild-Type Metastatic Colorectal  Cancer Treated With First-Line Cetuximab Plus Chemotherapy&lt;/Title&gt;&lt;Template&gt;Journal Article&lt;/Template&gt;&lt;Star&gt;0&lt;/Star&gt;&lt;Tag&gt;0&lt;/Tag&gt;&lt;Author&gt;Yamaguchi, K; Ando, M; Ooki, A; Beier, F; Guenther, S; von Hohnhorst, P; Van Cutsem, E&lt;/Author&gt;&lt;Year&gt;2017&lt;/Year&gt;&lt;Details&gt;&lt;_accession_num&gt;28081962&lt;/_accession_num&gt;&lt;_author_adr&gt;Department of Gastroenterological Chemotherapy, Cancer Institute Hospital of  Japanese Foundation for Cancer Research, Tokyo, Japan. Electronic address:  kensei.yamaguchi@jfcr.or.jp.; Center for Advanced Medicine and Clinical Research, Nagoya University Graduate  School of Medicine, Aichi, Japan.; Department of Gastroenterology, Saitama Cancer Center Hospital, Saitama, Japan.; Merck KGaA, Darmstadt, Germany.; Merck KGaA, Darmstadt, Germany.; Merck KGaA, Darmstadt, Germany.; Digestive Oncology, University Hospitals Leuven and University of Leuven, Leuven,  Belgium.&lt;/_author_adr&gt;&lt;_date_display&gt;2017 Jun&lt;/_date_display&gt;&lt;_date&gt;2017-06-01&lt;/_date&gt;&lt;_doi&gt;10.1016/j.clcc.2016.07.017&lt;/_doi&gt;&lt;_isbn&gt;1938-0674 (Electronic); 1533-0028 (Linking)&lt;/_isbn&gt;&lt;_issue&gt;2&lt;/_issue&gt;&lt;_journal&gt;Clin Colorectal Cancer&lt;/_journal&gt;&lt;_keywords&gt;CRYSTAL; FOLFIRI; Global health status (GHS); QoL; mCRC&lt;/_keywords&gt;&lt;_language&gt;eng&lt;/_language&gt;&lt;_ori_publication&gt;Copyright © 2016 The Authors. Published by Elsevier Inc. All rights reserved.&lt;/_ori_publication&gt;&lt;_pages&gt;e29-e37&lt;/_pages&gt;&lt;_subject_headings&gt;Adult; Aged; Aged, 80 and over; Antineoplastic Combined Chemotherapy Protocols/*administration &amp;amp; dosage; Camptothecin/administration &amp;amp; dosage/*analogs &amp;amp; derivatives; Cetuximab/administration &amp;amp; dosage; Colorectal Neoplasms/*drug therapy/genetics/pathology; Disease-Free Survival; Female; Fluorouracil/administration &amp;amp; dosage; Humans; Leucovorin/administration &amp;amp; dosage; Male; Middle Aged; Neoplasm Metastasis; Proto-Oncogene Proteins p21(ras)/*genetics; *Quality of Life; Retrospective Studies; Survival Rate; Young Adult; ras Proteins/genetics&lt;/_subject_headings&gt;&lt;_tertiary_title&gt;Clinical colorectal cancer&lt;/_tertiary_title&gt;&lt;_type_work&gt;Journal Article; Research Support, Non-U.S. Gov&amp;apos;t&lt;/_type_work&gt;&lt;_url&gt;http://www.ncbi.nlm.nih.gov/entrez/query.fcgi?cmd=Retrieve&amp;amp;db=pubmed&amp;amp;dopt=Abstract&amp;amp;list_uids=28081962&amp;amp;query_hl=1&lt;/_url&gt;&lt;_volume&gt;16&lt;/_volume&gt;&lt;_created&gt;65020956&lt;/_created&gt;&lt;_modified&gt;65021242&lt;/_modified&gt;&lt;_impact_factor&gt;   4.035&lt;/_impact_factor&gt;&lt;_social_category&gt;医学(2)&lt;/_social_category&gt;&lt;_collection_scope&gt;SCIE&lt;/_collection_scope&gt;&lt;_accessed&gt;65021241&lt;/_accessed&gt;&lt;/Details&gt;&lt;Extra&gt;&lt;DBUID&gt;{F96A950B-833F-4880-A151-76DA2D6A2879}&lt;/DBUID&gt;&lt;/Extra&gt;&lt;/Item&gt;&lt;/References&gt;&lt;/Group&gt;&lt;/Citation&gt;_x000a_"/>
    <w:docVar w:name="NE.Ref{60E05603-1B78-46A4-9A66-A51CEE3E5DB1}" w:val=" ADDIN NE.Ref.{60E05603-1B78-46A4-9A66-A51CEE3E5DB1}&lt;Citation&gt;&lt;Group&gt;&lt;References&gt;&lt;Item&gt;&lt;ID&gt;3014&lt;/ID&gt;&lt;UID&gt;{B953E457-AB58-4D9C-8873-31B106CEB4E0}&lt;/UID&gt;&lt;Title&gt;Alectinib versus chemotherapy in crizotinib-pretreated anaplastic lymphoma kinase (ALK)-positive non-small-cell lung cancer: results from the phase III ALUR study&lt;/Title&gt;&lt;Template&gt;Journal Article&lt;/Template&gt;&lt;Star&gt;1&lt;/Star&gt;&lt;Tag&gt;0&lt;/Tag&gt;&lt;Author&gt;Novello, S; Mazieres, J; Oh, I J; de Castro, J; Migliorino, M R; Helland, A; Dziadziuszko, R; Griesinger, F; Kotb, A; Zeaiter, A; Cardona, A; Balas, B; Johannsdottir, H K; Das-Gupta, A; Wolf, J&lt;/Author&gt;&lt;Year&gt;2018&lt;/Year&gt;&lt;Details&gt;&lt;_accessed&gt;64631487&lt;/_accessed&gt;&lt;_accession_num&gt;29668860&lt;/_accession_num&gt;&lt;_author_adr&gt;Department of Oncology, University of Turin, Turin, Italy.; Department of Pneumology, Toulouse University Hospital, Paul Sabatier University, Toulouse, France.; Department of Internal Medicine, Chonnam National University Hwasun Hospital, Hwasun-gun Jeollanam-do, Republic of Korea.; Department of Translational Oncology, La Paz University Hospital, Madrid, Spain.; Azienda Ospedaliera San Camillo Forlanini Hospital, Rome, Italy.; Department of Cancer Genetics and Department of Oncology, Institute for Cancer Research, Oslo University Hospital, Oslo, Norway.; Department of Oncology and Radiotherapy, Medical University of Gdansk, Gdansk, Poland.; Department of Hematology and Oncology, Pius Hospital, Medical Campus University of Oldenburg, Oldenburg, Germany.; F. Hoffmann-La Roche Ltd., Basel, Switzerland.; F. Hoffmann-La Roche Ltd., Basel, Switzerland.; F. Hoffmann-La Roche Ltd., Basel, Switzerland.; F. Hoffmann-La Roche Ltd., Basel, Switzerland.; F. Hoffmann-La Roche Ltd., Basel, Switzerland.; F. Hoffmann-La Roche Ltd., Basel, Switzerland.; Department I of Internal Medicine, Center for Integrated Oncology, University Hospital Cologne, Cologne, Germany. Electronic address: juergen.wolf@uk-koeln.de.&lt;/_author_adr&gt;&lt;_collection_scope&gt;SCIE&lt;/_collection_scope&gt;&lt;_created&gt;64630952&lt;/_created&gt;&lt;_date&gt;2018-06-01&lt;/_date&gt;&lt;_date_display&gt;2018 Jun 1&lt;/_date_display&gt;&lt;_db_updated&gt;PubMed&lt;/_db_updated&gt;&lt;_doi&gt;10.1093/annonc/mdy121&lt;/_doi&gt;&lt;_impact_factor&gt;  51.769&lt;/_impact_factor&gt;&lt;_isbn&gt;1569-8041 (Electronic); 0923-7534 (Linking)&lt;/_isbn&gt;&lt;_issue&gt;6&lt;/_issue&gt;&lt;_journal&gt;Ann Oncol&lt;/_journal&gt;&lt;_language&gt;eng&lt;/_language&gt;&lt;_modified&gt;64740730&lt;/_modified&gt;&lt;_pages&gt;1409-1416&lt;/_pages&gt;&lt;_social_category&gt;医学(1)&lt;/_social_category&gt;&lt;_subject_headings&gt;Adenocarcinoma/*drug therapy/secondary; Adult; Aged; Aged, 80 and over; Antineoplastic Combined Chemotherapy Protocols/*therapeutic use; Carbazoles/administration &amp;amp; dosage; Carcinoma, Non-Small-Cell Lung/*drug therapy/pathology; Central Nervous System Neoplasms/*drug therapy/secondary; Crizotinib/administration &amp;amp; dosage; Drug Resistance, Neoplasm/*drug effects; Female; Follow-Up Studies; Humans; Lung Neoplasms/*drug therapy/pathology; Lymphatic Metastasis; Male; Middle Aged; Pemetrexed/administration &amp;amp; dosage; Piperidines/administration &amp;amp; dosage; Prognosis; *Salvage Therapy; Survival Rate&lt;/_subject_headings&gt;&lt;_tertiary_title&gt;Annals of oncology : official journal of the European Society for Medical_x000d__x000a_      Oncology&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668860&amp;amp;query_hl=1 _x000d__x000a_https://www.ncbi.nlm.nih.gov/pmc/articles/PMC6005013/pdf/mdy121.pdf _x000d__x000a_&lt;/_url&gt;&lt;_volume&gt;29&lt;/_volume&gt;&lt;/Details&gt;&lt;Extra&gt;&lt;DBUID&gt;{F96A950B-833F-4880-A151-76DA2D6A2879}&lt;/DBUID&gt;&lt;/Extra&gt;&lt;/Item&gt;&lt;/References&gt;&lt;/Group&gt;&lt;Group&gt;&lt;References&gt;&lt;Item&gt;&lt;ID&gt;2997&lt;/ID&gt;&lt;UID&gt;{F7276F66-05F3-4615-919F-AC3936FC39E7}&lt;/UID&gt;&lt;Title&gt;Alectinib versus Crizotinib in Untreated ALK-Positive Non-Small-Cell Lung Cancer&lt;/Title&gt;&lt;Template&gt;Journal Article&lt;/Template&gt;&lt;Star&gt;0&lt;/Star&gt;&lt;Tag&gt;0&lt;/Tag&gt;&lt;Author&gt;Peters, S; Camidge, D R; Shaw, A T; Gadgeel, S; Ahn, J S; Kim, D W; Ou, S I; Perol, M; Dziadziuszko, R; Rosell, R; Zeaiter, A; Mitry, E; Golding, S; Balas, B; Noe, J; Morcos, P N; Mok, T&lt;/Author&gt;&lt;Year&gt;2017&lt;/Year&gt;&lt;Details&gt;&lt;_accessed&gt;64632453&lt;/_accessed&gt;&lt;_accession_num&gt;28586279&lt;/_accession_num&gt;&lt;_collection_scope&gt;SCIE&lt;/_collection_scope&gt;&lt;_created&gt;64630944&lt;/_created&gt;&lt;_date&gt;2017-08-31&lt;/_date&gt;&lt;_date_display&gt;2017 Aug 31&lt;/_date_display&gt;&lt;_db_updated&gt;PubMed&lt;/_db_updated&gt;&lt;_doi&gt;10.1056/NEJMoa1704795&lt;/_doi&gt;&lt;_impact_factor&gt; 176.079&lt;/_impact_factor&gt;&lt;_isbn&gt;1533-4406 (Electronic); 0028-4793 (Linking)&lt;/_isbn&gt;&lt;_issue&gt;9&lt;/_issue&gt;&lt;_journal&gt;N Engl J Med&lt;/_journal&gt;&lt;_language&gt;eng&lt;/_language&gt;&lt;_modified&gt;64740730&lt;/_modified&gt;&lt;_pages&gt;829-838&lt;/_pages&gt;&lt;_social_category&gt;医学(1)&lt;/_social_category&gt;&lt;_subject_headings&gt;Adult; Aged, 80 and over; Anaplastic Lymphoma Kinase; Animals; Antineoplastic Agents/adverse effects/therapeutic use; Carbazoles/adverse effects/*therapeutic use; Carcinoma, Non-Small-Cell Lung/*drug therapy/mortality; Central Nervous System Neoplasms/drug therapy/*secondary; Crizotinib; Disease-Free Survival; Female; Follow-Up Studies; Humans; Intention to Treat Analysis; Kaplan-Meier Estimate; Lung Neoplasms/*drug therapy/mortality; Male; Middle Aged; Piperidines/adverse effects/*therapeutic use; Protein Kinase Inhibitors/adverse effects/*therapeutic use; Pyrazoles/adverse effects/*therapeutic use; Pyridines/adverse effects/*therapeutic use; Receptor Protein-Tyrosine Kinases/analysis/antagonists &amp;amp; inhibitors; Young Adult&lt;/_subject_headings&gt;&lt;_tertiary_title&gt;The New England journal of medicine&lt;/_tertiary_title&gt;&lt;_type_work&gt;Clinical Trial, Phase III; Comparative Study; Journal Article; Multicenter Study; Randomized Controlled Trial&lt;/_type_work&gt;&lt;_url&gt;http://www.ncbi.nlm.nih.gov/entrez/query.fcgi?cmd=Retrieve&amp;amp;db=pubmed&amp;amp;dopt=Abstract&amp;amp;list_uids=28586279&amp;amp;query_hl=1&lt;/_url&gt;&lt;_volume&gt;377&lt;/_volume&gt;&lt;/Details&gt;&lt;Extra&gt;&lt;DBUID&gt;{F96A950B-833F-4880-A151-76DA2D6A2879}&lt;/DBUID&gt;&lt;/Extra&gt;&lt;/Item&gt;&lt;/References&gt;&lt;/Group&gt;&lt;Group&gt;&lt;References&gt;&lt;Item&gt;&lt;ID&gt;3011&lt;/ID&gt;&lt;UID&gt;{0F926A27-416F-493B-ABFF-43BCA735BF6B}&lt;/UID&gt;&lt;Title&gt;Alectinib versus crizotinib in untreated Asian patients with anaplastic lymphoma  kinase-positive non-small-cell lung cancer (ALESIA): a randomised phase 3 study&lt;/Title&gt;&lt;Template&gt;Journal Article&lt;/Template&gt;&lt;Star&gt;0&lt;/Star&gt;&lt;Tag&gt;0&lt;/Tag&gt;&lt;Author&gt;Zhou, C; Kim, S W; Reungwetwattana, T; Zhou, J; Zhang, Y; He, J; Yang, J J; Cheng, Y; Lee, S H; Bu, L; Xu, T; Yang, L; Wang, C; Liu, T; Morcos, P N; Lu, Y; Zhang, L&lt;/Author&gt;&lt;Year&gt;2019&lt;/Year&gt;&lt;Details&gt;&lt;_accessed&gt;64632481&lt;/_accessed&gt;&lt;_accession_num&gt;30981696&lt;/_accession_num&gt;&lt;_author_adr&gt;Shanghai Pulmonary Hospital, Tongji University School of Medicine, Shanghai, China.; Asan Medical Center, Seoul, South Korea.; Faculty of Medicine Ramathibodi Hospital, Mahidol University, Bangkok, Thailand.; The First Affiliated Hospital of College of Medicine, Zhejiang University, Hangzhou, China.; Zhejiang Cancer Hospital, Hangzhou, China.; The First Affiliated Hospital of College of Medicine, Zhejiang University, Hangzhou, China.; Guangdong General Hospital, Guangzhou, China.; The First Affiliated Hospital of Guangzhou Medical University, Guangzhou, China;  Jilin Cancer Hospital, Changchun, China.; Samsung Medical Center, Sungkyunkwan University School of Medicine, Seoul, South  Korea.; Roche Pharma Development, Shanghai, China.; Roche Pharma Development, Shanghai, China.; Roche Pharma Development, Shanghai, China.; Roche Pharma Development, Shanghai, China.; F Hoffmann-La Roche, Basel, Switzerland.; Roche Innovation Center, New York, NY, USA.; West China Hospital, Sichuan University, Chengdu, China.; Sun Yat-sen University Cancer Center, State Key Laboratory of Oncology in South China, Collaborative Innovation Center for Cancer Medicine, Guangzhou, China. Electronic address: ChinazhangLi6@mail.sysu.edu.cn.&lt;/_author_adr&gt;&lt;_collection_scope&gt;SCIE&lt;/_collection_scope&gt;&lt;_created&gt;64630941&lt;/_created&gt;&lt;_date&gt;2019-05-01&lt;/_date&gt;&lt;_date_display&gt;2019 May&lt;/_date_display&gt;&lt;_db_updated&gt;PubMed&lt;/_db_updated&gt;&lt;_doi&gt;10.1016/S2213-2600(19)30053-0&lt;/_doi&gt;&lt;_impact_factor&gt; 102.642&lt;/_impact_factor&gt;&lt;_isbn&gt;2213-2619 (Electronic); 2213-2600 (Linking)&lt;/_isbn&gt;&lt;_issue&gt;5&lt;/_issue&gt;&lt;_journal&gt;Lancet Respir Med&lt;/_journal&gt;&lt;_language&gt;eng&lt;/_language&gt;&lt;_modified&gt;64740730&lt;/_modified&gt;&lt;_ori_publication&gt;Copyright (c) 2019 Elsevier Ltd. All rights reserved.&lt;/_ori_publication&gt;&lt;_pages&gt;437-446&lt;/_pages&gt;&lt;_social_category&gt;医学(1)&lt;/_social_category&gt;&lt;_subject_headings&gt;Adult; *Anaplastic Lymphoma Kinase; Carbazoles/*therapeutic use; Carcinoma, Non-Small-Cell Lung/*drug therapy; China; Crizotinib/*therapeutic use; Female; Humans; Lung Neoplasms/*drug therapy; Male; Middle Aged; Piperidines/*therapeutic use; Protein Kinase Inhibitors/*therapeutic use; Republic of Korea; Thailand; Treatment Outcome&lt;/_subject_headings&gt;&lt;_tertiary_title&gt;The Lancet. Respiratory medicine&lt;/_tertiary_title&gt;&lt;_type_work&gt;Clinical Trial, Phase III; Comparative Study; Journal Article; Randomized Controlled Trial; Research Support, Non-U.S. Gov&amp;apos;t&lt;/_type_work&gt;&lt;_url&gt;http://www.ncbi.nlm.nih.gov/entrez/query.fcgi?cmd=Retrieve&amp;amp;db=pubmed&amp;amp;dopt=Abstract&amp;amp;list_uids=30981696&amp;amp;query_hl=1&lt;/_url&gt;&lt;_volume&gt;7&lt;/_volume&gt;&lt;/Details&gt;&lt;Extra&gt;&lt;DBUID&gt;{F96A950B-833F-4880-A151-76DA2D6A2879}&lt;/DBUID&gt;&lt;/Extra&gt;&lt;/Item&gt;&lt;/References&gt;&lt;/Group&gt;&lt;/Citation&gt;_x000a_"/>
    <w:docVar w:name="NE.Ref{6161693A-E6D3-41FB-8888-C4051CA3A9B9}" w:val=" ADDIN NE.Ref.{6161693A-E6D3-41FB-8888-C4051CA3A9B9}&lt;Citation&gt;&lt;Group&gt;&lt;References&gt;&lt;Item&gt;&lt;ID&gt;3009&lt;/ID&gt;&lt;UID&gt;{AB9961F9-B851-4CA9-A9FA-4B3C72889292}&lt;/UID&gt;&lt;Title&gt;Alectinib versus crizotinib in patients with ALK-positive non-small-cell lung cancer (J-ALEX): an open-label, randomised phase 3 trial&lt;/Title&gt;&lt;Template&gt;Journal Article&lt;/Template&gt;&lt;Star&gt;0&lt;/Star&gt;&lt;Tag&gt;0&lt;/Tag&gt;&lt;Author&gt;Hida, T; Nokihara, H; Kondo, M; Kim, Y H; Azuma, K; Seto, T; Takiguchi, Y; Nishio, M; Yoshioka, H; Imamura, F; Hotta, K; Watanabe, S; Goto, K; Satouchi, M; Kozuki, T; Shukuya, T; Nakagawa, K; Mitsudomi, T; Yamamoto, N; Asakawa, T; Asabe, R; Tanaka, T; Tamura, T&lt;/Author&gt;&lt;Year&gt;2017&lt;/Year&gt;&lt;Details&gt;&lt;_accessed&gt;64631491&lt;/_accessed&gt;&lt;_accession_num&gt;28501140&lt;/_accession_num&gt;&lt;_author_adr&gt;Department of Thoracic Oncology, Aichi Cancer Center, Nagoya, Japan.; Department of Thoracic Oncology, National Cancer Center Hospital, Tokyo, Japan.; Department of Respiratory Medicine, Nagoya University Graduate School of Medicine, Nagoya, Japan.; Department of Respiratory Medicine, Kyoto University, Kyoto, Japan.; Institution Division of Respirology, Neurology, and Rheumatology, Department of Internal Medicine, Kurume University School of Medicine, Kurume, Japan.; Department of Thoracic Oncology, National Kyushu Cancer Center, Fukuoka, Japan.; Department of Medical Oncology, Graduate School of Medicine, Chiba University, Chiba, Japan.; Department of Thoracic Medical Oncology, The Cancer Institute Hospital of Japanese Foundation for Cancer Research, Tokyo, Japan.; Department of Respiratory Medicine, Kurashiki Central Hospital, Kurashiki, Japan.; Department of Thoracic Oncology, Osaka Medical Center for Cancer and Cardiovascular Diseases, Osaka, Japan.; Center for Innovative Clinical Medicine, Okayama University Hospital, Okayama, Japan.; Department of Respiratory Medicine and Infectious Diseases, Niigata University Graduate School of Medical and Dental Sciences, Niigata, Japan.; Department of Thoracic Oncology, National Cancer Center Hospital East, Kashiwa, Japan.; Department of Thoracic Oncology, Hyogo Cancer Center, Akashi, Japan.; Department of Thoracic Oncology and Medicine, Shikoku Cancer Center, Matsuyama, Japan.; Department of Respiratory Medicine, Juntendo University, Tokyo, Japan.; Department of Medical Oncology, Kindai University Faculty of Medicine, Osaka-Sayama, Japan.; Division of Thoracic Surgery, Department of Surgery, Kindai University Faculty of Medicine, Osaka-Sayama, Japan.; Third Department of Internal Medicine, Wakayama Medical University, Wakayama, Japan.; Clinical Science and Strategy Department, Chugai Pharmaceutical, Tokyo, Japan.; Clinical Study Management Department, Chugai Pharmaceutical, Tokyo, Japan.; Clinical Science and Strategy Department, Chugai Pharmaceutical, Tokyo, Japan.; Thoracic Center, St. Luke&amp;apos;s International Hospital, Tokyo, Japan. Electronic address: tamuratomohide@gmail.com.&lt;/_author_adr&gt;&lt;_collection_scope&gt;SCIE&lt;/_collection_scope&gt;&lt;_created&gt;64630955&lt;/_created&gt;&lt;_date&gt;2017-07-01&lt;/_date&gt;&lt;_date_display&gt;2017 Jul 1&lt;/_date_display&gt;&lt;_db_updated&gt;PubMed&lt;/_db_updated&gt;&lt;_doi&gt;10.1016/S0140-6736(17)30565-2&lt;/_doi&gt;&lt;_impact_factor&gt; 202.731&lt;/_impact_factor&gt;&lt;_isbn&gt;1474-547X (Electronic); 0140-6736 (Linking)&lt;/_isbn&gt;&lt;_issue&gt;10089&lt;/_issue&gt;&lt;_journal&gt;Lancet&lt;/_journal&gt;&lt;_language&gt;eng&lt;/_language&gt;&lt;_modified&gt;64740730&lt;/_modified&gt;&lt;_ori_publication&gt;Copyright (c) 2017 Elsevier Ltd. All rights reserved.&lt;/_ori_publication&gt;&lt;_pages&gt;29-39&lt;/_pages&gt;&lt;_social_category&gt;医学(1)&lt;/_social_category&gt;&lt;_subject_headings&gt;Adult; Aged; Aged, 80 and over; Anaplastic Lymphoma Kinase; Antineoplastic Agents/adverse effects/blood/*therapeutic use; Brain Neoplasms/secondary; Carbazoles/adverse effects/blood/*therapeutic use; Carcinoma, Non-Small-Cell Lung/*drug therapy/enzymology/pathology/secondary; Crizotinib; Female; Humans; Kaplan-Meier Estimate; Lung Neoplasms/*drug therapy/enzymology/pathology; Male; Middle Aged; Neoplasm Grading; Piperidines/adverse effects/blood/*therapeutic use; Protein Kinase Inhibitors/adverse effects/blood/therapeutic use; Pyrazoles/adverse effects/blood/*therapeutic use; Pyridines/adverse effects/blood/*therapeutic use; Receptor Protein-Tyrosine Kinases/antagonists &amp;amp; inhibitors/*metabolism; Single-Blind Method&lt;/_subject_headings&gt;&lt;_tertiary_title&gt;Lancet (London, England)&lt;/_tertiary_title&gt;&lt;_type_work&gt;Clinical Trial, Phase III; Comparative Study; Journal Article; Multicenter Study; Randomized Controlled Trial&lt;/_type_work&gt;&lt;_url&gt;http://www.ncbi.nlm.nih.gov/entrez/query.fcgi?cmd=Retrieve&amp;amp;db=pubmed&amp;amp;dopt=Abstract&amp;amp;list_uids=28501140&amp;amp;query_hl=1&lt;/_url&gt;&lt;_volume&gt;390&lt;/_volume&gt;&lt;/Details&gt;&lt;Extra&gt;&lt;DBUID&gt;{F96A950B-833F-4880-A151-76DA2D6A2879}&lt;/DBUID&gt;&lt;/Extra&gt;&lt;/Item&gt;&lt;/References&gt;&lt;/Group&gt;&lt;Group&gt;&lt;References&gt;&lt;Item&gt;&lt;ID&gt;3010&lt;/ID&gt;&lt;UID&gt;{A98A3F42-69EA-48F9-8B73-3C13B1B99E29}&lt;/UID&gt;&lt;Title&gt;Final overall survival analysis from the phase III J-ALEX study of alectinib versus crizotinib in ALK inhibitor-naive Japanese patients with ALK-positive non-small-cell lung cancer&lt;/Title&gt;&lt;Template&gt;Journal Article&lt;/Template&gt;&lt;Star&gt;0&lt;/Star&gt;&lt;Tag&gt;5&lt;/Tag&gt;&lt;Author&gt;Hotta, K; Hida, T; Nokihara, H; Morise, M; Kim, Y H; Azuma, K; Seto, T; Takiguchi, Y; Nishio, M; Yoshioka, H; Kumagai, T; Watanabe, S; Goto, K; Satouchi, M; Kozuki, T; Shukuya, T; Nakagawa, K; Mitsudomi, T; Yamamoto, N; Asakawa, T; Yoshimoto, T; Takata, S; Tamura, T&lt;/Author&gt;&lt;Year&gt;2022&lt;/Year&gt;&lt;Details&gt;&lt;_accessed&gt;64632450&lt;/_accessed&gt;&lt;_accession_num&gt;35843080&lt;/_accession_num&gt;&lt;_author_adr&gt;Center for Innovative Clinical Medicine, Okayama University Hospital, Okayama. Electronic address: khotta@okayama-u.ac.jp.; Department of Thoracic Oncology, Aichi Cancer Center, Nagoya, Aichi.; Department of Thoracic Oncology, National Cancer Center Hospital, Tokyo.; Department of Respiratory Medicine, Nagoya University Graduate School of Medicine, Nagoya.; Department of Respiratory Medicine, Kyoto University, Kyoto.; Division of Respirology, Neurology, and Rheumatology, Department of Internal Medicine, Kurume University School of Medicine, Kurume, Fukuoka.; Department of Thoracic Oncology, National Hospital Organization Kyusyu Cancer Center, Fukuoka.; Department of Medical Oncology, Graduate School of Medicine, Chiba University, Chiba.; Department of Thoracic Medical Oncology, The Cancer Institute Hospital of Japanese Foundation for Cancer Research, Tokyo.; Department of Thoracic Oncology, Kansai Medical University Hospital, Hirakata, Osaka.; Department of Thoracic Oncology, Osaka International Cancer Institute, Osaka.; Department of Respiratory Medicine and Infectious Diseases, Niigata University Graduate School of Medical and Dental Sciences, Niigata.; Department of Thoracic Oncology, National Cancer Center Hospital East, Kashiwa, Chiba.; Department of Thoracic Oncology, Hyogo Cancer Center, Akashi, Hyogo.; Department of Thoracic Oncology and Medicine, National Hospital Organization Shikoku Cancer Center, Matsuyama, Ehime.; Department of Respiratory Medicine, Juntendo University, Tokyo.; Department of Medical Oncology, Kindai University Faculty of Medicine, Osaka-Sayama, Osaka.; Division of Thoracic Surgery, Department of Surgery, Kindai University Faculty of Medicine, Osaka-Sayama, Osaka.; Third Department of Internal Medicine, Wakayama Medical University, Wakayama.; Biometrics Department, Chugai Pharmaceuticals Co. Ltd, Tokyo.; Biometrics Department, Chugai Pharmaceuticals Co. Ltd, Tokyo.; Oncology Clinical Development Department, Chugai Pharmaceuticals Co. Ltd, Tokyo.; Thoracic Center, St. Luke&amp;apos;s International Hospital, Tokyo, Japan.&lt;/_author_adr&gt;&lt;_collection_scope&gt;SCIE&lt;/_collection_scope&gt;&lt;_created&gt;64630957&lt;/_created&gt;&lt;_date&gt;2022-08-01&lt;/_date&gt;&lt;_date_display&gt;2022 Aug&lt;/_date_display&gt;&lt;_db_updated&gt;PubMed&lt;/_db_updated&gt;&lt;_doi&gt;10.1016/j.esmoop.2022.100527&lt;/_doi&gt;&lt;_impact_factor&gt;   6.883&lt;/_impact_factor&gt;&lt;_isbn&gt;2059-7029 (Electronic); 2059-7029 (Linking)&lt;/_isbn&gt;&lt;_issue&gt;4&lt;/_issue&gt;&lt;_journal&gt;ESMO Open&lt;/_journal&gt;&lt;_keywords&gt;ALK-positive NSCLC; J-ALEX; alectinib; crizotinib; overall survival&lt;/_keywords&gt;&lt;_language&gt;eng&lt;/_language&gt;&lt;_modified&gt;64740730&lt;/_modified&gt;&lt;_ori_publication&gt;Copyright (c) 2022 The Authors. Published by Elsevier Ltd.. All rights reserved.&lt;/_ori_publication&gt;&lt;_pages&gt;100527&lt;/_pages&gt;&lt;_social_category&gt;医学(3)&lt;/_social_category&gt;&lt;_subject_headings&gt;Carbazoles; *Carcinoma, Non-Small-Cell Lung; Crizotinib; Humans; Japan; *Lung Neoplasms; Piperidines; Protein Kinase Inhibitors; Survival Analysis&lt;/_subject_headings&gt;&lt;_tertiary_title&gt;ESMO open&lt;/_tertiary_title&gt;&lt;_type_work&gt;Journal Article; Randomized Controlled Trial; Research Support, Non-U.S. Gov&amp;apos;t&lt;/_type_work&gt;&lt;_url&gt;http://www.ncbi.nlm.nih.gov/entrez/query.fcgi?cmd=Retrieve&amp;amp;db=pubmed&amp;amp;dopt=Abstract&amp;amp;list_uids=35843080&amp;amp;query_hl=1 _x000d__x000a_https://www.ncbi.nlm.nih.gov/pmc/articles/PMC9434408/pdf/main.pdf _x000d__x000a_&lt;/_url&gt;&lt;_volume&gt;7&lt;/_volume&gt;&lt;/Details&gt;&lt;Extra&gt;&lt;DBUID&gt;{F96A950B-833F-4880-A151-76DA2D6A2879}&lt;/DBUID&gt;&lt;/Extra&gt;&lt;/Item&gt;&lt;/References&gt;&lt;/Group&gt;&lt;/Citation&gt;_x000a_"/>
    <w:docVar w:name="NE.Ref{622DEC4D-C4B7-4310-B949-3C26878C9224}" w:val=" ADDIN NE.Ref.{622DEC4D-C4B7-4310-B949-3C26878C9224}&lt;Citation&gt;&lt;Group&gt;&lt;References&gt;&lt;Item&gt;&lt;ID&gt;2408&lt;/ID&gt;&lt;UID&gt;{C750075C-4D29-4773-B757-E681ABDAB21C}&lt;/UID&gt;&lt;Title&gt;Network meta-analysis of survival data with fractional polynomials&lt;/Title&gt;&lt;Template&gt;Journal Article&lt;/Template&gt;&lt;Star&gt;0&lt;/Star&gt;&lt;Tag&gt;0&lt;/Tag&gt;&lt;Author&gt;Jansen, J P&lt;/Author&gt;&lt;Year&gt;2011&lt;/Year&gt;&lt;Details&gt;&lt;_accession_num&gt;21548941&lt;/_accession_num&gt;&lt;_author_adr&gt;Mapi Values, Boston, USA. jeroen.jansen@mapivalues.com&lt;/_author_adr&gt;&lt;_collection_scope&gt;SCIE&lt;/_collection_scope&gt;&lt;_created&gt;64213485&lt;/_created&gt;&lt;_date&gt;2011-05-06&lt;/_date&gt;&lt;_date_display&gt;2011 May 6&lt;/_date_display&gt;&lt;_db_updated&gt;PubMed&lt;/_db_updated&gt;&lt;_doi&gt;10.1186/1471-2288-11-61&lt;/_doi&gt;&lt;_impact_factor&gt;   4.612&lt;/_impact_factor&gt;&lt;_isbn&gt;1471-2288 (Electronic); 1471-2288 (Linking)&lt;/_isbn&gt;&lt;_journal&gt;BMC Med Res Methodol&lt;/_journal&gt;&lt;_language&gt;eng&lt;/_language&gt;&lt;_modified&gt;64630791&lt;/_modified&gt;&lt;_pages&gt;61&lt;/_pages&gt;&lt;_subject_headings&gt;Carcinoma, Non-Small-Cell Lung/*mortality; Cost-Benefit Analysis; Humans; Kaplan-Meier Estimate; *Models, Statistical; Proportional Hazards Models; Randomized Controlled Trials as Topic/*statistics &amp;amp; numerical data; Survival Analysis; Treatment Outcome&lt;/_subject_headings&gt;&lt;_tertiary_title&gt;BMC medical research methodology&lt;/_tertiary_title&gt;&lt;_type_work&gt;Journal Article; Meta-Analysis&lt;/_type_work&gt;&lt;_url&gt;http://www.ncbi.nlm.nih.gov/entrez/query.fcgi?cmd=Retrieve&amp;amp;db=pubmed&amp;amp;dopt=Abstract&amp;amp;list_uids=21548941&amp;amp;query_hl=1&lt;/_url&gt;&lt;_volume&gt;11&lt;/_volume&gt;&lt;_social_category&gt;医学(3)&lt;/_social_category&gt;&lt;/Details&gt;&lt;Extra&gt;&lt;DBUID&gt;{F96A950B-833F-4880-A151-76DA2D6A2879}&lt;/DBUID&gt;&lt;/Extra&gt;&lt;/Item&gt;&lt;/References&gt;&lt;/Group&gt;&lt;/Citation&gt;_x000a_"/>
    <w:docVar w:name="NE.Ref{632C121B-2391-4398-B31E-BF391CEEC995}" w:val=" ADDIN NE.Ref.{632C121B-2391-4398-B31E-BF391CEEC995}&lt;Citation&gt;&lt;Group&gt;&lt;References&gt;&lt;Item&gt;&lt;ID&gt;4736&lt;/ID&gt;&lt;UID&gt;{91E10B50-E349-4B1B-BA1E-FF08E67BA5DB}&lt;/UID&gt;&lt;Title&gt;Quality-of-life findings from a randomised phase-III study of XELOX vs FOLFOX-6  in metastatic colorectal cancer&lt;/Title&gt;&lt;Template&gt;Journal Article&lt;/Template&gt;&lt;Star&gt;0&lt;/Star&gt;&lt;Tag&gt;0&lt;/Tag&gt;&lt;Author&gt;Conroy, T; Hebbar, M; Bennouna, J; Ducreux, M; Ychou, M; Llédo, G; Adenis, A; Faroux, R; Rebischung, C; Kockler, L; Douillard, J Y&lt;/Author&gt;&lt;Year&gt;2010&lt;/Year&gt;&lt;Details&gt;&lt;_accession_num&gt;19920832&lt;/_accession_num&gt;&lt;_author_adr&gt;Centre Alexis Vautrin and Nancy University, EA 4360, Vandoeuvre-lès-Nancy 54511,  France. t.conroy@nancy.fnclcc.fr&lt;/_author_adr&gt;&lt;_date_display&gt;2010 Jan 5&lt;/_date_display&gt;&lt;_date&gt;2010-01-05&lt;/_date&gt;&lt;_doi&gt;10.1038/sj.bjc.6605442&lt;/_doi&gt;&lt;_isbn&gt;1532-1827 (Electronic); 0007-0920 (Print); 0007-0920 (Linking)&lt;/_isbn&gt;&lt;_issue&gt;1&lt;/_issue&gt;&lt;_journal&gt;Br J Cancer&lt;/_journal&gt;&lt;_language&gt;eng&lt;/_language&gt;&lt;_pages&gt;59-67&lt;/_pages&gt;&lt;_subject_headings&gt;Adenocarcinoma/drug therapy/psychology/*secondary; Aged; Antineoplastic Combined Chemotherapy Protocols/administration &amp;amp; dosage/adverse _x000d__x000a_      effects/*therapeutic use; Capecitabine; Colorectal Neoplasms/drug therapy/*psychology; Deoxycytidine/administration &amp;amp; dosage/adverse effects/analogs &amp;amp; derivatives; Female; Fluorouracil/administration &amp;amp; dosage/adverse effects/analogs &amp;amp; derivatives; Humans; Leucovorin/administration &amp;amp; dosage/adverse effects; Male; Middle Aged; Organoplatinum Compounds/administration &amp;amp; dosage/adverse effects; Oxaloacetates; Patient Satisfaction; Prospective Studies; *Quality of Life; Surveys and Questionnaires&lt;/_subject_headings&gt;&lt;_tertiary_title&gt;British journal of cancer&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19920832&amp;amp;query_hl=1&lt;/_url&gt;&lt;_volume&gt;102&lt;/_volume&gt;&lt;_created&gt;65021590&lt;/_created&gt;&lt;_modified&gt;65021590&lt;/_modified&gt;&lt;_impact_factor&gt;   9.075&lt;/_impact_factor&gt;&lt;_social_category&gt;医学(1)&lt;/_social_category&gt;&lt;_collection_scope&gt;SCIE&lt;/_collection_scope&gt;&lt;/Details&gt;&lt;Extra&gt;&lt;DBUID&gt;{F96A950B-833F-4880-A151-76DA2D6A2879}&lt;/DBUID&gt;&lt;/Extra&gt;&lt;/Item&gt;&lt;/References&gt;&lt;/Group&gt;&lt;Group&gt;&lt;References&gt;&lt;Item&gt;&lt;ID&gt;4737&lt;/ID&gt;&lt;UID&gt;{30F13171-B863-42DF-A452-9A4EC5F4414F}&lt;/UID&gt;&lt;Title&gt;Chemotherapy options in elderly and frail patients with metastatic colorectal  cancer (MRC FOCUS2): an open-label, randomised factorial trial&lt;/Title&gt;&lt;Template&gt;Journal Article&lt;/Template&gt;&lt;Star&gt;0&lt;/Star&gt;&lt;Tag&gt;0&lt;/Tag&gt;&lt;Author&gt;Seymour, M T; Thompson, L C; Wasan, H S; Middleton, G; Brewster, A E; Shepherd, S F; O&amp;apos;Mahony, M S; Maughan, T S; Parmar, M; Langley, R E&lt;/Author&gt;&lt;Year&gt;2011&lt;/Year&gt;&lt;Details&gt;&lt;_accession_num&gt;21570111&lt;/_accession_num&gt;&lt;_author_adr&gt;St James&amp;apos;s University Hospital and University of Leeds, Leeds, UK.  m.seymour@ncrn.org.uk&lt;/_author_adr&gt;&lt;_date_display&gt;2011 May 21&lt;/_date_display&gt;&lt;_date&gt;2011-05-21&lt;/_date&gt;&lt;_doi&gt;10.1016/S0140-6736(11)60399-1&lt;/_doi&gt;&lt;_isbn&gt;1474-547X (Electronic); 0140-6736 (Print); 0140-6736 (Linking)&lt;/_isbn&gt;&lt;_issue&gt;9779&lt;/_issue&gt;&lt;_journal&gt;Lancet&lt;/_journal&gt;&lt;_language&gt;eng&lt;/_language&gt;&lt;_ori_publication&gt;Copyright © 2011 Elsevier Ltd. All rights reserved.&lt;/_ori_publication&gt;&lt;_pages&gt;1749-59&lt;/_pages&gt;&lt;_subject_headings&gt;Adenocarcinoma/*drug therapy/mortality/pathology; Administration, Oral; Adult; Aged; Aged, 80 and over; Antineoplastic Combined Chemotherapy Protocols/adverse effects/*therapeutic use; Capecitabine; Colorectal Neoplasms/*drug therapy/mortality/pathology; Deoxycytidine/administration &amp;amp; dosage/adverse effects/analogs &amp;amp; derivatives; Disease-Free Survival; Dose-Response Relationship, Drug; Drug Administration Schedule; Female; Fluorouracil/administration &amp;amp; dosage/adverse effects/analogs &amp;amp; derivatives; *Frail Elderly; Humans; Infusions, Intravenous; Male; Middle Aged; Organoplatinum Compounds/administration &amp;amp; dosage/adverse effects; Oxaliplatin; Quality of Life; United Kingdom&lt;/_subject_headings&gt;&lt;_tertiary_title&gt;Lancet (London, England)&lt;/_tertiary_title&gt;&lt;_type_work&gt;Comparative Study; Journal Article; Multicenter Study; Randomized Controlled Trial; Research Support, Non-U.S. Gov&amp;apos;t&lt;/_type_work&gt;&lt;_url&gt;http://www.ncbi.nlm.nih.gov/entrez/query.fcgi?cmd=Retrieve&amp;amp;db=pubmed&amp;amp;dopt=Abstract&amp;amp;list_uids=21570111&amp;amp;query_hl=1&lt;/_url&gt;&lt;_volume&gt;377&lt;/_volume&gt;&lt;_created&gt;65021590&lt;/_created&gt;&lt;_modified&gt;65021590&lt;/_modified&gt;&lt;_impact_factor&gt; 202.731&lt;/_impact_factor&gt;&lt;_social_category&gt;医学(1)&lt;/_social_category&gt;&lt;_collection_scope&gt;SCIE&lt;/_collection_scope&gt;&lt;/Details&gt;&lt;Extra&gt;&lt;DBUID&gt;{F96A950B-833F-4880-A151-76DA2D6A2879}&lt;/DBUID&gt;&lt;/Extra&gt;&lt;/Item&gt;&lt;/References&gt;&lt;/Group&gt;&lt;/Citation&gt;_x000a_"/>
    <w:docVar w:name="NE.Ref{639E89A5-EB62-482D-AD00-D8BFDC8BD778}" w:val=" ADDIN NE.Ref.{639E89A5-EB62-482D-AD00-D8BFDC8BD778}&lt;Citation&gt;&lt;Group&gt;&lt;References&gt;&lt;Item&gt;&lt;ID&gt;4696&lt;/ID&gt;&lt;UID&gt;{C87123DF-6EF7-4434-AD81-0E639D90378C}&lt;/UID&gt;&lt;Title&gt;Effect of Bevacizumab in Combination With Standard Oxaliplatin-Based Regimens in  Patients With Metastatic Colorectal Cancer: A Randomized Clinical Trial&lt;/Title&gt;&lt;Template&gt;Journal Article&lt;/Template&gt;&lt;Star&gt;0&lt;/Star&gt;&lt;Tag&gt;0&lt;/Tag&gt;&lt;Author&gt;Avallone, A; Piccirillo, M C; Nasti, G; Rosati, G; Carlomagno, C; Di Gennaro, E; Romano, C; Tatangelo, F; Granata, V; Cassata, A; Silvestro, L; De Stefano, A; Aloj, L; Vicario, V; Nappi, A; Leone, A; Bilancia, D; Arenare, L; Petrillo, A; Lastoria, S; Gallo, C; Botti, G; Delrio, P; Izzo, F; Perrone, F; Budillon, A&lt;/Author&gt;&lt;Year&gt;2021&lt;/Year&gt;&lt;Details&gt;&lt;_accession_num&gt;34309665&lt;/_accession_num&gt;&lt;_author_adr&gt;Experimental Clinical Abdominal Oncology Unit, Istituto Nazionale Tumori-Istituto  di Ricovero e Cura a Carattere Scientifico (IRCCS), Fondazione G. Pascale,  Napoli, Italy.; Clinical Trials Unit, Istituto Nazionale Tumori-IRCCS, Fondazione G. Pascale,  Napoli, Italy.; Innovative Therapy for Abdominal Metastases, IRCCS, Fondazione G. Pascale,  Napoli, Italy.; Medical Oncology Unit, S. Carlo Hospital, Potenza, Italy.; Department of Clinical Medicine and Surgery, University Federico II, Naples,  Italy.; Experimental Pharmacology Unit, Istituto Nazionale Tumori-IRCCS, Fondazione G.  Pascale, Napoli, Italy.; Experimental Clinical Abdominal Oncology Unit, Istituto Nazionale Tumori-Istituto  di Ricovero e Cura a Carattere Scientifico (IRCCS), Fondazione G. Pascale,  Napoli, Italy.; Pathology Unit, Istituto Nazionale Tumori-IRCCS, Fondazione G. Pascale, Napoli,  Italy.; Radiology Unit, Istituto Nazionale Tumori-IRCCS, Fondazione G. Pascale, Napoli,  Italy.; Experimental Clinical Abdominal Oncology Unit, Istituto Nazionale Tumori-Istituto  di Ricovero e Cura a Carattere Scientifico (IRCCS), Fondazione G. Pascale,  Napoli, Italy.; Experimental Clinical Abdominal Oncology Unit, Istituto Nazionale Tumori-Istituto  di Ricovero e Cura a Carattere Scientifico (IRCCS), Fondazione G. Pascale,  Napoli, Italy.; Experimental Clinical Abdominal Oncology Unit, Istituto Nazionale Tumori-Istituto  di Ricovero e Cura a Carattere Scientifico (IRCCS), Fondazione G. Pascale,  Napoli, Italy.; Nuclear Medicine Unit, Istituto Nazionale Tumori-IRCCS, Fondazione G. Pascale,  Napoli, Italy.; currently affiliated with Department of Radiology, University of Cambridge School  of Clinical Medicine, Cambridge, United Kingdom.; Experimental Clinical Abdominal Oncology Unit, Istituto Nazionale Tumori-Istituto  di Ricovero e Cura a Carattere Scientifico (IRCCS), Fondazione G. Pascale,  Napoli, Italy.; Experimental Clinical Abdominal Oncology Unit, Istituto Nazionale Tumori-Istituto  di Ricovero e Cura a Carattere Scientifico (IRCCS), Fondazione G. Pascale,  Napoli, Italy.; Experimental Pharmacology Unit, Istituto Nazionale Tumori-IRCCS, Fondazione G.  Pascale, Napoli, Italy.; Medical Oncology Unit, S. Carlo Hospital, Potenza, Italy.; Clinical Trials Unit, Istituto Nazionale Tumori-IRCCS, Fondazione G. Pascale,  Napoli, Italy.; Radiology Unit, Istituto Nazionale Tumori-IRCCS, Fondazione G. Pascale, Napoli,  Italy.; Nuclear Medicine Unit, Istituto Nazionale Tumori-IRCCS, Fondazione G. Pascale,  Napoli, Italy.; Università della Campania Luigi Vanvitelli, Napoli, Italy.; Pathology Unit, Istituto Nazionale Tumori-IRCCS, Fondazione G. Pascale, Napoli,  Italy.; Colorectal Oncological Surgery, Istituto Nazionale Tumori-IRCCS, Fondazione G.  Pascale, Napoli, Italy.; Colorectal Oncological Surgery, Istituto Nazionale Tumori-IRCCS, Fondazione G.  Pascale, Napoli, Italy.; Hepatobiliary Surgery Unit, Istituto Nazionale Tumori-IRCCS, Fondazione G.  Pascale, Napoli, Italy.; Clinical Trials Unit, Istituto Nazionale Tumori-IRCCS, Fondazione G. Pascale,  Napoli, Italy.; Experimental Pharmacology Unit, Istituto Nazionale Tumori-IRCCS, Fondazione G.  Pascale, Napoli, Italy.&lt;/_author_adr&gt;&lt;_date_display&gt;2021 Jul 1&lt;/_date_display&gt;&lt;_date&gt;2021-07-01&lt;/_date&gt;&lt;_doi&gt;10.1001/jamanetworkopen.2021.18475&lt;/_doi&gt;&lt;_isbn&gt;2574-3805 (Electronic); 2574-3805 (Linking)&lt;/_isbn&gt;&lt;_issue&gt;7&lt;/_issue&gt;&lt;_journal&gt;JAMA Netw Open&lt;/_journal&gt;&lt;_language&gt;eng&lt;/_language&gt;&lt;_pages&gt;e2118475&lt;/_pages&gt;&lt;_subject_headings&gt;Adolescent; Adult; Aged; Angiogenesis Inhibitors/*administration &amp;amp; dosage/adverse effects; Antineoplastic Combined Chemotherapy Protocols/*administration &amp;amp; dosage/adverse _x000d__x000a_      effects; Bevacizumab/*administration &amp;amp; dosage/adverse effects; Colorectal Neoplasms/*drug therapy/mortality/pathology; Diarrhea/chemically induced; Drug-Related Side Effects and Adverse Reactions/etiology; Female; Humans; Male; Middle Aged; Nausea/chemically induced; Neoplasm Metastasis; Oxaliplatin/*administration &amp;amp; dosage/adverse effects; Progression-Free Survival; Quality of Life; Treatment Outcome; Young Adult&lt;/_subject_headings&gt;&lt;_tertiary_title&gt;JAMA network open&lt;/_tertiary_title&gt;&lt;_type_work&gt;Journal Article; Randomized Controlled Trial; Research Support, Non-U.S. Gov&amp;apos;t&lt;/_type_work&gt;&lt;_url&gt;http://www.ncbi.nlm.nih.gov/entrez/query.fcgi?cmd=Retrieve&amp;amp;db=pubmed&amp;amp;dopt=Abstract&amp;amp;list_uids=34309665&amp;amp;query_hl=1&lt;/_url&gt;&lt;_volume&gt;4&lt;/_volume&gt;&lt;_created&gt;65020956&lt;/_created&gt;&lt;_modified&gt;65021211&lt;/_modified&gt;&lt;_impact_factor&gt;  13.353&lt;/_impact_factor&gt;&lt;_social_category&gt;医学(1)&lt;/_social_category&gt;&lt;_collection_scope&gt;SCIE&lt;/_collection_scope&gt;&lt;_accessed&gt;65021054&lt;/_accessed&gt;&lt;/Details&gt;&lt;Extra&gt;&lt;DBUID&gt;{F96A950B-833F-4880-A151-76DA2D6A2879}&lt;/DBUID&gt;&lt;/Extra&gt;&lt;/Item&gt;&lt;/References&gt;&lt;/Group&gt;&lt;/Citation&gt;_x000a_"/>
    <w:docVar w:name="NE.Ref{63EFA4A2-D38F-48D3-AFDD-01726F15FA9C}" w:val=" ADDIN NE.Ref.{63EFA4A2-D38F-48D3-AFDD-01726F15FA9C}&lt;Citation&gt;&lt;Group&gt;&lt;References&gt;&lt;Item&gt;&lt;ID&gt;5040&lt;/ID&gt;&lt;UID&gt;{717BD1CF-CD3B-48EC-B523-80C0C3A00305}&lt;/UID&gt;&lt;Title&gt;Health state utilities for metastatic breast cancer&lt;/Title&gt;&lt;Template&gt;Journal Article&lt;/Template&gt;&lt;Star&gt;0&lt;/Star&gt;&lt;Tag&gt;0&lt;/Tag&gt;&lt;Author&gt;Lloyd, A; Nafees, B; Narewska, J; Dewilde, S; Watkins, J&lt;/Author&gt;&lt;Year&gt;2006&lt;/Year&gt;&lt;Details&gt;&lt;_accession_num&gt;16967055&lt;/_accession_num&gt;&lt;_author_adr&gt;United BioSource Corporation, 20 Bloomsbury Square, London WC1A 2NS, UK.  andrew.lloyd@unitedbiosource.com&lt;/_author_adr&gt;&lt;_date_display&gt;2006 Sep 18&lt;/_date_display&gt;&lt;_date&gt;2006-09-18&lt;/_date&gt;&lt;_doi&gt;10.1038/sj.bjc.6603326&lt;/_doi&gt;&lt;_isbn&gt;0007-0920 (Print); 1532-1827 (Electronic); 0007-0920 (Linking)&lt;/_isbn&gt;&lt;_issue&gt;6&lt;/_issue&gt;&lt;_journal&gt;Br J Cancer&lt;/_journal&gt;&lt;_language&gt;eng&lt;/_language&gt;&lt;_pages&gt;683-90&lt;/_pages&gt;&lt;_subject_headings&gt;Adult; Age Factors; *Attitude to Health; Breast Neoplasms/drug therapy/epidemiology/*psychology; Disease Progression; Female; *Health Status; Humans; Male; Pilot Projects; *Quality of Life; Recurrence; Sex Factors; *Sickness Impact Profile; United Kingdom/epidemiology&lt;/_subject_headings&gt;&lt;_tertiary_title&gt;British journal of cancer&lt;/_tertiary_title&gt;&lt;_type_work&gt;Comparative Study; Journal Article&lt;/_type_work&gt;&lt;_url&gt;http://www.ncbi.nlm.nih.gov/entrez/query.fcgi?cmd=Retrieve&amp;amp;db=pubmed&amp;amp;dopt=Abstract&amp;amp;list_uids=16967055&amp;amp;query_hl=1&lt;/_url&gt;&lt;_volume&gt;95&lt;/_volume&gt;&lt;_created&gt;65329740&lt;/_created&gt;&lt;_modified&gt;65329740&lt;/_modified&gt;&lt;_impact_factor&gt;   8.800&lt;/_impact_factor&gt;&lt;_social_category&gt;肿瘤学(2)&lt;/_social_category&gt;&lt;_collection_scope&gt;SCIE&lt;/_collection_scope&gt;&lt;_accessed&gt;65330884&lt;/_accessed&gt;&lt;/Details&gt;&lt;Extra&gt;&lt;DBUID&gt;{F96A950B-833F-4880-A151-76DA2D6A2879}&lt;/DBUID&gt;&lt;/Extra&gt;&lt;/Item&gt;&lt;/References&gt;&lt;/Group&gt;&lt;/Citation&gt;_x000a_"/>
    <w:docVar w:name="NE.Ref{6610F5BB-495B-4C68-A0A2-64F20CD57F7D}" w:val=" ADDIN NE.Ref.{6610F5BB-495B-4C68-A0A2-64F20CD57F7D}&lt;Citation&gt;&lt;Group&gt;&lt;References&gt;&lt;Item&gt;&lt;ID&gt;3017&lt;/ID&gt;&lt;UID&gt;{B7E83D5C-E74F-4890-A8D5-C43325E06427}&lt;/UID&gt;&lt;Title&gt;319O ALTA-3: A randomized trial of brigatinib (BRG) vs alectinib (ALC) in crizotinib (CRZ)-refractory advanced ALK+ NSCLC&lt;/Title&gt;&lt;Template&gt;Journal Article&lt;/Template&gt;&lt;Star&gt;0&lt;/Star&gt;&lt;Tag&gt;0&lt;/Tag&gt;&lt;Author&gt;Yang, J C-H.; Liu, G; Lu, S; He, J; Burotto, M; Vincent, S; Yin, J; Ma, X; Popat, S&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6&lt;/_doi&gt;&lt;_impact_factor&gt;  51.769&lt;/_impact_factor&gt;&lt;_isbn&gt;0923-7534&lt;/_isbn&gt;&lt;_journal&gt;Annals of Oncology&lt;/_journal&gt;&lt;_modified&gt;64740730&lt;/_modified&gt;&lt;_pages&gt;S1564&lt;/_pages&gt;&lt;_social_category&gt;医学(1)&lt;/_social_category&gt;&lt;_url&gt;https://www.sciencedirect.com/science/article/pii/S0923753422045471&lt;/_url&gt;&lt;_volume&gt;33&lt;/_volume&gt;&lt;/Details&gt;&lt;Extra&gt;&lt;DBUID&gt;{F96A950B-833F-4880-A151-76DA2D6A2879}&lt;/DBUID&gt;&lt;/Extra&gt;&lt;/Item&gt;&lt;/References&gt;&lt;/Group&gt;&lt;Group&gt;&lt;References&gt;&lt;Item&gt;&lt;ID&gt;3013&lt;/ID&gt;&lt;UID&gt;{DDF77562-F5F9-4F91-93AD-71B2DFC51B31}&lt;/UID&gt;&lt;Title&gt;320MO Envonalkib vs crizotinib in treatment-naïve advanced ALK-positive NSCLC: A randomized, multicenter, phase III trial&lt;/Title&gt;&lt;Template&gt;Journal Article&lt;/Template&gt;&lt;Star&gt;0&lt;/Star&gt;&lt;Tag&gt;0&lt;/Tag&gt;&lt;Author&gt;Zhang, L; Fang, W; Min, J; Yang, N; Yu, Q; Cheng, Y; Zhao, Y; Li, M; Chen, H; Ren, S; Zhou, J; Zhuang, W; Qin, X; Cao, L; Yu, Y; Zhang, J; He, J; Feng, J; Yu, H&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7&lt;/_doi&gt;&lt;_impact_factor&gt;  51.769&lt;/_impact_factor&gt;&lt;_isbn&gt;0923-7534&lt;/_isbn&gt;&lt;_journal&gt;Annals of Oncology&lt;/_journal&gt;&lt;_modified&gt;64740730&lt;/_modified&gt;&lt;_pages&gt;S1564-S1565&lt;/_pages&gt;&lt;_social_category&gt;医学(1)&lt;/_social_category&gt;&lt;_url&gt;https://www.sciencedirect.com/science/article/pii/S0923753422045483&lt;/_url&gt;&lt;_volume&gt;33&lt;/_volume&gt;&lt;/Details&gt;&lt;Extra&gt;&lt;DBUID&gt;{F96A950B-833F-4880-A151-76DA2D6A2879}&lt;/DBUID&gt;&lt;/Extra&gt;&lt;/Item&gt;&lt;/References&gt;&lt;/Group&gt;&lt;Group&gt;&lt;References&gt;&lt;Item&gt;&lt;ID&gt;3009&lt;/ID&gt;&lt;UID&gt;{AB9961F9-B851-4CA9-A9FA-4B3C72889292}&lt;/UID&gt;&lt;Title&gt;Alectinib versus crizotinib in patients with ALK-positive non-small-cell lung cancer (J-ALEX): an open-label, randomised phase 3 trial&lt;/Title&gt;&lt;Template&gt;Journal Article&lt;/Template&gt;&lt;Star&gt;0&lt;/Star&gt;&lt;Tag&gt;0&lt;/Tag&gt;&lt;Author&gt;Hida, T; Nokihara, H; Kondo, M; Kim, Y H; Azuma, K; Seto, T; Takiguchi, Y; Nishio, M; Yoshioka, H; Imamura, F; Hotta, K; Watanabe, S; Goto, K; Satouchi, M; Kozuki, T; Shukuya, T; Nakagawa, K; Mitsudomi, T; Yamamoto, N; Asakawa, T; Asabe, R; Tanaka, T; Tamura, T&lt;/Author&gt;&lt;Year&gt;2017&lt;/Year&gt;&lt;Details&gt;&lt;_accessed&gt;64631491&lt;/_accessed&gt;&lt;_accession_num&gt;28501140&lt;/_accession_num&gt;&lt;_author_adr&gt;Department of Thoracic Oncology, Aichi Cancer Center, Nagoya, Japan.; Department of Thoracic Oncology, National Cancer Center Hospital, Tokyo, Japan.; Department of Respiratory Medicine, Nagoya University Graduate School of Medicine, Nagoya, Japan.; Department of Respiratory Medicine, Kyoto University, Kyoto, Japan.; Institution Division of Respirology, Neurology, and Rheumatology, Department of Internal Medicine, Kurume University School of Medicine, Kurume, Japan.; Department of Thoracic Oncology, National Kyushu Cancer Center, Fukuoka, Japan.; Department of Medical Oncology, Graduate School of Medicine, Chiba University, Chiba, Japan.; Department of Thoracic Medical Oncology, The Cancer Institute Hospital of Japanese Foundation for Cancer Research, Tokyo, Japan.; Department of Respiratory Medicine, Kurashiki Central Hospital, Kurashiki, Japan.; Department of Thoracic Oncology, Osaka Medical Center for Cancer and Cardiovascular Diseases, Osaka, Japan.; Center for Innovative Clinical Medicine, Okayama University Hospital, Okayama, Japan.; Department of Respiratory Medicine and Infectious Diseases, Niigata University Graduate School of Medical and Dental Sciences, Niigata, Japan.; Department of Thoracic Oncology, National Cancer Center Hospital East, Kashiwa, Japan.; Department of Thoracic Oncology, Hyogo Cancer Center, Akashi, Japan.; Department of Thoracic Oncology and Medicine, Shikoku Cancer Center, Matsuyama, Japan.; Department of Respiratory Medicine, Juntendo University, Tokyo, Japan.; Department of Medical Oncology, Kindai University Faculty of Medicine, Osaka-Sayama, Japan.; Division of Thoracic Surgery, Department of Surgery, Kindai University Faculty of Medicine, Osaka-Sayama, Japan.; Third Department of Internal Medicine, Wakayama Medical University, Wakayama, Japan.; Clinical Science and Strategy Department, Chugai Pharmaceutical, Tokyo, Japan.; Clinical Study Management Department, Chugai Pharmaceutical, Tokyo, Japan.; Clinical Science and Strategy Department, Chugai Pharmaceutical, Tokyo, Japan.; Thoracic Center, St. Luke&amp;apos;s International Hospital, Tokyo, Japan. Electronic address: tamuratomohide@gmail.com.&lt;/_author_adr&gt;&lt;_collection_scope&gt;SCIE&lt;/_collection_scope&gt;&lt;_created&gt;64630955&lt;/_created&gt;&lt;_date&gt;2017-07-01&lt;/_date&gt;&lt;_date_display&gt;2017 Jul 1&lt;/_date_display&gt;&lt;_db_updated&gt;PubMed&lt;/_db_updated&gt;&lt;_doi&gt;10.1016/S0140-6736(17)30565-2&lt;/_doi&gt;&lt;_impact_factor&gt; 202.731&lt;/_impact_factor&gt;&lt;_isbn&gt;1474-547X (Electronic); 0140-6736 (Linking)&lt;/_isbn&gt;&lt;_issue&gt;10089&lt;/_issue&gt;&lt;_journal&gt;Lancet&lt;/_journal&gt;&lt;_language&gt;eng&lt;/_language&gt;&lt;_modified&gt;64740730&lt;/_modified&gt;&lt;_ori_publication&gt;Copyright (c) 2017 Elsevier Ltd. All rights reserved.&lt;/_ori_publication&gt;&lt;_pages&gt;29-39&lt;/_pages&gt;&lt;_social_category&gt;医学(1)&lt;/_social_category&gt;&lt;_subject_headings&gt;Adult; Aged; Aged, 80 and over; Anaplastic Lymphoma Kinase; Antineoplastic Agents/adverse effects/blood/*therapeutic use; Brain Neoplasms/secondary; Carbazoles/adverse effects/blood/*therapeutic use; Carcinoma, Non-Small-Cell Lung/*drug therapy/enzymology/pathology/secondary; Crizotinib; Female; Humans; Kaplan-Meier Estimate; Lung Neoplasms/*drug therapy/enzymology/pathology; Male; Middle Aged; Neoplasm Grading; Piperidines/adverse effects/blood/*therapeutic use; Protein Kinase Inhibitors/adverse effects/blood/therapeutic use; Pyrazoles/adverse effects/blood/*therapeutic use; Pyridines/adverse effects/blood/*therapeutic use; Receptor Protein-Tyrosine Kinases/antagonists &amp;amp; inhibitors/*metabolism; Single-Blind Method&lt;/_subject_headings&gt;&lt;_tertiary_title&gt;Lancet (London, England)&lt;/_tertiary_title&gt;&lt;_type_work&gt;Clinical Trial, Phase III; Comparative Study; Journal Article; Multicenter Study; Randomized Controlled Trial&lt;/_type_work&gt;&lt;_url&gt;http://www.ncbi.nlm.nih.gov/entrez/query.fcgi?cmd=Retrieve&amp;amp;db=pubmed&amp;amp;dopt=Abstract&amp;amp;list_uids=28501140&amp;amp;query_hl=1&lt;/_url&gt;&lt;_volume&gt;390&lt;/_volume&gt;&lt;/Details&gt;&lt;Extra&gt;&lt;DBUID&gt;{F96A950B-833F-4880-A151-76DA2D6A2879}&lt;/DBUID&gt;&lt;/Extra&gt;&lt;/Item&gt;&lt;/References&gt;&lt;/Group&gt;&lt;Group&gt;&lt;References&gt;&lt;Item&gt;&lt;ID&gt;2997&lt;/ID&gt;&lt;UID&gt;{F7276F66-05F3-4615-919F-AC3936FC39E7}&lt;/UID&gt;&lt;Title&gt;Alectinib versus Crizotinib in Untreated ALK-Positive Non-Small-Cell Lung Cancer&lt;/Title&gt;&lt;Template&gt;Journal Article&lt;/Template&gt;&lt;Star&gt;0&lt;/Star&gt;&lt;Tag&gt;0&lt;/Tag&gt;&lt;Author&gt;Peters, S; Camidge, D R; Shaw, A T; Gadgeel, S; Ahn, J S; Kim, D W; Ou, S I; Perol, M; Dziadziuszko, R; Rosell, R; Zeaiter, A; Mitry, E; Golding, S; Balas, B; Noe, J; Morcos, P N; Mok, T&lt;/Author&gt;&lt;Year&gt;2017&lt;/Year&gt;&lt;Details&gt;&lt;_accessed&gt;64632453&lt;/_accessed&gt;&lt;_accession_num&gt;28586279&lt;/_accession_num&gt;&lt;_collection_scope&gt;SCIE&lt;/_collection_scope&gt;&lt;_created&gt;64630944&lt;/_created&gt;&lt;_date&gt;2017-08-31&lt;/_date&gt;&lt;_date_display&gt;2017 Aug 31&lt;/_date_display&gt;&lt;_db_updated&gt;PubMed&lt;/_db_updated&gt;&lt;_doi&gt;10.1056/NEJMoa1704795&lt;/_doi&gt;&lt;_impact_factor&gt; 176.079&lt;/_impact_factor&gt;&lt;_isbn&gt;1533-4406 (Electronic); 0028-4793 (Linking)&lt;/_isbn&gt;&lt;_issue&gt;9&lt;/_issue&gt;&lt;_journal&gt;N Engl J Med&lt;/_journal&gt;&lt;_language&gt;eng&lt;/_language&gt;&lt;_modified&gt;64740730&lt;/_modified&gt;&lt;_pages&gt;829-838&lt;/_pages&gt;&lt;_social_category&gt;医学(1)&lt;/_social_category&gt;&lt;_subject_headings&gt;Adult; Aged, 80 and over; Anaplastic Lymphoma Kinase; Animals; Antineoplastic Agents/adverse effects/therapeutic use; Carbazoles/adverse effects/*therapeutic use; Carcinoma, Non-Small-Cell Lung/*drug therapy/mortality; Central Nervous System Neoplasms/drug therapy/*secondary; Crizotinib; Disease-Free Survival; Female; Follow-Up Studies; Humans; Intention to Treat Analysis; Kaplan-Meier Estimate; Lung Neoplasms/*drug therapy/mortality; Male; Middle Aged; Piperidines/adverse effects/*therapeutic use; Protein Kinase Inhibitors/adverse effects/*therapeutic use; Pyrazoles/adverse effects/*therapeutic use; Pyridines/adverse effects/*therapeutic use; Receptor Protein-Tyrosine Kinases/analysis/antagonists &amp;amp; inhibitors; Young Adult&lt;/_subject_headings&gt;&lt;_tertiary_title&gt;The New England journal of medicine&lt;/_tertiary_title&gt;&lt;_type_work&gt;Clinical Trial, Phase III; Comparative Study; Journal Article; Multicenter Study; Randomized Controlled Trial&lt;/_type_work&gt;&lt;_url&gt;http://www.ncbi.nlm.nih.gov/entrez/query.fcgi?cmd=Retrieve&amp;amp;db=pubmed&amp;amp;dopt=Abstract&amp;amp;list_uids=28586279&amp;amp;query_hl=1&lt;/_url&gt;&lt;_volume&gt;377&lt;/_volume&gt;&lt;/Details&gt;&lt;Extra&gt;&lt;DBUID&gt;{F96A950B-833F-4880-A151-76DA2D6A2879}&lt;/DBUID&gt;&lt;/Extra&gt;&lt;/Item&gt;&lt;/References&gt;&lt;/Group&gt;&lt;Group&gt;&lt;References&gt;&lt;Item&gt;&lt;ID&gt;3011&lt;/ID&gt;&lt;UID&gt;{0F926A27-416F-493B-ABFF-43BCA735BF6B}&lt;/UID&gt;&lt;Title&gt;Alectinib versus crizotinib in untreated Asian patients with anaplastic lymphoma  kinase-positive non-small-cell lung cancer (ALESIA): a randomised phase 3 study&lt;/Title&gt;&lt;Template&gt;Journal Article&lt;/Template&gt;&lt;Star&gt;0&lt;/Star&gt;&lt;Tag&gt;0&lt;/Tag&gt;&lt;Author&gt;Zhou, C; Kim, S W; Reungwetwattana, T; Zhou, J; Zhang, Y; He, J; Yang, J J; Cheng, Y; Lee, S H; Bu, L; Xu, T; Yang, L; Wang, C; Liu, T; Morcos, P N; Lu, Y; Zhang, L&lt;/Author&gt;&lt;Year&gt;2019&lt;/Year&gt;&lt;Details&gt;&lt;_accessed&gt;64632481&lt;/_accessed&gt;&lt;_accession_num&gt;30981696&lt;/_accession_num&gt;&lt;_author_adr&gt;Shanghai Pulmonary Hospital, Tongji University School of Medicine, Shanghai, China.; Asan Medical Center, Seoul, South Korea.; Faculty of Medicine Ramathibodi Hospital, Mahidol University, Bangkok, Thailand.; The First Affiliated Hospital of College of Medicine, Zhejiang University, Hangzhou, China.; Zhejiang Cancer Hospital, Hangzhou, China.; The First Affiliated Hospital of College of Medicine, Zhejiang University, Hangzhou, China.; Guangdong General Hospital, Guangzhou, China.; The First Affiliated Hospital of Guangzhou Medical University, Guangzhou, China;  Jilin Cancer Hospital, Changchun, China.; Samsung Medical Center, Sungkyunkwan University School of Medicine, Seoul, South  Korea.; Roche Pharma Development, Shanghai, China.; Roche Pharma Development, Shanghai, China.; Roche Pharma Development, Shanghai, China.; Roche Pharma Development, Shanghai, China.; F Hoffmann-La Roche, Basel, Switzerland.; Roche Innovation Center, New York, NY, USA.; West China Hospital, Sichuan University, Chengdu, China.; Sun Yat-sen University Cancer Center, State Key Laboratory of Oncology in South China, Collaborative Innovation Center for Cancer Medicine, Guangzhou, China. Electronic address: ChinazhangLi6@mail.sysu.edu.cn.&lt;/_author_adr&gt;&lt;_collection_scope&gt;SCIE&lt;/_collection_scope&gt;&lt;_created&gt;64630941&lt;/_created&gt;&lt;_date&gt;2019-05-01&lt;/_date&gt;&lt;_date_display&gt;2019 May&lt;/_date_display&gt;&lt;_db_updated&gt;PubMed&lt;/_db_updated&gt;&lt;_doi&gt;10.1016/S2213-2600(19)30053-0&lt;/_doi&gt;&lt;_impact_factor&gt; 102.642&lt;/_impact_factor&gt;&lt;_isbn&gt;2213-2619 (Electronic); 2213-2600 (Linking)&lt;/_isbn&gt;&lt;_issue&gt;5&lt;/_issue&gt;&lt;_journal&gt;Lancet Respir Med&lt;/_journal&gt;&lt;_language&gt;eng&lt;/_language&gt;&lt;_modified&gt;64740730&lt;/_modified&gt;&lt;_ori_publication&gt;Copyright (c) 2019 Elsevier Ltd. All rights reserved.&lt;/_ori_publication&gt;&lt;_pages&gt;437-446&lt;/_pages&gt;&lt;_social_category&gt;医学(1)&lt;/_social_category&gt;&lt;_subject_headings&gt;Adult; *Anaplastic Lymphoma Kinase; Carbazoles/*therapeutic use; Carcinoma, Non-Small-Cell Lung/*drug therapy; China; Crizotinib/*therapeutic use; Female; Humans; Lung Neoplasms/*drug therapy; Male; Middle Aged; Piperidines/*therapeutic use; Protein Kinase Inhibitors/*therapeutic use; Republic of Korea; Thailand; Treatment Outcome&lt;/_subject_headings&gt;&lt;_tertiary_title&gt;The Lancet. Respiratory medicine&lt;/_tertiary_title&gt;&lt;_type_work&gt;Clinical Trial, Phase III; Comparative Study; Journal Article; Randomized Controlled Trial; Research Support, Non-U.S. Gov&amp;apos;t&lt;/_type_work&gt;&lt;_url&gt;http://www.ncbi.nlm.nih.gov/entrez/query.fcgi?cmd=Retrieve&amp;amp;db=pubmed&amp;amp;dopt=Abstract&amp;amp;list_uids=30981696&amp;amp;query_hl=1&lt;/_url&gt;&lt;_volume&gt;7&lt;/_volume&gt;&lt;/Details&gt;&lt;Extra&gt;&lt;DBUID&gt;{F96A950B-833F-4880-A151-76DA2D6A2879}&lt;/DBUID&gt;&lt;/Extra&gt;&lt;/Item&gt;&lt;/References&gt;&lt;/Group&gt;&lt;Group&gt;&lt;References&gt;&lt;Item&gt;&lt;ID&gt;2986&lt;/ID&gt;&lt;UID&gt;{EAD05C8C-08F1-4D02-BB5B-35E1CE9E2B7B}&lt;/UID&gt;&lt;Title&gt;Brigatinib versus Crizotinib in ALK-Positive Non-Small-Cell Lung Cancer&lt;/Title&gt;&lt;Template&gt;Journal Article&lt;/Template&gt;&lt;Star&gt;0&lt;/Star&gt;&lt;Tag&gt;0&lt;/Tag&gt;&lt;Author&gt;Camidge, D R; Kim, H R; Ahn, M J; Yang, J C; Han, J Y; Lee, J S; Hochmair, M J; Li, J Y; Chang, G C; Lee, K H; Gridelli, C; Delmonte, A; Garcia, Campelo R; Kim, D W; Bearz, A; Griesinger, F; Morabito, A; Felip, E; Califano, R; Ghosh, S; Spira, A; Gettinger, S N; Tiseo, M; Gupta, N; Haney, J; Kerstein, D; Popat, S&lt;/Author&gt;&lt;Year&gt;2018&lt;/Year&gt;&lt;Details&gt;&lt;_accessed&gt;64632453&lt;/_accessed&gt;&lt;_accession_num&gt;30280657&lt;/_accession_num&gt;&lt;_collection_scope&gt;SCIE&lt;/_collection_scope&gt;&lt;_created&gt;64630986&lt;/_created&gt;&lt;_date&gt;2018-11-22&lt;/_date&gt;&lt;_date_display&gt;2018 Nov 22&lt;/_date_display&gt;&lt;_db_updated&gt;PubMed&lt;/_db_updated&gt;&lt;_doi&gt;10.1056/NEJMoa1810171&lt;/_doi&gt;&lt;_impact_factor&gt; 176.079&lt;/_impact_factor&gt;&lt;_isbn&gt;1533-4406 (Electronic); 0028-4793 (Linking)&lt;/_isbn&gt;&lt;_issue&gt;21&lt;/_issue&gt;&lt;_journal&gt;N Engl J Med&lt;/_journal&gt;&lt;_language&gt;eng&lt;/_language&gt;&lt;_modified&gt;64740730&lt;/_modified&gt;&lt;_pages&gt;2027-2039&lt;/_pages&gt;&lt;_social_category&gt;医学(1)&lt;/_social_category&gt;&lt;_subject_headings&gt;Adult; Aged; Aged, 80 and over; Anaplastic Lymphoma Kinase/analysis/*antagonists &amp;amp; inhibitors; Antineoplastic Agents/adverse effects/*therapeutic use; Brain Neoplasms/secondary; Carcinoma, Non-Small-Cell Lung/chemistry/*drug therapy/secondary; Crizotinib/adverse effects/*therapeutic use; Female; Humans; Kaplan-Meier Estimate; Lung Neoplasms/chemistry/*drug therapy/pathology; Male; Middle Aged; Organophosphorus Compounds/adverse effects/*therapeutic use; Progression-Free Survival; Pyrimidines/adverse effects/*therapeutic use&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0280657&amp;amp;query_hl=1&lt;/_url&gt;&lt;_volume&gt;379&lt;/_volume&gt;&lt;/Details&gt;&lt;Extra&gt;&lt;DBUID&gt;{F96A950B-833F-4880-A151-76DA2D6A2879}&lt;/DBUID&gt;&lt;/Extra&gt;&lt;/Item&gt;&lt;/References&gt;&lt;/Group&gt;&lt;Group&gt;&lt;References&gt;&lt;Item&gt;&lt;ID&gt;3016&lt;/ID&gt;&lt;UID&gt;{B4CEAAA1-F94B-4D26-88B7-DA67ADBFAC6D}&lt;/UID&gt;&lt;Title&gt;Ceritinib versus chemotherapy in patients with ALK-rearranged non-small-cell lung cancer previously given chemotherapy and crizotinib (ASCEND-5): a randomised, controlled, open-label, phase 3 trial&lt;/Title&gt;&lt;Template&gt;Journal Article&lt;/Template&gt;&lt;Star&gt;1&lt;/Star&gt;&lt;Tag&gt;0&lt;/Tag&gt;&lt;Author&gt;Shaw, A T; Kim, T M; Crino, L; Gridelli, C; Kiura, K; Liu, G; Novello, S; Bearz, A; Gautschi, O; Mok, T; Nishio, M; Scagliotti, G; Spigel, D R; Deudon, S; Zheng, C; Pantano, S; Urban, P; Massacesi, C; Viraswami-Appanna, K; Felip, E&lt;/Author&gt;&lt;Year&gt;2017&lt;/Year&gt;&lt;Details&gt;&lt;_accessed&gt;64632463&lt;/_accessed&gt;&lt;_accession_num&gt;28602779&lt;/_accession_num&gt;&lt;_author_adr&gt;Massachusetts General Hospital, Boston, MA, USA. Electronic address: ashaw1@mgh.harvard.edu.; Seoul National University Hospital, Seoul, Korea.; Istituto Scientifico Romagnolo per lo Studio e la Cura dei Tumori, Istituto di Ricovero e Cura a Carattere Scientifico, Meldola, Italy.; SG Moscati Hospital, Citta Ospedaliera, Contrada Amoretta, Avellino, Italy.; Okayama University Hospital, Okayama, Japan.; Princess Margaret Cancer Centre, Toronto, ON, Canada.; University of Torino, Torino, Italy.; Istituto di Ricovero e Cura a Carattere Scientifico-Centro di Riferimento Oncologico, Aviano, Italy.; Cantonal Hospital Lucerne, Lucerne, Switzerland.; State Key Laboratory of South China, Chinese University of Hong Kong, Shatin, China.; Cancer Institute Hospital of Japanese Foundation for Cancer Research, Tokyo, Japan.; University of Torino, Torino, Italy.; Sarah Cannon Research Institute, Nashville, TN, USA.; Novartis, Basel, Switzerland.; Novartis, East Hanover, NJ, USA.; Novartis, Basel, Switzerland.; Novartis, Basel, Switzerland.; Novartis, Basel, Switzerland.; Novartis, East Hanover, NJ, USA.; Vall d&amp;apos;Hebron University Hospital, Barcelona, Spain; Vall d&amp;apos;Hebron Institute of Oncology, Barcelona, Spain.&lt;/_author_adr&gt;&lt;_collection_scope&gt;SCIE&lt;/_collection_scope&gt;&lt;_created&gt;64630954&lt;/_created&gt;&lt;_date&gt;2017-07-01&lt;/_date&gt;&lt;_date_display&gt;2017 Jul&lt;/_date_display&gt;&lt;_db_updated&gt;PubMed&lt;/_db_updated&gt;&lt;_doi&gt;10.1016/S1470-2045(17)30339-X&lt;/_doi&gt;&lt;_impact_factor&gt;  54.433&lt;/_impact_factor&gt;&lt;_isbn&gt;1474-5488 (Electronic); 1470-2045 (Linking)&lt;/_isbn&gt;&lt;_issue&gt;7&lt;/_issue&gt;&lt;_journal&gt;Lancet Oncol&lt;/_journal&gt;&lt;_language&gt;eng&lt;/_language&gt;&lt;_modified&gt;64740730&lt;/_modified&gt;&lt;_ori_publication&gt;Copyright (c) 2017 Elsevier Ltd. All rights reserved.&lt;/_ori_publication&gt;&lt;_pages&gt;874-886&lt;/_pages&gt;&lt;_social_category&gt;医学(1)&lt;/_social_category&gt;&lt;_subject_headings&gt;Adult; Alanine Transaminase/blood; Anaplastic Lymphoma Kinase; Antineoplastic Agents/*therapeutic use; Antineoplastic Combined Chemotherapy Protocols/therapeutic use; Aspartate Aminotransferases/blood; Carcinoma, Non-Small-Cell Lung/*drug therapy/genetics/secondary; Crizotinib; Disease Progression; Disease-Free Survival; Docetaxel; Female; Gene Rearrangement; Humans; Lung Neoplasms/*drug therapy/genetics/pathology; Male; Middle Aged; Neoplasm Staging; Pemetrexed/*therapeutic use; Platinum Compounds/administration &amp;amp; dosage; Pyrazoles/therapeutic use; Pyridines/therapeutic use; Pyrimidines/adverse effects/*therapeutic use; Receptor Protein-Tyrosine Kinases/*genetics; Response Evaluation Criteria in Solid Tumors; Retreatment; Sulfones/adverse effects/*therapeutic use; Taxoids/*therapeutic use; gamma-Glutamyltransferase/blood&lt;/_subject_headings&gt;&lt;_tertiary_title&gt;The Lancet. Oncology&lt;/_tertiary_title&gt;&lt;_type_work&gt;Clinical Trial, Phase III; Comparative Study; Journal Article; Multicenter Study; Randomized Controlled Trial&lt;/_type_work&gt;&lt;_url&gt;http://www.ncbi.nlm.nih.gov/entrez/query.fcgi?cmd=Retrieve&amp;amp;db=pubmed&amp;amp;dopt=Abstract&amp;amp;list_uids=28602779&amp;amp;query_hl=1&lt;/_url&gt;&lt;_volume&gt;18&lt;/_volume&gt;&lt;/Details&gt;&lt;Extra&gt;&lt;DBUID&gt;{F96A950B-833F-4880-A151-76DA2D6A2879}&lt;/DBUID&gt;&lt;/Extra&gt;&lt;/Item&gt;&lt;/References&gt;&lt;/Group&gt;&lt;Group&gt;&lt;References&gt;&lt;Item&gt;&lt;ID&gt;3018&lt;/ID&gt;&lt;UID&gt;{D71F9B2B-4620-4936-AA79-2D51F38A3C1A}&lt;/UID&gt;&lt;Title&gt;Crizotinib versus chemotherapy in advanced ALK-positive lung cancer&lt;/Title&gt;&lt;Template&gt;Journal Article&lt;/Template&gt;&lt;Star&gt;1&lt;/Star&gt;&lt;Tag&gt;0&lt;/Tag&gt;&lt;Author&gt;Shaw, A T; Kim, D W; Nakagawa, K; Seto, T; Crino, L; Ahn, M J; De Pas, T; Besse, B; Solomon, B J; Blackhall, F; Wu, Y L; Thomas, M; O&amp;apos;Byrne, K J; Moro-Sibilot, D; Camidge, D R; Mok, T; Hirsh, V; Riely, G J; Iyer, S; Tassell, V; Polli, A; Wilner, K D; Janne, P A&lt;/Author&gt;&lt;Year&gt;2013&lt;/Year&gt;&lt;Details&gt;&lt;_accessed&gt;64632466&lt;/_accessed&gt;&lt;_accession_num&gt;23724913&lt;/_accession_num&gt;&lt;_author_adr&gt;Massachusetts General Hospital, Boston, MA 02114, USA. ashaw1@partners.org&lt;/_author_adr&gt;&lt;_collection_scope&gt;SCIE&lt;/_collection_scope&gt;&lt;_created&gt;64630997&lt;/_created&gt;&lt;_date&gt;2013-06-20&lt;/_date&gt;&lt;_date_display&gt;2013 Jun 20&lt;/_date_display&gt;&lt;_db_updated&gt;PubMed&lt;/_db_updated&gt;&lt;_doi&gt;10.1056/NEJMoa1214886&lt;/_doi&gt;&lt;_impact_factor&gt; 176.079&lt;/_impact_factor&gt;&lt;_isbn&gt;1533-4406 (Electronic); 0028-4793 (Linking)&lt;/_isbn&gt;&lt;_issue&gt;25&lt;/_issue&gt;&lt;_journal&gt;N Engl J Med&lt;/_journal&gt;&lt;_language&gt;eng&lt;/_language&gt;&lt;_modified&gt;64740730&lt;/_modified&gt;&lt;_pages&gt;2385-94&lt;/_pages&gt;&lt;_social_category&gt;医学(1)&lt;/_social_category&gt;&lt;_subject_headings&gt;Adult; Aged; Aged, 80 and over; Antineoplastic Agents/adverse effects/*therapeutic use; Carcinoma, Non-Small-Cell Lung/*drug therapy/mortality; Crizotinib; Disease-Free Survival; Docetaxel; Female; Glutamates/adverse effects/therapeutic use; Guanine/adverse effects/analogs &amp;amp; derivatives/therapeutic use; Humans; Kaplan-Meier Estimate; Lung Neoplasms/*drug therapy/mortality; Male; Middle Aged; Pemetrexed; Protein Kinase Inhibitors/adverse effects/*therapeutic use; Pyrazoles/adverse effects/*therapeutic use; Pyridines/adverse effects/*therapeutic use; Quality of Life; Taxoids/adverse effects/therapeutic use; Young Adult&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3724913&amp;amp;query_hl=1&lt;/_url&gt;&lt;_volume&gt;368&lt;/_volume&gt;&lt;/Details&gt;&lt;Extra&gt;&lt;DBUID&gt;{F96A950B-833F-4880-A151-76DA2D6A2879}&lt;/DBUID&gt;&lt;/Extra&gt;&lt;/Item&gt;&lt;/References&gt;&lt;/Group&gt;&lt;Group&gt;&lt;References&gt;&lt;Item&gt;&lt;ID&gt;3003&lt;/ID&gt;&lt;UID&gt;{085AB25D-819B-4098-9200-CE648549D759}&lt;/UID&gt;&lt;Title&gt;Ensartinib vs Crizotinib for Patients With Anaplastic Lymphoma Kinase-Positive Non-Small Cell Lung Cancer: A Randomized Clinical Trial&lt;/Title&gt;&lt;Template&gt;Journal Article&lt;/Template&gt;&lt;Star&gt;0&lt;/Star&gt;&lt;Tag&gt;0&lt;/Tag&gt;&lt;Author&gt;Horn, L; Wang, Z; Wu, G; Poddubskaya, E; Mok, T; Reck, M; Wakelee, H; Chiappori, A A; Lee, D H; Breder, V; Orlov, S; Cicin, I; Cheng, Y; Liu, Y; Fan, Y; Whisenant, J G; Zhou, Y; Oertel, V; Harrow, K; Liang, C; Mao, L; Selvaggi, G; Wu, Y L&lt;/Author&gt;&lt;Year&gt;2021&lt;/Year&gt;&lt;Details&gt;&lt;_accessed&gt;64632481&lt;/_accessed&gt;&lt;_accession_num&gt;34473194&lt;/_accession_num&gt;&lt;_author_adr&gt;Division of Hematology and Oncology, Department of Medicine, Vanderbilt-Ingram Cancer Center, Nashville, Tennessee.; Now with Global Clinical Head for Lung Cancer and Lung Cancer Strategy, AstraZeneca, Nashville, Tennessee.; Department of Thoracic Medical Oncology, Peking University Cancer Hospital and Institute, Beijing, China.; Cancer Center, Union Hospital, Tongji Medical College, Huazhong University of Science and Technology, Wuhan, China.; Clinical Center for Oncology, I. M. Sechenov First Moscow State Medical University (Sechenov University), Moscow, Russia.; Clinical Center VitaMed, Moscow, Russia.; Department of Clinical Oncology, State Key Laboratory of Translational Oncology,  The Chinese University of Hong Kong, Hong Kong, China.; Lung Clinic, Airway Research Center North, German Center for Lung Research, Grosshansdorf, Germany.; Department of Medicine, Division of Oncology and Stanford Cancer Institute, Stanford University, Stanford, California.; Thoracic Oncology Program, Moffitt Cancer Center, Tampa, Florida.; Department of Oncology, University of Ulsan College of Medicine, Asan Medical Center, Seoul, South Korea.; Department of Chemotherapy No. 17, N. N. Blokhin Russian Cancer Research Center,  Moscow, Russia.; Department of Biochemistry, Pavlov First Saint Petersburg State Medical University, St Petersburg, Russia.; Department of Medical Oncology, Faculty of Medicine, Trakya University, Edirne, Turkey.; Department of Thoracic Oncology, Jilin Cancer Hospital, Changchun, China.; Department of Medical Oncology, The First Hospital of China Medical University, Shenyang, Liaoning, China.; Thoracic Tumor Center, Zhejiang Cancer Hospital, Hangzhou, China.; Division of Hematology and Oncology, Department of Medicine, Vanderbilt-Ingram Cancer Center, Nashville, Tennessee.; Biometrics, Xcovery Holdings Inc, Palm Beach Gardens, Florida.; Clinical Operations, Xcovery Holdings Inc, Palm Beach Gardens, Florida.; Clinical Operations, Xcovery Holdings Inc, Palm Beach Gardens, Florida.; Now with EQRx, Cambridge, Massachusetts.; Clinical Science, Xcovery Holdings Inc, Palm Beach Gardens, Florida.; Clinical Development, Xcovery Holdings Inc, Palm Beach Gardens, Florida.; Now with Sino Biopharmaceutical Ltd, Beijing, China.; Clinical Development, Xcovery Holdings Inc, Palm Beach Gardens, Florida.; Guangdong Lung Cancer Institute, Guangdong Provincial People&amp;apos;s Hospital and Guangdong Academy of Medical Sciences, Guangzhou, China.&lt;/_author_adr&gt;&lt;_collection_scope&gt;SCIE&lt;/_collection_scope&gt;&lt;_created&gt;64630949&lt;/_created&gt;&lt;_date&gt;2021-11-01&lt;/_date&gt;&lt;_date_display&gt;2021 Nov 1&lt;/_date_display&gt;&lt;_db_updated&gt;PubMed&lt;/_db_updated&gt;&lt;_doi&gt;10.1001/jamaoncol.2021.3523&lt;/_doi&gt;&lt;_impact_factor&gt;  33.006&lt;/_impact_factor&gt;&lt;_isbn&gt;2374-2445 (Electronic); 2374-2437 (Linking)&lt;/_isbn&gt;&lt;_issue&gt;11&lt;/_issue&gt;&lt;_journal&gt;JAMA Oncol&lt;/_journal&gt;&lt;_language&gt;eng&lt;/_language&gt;&lt;_modified&gt;64740730&lt;/_modified&gt;&lt;_pages&gt;1617-1625&lt;/_pages&gt;&lt;_social_category&gt;医学(1)&lt;/_social_category&gt;&lt;_subject_headings&gt;Adolescent; Adult; Anaplastic Lymphoma Kinase; *Carcinoma, Non-Small-Cell Lung/pathology; Crizotinib/adverse effects; Humans; *Lung Neoplasms/pathology; Male; Middle Aged; Piperazines; Protein Kinase Inhibitors/adverse effects; Pyridazines&lt;/_subject_headings&gt;&lt;_tertiary_title&gt;JAMA oncology&lt;/_tertiary_title&gt;&lt;_type_work&gt;Journal Article; Multicenter Study; Randomized Controlled Trial; Research Support, Non-U.S. Gov&amp;apos;t&lt;/_type_work&gt;&lt;_url&gt;http://www.ncbi.nlm.nih.gov/entrez/query.fcgi?cmd=Retrieve&amp;amp;db=pubmed&amp;amp;dopt=Abstract&amp;amp;list_uids=34473194&amp;amp;query_hl=1&lt;/_url&gt;&lt;_volume&gt;7&lt;/_volume&gt;&lt;/Details&gt;&lt;Extra&gt;&lt;DBUID&gt;{F96A950B-833F-4880-A151-76DA2D6A2879}&lt;/DBUID&gt;&lt;/Extra&gt;&lt;/Item&gt;&lt;/References&gt;&lt;/Group&gt;&lt;Group&gt;&lt;References&gt;&lt;Item&gt;&lt;ID&gt;3006&lt;/ID&gt;&lt;UID&gt;{65B0B5EE-3BB2-4C5C-BFF0-F0667F8A3C9D}&lt;/UID&gt;&lt;Title&gt;First-line ceritinib versus platinum-based chemotherapy in advanced ALK-rearranged non-small-cell lung cancer (ASCEND-4): a randomised, open-label, phase 3 study&lt;/Title&gt;&lt;Template&gt;Journal Article&lt;/Template&gt;&lt;Star&gt;0&lt;/Star&gt;&lt;Tag&gt;0&lt;/Tag&gt;&lt;Author&gt;Soria, J C; Tan, DSW; Chiari, R; Wu, Y L; Paz-Ares, L; Wolf, J; Geater, S L; Orlov, S; Cortinovis, D; Yu, C J; Hochmair, M; Cortot, A B; Tsai, C M; Moro-Sibilot, D; Campelo, R G; McCulloch, T; Sen, P; Dugan, M; Pantano, S; Branle, F; Massacesi, C; de Castro, G Jr&lt;/Author&gt;&lt;Year&gt;2017&lt;/Year&gt;&lt;Details&gt;&lt;_accessed&gt;64631489&lt;/_accessed&gt;&lt;_accession_num&gt;28126333&lt;/_accession_num&gt;&lt;_author_adr&gt;University Paris-Sud, Orsay, France; Institut Gustave Roussy, Villejuif, France.  Electronic address: Jean-Charles.Soria@gustaveroussy.fr.; National Cancer Centre Singapore and Genome Institute of Singapore, Singapore.; Azienda Ospedale Perugia, Perugia, Italy.; Guangdong Lung Cancer Institute, Guangdong General Hospital &amp;amp; Guangdong Academy of Medical Sciences, Guangzhou, China.; University Hospital Virgen del RocioDoce de Octubre, Universidad Complutense &amp;amp; CNIO, Madrid, Spain.; University Hospital Cologne, Cologne, Germany.; Songklanagarind Hospital, Songkla, Thailand.; State Pavlov Medical University, St Petersburg, Russia.; Az. Ospedaliera San Gerardo, Monza, Italy.; National Taiwan University Hospital, Taipei, Taiwan.; Respiratory Oncology Unit, Department of Respiratory and Critical Care Medicine,  Otto-Wagner-Spital, Vienna, Austria.; CHU de LILLE, Lille, France.; Taipei Veterans General Hospital, Taipei, Taiwan.; Hopital Albert Michallon, Grenoble, France.; University Hospital A Coruna, La Coruna, Spain.; Novartis Pharmaceuticals Corporation, East Hanover, NJ, USA.; Novartis Pharmaceuticals Corporation, East Hanover, NJ, USA.; Novartis Pharmaceuticals Corporation, East Hanover, NJ, USA.; Novartis Pharma AG, Basel, Switzerland.; Novartis Pharma AG, Basel, Switzerland.; Novartis Pharma AG, Basel, Switzerland.; Instituto do Cancer do Estado de Sao Paulo, Sao Paulo, Brazil.&lt;/_author_adr&gt;&lt;_collection_scope&gt;SCIE&lt;/_collection_scope&gt;&lt;_created&gt;64630940&lt;/_created&gt;&lt;_date&gt;2017-03-04&lt;/_date&gt;&lt;_date_display&gt;2017 Mar 4&lt;/_date_display&gt;&lt;_db_updated&gt;PubMed&lt;/_db_updated&gt;&lt;_doi&gt;10.1016/S0140-6736(17)30123-X&lt;/_doi&gt;&lt;_impact_factor&gt; 202.731&lt;/_impact_factor&gt;&lt;_isbn&gt;1474-547X (Electronic); 0140-6736 (Linking)&lt;/_isbn&gt;&lt;_issue&gt;10072&lt;/_issue&gt;&lt;_journal&gt;Lancet&lt;/_journal&gt;&lt;_language&gt;eng&lt;/_language&gt;&lt;_modified&gt;64740730&lt;/_modified&gt;&lt;_ori_publication&gt;Copyright (c) 2017 Elsevier Ltd. All rights reserved.&lt;/_ori_publication&gt;&lt;_pages&gt;917-929&lt;/_pages&gt;&lt;_social_category&gt;医学(1)&lt;/_social_category&gt;&lt;_subject_headings&gt;Adult; Aged; Aged, 80 and over; Antineoplastic Agents/*administration &amp;amp; dosage/adverse effects; Antineoplastic Combined Chemotherapy Protocols/therapeutic use; Carboplatin/administration &amp;amp; dosage/adverse effects; Carcinoma, Non-Small-Cell Lung/*drug therapy/mortality; Cisplatin/administration &amp;amp; dosage/adverse effects; Disease-Free Survival; Female; Humans; Kaplan-Meier Estimate; Lung Neoplasms/*drug therapy/mortality; Male; Middle Aged; Pemetrexed/administration &amp;amp; dosage/adverse effects; Pyrimidines/*administration &amp;amp; dosage/adverse effects; Sulfones/*administration &amp;amp; dosage/adverse effects; Treatment Outcome; Young Adult&lt;/_subject_headings&gt;&lt;_tertiary_title&gt;Lancet (London, England)&lt;/_tertiary_title&gt;&lt;_type_work&gt;Clinical Trial, Phase III; Comparative Study; Journal Article; Multicenter Study; Randomized Controlled Trial&lt;/_type_work&gt;&lt;_url&gt;http://www.ncbi.nlm.nih.gov/entrez/query.fcgi?cmd=Retrieve&amp;amp;db=pubmed&amp;amp;dopt=Abstract&amp;amp;list_uids=28126333&amp;amp;query_hl=1&lt;/_url&gt;&lt;_volume&gt;389&lt;/_volume&gt;&lt;/Details&gt;&lt;Extra&gt;&lt;DBUID&gt;{F96A950B-833F-4880-A151-76DA2D6A2879}&lt;/DBUID&gt;&lt;/Extra&gt;&lt;/Item&gt;&lt;/References&gt;&lt;/Group&gt;&lt;Group&gt;&lt;References&gt;&lt;Item&gt;&lt;ID&gt;2990&lt;/ID&gt;&lt;UID&gt;{5BBF0F64-3152-44C0-8F01-E88356E42975}&lt;/UID&gt;&lt;Title&gt;First-line crizotinib versus chemotherapy in ALK-positive lung cancer&lt;/Title&gt;&lt;Template&gt;Journal Article&lt;/Template&gt;&lt;Star&gt;0&lt;/Star&gt;&lt;Tag&gt;0&lt;/Tag&gt;&lt;Author&gt;Solomon, B J; Mok, T; Kim, D W; Wu, Y L; Nakagawa, K; Mekhail, T; Felip, E; Cappuzzo, F; Paolini, J; Usari, T; Iyer, S; Reisman, A; Wilner, K D; Tursi, J; Blackhall, F&lt;/Author&gt;&lt;Year&gt;2014&lt;/Year&gt;&lt;Details&gt;&lt;_accessed&gt;64632481&lt;/_accessed&gt;&lt;_accession_num&gt;25470694&lt;/_accession_num&gt;&lt;_collection_scope&gt;SCIE&lt;/_collection_scope&gt;&lt;_created&gt;64630940&lt;/_created&gt;&lt;_date&gt;2014-12-04&lt;/_date&gt;&lt;_date_display&gt;2014 Dec 4&lt;/_date_display&gt;&lt;_db_updated&gt;PubMed&lt;/_db_updated&gt;&lt;_doi&gt;10.1056/NEJMoa1408440&lt;/_doi&gt;&lt;_impact_factor&gt; 176.079&lt;/_impact_factor&gt;&lt;_isbn&gt;1533-4406 (Electronic); 0028-4793 (Linking)&lt;/_isbn&gt;&lt;_issue&gt;23&lt;/_issue&gt;&lt;_journal&gt;N Engl J Med&lt;/_journal&gt;&lt;_language&gt;eng&lt;/_language&gt;&lt;_modified&gt;64740730&lt;/_modified&gt;&lt;_pages&gt;2167-77&lt;/_pages&gt;&lt;_social_category&gt;医学(1)&lt;/_social_category&gt;&lt;_subject_headings&gt;Adenocarcinoma/drug therapy/mortality; Adult; Aged; Anaplastic Lymphoma Kinase; Antineoplastic Combined Chemotherapy Protocols/adverse effects/*therapeutic use; Carboplatin/administration &amp;amp; dosage; Carcinoma, Non-Small-Cell Lung/*drug therapy/mortality; Cisplatin/administration &amp;amp; dosage; Crizotinib; Disease-Free Survival; Female; Glutamates/administration &amp;amp; dosage; Guanine/administration &amp;amp; dosage/analogs &amp;amp; derivatives; Humans; Kaplan-Meier Estimate; Lung Neoplasms/*drug therapy/mortality; Male; Middle Aged; Pemetrexed; Protein Kinase Inhibitors/adverse effects/*therapeutic use; Pyrazoles/adverse effects/*therapeutic use; Pyridines/adverse effects/*therapeutic use; Receptor Protein-Tyrosine Kinases/*antagonists &amp;amp; inhibitor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5470694&amp;amp;query_hl=1&lt;/_url&gt;&lt;_volume&gt;371&lt;/_volume&gt;&lt;/Details&gt;&lt;Extra&gt;&lt;DBUID&gt;{F96A950B-833F-4880-A151-76DA2D6A2879}&lt;/DBUID&gt;&lt;/Extra&gt;&lt;/Item&gt;&lt;/References&gt;&lt;/Group&gt;&lt;Group&gt;&lt;References&gt;&lt;Item&gt;&lt;ID&gt;2994&lt;/ID&gt;&lt;UID&gt;{C5F928ED-3171-4414-BDBA-515DE60795AC}&lt;/UID&gt;&lt;Title&gt;First-Line Lorlatinib or Crizotinib in Advanced ALK-Positive Lung Cancer&lt;/Title&gt;&lt;Template&gt;Journal Article&lt;/Template&gt;&lt;Star&gt;0&lt;/Star&gt;&lt;Tag&gt;0&lt;/Tag&gt;&lt;Author&gt;Shaw, A T; Bauer, T M; de Marinis, F; Felip, E; Goto, Y; Liu, G; Mazieres, J; Kim, D W; Mok, T; Polli, A; Thurm, H; Calella, A M; Peltz, G; Solomon, B J&lt;/Author&gt;&lt;Year&gt;2020&lt;/Year&gt;&lt;Details&gt;&lt;_accessed&gt;64632463&lt;/_accessed&gt;&lt;_accession_num&gt;33207094&lt;/_accession_num&gt;&lt;_collection_scope&gt;SCIE&lt;/_collection_scope&gt;&lt;_created&gt;64630950&lt;/_created&gt;&lt;_date&gt;2020-11-19&lt;/_date&gt;&lt;_date_display&gt;2020 Nov 19&lt;/_date_display&gt;&lt;_db_updated&gt;PubMed&lt;/_db_updated&gt;&lt;_doi&gt;10.1056/NEJMoa2027187&lt;/_doi&gt;&lt;_impact_factor&gt; 176.079&lt;/_impact_factor&gt;&lt;_isbn&gt;1533-4406 (Electronic); 0028-4793 (Linking)&lt;/_isbn&gt;&lt;_issue&gt;21&lt;/_issue&gt;&lt;_journal&gt;N Engl J Med&lt;/_journal&gt;&lt;_language&gt;eng&lt;/_language&gt;&lt;_modified&gt;64740730&lt;/_modified&gt;&lt;_ori_publication&gt;Copyright (c) 2020 Massachusetts Medical Society.&lt;/_ori_publication&gt;&lt;_pages&gt;2018-2029&lt;/_pages&gt;&lt;_social_category&gt;医学(1)&lt;/_social_category&gt;&lt;_subject_headings&gt;Adult; Aged; Aminopyridines; Anaplastic Lymphoma Kinase/*antagonists &amp;amp; inhibitors/genetics; Antineoplastic Agents/adverse effects/*therapeutic use; Carcinoma, Non-Small-Cell Lung/*drug therapy/genetics/mortality; Crizotinib/adverse effects/*therapeutic use; Female; Humans; Hyperlipidemias/chemically induced; Intention to Treat Analysis; Lactams; Lactams, Macrocyclic/adverse effects/*therapeutic use; Lung Neoplasms/*drug therapy/genetics/mortality; Male; Middle Aged; Mutation; Pyrazoles; Survival Analysi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3207094&amp;amp;query_hl=1&lt;/_url&gt;&lt;_volume&gt;383&lt;/_volume&gt;&lt;/Details&gt;&lt;Extra&gt;&lt;DBUID&gt;{F96A950B-833F-4880-A151-76DA2D6A2879}&lt;/DBUID&gt;&lt;/Extra&gt;&lt;/Item&gt;&lt;/References&gt;&lt;/Group&gt;&lt;Group&gt;&lt;References&gt;&lt;Item&gt;&lt;ID&gt;3008&lt;/ID&gt;&lt;UID&gt;{EF14C3F2-1DC5-44B6-ABDE-CABC662238C1}&lt;/UID&gt;&lt;Title&gt;Results of PROFILE 1029, a Phase III Comparison of First-Line Crizotinib versus Chemotherapy in East Asian Patients with ALK-Positive Advanced Non-Small Cell Lung Cancer&lt;/Title&gt;&lt;Template&gt;Journal Article&lt;/Template&gt;&lt;Star&gt;0&lt;/Star&gt;&lt;Tag&gt;0&lt;/Tag&gt;&lt;Author&gt;Wu, Y L; Lu, S; Lu, Y; Zhou, J; Shi, Y K; Sriuranpong, V; Ho, JCM; Ong, C K; Tsai, C M; Chung, C H; Wilner, K D; Tang, Y; Masters, E T; Selaru, P; Mok, T S&lt;/Author&gt;&lt;Year&gt;2018&lt;/Year&gt;&lt;Details&gt;&lt;_accessed&gt;64632481&lt;/_accessed&gt;&lt;_accession_num&gt;29966800&lt;/_accession_num&gt;&lt;_author_adr&gt;Guangdong Lung Cancer Institute, Guangdong General Hospital and Guangdong Academy of Medical Sciences, Guangzhou, People&amp;apos;s Republic of China. Electronic address: syylwu@live.cn.; Department of Shanghai Lung Cancer Center, Shanghai Chest Hospital, Jiao Tong University, Shanghai, People&amp;apos;s Republic of China.; Department of Thoracic Oncology, West China Hospital, Sichuan University, Chengdu, People&amp;apos;s Republic of China.; Respiratory Department, First Affiliated Hospital, School of Medicine, Zhejiang University, Hangzhou, People&amp;apos;s Republic of China.; Department of Medical Oncology, Beijing Key Laboratory of Clinical Study on Anticancer Molecular Targeted Drugs, National Cancer Center/Cancer Hospital, Chinese Academy of Medical Sciences and Peking Union Medical College, Beijing, People&amp;apos;s Republic of China.; Medical Oncology Unit, Department of Medicine, Chulalongkorn University and the King Chulalongkorn Memorial Hospital, Bangkok, Thailand.; Department of Medicine, The University of Hong Kong, Hong Kong, People&amp;apos;s Republic of China.; Department of Respiratory Medicine, Hospital Pulau Pinang, Pulau Pinang, Malaysia.; Department of Oncology, Taipei Veterans General Hospital, Taipei, Taiwan, Republic of China.; Pfizer Oncology, New York, New York.; Pfizer Oncology, La Jolla, California.; Pfizer Oncology, La Jolla, California.; Pfizer Oncology, New York, New York.; Pfizer Oncology, La Jolla, California.; Department of Clinical Oncology, State Laboratory of South China, The Chinese University of Hong Kong, Hong Kong, People&amp;apos;s Republic of China.&lt;/_author_adr&gt;&lt;_collection_scope&gt;SCIE&lt;/_collection_scope&gt;&lt;_created&gt;64630945&lt;/_created&gt;&lt;_date&gt;2018-10-01&lt;/_date&gt;&lt;_date_display&gt;2018 Oct&lt;/_date_display&gt;&lt;_db_updated&gt;PubMed&lt;/_db_updated&gt;&lt;_doi&gt;10.1016/j.jtho.2018.06.012&lt;/_doi&gt;&lt;_impact_factor&gt;  20.121&lt;/_impact_factor&gt;&lt;_isbn&gt;1556-1380 (Electronic); 1556-0864 (Linking)&lt;/_isbn&gt;&lt;_issue&gt;10&lt;/_issue&gt;&lt;_journal&gt;J Thorac Oncol&lt;/_journal&gt;&lt;_keywords&gt;ALK-positive advanced non-small cell lung cancer; chemotherapy; crizotinib; phase III&lt;/_keywords&gt;&lt;_language&gt;eng&lt;/_language&gt;&lt;_modified&gt;64740730&lt;/_modified&gt;&lt;_ori_publication&gt;Copyright (c) 2018 International Association for the Study of Lung Cancer._x000d__x000a_      Published by Elsevier Inc. All rights reserved.&lt;/_ori_publication&gt;&lt;_pages&gt;1539-1548&lt;/_pages&gt;&lt;_social_category&gt;医学(1)&lt;/_social_category&gt;&lt;_subject_headings&gt;Adult; Aged; Antineoplastic Combined Chemotherapy Protocols/pharmacology/*therapeutic use; Asians; Carcinoma, Non-Small-Cell Lung/*drug therapy/pathology; Crizotinib/pharmacology/*therapeutic use; Female; Humans; Lung Neoplasms/*drug therapy/pathology; Male; Middle Aged; Young Adult&lt;/_subject_headings&gt;&lt;_tertiary_title&gt;Journal of thoracic oncology : official publication of the International_x000d__x000a_      Association for the Study of Lung Cancer&lt;/_tertiary_title&gt;&lt;_type_work&gt;Clinical Trial, Phase III; Journal Article; Research Support, Non-U.S. Gov&amp;apos;t&lt;/_type_work&gt;&lt;_url&gt;http://www.ncbi.nlm.nih.gov/entrez/query.fcgi?cmd=Retrieve&amp;amp;db=pubmed&amp;amp;dopt=Abstract&amp;amp;list_uids=29966800&amp;amp;query_hl=1&lt;/_url&gt;&lt;_volume&gt;13&lt;/_volume&gt;&lt;/Details&gt;&lt;Extra&gt;&lt;DBUID&gt;{F96A950B-833F-4880-A151-76DA2D6A2879}&lt;/DBUID&gt;&lt;/Extra&gt;&lt;/Item&gt;&lt;/References&gt;&lt;/Group&gt;&lt;Group&gt;&lt;References&gt;&lt;Item&gt;&lt;ID&gt;3014&lt;/ID&gt;&lt;UID&gt;{B953E457-AB58-4D9C-8873-31B106CEB4E0}&lt;/UID&gt;&lt;Title&gt;Alectinib versus chemotherapy in crizotinib-pretreated anaplastic lymphoma kinase (ALK)-positive non-small-cell lung cancer: results from the phase III ALUR study&lt;/Title&gt;&lt;Template&gt;Journal Article&lt;/Template&gt;&lt;Star&gt;1&lt;/Star&gt;&lt;Tag&gt;0&lt;/Tag&gt;&lt;Author&gt;Novello, S; Mazieres, J; Oh, I J; de Castro, J; Migliorino, M R; Helland, A; Dziadziuszko, R; Griesinger, F; Kotb, A; Zeaiter, A; Cardona, A; Balas, B; Johannsdottir, H K; Das-Gupta, A; Wolf, J&lt;/Author&gt;&lt;Year&gt;2018&lt;/Year&gt;&lt;Details&gt;&lt;_accessed&gt;64631487&lt;/_accessed&gt;&lt;_accession_num&gt;29668860&lt;/_accession_num&gt;&lt;_author_adr&gt;Department of Oncology, University of Turin, Turin, Italy.; Department of Pneumology, Toulouse University Hospital, Paul Sabatier University, Toulouse, France.; Department of Internal Medicine, Chonnam National University Hwasun Hospital, Hwasun-gun Jeollanam-do, Republic of Korea.; Department of Translational Oncology, La Paz University Hospital, Madrid, Spain.; Azienda Ospedaliera San Camillo Forlanini Hospital, Rome, Italy.; Department of Cancer Genetics and Department of Oncology, Institute for Cancer Research, Oslo University Hospital, Oslo, Norway.; Department of Oncology and Radiotherapy, Medical University of Gdansk, Gdansk, Poland.; Department of Hematology and Oncology, Pius Hospital, Medical Campus University of Oldenburg, Oldenburg, Germany.; F. Hoffmann-La Roche Ltd., Basel, Switzerland.; F. Hoffmann-La Roche Ltd., Basel, Switzerland.; F. Hoffmann-La Roche Ltd., Basel, Switzerland.; F. Hoffmann-La Roche Ltd., Basel, Switzerland.; F. Hoffmann-La Roche Ltd., Basel, Switzerland.; F. Hoffmann-La Roche Ltd., Basel, Switzerland.; Department I of Internal Medicine, Center for Integrated Oncology, University Hospital Cologne, Cologne, Germany. Electronic address: juergen.wolf@uk-koeln.de.&lt;/_author_adr&gt;&lt;_collection_scope&gt;SCIE&lt;/_collection_scope&gt;&lt;_created&gt;64630952&lt;/_created&gt;&lt;_date&gt;2018-06-01&lt;/_date&gt;&lt;_date_display&gt;2018 Jun 1&lt;/_date_display&gt;&lt;_db_updated&gt;PubMed&lt;/_db_updated&gt;&lt;_doi&gt;10.1093/annonc/mdy121&lt;/_doi&gt;&lt;_impact_factor&gt;  51.769&lt;/_impact_factor&gt;&lt;_isbn&gt;1569-8041 (Electronic); 0923-7534 (Linking)&lt;/_isbn&gt;&lt;_issue&gt;6&lt;/_issue&gt;&lt;_journal&gt;Ann Oncol&lt;/_journal&gt;&lt;_language&gt;eng&lt;/_language&gt;&lt;_modified&gt;64740730&lt;/_modified&gt;&lt;_pages&gt;1409-1416&lt;/_pages&gt;&lt;_social_category&gt;医学(1)&lt;/_social_category&gt;&lt;_subject_headings&gt;Adenocarcinoma/*drug therapy/secondary; Adult; Aged; Aged, 80 and over; Antineoplastic Combined Chemotherapy Protocols/*therapeutic use; Carbazoles/administration &amp;amp; dosage; Carcinoma, Non-Small-Cell Lung/*drug therapy/pathology; Central Nervous System Neoplasms/*drug therapy/secondary; Crizotinib/administration &amp;amp; dosage; Drug Resistance, Neoplasm/*drug effects; Female; Follow-Up Studies; Humans; Lung Neoplasms/*drug therapy/pathology; Lymphatic Metastasis; Male; Middle Aged; Pemetrexed/administration &amp;amp; dosage; Piperidines/administration &amp;amp; dosage; Prognosis; *Salvage Therapy; Survival Rate&lt;/_subject_headings&gt;&lt;_tertiary_title&gt;Annals of oncology : official journal of the European Society for Medical_x000d__x000a_      Oncology&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668860&amp;amp;query_hl=1 _x000d__x000a_https://www.ncbi.nlm.nih.gov/pmc/articles/PMC6005013/pdf/mdy121.pdf _x000d__x000a_&lt;/_url&gt;&lt;_volume&gt;29&lt;/_volume&gt;&lt;/Details&gt;&lt;Extra&gt;&lt;DBUID&gt;{F96A950B-833F-4880-A151-76DA2D6A2879}&lt;/DBUID&gt;&lt;/Extra&gt;&lt;/Item&gt;&lt;/References&gt;&lt;/Group&gt;&lt;/Citation&gt;_x000a_"/>
    <w:docVar w:name="NE.Ref{66933C1E-19F8-4DEF-9082-795B0AC17228}" w:val=" ADDIN NE.Ref.{66933C1E-19F8-4DEF-9082-795B0AC17228}&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Citation&gt;_x000a_"/>
    <w:docVar w:name="NE.Ref{66D7F652-F90B-4DE0-B89F-5B0E75AAE6AD}" w:val=" ADDIN NE.Ref.{66D7F652-F90B-4DE0-B89F-5B0E75AAE6AD}&lt;Citation&gt;&lt;Group&gt;&lt;References&gt;&lt;Item&gt;&lt;ID&gt;2963&lt;/ID&gt;&lt;UID&gt;{0E7FC8EA-F6BA-4DAF-B4B0-E618D2D78370}&lt;/UID&gt;&lt;Title&gt;Nonproportional Hazards in Network Meta-Analysis: Efficient Strategies for Model  Building and Analysis&lt;/Title&gt;&lt;Template&gt;Journal Article&lt;/Template&gt;&lt;Star&gt;0&lt;/Star&gt;&lt;Tag&gt;0&lt;/Tag&gt;&lt;Author&gt;Wiksten, A; Hawkins, N; Piepho, H P; Gsteiger, S&lt;/Author&gt;&lt;Year&gt;2020&lt;/Year&gt;&lt;Details&gt;&lt;_accession_num&gt;32762994&lt;/_accession_num&gt;&lt;_author_adr&gt;Novartis Pharma AG, Basel, Switzerland.; Institute of Health and Wellbeing, University of Glasgow, Glasgow, Scotland.; Biostatistics Unit, University of Hohenheim, Stuttgart, Germany.; F. Hoffmann-La Roche AG, Basel, Switzerland. Electronic address: sandro.gsteiger@roche.com.&lt;/_author_adr&gt;&lt;_collection_scope&gt;SCIE;SSCI&lt;/_collection_scope&gt;&lt;_created&gt;64299976&lt;/_created&gt;&lt;_date&gt;2020-07-01&lt;/_date&gt;&lt;_date_display&gt;2020 Jul&lt;/_date_display&gt;&lt;_db_updated&gt;PubMed&lt;/_db_updated&gt;&lt;_doi&gt;10.1016/j.jval.2020.03.010&lt;/_doi&gt;&lt;_impact_factor&gt;   5.101&lt;/_impact_factor&gt;&lt;_isbn&gt;1524-4733 (Electronic); 1098-3015 (Linking)&lt;/_isbn&gt;&lt;_issue&gt;7&lt;/_issue&gt;&lt;_journal&gt;Value Health&lt;/_journal&gt;&lt;_keywords&gt;*fractional polynomial models; *network meta-analysis; *nonproportional hazards time-to-event data; *piecewise exponential models&lt;/_keywords&gt;&lt;_language&gt;eng&lt;/_language&gt;&lt;_modified&gt;64740725&lt;/_modified&gt;&lt;_ori_publication&gt;Copyright (c) 2020 ISPOR-The Professional Society for Health Economics and_x000d__x000a_      Outcomes Research. Published by Elsevier Inc. All rights reserved.&lt;/_ori_publication&gt;&lt;_pages&gt;918-927&lt;/_pages&gt;&lt;_social_category&gt;医学(2)&lt;/_social_category&gt;&lt;_subject_headings&gt;Bayes Theorem; *Data Interpretation, Statistical; Humans; Linear Models; *Models, Statistical; *Network Meta-Analysis; Time Factors&lt;/_subject_headings&gt;&lt;_tertiary_title&gt;Value in health : the journal of the International Society for Pharmacoeconomics _x000d__x000a_      and Outcomes Research&lt;/_tertiary_title&gt;&lt;_type_work&gt;Journal Article&lt;/_type_work&gt;&lt;_url&gt;http://www.ncbi.nlm.nih.gov/entrez/query.fcgi?cmd=Retrieve&amp;amp;db=pubmed&amp;amp;dopt=Abstract&amp;amp;list_uids=32762994&amp;amp;query_hl=1&lt;/_url&gt;&lt;_volume&gt;23&lt;/_volume&gt;&lt;/Details&gt;&lt;Extra&gt;&lt;DBUID&gt;{F96A950B-833F-4880-A151-76DA2D6A2879}&lt;/DBUID&gt;&lt;/Extra&gt;&lt;/Item&gt;&lt;/References&gt;&lt;/Group&gt;&lt;/Citation&gt;_x000a_"/>
    <w:docVar w:name="NE.Ref{674878BD-C340-4C7D-8F15-A51B706FEF81}" w:val=" ADDIN NE.Ref.{674878BD-C340-4C7D-8F15-A51B706FEF81}&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68289194-0672-4157-9466-20DD6D0EBF13}" w:val=" ADDIN NE.Ref.{68289194-0672-4157-9466-20DD6D0EBF13}&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Citation&gt;_x000a_"/>
    <w:docVar w:name="NE.Ref{68575B20-979B-4345-AA3E-AA754960BDA1}" w:val=" ADDIN NE.Ref.{68575B20-979B-4345-AA3E-AA754960BDA1}&lt;Citation&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6960C57F-F708-4186-8C88-1B4724CD349A}" w:val=" ADDIN NE.Ref.{6960C57F-F708-4186-8C88-1B4724CD349A}&lt;Citation&gt;&lt;Group&gt;&lt;References&gt;&lt;Item&gt;&lt;ID&gt;46223&lt;/ID&gt;&lt;UID&gt;{E7637202-3593-42A9-9258-F1717B817833}&lt;/UID&gt;&lt;Title&gt;A log gamma model and its maximum likelihood estimation&lt;/Title&gt;&lt;Template&gt;Journal Article&lt;/Template&gt;&lt;Star&gt;0&lt;/Star&gt;&lt;Tag&gt;0&lt;/Tag&gt;&lt;Author&gt;Prentice, R L&lt;/Author&gt;&lt;Year&gt;1974&lt;/Year&gt;&lt;Details&gt;&lt;_issue&gt;3&lt;/_issue&gt;&lt;_journal&gt;Biometrika&lt;/_journal&gt;&lt;_pages&gt;539-544&lt;/_pages&gt;&lt;_volume&gt;61&lt;/_volume&gt;&lt;_created&gt;64323402&lt;/_created&gt;&lt;_modified&gt;64688891&lt;/_modified&gt;&lt;_impact_factor&gt;   3.028&lt;/_impact_factor&gt;&lt;_collection_scope&gt;SCI;SCIE&lt;/_collection_scope&gt;&lt;_accessed&gt;64323402&lt;/_accessed&gt;&lt;_social_category&gt;数学(2)&lt;/_social_category&gt;&lt;/Details&gt;&lt;Extra&gt;&lt;DBUID&gt;{F96A950B-833F-4880-A151-76DA2D6A2879}&lt;/DBUID&gt;&lt;/Extra&gt;&lt;/Item&gt;&lt;/References&gt;&lt;/Group&gt;&lt;/Citation&gt;_x000a_"/>
    <w:docVar w:name="NE.Ref{6B43981A-4ADA-4976-9A4B-F5997D0EB71A}" w:val=" ADDIN NE.Ref.{6B43981A-4ADA-4976-9A4B-F5997D0EB71A}&lt;Citation&gt;&lt;Group&gt;&lt;References&gt;&lt;Item&gt;&lt;ID&gt;5038&lt;/ID&gt;&lt;UID&gt;{E1AFF1CE-834F-47CD-AB65-9B4E05D6B565}&lt;/UID&gt;&lt;Title&gt;Effect of Fruquintinib vs Placebo on Overall Survival in Patients With Previously  Treated Metastatic Colorectal Cancer: The FRESCO Randomized Clinical Trial&lt;/Title&gt;&lt;Template&gt;Journal Article&lt;/Template&gt;&lt;Star&gt;0&lt;/Star&gt;&lt;Tag&gt;0&lt;/Tag&gt;&lt;Author&gt;Li, J; Qin, S; Xu, R H; Shen, L; Xu, J; Bai, Y; Yang, L; Deng, Y; Chen, Z D; Zhong, H; Pan, H; Guo, W; Shu, Y; Yuan, Y; Zhou, J; Xu, N; Liu, T; Ma, D; Wu, C; Cheng, Y; Chen, D; Li, W; Sun, S; Yu, Z; Cao, P; Chen, H; Wang, J; Wang, S; Wang, H; Fan, S; Hua, Y; Su, W&lt;/Author&gt;&lt;Year&gt;2018&lt;/Year&gt;&lt;Details&gt;&lt;_accession_num&gt;29946728&lt;/_accession_num&gt;&lt;_author_adr&gt;Department of Medical Oncology, Tongji University Shanghai East Hospital,  Shanghai, China.; Department of Medical Oncology, Shanghai Medical College, Fudan University  Shanghai Cancer Center, Shanghai, China.; Department of Medical Oncology, Nanjing Chinese Medicine University-Affiliated  Bayi Hospital, Nanjing, China.; Department of Medical Oncology, Sun Yat-sen University Cancer Center, State Key  Laboratory of Oncology in South China, Guangzhou, China.; Collaborative Innovation Center for Cancer Medicine, Guangzhou, China.; Department of Medical Oncology, Beijing University Cancer Center, Beijing, China.; Department of Medical Oncology, 307th Hospital of Chinese People&amp;apos;s Liberation  Army, The Affiliated Hospital of Military Medical Sciences, Beijing, China.; Department of Medical Oncology, Harbin Medical University Cancer Hospital,  Harbin, China.; Department of Medical Oncology, Nantong Cancer Hospital, Nantong, China.; Department of Medical Oncology, The Sixth Affiliated Hospital of Sun Yat-sen  University, Guangzhou, China.; Department of Medical Oncology, The Second Hospital of Anhui Medical University,  Hefei, China.; Department of Medical Oncology, Zhejiang Cancer Hospital, Hangzhou, China.; Department of Medical Oncology, Sir RunRun Shaw Hospital, College of Medicine,  Zhejiang University, Hangzhou, China.; Department of Medical Oncology, Shanghai Medical College, Fudan University  Shanghai Cancer Center, Shanghai, China.; Department of Medical Oncology, Jiangsu Provincial Hospital, Nanjing, China.; Department of Medical Oncology, The Second Affiliated Hospital of Zhejiang  University School of Medicine, Hangzhou, China.; Department of Medical Oncology, Peking Union Medical College Hospital, Beijing,  China.; Department of Medical Oncology, The First Affiliated Hospital of Zhejiang  University School of Medicine, Hangzhou, China.; Department of Medical Oncology, Fudan University Zhongshan Hospital, Shanghai  Medical College, Shanghai, China.; Department of Medical Oncology, Guangdong General Hospital, Guangzhou, China.; Department of Medical Oncology, The First People&amp;apos;s Hospital of Changzhou,  Changzhou, China.; Department of Medical Oncology, Jilin Province Cancer Hospital, Changchun, China.; Department of Medical Oncology, Shanghai Jiaotong University Affiliated First  People&amp;apos;s Hospital, Shanghai, China.; Department of Medical Oncology, The First Hospital of Jilin University,  Changchun, China.; Department of Medical Oncology, Xuzhou Central Hospital, Xuzhou, China.; Department of Medical Oncology, The Affiliated Hospital of Medical College  Qingdao University, Qingdao, China.; Department of Medical Oncology, The Third Xiangya Hospital of Central South  University, Changsha, China.; Department of Medical Oncology, Liuzhou Worker&amp;apos;s Hospital, Liuzhou, China.; Department of Medical Oncology, Shanghai Changzheng Hospital, The Second Military  Medical University, Shanghai, China.; Department of Medical Oncology, Peking University Shenzhen Hospital, Beijing  University, Shenzhen, China.; Department of Medical Oncology, The Affiliated Hospital of Xuzhou Medical  College, Xuzhou Medical College, Xuzhou, China.; Hutchison MediPharma Ltd, Shanghai, China.; Hutchison MediPharma Ltd, Shanghai, China.; Hutchison MediPharma Ltd, Shanghai, China.&lt;/_author_adr&gt;&lt;_date_display&gt;2018 Jun 26&lt;/_date_display&gt;&lt;_date&gt;2018-06-26&lt;/_date&gt;&lt;_doi&gt;10.1001/jama.2018.7855&lt;/_doi&gt;&lt;_isbn&gt;1538-3598 (Electronic); 0098-7484 (Print); 0098-7484 (Linking)&lt;/_isbn&gt;&lt;_issue&gt;24&lt;/_issue&gt;&lt;_journal&gt;JAMA&lt;/_journal&gt;&lt;_language&gt;eng&lt;/_language&gt;&lt;_pages&gt;2486-2496&lt;/_pages&gt;&lt;_subject_headings&gt;Adult; Aged; Aged, 80 and over; Antineoplastic Combined Chemotherapy Protocols/adverse effects/*therapeutic use; Benzofurans/*administration &amp;amp; dosage/adverse effects; China; Colorectal Neoplasms/*drug therapy/mortality/pathology/therapy; Combined Modality Therapy; Double-Blind Method; Female; Humans; Intention to Treat Analysis; Male; Middle Aged; Quinazolines/*administration &amp;amp; dosage/adverse effects; Survival Analysis; Vascular Endothelial Growth Factor A/*antagonists &amp;amp; inhibitors; Young Adult&lt;/_subject_headings&gt;&lt;_tertiary_title&gt;JAMA&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946728&amp;amp;query_hl=1&lt;/_url&gt;&lt;_volume&gt;319&lt;/_volume&gt;&lt;_created&gt;65329740&lt;/_created&gt;&lt;_modified&gt;65329740&lt;/_modified&gt;&lt;_impact_factor&gt; 120.700&lt;/_impact_factor&gt;&lt;_social_category&gt;医学：内科(1)&lt;/_social_category&gt;&lt;_collection_scope&gt;SCIE&lt;/_collection_scope&gt;&lt;_accessed&gt;65330873&lt;/_accessed&gt;&lt;/Details&gt;&lt;Extra&gt;&lt;DBUID&gt;{F96A950B-833F-4880-A151-76DA2D6A2879}&lt;/DBUID&gt;&lt;/Extra&gt;&lt;/Item&gt;&lt;/References&gt;&lt;/Group&gt;&lt;Group&gt;&lt;References&gt;&lt;Item&gt;&lt;ID&gt;5034&lt;/ID&gt;&lt;UID&gt;{9D487E77-5EA1-4406-A362-455311C023D4}&lt;/UID&gt;&lt;Title&gt;Fruquintinib versus placebo in patients with refractory metastatic colorectal  cancer (FRESCO-2): an international, multicentre, randomised, double-blind, phase  3 study&lt;/Title&gt;&lt;Template&gt;Journal Article&lt;/Template&gt;&lt;Star&gt;0&lt;/Star&gt;&lt;Tag&gt;0&lt;/Tag&gt;&lt;Author&gt;Dasari, A; Lonardi, S; Garcia-Carbonero, R; Elez, E; Yoshino, T; Sobrero, A; Yao, J; García-Alfonso, P; Kocsis, J; Cubillo, Gracian A; Sartore-Bianchi, A; Satoh, T; Randrian, V; Tomasek, J; Chong, G; Paulson, A S; Masuishi, T; Jones, J; Csőszi, T; Cremolini, C; Ghiringhelli, F; Shergill, A; Hochster, H S; Krauss, J; Bassam, A; Ducreux, M; Elme, A; Faugeras, L; Kasper, S; Van Cutsem, E; Arnold, D; Nanda, S; Yang, Z; Schelman, W R; Kania, M; Tabernero, J; Eng, C&lt;/Author&gt;&lt;Year&gt;2023&lt;/Year&gt;&lt;Details&gt;&lt;_accession_num&gt;37331369&lt;/_accession_num&gt;&lt;_author_adr&gt;Department of Gastrointestinal Medical Oncology, University of Texas MD Anderson  Cancer Center, Houston, TX, USA. Electronic address: adasari@mdanderson.org.; Medical Oncology Unit 1, Veneto Institute of Oncology IOV-IRCCS Padua, Padua,  Italy.; Oncology Department, Hospital Universitario 12 de Octubre, lmas12, UCM, Madrid,  Spain.; Vall d&amp;apos;Hebron Barcelona Hospital Campus, Vall d&amp;apos;Hebron Institute of Oncology,  Universitat Autònoma de Barcelona, Barcelona, Spain.; Department of Gastroenterology and Gastrointestinal Oncology, National Cancer  Center Hospital East, Kashiwa, Japan.; Department of Medical Oncology, Azienda Ospedaliera San Martino, Genoa, Italy.; Department of Gastrointestinal Medical Oncology, University of Texas MD Anderson  Cancer Center, Houston, TX, USA.; Medical Oncology Service, Hospital General Universitario Gregorio Marañón,  Instituto de Investigación Sanitaria Gregorio Marañón (IiSGM), Universidad  Complutense, Madrid, Spain.; Department of Oncoradiology, Bács -Kiskun Megyei Oktatókórház, Kecskemét,  Hungary.; Medical Oncology, Hospital Universitario HM Sanchinarro Centro Integral  Oncológico Clara Campal, Madrid, Spain.; Grande Ospedale Metropolitano Niguarda, Milan, Italy; Department of Oncology and  Hemato-Oncology, Università degli Studi di Milano, Milan, Italy.; Palliative and Supportive Care Center, Osaka University Hospital, Osaka, Japan.; Department of Hepato-Gastroenterology, CHU Poitiers, Université de Poitiers,  Poitiers, France.; Department of Complex Oncology Care, Masaryk Memorial Cancer Institute, Brno,  Czech Republic.; Olivia Newton-John Cancer Wellness &amp;amp; Research Centre, Austin Hospital, Melbourne,  VIC, Australia.; Texas Oncology-Baylor Charles A Sammons Cancer Center, US Oncology Research,  Dallas, TX, USA.; Department of Clinical Oncology, Aichi Cancer Center Hospital, Aichi, Japan.; Division of Hematology and Medical Oncology, Mayo Clinic Cancer Center,  Jacksonville, FL, USA.; Hetényi Géza Kórház, Onkológiai Központ, Szolnok, Hungary.; Department of Translational Research and New Technologies in Medicine and  Surgery, University of Pisa, Pisa, Italy.; Department of Medical Oncology, Centre Georges François Leclerc, Dijon, France.; University of Chicago, Biological Sciences Division, Chicago, IL, USA.; Rutgers Cancer Institute of New Jersey, New Brunswick, NJ, USA.; Department of Medicine, University of Michigan, Ann Arbor, MI, USA.; Békés Megyei Központi Kórház, Pándy Kálmán Tagkórház, Megyei Onkológiai Központ,  Gyula, Hungary.; Gustave Roussy Cancer Center, Inserm U1279 Tumors Cell Dynamics, Université Paris  Saclay, Villejuif, France.; Oncology and Haematology Clinic, North Estonia Medical Centre, Tallinn, Estonia.; Department of Oncology, CHU UCL Namur, Site Godinne, Yvoir, Belgium.; Department of Medical Oncology, West German Cancer Center, University Hospital  Essen, Essen, Germany.; University Hospitals Gasthuisberg, Leuven and KU Leuven, Leuven, Belgium.; Asklepios Tumorzentrum Hamburg, Department of Oncology and Hematology, AK Altona,  Hamburg, Germany.; HUTCHMED International Corporation, Florham Park, NJ, USA.; HUTCHMED International Corporation, Florham Park, NJ, USA.; HUTCHMED International Corporation, Florham Park, NJ, USA.; HUTCHMED International Corporation, Florham Park, NJ, USA.; Vall d&amp;apos;Hebron Barcelona Hospital Campus, Vall d&amp;apos;Hebron Institute of Oncology  (VHIO), IOB-Quiron, Barcelona, Spain.; Division Hematology and Oncology, Vanderbilt-Ingram Cancer Center, Nashville, TN,  USA.&lt;/_author_adr&gt;&lt;_date_display&gt;2023 Jul 1&lt;/_date_display&gt;&lt;_date&gt;2023-07-01&lt;/_date&gt;&lt;_doi&gt;10.1016/S0140-6736(23)00772-9&lt;/_doi&gt;&lt;_isbn&gt;1474-547X (Electronic); 0140-6736 (Linking)&lt;/_isbn&gt;&lt;_issue&gt;10395&lt;/_issue&gt;&lt;_journal&gt;Lancet&lt;/_journal&gt;&lt;_language&gt;eng&lt;/_language&gt;&lt;_ori_publication&gt;Copyright © 2023 Elsevier Ltd. All rights reserved.&lt;/_ori_publication&gt;&lt;_pages&gt;41-53&lt;/_pages&gt;&lt;_subject_headings&gt;Humans; Trifluridine/adverse effects; Vascular Endothelial Growth Factor A; Quality of Life; *Colorectal Neoplasms; *Colonic Neoplasms; *Rectal Neoplasms/drug therapy; Double-Blind Method; Antineoplastic Combined Chemotherapy Protocols/adverse effects&lt;/_subject_headings&gt;&lt;_tertiary_title&gt;Lancet (London, England)&lt;/_tertiary_title&gt;&lt;_type_work&gt;Clinical Trial, Phase III; Journal Article; Multicenter Study; Randomized Controlled Trial&lt;/_type_work&gt;&lt;_url&gt;http://www.ncbi.nlm.nih.gov/entrez/query.fcgi?cmd=Retrieve&amp;amp;db=pubmed&amp;amp;dopt=Abstract&amp;amp;list_uids=37331369&amp;amp;query_hl=1&lt;/_url&gt;&lt;_volume&gt;402&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Citation&gt;_x000a_"/>
    <w:docVar w:name="NE.Ref{6BEBDB2E-0BCF-4913-A693-C721EB750E16}" w:val=" ADDIN NE.Ref.{6BEBDB2E-0BCF-4913-A693-C721EB750E16}&lt;Citation&gt;&lt;Group&gt;&lt;References&gt;&lt;Item&gt;&lt;ID&gt;5032&lt;/ID&gt;&lt;UID&gt;{AC85D677-102F-4D7C-8CEF-8512683D25B2}&lt;/UID&gt;&lt;Title&gt;Clinical and economic outcomes of treatment sequences for intermediate- to  poor-risk advanced renal cell carcinoma&lt;/Title&gt;&lt;Template&gt;Journal Article&lt;/Template&gt;&lt;Star&gt;0&lt;/Star&gt;&lt;Tag&gt;0&lt;/Tag&gt;&lt;Author&gt;Ambavane, A; Yang, S; Atkins, M B; Rao, S; Shah, A; Regan, M M; McDermott, D F; Michaelson, M D&lt;/Author&gt;&lt;Year&gt;2020&lt;/Year&gt;&lt;Details&gt;&lt;_accession_num&gt;31992108&lt;/_accession_num&gt;&lt;_author_adr&gt;Evidence Synthesis, Modeling, &amp;amp; Communications, Evidera, Inc., Bethesda, MD  20814, USA.; Health Economics Outcomes Research, Bristol-Myers Squibb, Princeton, NJ 08540,  USA.; Department of Internal Medicine - Medical Oncology, Georgetown-Lombardi  Comprehensive Cancer Center, Washington, DC 20007-2113, USA.; Health Economics Outcomes Research, Bristol-Myers Squibb, Princeton, NJ 08540,  USA.; Evidence Synthesis, Modeling, &amp;amp; Communications, Evidera, Inc., Waltham, MA 20814,  USA.; Division of Biostatistics, Dana-Farber Cancer Institute, Harvard Medical School,  Boston, MA 02215, USA.; Department of Medicine, Beth Israel Deaconess Medical Center, Dana-Farber/Harvard  Cancer Center, Boston, MA 02215, USA.; Massachusetts General Hospital Cancer Center, Boston, MA 02214, USA.&lt;/_author_adr&gt;&lt;_date_display&gt;2020 Jan&lt;/_date_display&gt;&lt;_date&gt;2020-01-01&lt;/_date&gt;&lt;_doi&gt;10.2217/imt-2019-0199&lt;/_doi&gt;&lt;_isbn&gt;1750-7448 (Electronic); 1750-743X (Linking)&lt;/_isbn&gt;&lt;_issue&gt;1&lt;/_issue&gt;&lt;_journal&gt;Immunotherapy&lt;/_journal&gt;&lt;_keywords&gt;cost–effectiveness; immuno-oncology therapy; renal cell carcinoma; survival; treatment sequences; treatment-free interval&lt;/_keywords&gt;&lt;_language&gt;eng&lt;/_language&gt;&lt;_pages&gt;37-51&lt;/_pages&gt;&lt;_subject_headings&gt;Antineoplastic Agents, Immunological/*therapeutic use; Antineoplastic Protocols; Carcinoma, Renal Cell/*drug therapy/economics/mortality; *Computer Simulation; Cost-Benefit Analysis; Drug Therapy, Combination; Humans; Ipilimumab/*therapeutic use; Kidney Neoplasms/*drug therapy/economics/mortality; Models, Economic; Neoplasm Staging; Nivolumab/*therapeutic use; Quality-Adjusted Life Years; Survival Analysis; Treatment Outcome&lt;/_subject_headings&gt;&lt;_tertiary_title&gt;Immunotherapy&lt;/_tertiary_title&gt;&lt;_type_work&gt;Clinical Trial, Phase II; Journal Article; Research Support, Non-U.S. Gov&amp;apos;t&lt;/_type_work&gt;&lt;_url&gt;http://www.ncbi.nlm.nih.gov/entrez/query.fcgi?cmd=Retrieve&amp;amp;db=pubmed&amp;amp;dopt=Abstract&amp;amp;list_uids=31992108&amp;amp;query_hl=1&lt;/_url&gt;&lt;_volume&gt;12&lt;/_volume&gt;&lt;_created&gt;65329740&lt;/_created&gt;&lt;_modified&gt;65329740&lt;/_modified&gt;&lt;_impact_factor&gt;   2.800&lt;/_impact_factor&gt;&lt;_social_category&gt;免疫学(4)&lt;/_social_category&gt;&lt;_collection_scope&gt;SCIE&lt;/_collection_scope&gt;&lt;_accessed&gt;65330823&lt;/_accessed&gt;&lt;/Details&gt;&lt;Extra&gt;&lt;DBUID&gt;{F96A950B-833F-4880-A151-76DA2D6A2879}&lt;/DBUID&gt;&lt;/Extra&gt;&lt;/Item&gt;&lt;/References&gt;&lt;/Group&gt;&lt;Group&gt;&lt;References&gt;&lt;Item&gt;&lt;ID&gt;5043&lt;/ID&gt;&lt;UID&gt;{283B1341-C609-4229-84D7-2B0DE5D67427}&lt;/UID&gt;&lt;Title&gt;Elicitation of health state utilities in metastatic renal cell carcinoma&lt;/Title&gt;&lt;Template&gt;Journal Article&lt;/Template&gt;&lt;Star&gt;0&lt;/Star&gt;&lt;Tag&gt;0&lt;/Tag&gt;&lt;Author&gt;Swinburn, P; Lloyd, A; Nathan, P; Choueiri, T K; Cella, D; Neary, M P&lt;/Author&gt;&lt;Year&gt;2010&lt;/Year&gt;&lt;Details&gt;&lt;_accession_num&gt;20225993&lt;/_accession_num&gt;&lt;_author_adr&gt;Oxford Outcomes Ltd, Oxfordshire, UK. Paul.Swinburn@oxfordoutcomes.com&lt;/_author_adr&gt;&lt;_date_display&gt;2010 May&lt;/_date_display&gt;&lt;_date&gt;2010-05-01&lt;/_date&gt;&lt;_doi&gt;10.1185/03007991003712258&lt;/_doi&gt;&lt;_isbn&gt;1473-4877 (Electronic); 0300-7995 (Linking)&lt;/_isbn&gt;&lt;_issue&gt;5&lt;/_issue&gt;&lt;_journal&gt;Curr Med Res Opin&lt;/_journal&gt;&lt;_language&gt;eng&lt;/_language&gt;&lt;_pages&gt;1091-6&lt;/_pages&gt;&lt;_subject_headings&gt;Carcinoma, Renal Cell/pathology/*physiopathology; *Health Status; Humans; Kidney Neoplasms/pathology/*physiopathology; *Neoplasm Metastasis&lt;/_subject_headings&gt;&lt;_tertiary_title&gt;Current medical research and opinion&lt;/_tertiary_title&gt;&lt;_type_work&gt;Journal Article; Research Support, Non-U.S. Gov&amp;apos;t; Review&lt;/_type_work&gt;&lt;_url&gt;http://www.ncbi.nlm.nih.gov/entrez/query.fcgi?cmd=Retrieve&amp;amp;db=pubmed&amp;amp;dopt=Abstract&amp;amp;list_uids=20225993&amp;amp;query_hl=1&lt;/_url&gt;&lt;_volume&gt;26&lt;/_volume&gt;&lt;_created&gt;65329740&lt;/_created&gt;&lt;_modified&gt;65330572&lt;/_modified&gt;&lt;_impact_factor&gt;   2.300&lt;/_impact_factor&gt;&lt;_social_category&gt;医学：内科(3) &amp;amp; 医学：研究与实验(4)&lt;/_social_category&gt;&lt;_collection_scope&gt;SCIE&lt;/_collection_scope&gt;&lt;_accessed&gt;65330910&lt;/_accessed&gt;&lt;/Details&gt;&lt;Extra&gt;&lt;DBUID&gt;{F96A950B-833F-4880-A151-76DA2D6A2879}&lt;/DBUID&gt;&lt;/Extra&gt;&lt;/Item&gt;&lt;/References&gt;&lt;/Group&gt;&lt;/Citation&gt;_x000a_"/>
    <w:docVar w:name="NE.Ref{6C7847B1-0B2C-4A62-864C-C405E8203FCC}" w:val=" ADDIN NE.Ref.{6C7847B1-0B2C-4A62-864C-C405E8203FCC}&lt;Citation&gt;&lt;Group&gt;&lt;References&gt;&lt;Item&gt;&lt;ID&gt;5021&lt;/ID&gt;&lt;UID&gt;{FC01DC97-7D4C-4C9D-9151-12C0AE958C20}&lt;/UID&gt;&lt;Title&gt;National Institute for Health and Care Excellence. Regorafenib for previously treated metastatic colorectal cancer [ID4002]. https://www.nice.org.uk/guidance(Accessed Feb 2, 2024).&lt;/Title&gt;&lt;Template&gt;Web Page&lt;/Template&gt;&lt;Star&gt;0&lt;/Star&gt;&lt;Tag&gt;0&lt;/Tag&gt;&lt;Author/&gt;&lt;Year&gt;0&lt;/Year&gt;&lt;Details&gt;&lt;_accessed&gt;65330793&lt;/_accessed&gt;&lt;_created&gt;65329711&lt;/_created&gt;&lt;_modified&gt;65329715&lt;/_modified&gt;&lt;/Details&gt;&lt;Extra&gt;&lt;DBUID&gt;{F96A950B-833F-4880-A151-76DA2D6A2879}&lt;/DBUID&gt;&lt;/Extra&gt;&lt;/Item&gt;&lt;/References&gt;&lt;/Group&gt;&lt;/Citation&gt;_x000a_"/>
    <w:docVar w:name="NE.Ref{7015BEE5-0971-402B-A893-C206D47D753E}" w:val=" ADDIN NE.Ref.{7015BEE5-0971-402B-A893-C206D47D753E}&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Citation&gt;_x000a_"/>
    <w:docVar w:name="NE.Ref{70329B60-3204-4680-88EF-E77F356B8C61}" w:val=" ADDIN NE.Ref.{70329B60-3204-4680-88EF-E77F356B8C61}&lt;Citation&gt;&lt;Group&gt;&lt;References&gt;&lt;Item&gt;&lt;ID&gt;2411&lt;/ID&gt;&lt;UID&gt;{F614C91B-5592-4EF1-9F63-28122B794267}&lt;/UID&gt;&lt;Title&gt;生存资料的二次研究系列之七:R软件gemtc程序包实现生存数据网状Meta分析&lt;/Title&gt;&lt;Template&gt;Journal Article&lt;/Template&gt;&lt;Star&gt;0&lt;/Star&gt;&lt;Tag&gt;0&lt;/Tag&gt;&lt;Author&gt;刘小平; 孟详喻; 尹晓红; 李胜; 翁鸿; 曾宪涛&lt;/Author&gt;&lt;Year&gt;2016&lt;/Year&gt;&lt;Details&gt;&lt;_author_aff&gt;武汉大学中南医院循证与转化医学中心;武汉大学循证与转化医学中心;&lt;/_author_aff&gt;&lt;_created&gt;64076389&lt;/_created&gt;&lt;_date&gt;2016-07-20&lt;/_date&gt;&lt;_db_updated&gt;CNKI - Reference&lt;/_db_updated&gt;&lt;_issue&gt;07&lt;/_issue&gt;&lt;_journal&gt;中国循证心血管医学杂志&lt;/_journal&gt;&lt;_keywords&gt;生存数据;贝叶斯统计;网状Meta分析;gemtc程序包&lt;/_keywords&gt;&lt;_modified&gt;64630791&lt;/_modified&gt;&lt;_pages&gt;769-772&lt;/_pages&gt;&lt;_translated_author&gt;Liu, Xiao ping;Meng, Xiang yu;Yin, Xiao hong;Li, Sheng;Weng, Hong;Ceng, Xian tao&lt;/_translated_author&gt;&lt;_url&gt;https://kns.cnki.net/kcms/detail/detail.aspx?FileName=PZXX201607001&amp;amp;DbName=CJFQ2016&lt;/_url&gt;&lt;_volume&gt;8&lt;/_volume&gt;&lt;/Details&gt;&lt;Extra&gt;&lt;DBUID&gt;{F96A950B-833F-4880-A151-76DA2D6A2879}&lt;/DBUID&gt;&lt;/Extra&gt;&lt;/Item&gt;&lt;/References&gt;&lt;/Group&gt;&lt;/Citation&gt;_x000a_"/>
    <w:docVar w:name="NE.Ref{704C7001-2516-4919-B6DA-914D72AFA142}" w:val=" ADDIN NE.Ref.{704C7001-2516-4919-B6DA-914D72AFA142}&lt;Citation&gt;&lt;Group&gt;&lt;References&gt;&lt;Item&gt;&lt;ID&gt;4873&lt;/ID&gt;&lt;UID&gt;{99CC21E1-BB78-4EA6-880E-32E790406F75}&lt;/UID&gt;&lt;Title&gt;Comprehensive review of targeted therapy for colorectal cancer&lt;/Title&gt;&lt;Template&gt;Journal Article&lt;/Template&gt;&lt;Star&gt;0&lt;/Star&gt;&lt;Tag&gt;0&lt;/Tag&gt;&lt;Author&gt;Xie, Y H; Chen, Y X; Fang, J Y&lt;/Author&gt;&lt;Year&gt;2020&lt;/Year&gt;&lt;Details&gt;&lt;_accession_num&gt;32296018&lt;/_accession_num&gt;&lt;_author_adr&gt;Division of Gastroenterology and Hepatology, Shanghai Institute of Digestive  Disease, State Key Laboratory for Oncogenes and Related Genes, Key Laboratory of  Gastroenterology &amp;amp; Hepatology, Ministry of Health, Renji Hospital, School of  Medicine, Shanghai Jiao Tong University, 145 Middle Shandong Road, 200001,  Shanghai, China.; Division of Gastroenterology and Hepatology, Shanghai Institute of Digestive  Disease, State Key Laboratory for Oncogenes and Related Genes, Key Laboratory of  Gastroenterology &amp;amp; Hepatology, Ministry of Health, Renji Hospital, School of  Medicine, Shanghai Jiao Tong University, 145 Middle Shandong Road, 200001,  Shanghai, China. yingxuanchen71@126.com.; Division of Gastroenterology and Hepatology, Shanghai Institute of Digestive  Disease, State Key Laboratory for Oncogenes and Related Genes, Key Laboratory of  Gastroenterology &amp;amp; Hepatology, Ministry of Health, Renji Hospital, School of  Medicine, Shanghai Jiao Tong University, 145 Middle Shandong Road, 200001,  Shanghai, China. jingyuanfang@sjtu.edu.cn.&lt;/_author_adr&gt;&lt;_date_display&gt;2020 Mar 20&lt;/_date_display&gt;&lt;_date&gt;2020-03-20&lt;/_date&gt;&lt;_doi&gt;10.1038/s41392-020-0116-z&lt;/_doi&gt;&lt;_isbn&gt;2059-3635 (Electronic); 2095-9907 (Print); 2059-3635 (Linking)&lt;/_isbn&gt;&lt;_issue&gt;1&lt;/_issue&gt;&lt;_journal&gt;Signal Transduct Target Ther&lt;/_journal&gt;&lt;_language&gt;eng&lt;/_language&gt;&lt;_pages&gt;22&lt;/_pages&gt;&lt;_subject_headings&gt;Bevacizumab/*therapeutic use; Cetuximab/*therapeutic use; Colorectal Neoplasms/*drug therapy/genetics/pathology; ErbB Receptors/antagonists &amp;amp; inhibitors/genetics; Humans; Molecular Targeted Therapy/trends; Neoplasm Metastasis; Neovascularization, Pathologic/*drug therapy/genetics/pathology&lt;/_subject_headings&gt;&lt;_tertiary_title&gt;Signal transduction and targeted therapy&lt;/_tertiary_title&gt;&lt;_type_work&gt;Journal Article; Research Support, Non-U.S. Gov&amp;apos;t; Review&lt;/_type_work&gt;&lt;_url&gt;http://www.ncbi.nlm.nih.gov/entrez/query.fcgi?cmd=Retrieve&amp;amp;db=pubmed&amp;amp;dopt=Abstract&amp;amp;list_uids=32296018&amp;amp;query_hl=1&lt;/_url&gt;&lt;_volume&gt;5&lt;/_volume&gt;&lt;_created&gt;65089356&lt;/_created&gt;&lt;_modified&gt;65089356&lt;/_modified&gt;&lt;_impact_factor&gt;  38.104&lt;/_impact_factor&gt;&lt;_social_category&gt;医学(1)&lt;/_social_category&gt;&lt;_collection_scope&gt;CSCD;SCIE&lt;/_collection_scope&gt;&lt;/Details&gt;&lt;Extra&gt;&lt;DBUID&gt;{F96A950B-833F-4880-A151-76DA2D6A2879}&lt;/DBUID&gt;&lt;/Extra&gt;&lt;/Item&gt;&lt;/References&gt;&lt;/Group&gt;&lt;/Citation&gt;_x000a_"/>
    <w:docVar w:name="NE.Ref{71E9E0D7-46CD-4515-8DB5-B8A42166C2B3}" w:val=" ADDIN NE.Ref.{71E9E0D7-46CD-4515-8DB5-B8A42166C2B3}&lt;Citation&gt;&lt;Group&gt;&lt;References&gt;&lt;Item&gt;&lt;ID&gt;4882&lt;/ID&gt;&lt;UID&gt;{49EE50EF-63AB-4976-9F7E-2C3E44E21076}&lt;/UID&gt;&lt;Title&gt;The Cochrane Collaboration&amp;apos;s tool for assessing risk of bias in randomised  trials&lt;/Title&gt;&lt;Template&gt;Journal Article&lt;/Template&gt;&lt;Star&gt;0&lt;/Star&gt;&lt;Tag&gt;0&lt;/Tag&gt;&lt;Author&gt;Higgins, J P; Altman, D G; Gøtzsche, P C; Jüni, P; Moher, D; Oxman, A D; Savovic, J; Schulz, K F; Weeks, L; Sterne, J A&lt;/Author&gt;&lt;Year&gt;2011&lt;/Year&gt;&lt;Details&gt;&lt;_accession_num&gt;22008217&lt;/_accession_num&gt;&lt;_author_adr&gt;MRC Biostatistics Unit, Institute of Public Health, Cambridge CB2 0SR, UK.  julian.higgins@mrc-bsu.cam.ac.uk&lt;/_author_adr&gt;&lt;_date_display&gt;2011 Oct 18&lt;/_date_display&gt;&lt;_date&gt;2011-10-18&lt;/_date&gt;&lt;_doi&gt;10.1136/bmj.d5928&lt;/_doi&gt;&lt;_isbn&gt;1756-1833 (Electronic); 0959-8138 (Print); 0959-8138 (Linking)&lt;/_isbn&gt;&lt;_journal&gt;BMJ&lt;/_journal&gt;&lt;_language&gt;eng&lt;/_language&gt;&lt;_pages&gt;d5928&lt;/_pages&gt;&lt;_subject_headings&gt;Bias; Humans; Randomized Controlled Trials as Topic/*standards; Research Design; Risk Assessment&lt;/_subject_headings&gt;&lt;_tertiary_title&gt;BMJ (Clinical research ed.)&lt;/_tertiary_title&gt;&lt;_type_work&gt;Journal Article; Research Support, Non-U.S. Gov&amp;apos;t&lt;/_type_work&gt;&lt;_url&gt;http://www.ncbi.nlm.nih.gov/entrez/query.fcgi?cmd=Retrieve&amp;amp;db=pubmed&amp;amp;dopt=Abstract&amp;amp;list_uids=22008217&amp;amp;query_hl=1&lt;/_url&gt;&lt;_volume&gt;343&lt;/_volume&gt;&lt;_created&gt;65089356&lt;/_created&gt;&lt;_modified&gt;65089356&lt;/_modified&gt;&lt;_impact_factor&gt;  93.333&lt;/_impact_factor&gt;&lt;_collection_scope&gt;SCIE&lt;/_collection_scope&gt;&lt;/Details&gt;&lt;Extra&gt;&lt;DBUID&gt;{F96A950B-833F-4880-A151-76DA2D6A2879}&lt;/DBUID&gt;&lt;/Extra&gt;&lt;/Item&gt;&lt;/References&gt;&lt;/Group&gt;&lt;/Citation&gt;_x000a_"/>
    <w:docVar w:name="NE.Ref{72F682E4-7BC4-4160-A84E-A77B52F7C279}" w:val=" ADDIN NE.Ref.{72F682E4-7BC4-4160-A84E-A77B52F7C279}&lt;Citation&gt;&lt;Group&gt;&lt;References&gt;&lt;Item&gt;&lt;ID&gt;4690&lt;/ID&gt;&lt;UID&gt;{CB3B63C4-8BB7-4582-A4F9-D98E92D2B36D}&lt;/UID&gt;&lt;Title&gt;Impact of protracted venous infusion fluorouracil with or without interferon  alfa-2b on tumor response, survival, and quality of life in advanced colorectal  cancer&lt;/Title&gt;&lt;Template&gt;Journal Article&lt;/Template&gt;&lt;Star&gt;0&lt;/Star&gt;&lt;Tag&gt;0&lt;/Tag&gt;&lt;Author&gt;Hill, M; Norman, A; Cunningham, D; Findlay, M; Watson, M; Nicolson, V; Webb, A; Middleton, G; Ahmed, F; Hickish, T; Et, Al.&lt;/Author&gt;&lt;Year&gt;1995&lt;/Year&gt;&lt;Details&gt;&lt;_accession_num&gt;7666089&lt;/_accession_num&gt;&lt;_author_adr&gt;Cancer Research Campaign, Royal Marsden Hospital, Sutton, Surrey, United Kingdom.&lt;/_author_adr&gt;&lt;_date_display&gt;1995 Sep&lt;/_date_display&gt;&lt;_date&gt;1995-09-01&lt;/_date&gt;&lt;_doi&gt;10.1200/JCO.1995.13.9.2317&lt;/_doi&gt;&lt;_isbn&gt;0732-183X (Print); 0732-183X (Linking)&lt;/_isbn&gt;&lt;_issue&gt;9&lt;/_issue&gt;&lt;_journal&gt;J Clin Oncol&lt;/_journal&gt;&lt;_language&gt;eng&lt;/_language&gt;&lt;_pages&gt;2317-23&lt;/_pages&gt;&lt;_subject_headings&gt;Adolescent; Adult; Aged; Alopecia/etiology; Chi-Square Distribution; Colorectal Neoplasms/mortality/rehabilitation/*therapy; Combined Modality Therapy; Disease-Free Survival; Female; Fluorouracil/*administration &amp;amp; dosage/adverse effects; Humans; Infusions, Intravenous; Interferon alpha-2; Interferon-alpha/adverse effects/*therapeutic use; Leukopenia/etiology; Male; Middle Aged; Mouth Mucosa; Prospective Studies; *Quality of Life; Recombinant Proteins; Remission Induction; Stomatitis/etiology; Survival Rate&lt;/_subject_headings&gt;&lt;_tertiary_title&gt;Journal of clinical oncology : official journal of the American Society of _x000d__x000a_      Clinical Oncology&lt;/_tertiary_title&gt;&lt;_type_work&gt;Clinical Trial; Journal Article; Randomized Controlled Trial; Research Support, Non-U.S. Gov&amp;apos;t&lt;/_type_work&gt;&lt;_url&gt;http://www.ncbi.nlm.nih.gov/entrez/query.fcgi?cmd=Retrieve&amp;amp;db=pubmed&amp;amp;dopt=Abstract&amp;amp;list_uids=7666089&amp;amp;query_hl=1&lt;/_url&gt;&lt;_volume&gt;13&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72FA6917-4DA4-48C2-8E9E-7896DE03723B}" w:val=" ADDIN NE.Ref.{72FA6917-4DA4-48C2-8E9E-7896DE03723B}&lt;Citation&gt;&lt;Group&gt;&lt;References&gt;&lt;Item&gt;&lt;ID&gt;4704&lt;/ID&gt;&lt;UID&gt;{E5D060E0-105D-42BA-85B8-4491B0823450}&lt;/UID&gt;&lt;Title&gt;Health-related quality of life in patients with microsatellite instability-high  or mismatch repair deficient metastatic colorectal cancer treated with first-line  pembrolizumab versus chemotherapy (KEYNOTE-177): an open-label, randomised, phase  3 trial&lt;/Title&gt;&lt;Template&gt;Journal Article&lt;/Template&gt;&lt;Star&gt;0&lt;/Star&gt;&lt;Tag&gt;0&lt;/Tag&gt;&lt;Author&gt;Andre, T; Amonkar, M; Norquist, J M; Shiu, K K; Kim, T W; Jensen, B V; Jensen, L H; Punt, CJA; Smith, D; Garcia-Carbonero, R; Sevilla, I; De La Fouchardiere, C; Rivera, F; Elez, E; Diaz, LA Jr; Yoshino, T; Van Cutsem, E; Yang, P; Farooqui, M; &amp;quot;Le DT&amp;quot;&lt;/Author&gt;&lt;Year&gt;2021&lt;/Year&gt;&lt;Details&gt;&lt;_accession_num&gt;33812497&lt;/_accession_num&gt;&lt;_author_adr&gt;Sorbonne Université and Hõpital Saint-Antoine, Paris, France. Electronic address:  thierry.andre@aphp.fr.; Merck &amp;amp; Co, Kenilworth, NJ, USA.; Merck &amp;amp; Co, Kenilworth, NJ, USA.; University College Hospital, NHS Foundation Trust, London, UK.; Department of Oncology, Asan Medical Center, University of Ulsan College of  Medicine, Seoul, South Korea.; Herlev og Gentofte Hospital, Herlev, Denmark.; University Hospital of Southern Denmark, Vejle, Denmark.; Amsterdam University Medical Center, University of Amsterdam, Amsterdam,  Netherlands; Julius Center, University Medical Center Utrecht, Utrecht  University, Netherlands.; Hopital Haut Leveque, Pessac, France.; Hospital Universitario 12 de Octubre, Imas12, UCM, Madrid, Spain.; Investigación Clínica y Traslacional en Cáncer, Instituto de Investigaciones  Biomédicas de Málaga, Hospitales Universitarios Regional y Virgen de la Victoria  de Málaga, Malaga, Spain.; Centre Leon Berard, Lyon, France.; Hospital Universitario M de Valdecilla, IDIVAL, Santander, Spain.; Vall d&amp;apos;Hebron Barcelona Hospital Campus, Vall d&amp;apos;Hebron Institute of Oncology,  Universitat Autonoma de Barcelona, Barcelona, Spain.; Memorial Sloan Kettering Cancer Center, New York, NY, USA.; National Cancer Center Hospital East, Kashiwa, Japan.; University Hospitals Gasthuisberg/Leuven and KU Leuven, Leuven, Belgium.; MSD China, Shanghai, China.; Merck &amp;amp; Co, Kenilworth, NJ, USA.; Sidney Kimmel Comprehensive Cancer Center, Johns Hopkins University, Baltimore,  MD, USA.&lt;/_author_adr&gt;&lt;_date_display&gt;2021 May&lt;/_date_display&gt;&lt;_date&gt;2021-05-01&lt;/_date&gt;&lt;_doi&gt;10.1016/S1470-2045(21)00064-4&lt;/_doi&gt;&lt;_isbn&gt;1474-5488 (Electronic); 1470-2045 (Linking)&lt;/_isbn&gt;&lt;_issue&gt;5&lt;/_issue&gt;&lt;_journal&gt;Lancet Oncol&lt;/_journal&gt;&lt;_language&gt;eng&lt;/_language&gt;&lt;_ori_publication&gt;Copyright © 2021 Elsevier Ltd. All rights reserved.&lt;/_ori_publication&gt;&lt;_pages&gt;665-677&lt;/_pages&gt;&lt;_subject_headings&gt;Adult; Aged; Antibodies, Monoclonal, Humanized/*therapeutic use; Brain Neoplasms/*drug therapy/genetics/mortality/psychology; Colorectal Neoplasms/*drug therapy/genetics/mortality/psychology; DNA Mismatch Repair; Female; Humans; Male; *Microsatellite Instability; Middle Aged; Neoplasm Metastasis; Neoplastic Syndromes, Hereditary/*drug therapy/genetics/mortality/psychology; *Quality of Lif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33812497&amp;amp;query_hl=1&lt;/_url&gt;&lt;_volume&gt;22&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Citation&gt;_x000a_"/>
    <w:docVar w:name="NE.Ref{73FDF603-041D-49C8-B9FB-5ED347ED2AC1}" w:val=" ADDIN NE.Ref.{73FDF603-041D-49C8-B9FB-5ED347ED2AC1}&lt;Citation&gt;&lt;Group&gt;&lt;References&gt;&lt;Item&gt;&lt;ID&gt;4878&lt;/ID&gt;&lt;UID&gt;{973BE6D7-A6FE-48D7-85F9-F365152127BE}&lt;/UID&gt;&lt;Title&gt;The PRISMA extension statement for reporting of systematic reviews incorporating  network meta-analyses of health care interventions: checklist and explanations&lt;/Title&gt;&lt;Template&gt;Journal Article&lt;/Template&gt;&lt;Star&gt;0&lt;/Star&gt;&lt;Tag&gt;0&lt;/Tag&gt;&lt;Author&gt;Hutton, B; Salanti, G; Caldwell, D M; Chaimani, A; Schmid, C H; Cameron, C; Ioannidis, J P; Straus, S; Thorlund, K; Jansen, J P; Mulrow, C; Catalá-López, F; Gøtzsche, P C; Dickersin, K; Boutron, I; Altman, D G; Moher, D&lt;/Author&gt;&lt;Year&gt;2015&lt;/Year&gt;&lt;Details&gt;&lt;_accession_num&gt;26030634&lt;/_accession_num&gt;&lt;_date_display&gt;2015 Jun 2&lt;/_date_display&gt;&lt;_date&gt;2015-06-02&lt;/_date&gt;&lt;_doi&gt;10.7326/M14-2385&lt;/_doi&gt;&lt;_isbn&gt;1539-3704 (Electronic); 0003-4819 (Linking)&lt;/_isbn&gt;&lt;_issue&gt;11&lt;/_issue&gt;&lt;_journal&gt;Ann Intern Med&lt;/_journal&gt;&lt;_language&gt;eng&lt;/_language&gt;&lt;_pages&gt;777-84&lt;/_pages&gt;&lt;_subject_headings&gt;*Checklist; Evidence-Based Medicine/standards; Humans; *Meta-Analysis as Topic; Publishing/*standards; Quality Control; *Review Literature as Topic; Terminology as Topic&lt;/_subject_headings&gt;&lt;_tertiary_title&gt;Annals of internal medicine&lt;/_tertiary_title&gt;&lt;_type_work&gt;Guideline; Journal Article; Research Support, Non-U.S. Gov&amp;apos;t&lt;/_type_work&gt;&lt;_url&gt;http://www.ncbi.nlm.nih.gov/entrez/query.fcgi?cmd=Retrieve&amp;amp;db=pubmed&amp;amp;dopt=Abstract&amp;amp;list_uids=26030634&amp;amp;query_hl=1&lt;/_url&gt;&lt;_volume&gt;162&lt;/_volume&gt;&lt;_created&gt;65089356&lt;/_created&gt;&lt;_modified&gt;65089356&lt;/_modified&gt;&lt;_impact_factor&gt;  51.598&lt;/_impact_factor&gt;&lt;_social_category&gt;医学(1)&lt;/_social_category&gt;&lt;_collection_scope&gt;SCIE&lt;/_collection_scope&gt;&lt;/Details&gt;&lt;Extra&gt;&lt;DBUID&gt;{F96A950B-833F-4880-A151-76DA2D6A2879}&lt;/DBUID&gt;&lt;/Extra&gt;&lt;/Item&gt;&lt;/References&gt;&lt;/Group&gt;&lt;/Citation&gt;_x000a_"/>
    <w:docVar w:name="NE.Ref{74E85E48-9840-4501-8867-7C16E6E7B3D4}" w:val=" ADDIN NE.Ref.{74E85E48-9840-4501-8867-7C16E6E7B3D4}&lt;Citation&gt;&lt;Group&gt;&lt;References&gt;&lt;Item&gt;&lt;ID&gt;4733&lt;/ID&gt;&lt;UID&gt;{07226204-2A23-4E30-8A40-C1B94CAD95D7}&lt;/UID&gt;&lt;Title&gt;Folic acid supplementation and malaria susceptibility and severity among people  taking antifolate antimalarial drugs in endemic areas&lt;/Title&gt;&lt;Template&gt;Journal Article&lt;/Template&gt;&lt;Star&gt;0&lt;/Star&gt;&lt;Tag&gt;0&lt;/Tag&gt;&lt;Author&gt;Crider, K; Williams, J; Qi, Y P; Gutman, J; Yeung, L; Mai, C; Finkelstain, J; Mehta, S; Pons-Duran, C; Menéndez, C; Moraleda, C; Rogers, L; Daniels, K; Green, P&lt;/Author&gt;&lt;Year&gt;2022&lt;/Year&gt;&lt;Details&gt;&lt;_accession_num&gt;36321557&lt;/_accession_num&gt;&lt;_author_adr&gt;National Center on Birth Defects and Developmental Disabilities, US Centers for  Disease Control and Prevention, Atlanta, GA, USA.; National Center on Birth Defects and Developmental Disabilities, US Centers for  Disease Control and Prevention, Atlanta, GA, USA.; National Center on Birth Defects and Developmental Disabilities, US Centers for  Disease Control and Prevention, Atlanta, GA, USA.; Division of Parasitic Diseases &amp;amp; Malaria, Malaria Branch, Center for Global  Health, US Centers for Disease Control and Prevention (CDC), Roybal Campus,  Atlanta, GA, USA.; National Center on Birth Defects and Developmental Disabilities, US Centers for  Disease Control and Prevention, Atlanta, GA, USA.; National Center on Birth Defects and Developmental Disabilities, US Centers for  Disease Control and Prevention, Atlanta, GA, USA.; Division of Nutritional Sciences, Cornell University, Ithaca, New York, USA.; Division of Nutritional Sciences, Cornell University, Ithaca, New York, USA.; ISGlobal, Hospital Clínic Universitat de Barcelona, Barcelona, Spain.; ISGlobal, Hospital Clínic Universitat de Barcelona, Barcelona, Spain.; ISGlobal, Hospital Clínic Universitat de Barcelona, Barcelona, Spain.; Food &amp;amp; Nutrition Action in Health Systems, Department of Nutrition and Food  Safety, World Health Organization, Geneva, Switzerland.; Eagle Global Scientific LLC, Atlanta, USA.; National Center on Birth Defects and Developmental Disabilities, US Centers for  Disease Control and Prevention, Atlanta, GA, USA.&lt;/_author_adr&gt;&lt;_date_display&gt;2022 Feb 1&lt;/_date_display&gt;&lt;_date&gt;2022-02-01&lt;/_date&gt;&lt;_doi&gt;10.1002/14651858.CD014217&lt;/_doi&gt;&lt;_isbn&gt;1469-493X (Electronic); 1361-6137 (Linking)&lt;/_isbn&gt;&lt;_issue&gt;2022&lt;/_issue&gt;&lt;_journal&gt;Cochrane Database Syst Rev&lt;/_journal&gt;&lt;_language&gt;eng&lt;/_language&gt;&lt;_ori_publication&gt;Copyright © 2022 The Cochrane Collaboration. Published by John Wiley &amp;amp; Sons, Ltd.&lt;/_ori_publication&gt;&lt;_subject_headings&gt;Child; Infant; Pregnancy; Infant, Newborn; Female; Humans; Child, Preschool; *Antimalarials/therapeutic use; Sulfadoxine/therapeutic use; Pyrimethamine/therapeutic use; *Folic Acid Antagonists/therapeutic use; Birth Weight; Parasitemia/drug therapy; Vitamins; Folic Acid/therapeutic use; *Anemia/drug therapy; *Neural Tube Defects; Dietary Supplements; Iron/therapeutic use; Recurrence&lt;/_subject_headings&gt;&lt;_tertiary_title&gt;The Cochrane database of systematic reviews&lt;/_tertiary_title&gt;&lt;_type_work&gt;English Abstract; Meta-Analysis; Research Support, Non-U.S. Gov&amp;apos;t; Systematic Review&lt;/_type_work&gt;&lt;_url&gt;http://www.ncbi.nlm.nih.gov/entrez/query.fcgi?cmd=Retrieve&amp;amp;db=pubmed&amp;amp;dopt=Abstract&amp;amp;list_uids=36321557&amp;amp;query_hl=1&lt;/_url&gt;&lt;_volume&gt;2&lt;/_volume&gt;&lt;_created&gt;65021590&lt;/_created&gt;&lt;_modified&gt;65021590&lt;/_modified&gt;&lt;_impact_factor&gt;  12.008&lt;/_impact_factor&gt;&lt;_social_category&gt;医学(2)&lt;/_social_category&gt;&lt;_collection_scope&gt;SCIE&lt;/_collection_scope&gt;&lt;/Details&gt;&lt;Extra&gt;&lt;DBUID&gt;{F96A950B-833F-4880-A151-76DA2D6A2879}&lt;/DBUID&gt;&lt;/Extra&gt;&lt;/Item&gt;&lt;/References&gt;&lt;/Group&gt;&lt;/Citation&gt;_x000a_"/>
    <w:docVar w:name="NE.Ref{7561BC8A-DDA6-42E2-B581-DF4CE18D705E}" w:val=" ADDIN NE.Ref.{7561BC8A-DDA6-42E2-B581-DF4CE18D705E}&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757C88DF-3401-4EA8-8473-5DF8ABB1B877}" w:val=" ADDIN NE.Ref.{757C88DF-3401-4EA8-8473-5DF8ABB1B877}&lt;Citation&gt;&lt;Group&gt;&lt;References&gt;&lt;Item&gt;&lt;ID&gt;4714&lt;/ID&gt;&lt;UID&gt;{6A6C03BB-AA9D-4B90-98B0-5D8222C94A4C}&lt;/UID&gt;&lt;Title&gt;Health-related quality of life in patients with metastatic colorectal cancer  treated with panitumumab in first- or second-line treatment&lt;/Title&gt;&lt;Template&gt;Journal Article&lt;/Template&gt;&lt;Star&gt;0&lt;/Star&gt;&lt;Tag&gt;0&lt;/Tag&gt;&lt;Author&gt;Bennett, L; Zhao, Z; Barber, B; Zhou, X; Peeters, M; Zhang, J; Xu, F; Wiezorek, J; Douillard, J Y&lt;/Author&gt;&lt;Year&gt;2011&lt;/Year&gt;&lt;Details&gt;&lt;_accession_num&gt;21989186&lt;/_accession_num&gt;&lt;_author_adr&gt;RTI Health Solutions, 3040 East Cornwallis Road, Post Office Box 12194, Research  Triangle Park, NC 22709-2194, USA.&lt;/_author_adr&gt;&lt;_date_display&gt;2011 Nov 8&lt;/_date_display&gt;&lt;_date&gt;2011-11-08&lt;/_date&gt;&lt;_doi&gt;10.1038/bjc.2011.409&lt;/_doi&gt;&lt;_isbn&gt;1532-1827 (Electronic); 0007-0920 (Print); 0007-0920 (Linking)&lt;/_isbn&gt;&lt;_issue&gt;10&lt;/_issue&gt;&lt;_journal&gt;Br J Cancer&lt;/_journal&gt;&lt;_language&gt;eng&lt;/_language&gt;&lt;_ori_publication&gt;2011 Cancer Research UK&lt;/_ori_publication&gt;&lt;_pages&gt;1495-502&lt;/_pages&gt;&lt;_subject_headings&gt;Antibodies, Monoclonal/*therapeutic use; Antineoplastic Agents/*therapeutic use; Colorectal Neoplasms/drug therapy/pathology/*physiopathology; Female; Humans; Male; Middle Aged; Neoplasm Metastasis; Panitumumab; *Quality of Life&lt;/_subject_headings&gt;&lt;_tertiary_title&gt;British journal of cancer&lt;/_tertiary_title&gt;&lt;_type_work&gt;Journal Article; Randomized Controlled Trial; Research Support, Non-U.S. Gov&amp;apos;t&lt;/_type_work&gt;&lt;_url&gt;http://www.ncbi.nlm.nih.gov/entrez/query.fcgi?cmd=Retrieve&amp;amp;db=pubmed&amp;amp;dopt=Abstract&amp;amp;list_uids=21989186&amp;amp;query_hl=1&lt;/_url&gt;&lt;_volume&gt;105&lt;/_volume&gt;&lt;_created&gt;65020956&lt;/_created&gt;&lt;_modified&gt;65020956&lt;/_modified&gt;&lt;_impact_factor&gt;   9.075&lt;/_impact_factor&gt;&lt;_social_category&gt;医学(1)&lt;/_social_category&gt;&lt;_collection_scope&gt;SCIE&lt;/_collection_scope&gt;&lt;/Details&gt;&lt;Extra&gt;&lt;DBUID&gt;{F96A950B-833F-4880-A151-76DA2D6A2879}&lt;/DBUID&gt;&lt;/Extra&gt;&lt;/Item&gt;&lt;/References&gt;&lt;/Group&gt;&lt;/Citation&gt;_x000a_"/>
    <w:docVar w:name="NE.Ref{767BD1E7-6188-48C2-A1FB-7EA37D045426}" w:val=" ADDIN NE.Ref.{767BD1E7-6188-48C2-A1FB-7EA37D045426}&lt;Citation&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77951F32-C323-4C8A-AB42-95D2F706B833}" w:val=" ADDIN NE.Ref.{77951F32-C323-4C8A-AB42-95D2F706B833}&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780E28DE-E031-4DFA-996A-D6E2331B23CB}" w:val=" ADDIN NE.Ref.{780E28DE-E031-4DFA-996A-D6E2331B23CB}&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78691C68-6E6B-49E8-A1CE-AE428C9CDF47}" w:val=" ADDIN NE.Ref.{78691C68-6E6B-49E8-A1CE-AE428C9CDF47}&lt;Citation&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Group&gt;&lt;References&gt;&lt;Item&gt;&lt;ID&gt;5036&lt;/ID&gt;&lt;UID&gt;{F2CA6EA4-05F3-414C-BD41-AACD34657658}&lt;/UID&gt;&lt;Title&gt;Regorafenib plus best supportive care versus placebo plus best supportive care in  Asian patients with previously treated metastatic colorectal cancer (CONCUR): a  randomised, double-blind, placebo-controlled, phase 3 trial&lt;/Title&gt;&lt;Template&gt;Journal Article&lt;/Template&gt;&lt;Star&gt;0&lt;/Star&gt;&lt;Tag&gt;0&lt;/Tag&gt;&lt;Author&gt;Li, J; Qin, S; Xu, R; Yau, T C; Ma, B; Pan, H; Xu, J; Bai, Y; Chi, Y; Wang, L; Yeh, K H; Bi, F; Cheng, Y; &amp;quot;Le AT&amp;quot;; Lin, J K; Liu, T; Ma, D; Kappeler, C; Kalmus, J; Kim, T W&lt;/Author&gt;&lt;Year&gt;2015&lt;/Year&gt;&lt;Details&gt;&lt;_accession_num&gt;25981818&lt;/_accession_num&gt;&lt;_author_adr&gt;Department of Medical Oncology, Fudan University Shanghai Cancer Center, and  Department of Oncology, Shanghai Medical College, Fudan University, Shanghai,  China.; Department of Medical Oncology, Chinese People&amp;apos;s Liberation Army Cancer Center of  Nanjing Bayi Hospital, Nanjing, China.; Department of Medical Oncology, Sun Yat-Sen University Cancer Center,  Collaborative Innovation Center for Cancer Medicine, Guangzhou, China.; Department of Medicine, University of Hong Kong, Queen Mary Hospital, Hong Kong,  China.; Department of Clinical Oncology, Prince of Wales Hospital, Chinese University of  Hong Kong, Hong Kong, China.; Medical Oncology, Sir Run Run Shaw Hospital Medical School, Zhejiang University,  Hangzhou, China.; Beijing 307 People&amp;apos;s Liberation Army Hospital Cancer Centre, Beijing, China.; Third Affiliated Hospital of Harbin Medical University, Harbin, China.; Department of Medical Oncology, Cancer Hospital, Chinese Academy of Medical  Sciences, Beijing, China.; Comprehensive Cancer Center, Shanghai First People&amp;apos;s Hospital, Shanghai Jiaotong  University, Shanghai, China.; Department of Oncology, National Taiwan University Hospital, Taipei, Taiwan.; Department of Medical Oncology, West China Hospital, Sichuan University, Chengdu,  China.; Jilin Provincial Tumor Hospital, Changchun, China.; Department of Oncology, Cho Ray Hospital, Ho Chi Minh City, Vietnam.; Department of Surgery, Taipei Veterans General Hospital, National Yang-Ming  University, Taipei, Taiwan.; Department of Medical Oncology, Zhong Shan Hospital, Fudan University, Shanghai,  China.; Department of Medical Oncology, Guangdong General Hospital, Guangzhou, Guangdong,  China.; Bayer Pharma AG, Berlin, Germany.; Bayer Pharma AG, Berlin, Germany.; Department of Oncology, Asan Medical Center, University of Ulsan College of  Medicine, Songpa-gu, South Korea. Electronic address: twkimmd@amc.seoul.kr.&lt;/_author_adr&gt;&lt;_date_display&gt;2015 Jun&lt;/_date_display&gt;&lt;_date&gt;2015-06-01&lt;/_date&gt;&lt;_doi&gt;10.1016/S1470-2045(15)70156-7&lt;/_doi&gt;&lt;_isbn&gt;1474-5488 (Electronic); 1470-2045 (Linking)&lt;/_isbn&gt;&lt;_issue&gt;6&lt;/_issue&gt;&lt;_journal&gt;Lancet Oncol&lt;/_journal&gt;&lt;_language&gt;eng&lt;/_language&gt;&lt;_ori_publication&gt;Copyright © 2015 Elsevier Ltd. All rights reserved.&lt;/_ori_publication&gt;&lt;_pages&gt;619-29&lt;/_pages&gt;&lt;_subject_headings&gt;Aged; Antineoplastic Combined Chemotherapy Protocols/*administration &amp;amp; dosage; Asian People; Colorectal Neoplasms/*drug therapy/epidemiology/pathology; Disease-Free Survival; Double-Blind Method; Female; Humans; Kaplan-Meier Estimate; Male; Middle Aged; Neoplasm Metastasis; Phenylurea Compounds/*administration &amp;amp; dosage/adverse effects; Pyridines/*administration &amp;amp; dosage/adverse effects; Treatment Outcom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25981818&amp;amp;query_hl=1&lt;/_url&gt;&lt;_volume&gt;16&lt;/_volume&gt;&lt;_created&gt;65329740&lt;/_created&gt;&lt;_modified&gt;65329740&lt;/_modified&gt;&lt;_impact_factor&gt;  51.100&lt;/_impact_factor&gt;&lt;_social_category&gt;肿瘤学(1)&lt;/_social_category&gt;&lt;_collection_scope&gt;SCIE&lt;/_collection_scope&gt;&lt;/Details&gt;&lt;Extra&gt;&lt;DBUID&gt;{F96A950B-833F-4880-A151-76DA2D6A2879}&lt;/DBUID&gt;&lt;/Extra&gt;&lt;/Item&gt;&lt;/References&gt;&lt;/Group&gt;&lt;Group&gt;&lt;References&gt;&lt;Item&gt;&lt;ID&gt;5038&lt;/ID&gt;&lt;UID&gt;{E1AFF1CE-834F-47CD-AB65-9B4E05D6B565}&lt;/UID&gt;&lt;Title&gt;Effect of Fruquintinib vs Placebo on Overall Survival in Patients With Previously  Treated Metastatic Colorectal Cancer: The FRESCO Randomized Clinical Trial&lt;/Title&gt;&lt;Template&gt;Journal Article&lt;/Template&gt;&lt;Star&gt;0&lt;/Star&gt;&lt;Tag&gt;0&lt;/Tag&gt;&lt;Author&gt;Li, J; Qin, S; Xu, R H; Shen, L; Xu, J; Bai, Y; Yang, L; Deng, Y; Chen, Z D; Zhong, H; Pan, H; Guo, W; Shu, Y; Yuan, Y; Zhou, J; Xu, N; Liu, T; Ma, D; Wu, C; Cheng, Y; Chen, D; Li, W; Sun, S; Yu, Z; Cao, P; Chen, H; Wang, J; Wang, S; Wang, H; Fan, S; Hua, Y; Su, W&lt;/Author&gt;&lt;Year&gt;2018&lt;/Year&gt;&lt;Details&gt;&lt;_accession_num&gt;29946728&lt;/_accession_num&gt;&lt;_author_adr&gt;Department of Medical Oncology, Tongji University Shanghai East Hospital,  Shanghai, China.; Department of Medical Oncology, Shanghai Medical College, Fudan University  Shanghai Cancer Center, Shanghai, China.; Department of Medical Oncology, Nanjing Chinese Medicine University-Affiliated  Bayi Hospital, Nanjing, China.; Department of Medical Oncology, Sun Yat-sen University Cancer Center, State Key  Laboratory of Oncology in South China, Guangzhou, China.; Collaborative Innovation Center for Cancer Medicine, Guangzhou, China.; Department of Medical Oncology, Beijing University Cancer Center, Beijing, China.; Department of Medical Oncology, 307th Hospital of Chinese People&amp;apos;s Liberation  Army, The Affiliated Hospital of Military Medical Sciences, Beijing, China.; Department of Medical Oncology, Harbin Medical University Cancer Hospital,  Harbin, China.; Department of Medical Oncology, Nantong Cancer Hospital, Nantong, China.; Department of Medical Oncology, The Sixth Affiliated Hospital of Sun Yat-sen  University, Guangzhou, China.; Department of Medical Oncology, The Second Hospital of Anhui Medical University,  Hefei, China.; Department of Medical Oncology, Zhejiang Cancer Hospital, Hangzhou, China.; Department of Medical Oncology, Sir RunRun Shaw Hospital, College of Medicine,  Zhejiang University, Hangzhou, China.; Department of Medical Oncology, Shanghai Medical College, Fudan University  Shanghai Cancer Center, Shanghai, China.; Department of Medical Oncology, Jiangsu Provincial Hospital, Nanjing, China.; Department of Medical Oncology, The Second Affiliated Hospital of Zhejiang  University School of Medicine, Hangzhou, China.; Department of Medical Oncology, Peking Union Medical College Hospital, Beijing,  China.; Department of Medical Oncology, The First Affiliated Hospital of Zhejiang  University School of Medicine, Hangzhou, China.; Department of Medical Oncology, Fudan University Zhongshan Hospital, Shanghai  Medical College, Shanghai, China.; Department of Medical Oncology, Guangdong General Hospital, Guangzhou, China.; Department of Medical Oncology, The First People&amp;apos;s Hospital of Changzhou,  Changzhou, China.; Department of Medical Oncology, Jilin Province Cancer Hospital, Changchun, China.; Department of Medical Oncology, Shanghai Jiaotong University Affiliated First  People&amp;apos;s Hospital, Shanghai, China.; Department of Medical Oncology, The First Hospital of Jilin University,  Changchun, China.; Department of Medical Oncology, Xuzhou Central Hospital, Xuzhou, China.; Department of Medical Oncology, The Affiliated Hospital of Medical College  Qingdao University, Qingdao, China.; Department of Medical Oncology, The Third Xiangya Hospital of Central South  University, Changsha, China.; Department of Medical Oncology, Liuzhou Worker&amp;apos;s Hospital, Liuzhou, China.; Department of Medical Oncology, Shanghai Changzheng Hospital, The Second Military  Medical University, Shanghai, China.; Department of Medical Oncology, Peking University Shenzhen Hospital, Beijing  University, Shenzhen, China.; Department of Medical Oncology, The Affiliated Hospital of Xuzhou Medical  College, Xuzhou Medical College, Xuzhou, China.; Hutchison MediPharma Ltd, Shanghai, China.; Hutchison MediPharma Ltd, Shanghai, China.; Hutchison MediPharma Ltd, Shanghai, China.&lt;/_author_adr&gt;&lt;_date_display&gt;2018 Jun 26&lt;/_date_display&gt;&lt;_date&gt;2018-06-26&lt;/_date&gt;&lt;_doi&gt;10.1001/jama.2018.7855&lt;/_doi&gt;&lt;_isbn&gt;1538-3598 (Electronic); 0098-7484 (Print); 0098-7484 (Linking)&lt;/_isbn&gt;&lt;_issue&gt;24&lt;/_issue&gt;&lt;_journal&gt;JAMA&lt;/_journal&gt;&lt;_language&gt;eng&lt;/_language&gt;&lt;_pages&gt;2486-2496&lt;/_pages&gt;&lt;_subject_headings&gt;Adult; Aged; Aged, 80 and over; Antineoplastic Combined Chemotherapy Protocols/adverse effects/*therapeutic use; Benzofurans/*administration &amp;amp; dosage/adverse effects; China; Colorectal Neoplasms/*drug therapy/mortality/pathology/therapy; Combined Modality Therapy; Double-Blind Method; Female; Humans; Intention to Treat Analysis; Male; Middle Aged; Quinazolines/*administration &amp;amp; dosage/adverse effects; Survival Analysis; Vascular Endothelial Growth Factor A/*antagonists &amp;amp; inhibitors; Young Adult&lt;/_subject_headings&gt;&lt;_tertiary_title&gt;JAMA&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946728&amp;amp;query_hl=1&lt;/_url&gt;&lt;_volume&gt;319&lt;/_volume&gt;&lt;_created&gt;65329740&lt;/_created&gt;&lt;_modified&gt;65329740&lt;/_modified&gt;&lt;_impact_factor&gt; 120.700&lt;/_impact_factor&gt;&lt;_social_category&gt;医学：内科(1)&lt;/_social_category&gt;&lt;_collection_scope&gt;SCIE&lt;/_collection_scope&gt;&lt;_accessed&gt;65330873&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7892786D-9EA2-4C9B-AFE9-AA372851E040}" w:val=" ADDIN NE.Ref.{7892786D-9EA2-4C9B-AFE9-AA372851E040}&lt;Citation&gt;&lt;Group&gt;&lt;References&gt;&lt;Item&gt;&lt;ID&gt;3017&lt;/ID&gt;&lt;UID&gt;{B7E83D5C-E74F-4890-A8D5-C43325E06427}&lt;/UID&gt;&lt;Title&gt;319O ALTA-3: A randomized trial of brigatinib (BRG) vs alectinib (ALC) in crizotinib (CRZ)-refractory advanced ALK+ NSCLC&lt;/Title&gt;&lt;Template&gt;Journal Article&lt;/Template&gt;&lt;Star&gt;0&lt;/Star&gt;&lt;Tag&gt;0&lt;/Tag&gt;&lt;Author&gt;Yang, J C-H.; Liu, G; Lu, S; He, J; Burotto, M; Vincent, S; Yin, J; Ma, X; Popat, S&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6&lt;/_doi&gt;&lt;_impact_factor&gt;  51.769&lt;/_impact_factor&gt;&lt;_isbn&gt;0923-7534&lt;/_isbn&gt;&lt;_journal&gt;Annals of Oncology&lt;/_journal&gt;&lt;_modified&gt;64740730&lt;/_modified&gt;&lt;_pages&gt;S1564&lt;/_pages&gt;&lt;_social_category&gt;医学(1)&lt;/_social_category&gt;&lt;_url&gt;https://www.sciencedirect.com/science/article/pii/S0923753422045471&lt;/_url&gt;&lt;_volume&gt;33&lt;/_volume&gt;&lt;/Details&gt;&lt;Extra&gt;&lt;DBUID&gt;{F96A950B-833F-4880-A151-76DA2D6A2879}&lt;/DBUID&gt;&lt;/Extra&gt;&lt;/Item&gt;&lt;/References&gt;&lt;/Group&gt;&lt;Group&gt;&lt;References&gt;&lt;Item&gt;&lt;ID&gt;3013&lt;/ID&gt;&lt;UID&gt;{DDF77562-F5F9-4F91-93AD-71B2DFC51B31}&lt;/UID&gt;&lt;Title&gt;320MO Envonalkib vs crizotinib in treatment-naïve advanced ALK-positive NSCLC: A randomized, multicenter, phase III trial&lt;/Title&gt;&lt;Template&gt;Journal Article&lt;/Template&gt;&lt;Star&gt;0&lt;/Star&gt;&lt;Tag&gt;0&lt;/Tag&gt;&lt;Author&gt;Zhang, L; Fang, W; Min, J; Yang, N; Yu, Q; Cheng, Y; Zhao, Y; Li, M; Chen, H; Ren, S; Zhou, J; Zhuang, W; Qin, X; Cao, L; Yu, Y; Zhang, J; He, J; Feng, J; Yu, H&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7&lt;/_doi&gt;&lt;_impact_factor&gt;  51.769&lt;/_impact_factor&gt;&lt;_isbn&gt;0923-7534&lt;/_isbn&gt;&lt;_journal&gt;Annals of Oncology&lt;/_journal&gt;&lt;_modified&gt;64740730&lt;/_modified&gt;&lt;_pages&gt;S1564-S1565&lt;/_pages&gt;&lt;_social_category&gt;医学(1)&lt;/_social_category&gt;&lt;_url&gt;https://www.sciencedirect.com/science/article/pii/S0923753422045483&lt;/_url&gt;&lt;_volume&gt;33&lt;/_volume&gt;&lt;/Details&gt;&lt;Extra&gt;&lt;DBUID&gt;{F96A950B-833F-4880-A151-76DA2D6A2879}&lt;/DBUID&gt;&lt;/Extra&gt;&lt;/Item&gt;&lt;/References&gt;&lt;/Group&gt;&lt;Group&gt;&lt;References&gt;&lt;Item&gt;&lt;ID&gt;3016&lt;/ID&gt;&lt;UID&gt;{B4CEAAA1-F94B-4D26-88B7-DA67ADBFAC6D}&lt;/UID&gt;&lt;Title&gt;Ceritinib versus chemotherapy in patients with ALK-rearranged non-small-cell lung cancer previously given chemotherapy and crizotinib (ASCEND-5): a randomised, controlled, open-label, phase 3 trial&lt;/Title&gt;&lt;Template&gt;Journal Article&lt;/Template&gt;&lt;Star&gt;1&lt;/Star&gt;&lt;Tag&gt;0&lt;/Tag&gt;&lt;Author&gt;Shaw, A T; Kim, T M; Crino, L; Gridelli, C; Kiura, K; Liu, G; Novello, S; Bearz, A; Gautschi, O; Mok, T; Nishio, M; Scagliotti, G; Spigel, D R; Deudon, S; Zheng, C; Pantano, S; Urban, P; Massacesi, C; Viraswami-Appanna, K; Felip, E&lt;/Author&gt;&lt;Year&gt;2017&lt;/Year&gt;&lt;Details&gt;&lt;_accessed&gt;64632463&lt;/_accessed&gt;&lt;_accession_num&gt;28602779&lt;/_accession_num&gt;&lt;_author_adr&gt;Massachusetts General Hospital, Boston, MA, USA. Electronic address: ashaw1@mgh.harvard.edu.; Seoul National University Hospital, Seoul, Korea.; Istituto Scientifico Romagnolo per lo Studio e la Cura dei Tumori, Istituto di Ricovero e Cura a Carattere Scientifico, Meldola, Italy.; SG Moscati Hospital, Citta Ospedaliera, Contrada Amoretta, Avellino, Italy.; Okayama University Hospital, Okayama, Japan.; Princess Margaret Cancer Centre, Toronto, ON, Canada.; University of Torino, Torino, Italy.; Istituto di Ricovero e Cura a Carattere Scientifico-Centro di Riferimento Oncologico, Aviano, Italy.; Cantonal Hospital Lucerne, Lucerne, Switzerland.; State Key Laboratory of South China, Chinese University of Hong Kong, Shatin, China.; Cancer Institute Hospital of Japanese Foundation for Cancer Research, Tokyo, Japan.; University of Torino, Torino, Italy.; Sarah Cannon Research Institute, Nashville, TN, USA.; Novartis, Basel, Switzerland.; Novartis, East Hanover, NJ, USA.; Novartis, Basel, Switzerland.; Novartis, Basel, Switzerland.; Novartis, Basel, Switzerland.; Novartis, East Hanover, NJ, USA.; Vall d&amp;apos;Hebron University Hospital, Barcelona, Spain; Vall d&amp;apos;Hebron Institute of Oncology, Barcelona, Spain.&lt;/_author_adr&gt;&lt;_collection_scope&gt;SCIE&lt;/_collection_scope&gt;&lt;_created&gt;64630954&lt;/_created&gt;&lt;_date&gt;2017-07-01&lt;/_date&gt;&lt;_date_display&gt;2017 Jul&lt;/_date_display&gt;&lt;_db_updated&gt;PubMed&lt;/_db_updated&gt;&lt;_doi&gt;10.1016/S1470-2045(17)30339-X&lt;/_doi&gt;&lt;_impact_factor&gt;  54.433&lt;/_impact_factor&gt;&lt;_isbn&gt;1474-5488 (Electronic); 1470-2045 (Linking)&lt;/_isbn&gt;&lt;_issue&gt;7&lt;/_issue&gt;&lt;_journal&gt;Lancet Oncol&lt;/_journal&gt;&lt;_language&gt;eng&lt;/_language&gt;&lt;_modified&gt;64740730&lt;/_modified&gt;&lt;_ori_publication&gt;Copyright (c) 2017 Elsevier Ltd. All rights reserved.&lt;/_ori_publication&gt;&lt;_pages&gt;874-886&lt;/_pages&gt;&lt;_social_category&gt;医学(1)&lt;/_social_category&gt;&lt;_subject_headings&gt;Adult; Alanine Transaminase/blood; Anaplastic Lymphoma Kinase; Antineoplastic Agents/*therapeutic use; Antineoplastic Combined Chemotherapy Protocols/therapeutic use; Aspartate Aminotransferases/blood; Carcinoma, Non-Small-Cell Lung/*drug therapy/genetics/secondary; Crizotinib; Disease Progression; Disease-Free Survival; Docetaxel; Female; Gene Rearrangement; Humans; Lung Neoplasms/*drug therapy/genetics/pathology; Male; Middle Aged; Neoplasm Staging; Pemetrexed/*therapeutic use; Platinum Compounds/administration &amp;amp; dosage; Pyrazoles/therapeutic use; Pyridines/therapeutic use; Pyrimidines/adverse effects/*therapeutic use; Receptor Protein-Tyrosine Kinases/*genetics; Response Evaluation Criteria in Solid Tumors; Retreatment; Sulfones/adverse effects/*therapeutic use; Taxoids/*therapeutic use; gamma-Glutamyltransferase/blood&lt;/_subject_headings&gt;&lt;_tertiary_title&gt;The Lancet. Oncology&lt;/_tertiary_title&gt;&lt;_type_work&gt;Clinical Trial, Phase III; Comparative Study; Journal Article; Multicenter Study; Randomized Controlled Trial&lt;/_type_work&gt;&lt;_url&gt;http://www.ncbi.nlm.nih.gov/entrez/query.fcgi?cmd=Retrieve&amp;amp;db=pubmed&amp;amp;dopt=Abstract&amp;amp;list_uids=28602779&amp;amp;query_hl=1&lt;/_url&gt;&lt;_volume&gt;18&lt;/_volume&gt;&lt;/Details&gt;&lt;Extra&gt;&lt;DBUID&gt;{F96A950B-833F-4880-A151-76DA2D6A2879}&lt;/DBUID&gt;&lt;/Extra&gt;&lt;/Item&gt;&lt;/References&gt;&lt;/Group&gt;&lt;Group&gt;&lt;References&gt;&lt;Item&gt;&lt;ID&gt;3018&lt;/ID&gt;&lt;UID&gt;{D71F9B2B-4620-4936-AA79-2D51F38A3C1A}&lt;/UID&gt;&lt;Title&gt;Crizotinib versus chemotherapy in advanced ALK-positive lung cancer&lt;/Title&gt;&lt;Template&gt;Journal Article&lt;/Template&gt;&lt;Star&gt;1&lt;/Star&gt;&lt;Tag&gt;0&lt;/Tag&gt;&lt;Author&gt;Shaw, A T; Kim, D W; Nakagawa, K; Seto, T; Crino, L; Ahn, M J; De Pas, T; Besse, B; Solomon, B J; Blackhall, F; Wu, Y L; Thomas, M; O&amp;apos;Byrne, K J; Moro-Sibilot, D; Camidge, D R; Mok, T; Hirsh, V; Riely, G J; Iyer, S; Tassell, V; Polli, A; Wilner, K D; Janne, P A&lt;/Author&gt;&lt;Year&gt;2013&lt;/Year&gt;&lt;Details&gt;&lt;_accessed&gt;64632466&lt;/_accessed&gt;&lt;_accession_num&gt;23724913&lt;/_accession_num&gt;&lt;_author_adr&gt;Massachusetts General Hospital, Boston, MA 02114, USA. ashaw1@partners.org&lt;/_author_adr&gt;&lt;_collection_scope&gt;SCIE&lt;/_collection_scope&gt;&lt;_created&gt;64630997&lt;/_created&gt;&lt;_date&gt;2013-06-20&lt;/_date&gt;&lt;_date_display&gt;2013 Jun 20&lt;/_date_display&gt;&lt;_db_updated&gt;PubMed&lt;/_db_updated&gt;&lt;_doi&gt;10.1056/NEJMoa1214886&lt;/_doi&gt;&lt;_impact_factor&gt; 176.079&lt;/_impact_factor&gt;&lt;_isbn&gt;1533-4406 (Electronic); 0028-4793 (Linking)&lt;/_isbn&gt;&lt;_issue&gt;25&lt;/_issue&gt;&lt;_journal&gt;N Engl J Med&lt;/_journal&gt;&lt;_language&gt;eng&lt;/_language&gt;&lt;_modified&gt;64740730&lt;/_modified&gt;&lt;_pages&gt;2385-94&lt;/_pages&gt;&lt;_social_category&gt;医学(1)&lt;/_social_category&gt;&lt;_subject_headings&gt;Adult; Aged; Aged, 80 and over; Antineoplastic Agents/adverse effects/*therapeutic use; Carcinoma, Non-Small-Cell Lung/*drug therapy/mortality; Crizotinib; Disease-Free Survival; Docetaxel; Female; Glutamates/adverse effects/therapeutic use; Guanine/adverse effects/analogs &amp;amp; derivatives/therapeutic use; Humans; Kaplan-Meier Estimate; Lung Neoplasms/*drug therapy/mortality; Male; Middle Aged; Pemetrexed; Protein Kinase Inhibitors/adverse effects/*therapeutic use; Pyrazoles/adverse effects/*therapeutic use; Pyridines/adverse effects/*therapeutic use; Quality of Life; Taxoids/adverse effects/therapeutic use; Young Adult&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3724913&amp;amp;query_hl=1&lt;/_url&gt;&lt;_volume&gt;368&lt;/_volume&gt;&lt;/Details&gt;&lt;Extra&gt;&lt;DBUID&gt;{F96A950B-833F-4880-A151-76DA2D6A2879}&lt;/DBUID&gt;&lt;/Extra&gt;&lt;/Item&gt;&lt;/References&gt;&lt;/Group&gt;&lt;Group&gt;&lt;References&gt;&lt;Item&gt;&lt;ID&gt;2946&lt;/ID&gt;&lt;UID&gt;{53D20E6C-F297-4218-8BF2-B4924E9D09F0}&lt;/UID&gt;&lt;Title&gt;Matching-Adjusted Indirect Comparisons of Lorlatinib Versus Chemotherapy for  Patients With Second-Line or Later Anaplastic Lymphoma Kinase-Positive Non-Small  Cell Lung Cancer&lt;/Title&gt;&lt;Template&gt;Journal Article&lt;/Template&gt;&lt;Star&gt;0&lt;/Star&gt;&lt;Tag&gt;0&lt;/Tag&gt;&lt;Author&gt;Smith, S; Albuquerque, De Almeida F; Ines, M; Iadeluca, L; Cooper, M&lt;/Author&gt;&lt;Year&gt;2023&lt;/Year&gt;&lt;Details&gt;&lt;_accession_num&gt;35985941&lt;/_accession_num&gt;&lt;_author_adr&gt;BresMed Health Solutions, Sheffield, England, UK.; Pfizer Portugal, Porto Salvo, Portugal.; Pfizer Portugal, Porto Salvo, Portugal. Electronic address:  monica.ines@pfizer.com.; Pfizer Inc, New York, NY, USA.; BresMed Health Solutions, Sheffield, England, UK.&lt;/_author_adr&gt;&lt;_collection_scope&gt;SSCI;SCIE&lt;/_collection_scope&gt;&lt;_created&gt;64739398&lt;/_created&gt;&lt;_date&gt;2023-01-01&lt;/_date&gt;&lt;_date_display&gt;2023 Jan&lt;/_date_display&gt;&lt;_db_updated&gt;PubMed&lt;/_db_updated&gt;&lt;_doi&gt;10.1016/j.jval.2022.07.002&lt;/_doi&gt;&lt;_impact_factor&gt;   5.101&lt;/_impact_factor&gt;&lt;_isbn&gt;1524-4733 (Electronic); 1098-3015 (Linking)&lt;/_isbn&gt;&lt;_issue&gt;1&lt;/_issue&gt;&lt;_journal&gt;Value Health&lt;/_journal&gt;&lt;_keywords&gt;ALK-positive; chemotherapy; indirect treatment comparison; lorlatinib; non-small cell lung cancer&lt;/_keywords&gt;&lt;_language&gt;eng&lt;/_language&gt;&lt;_modified&gt;64740725&lt;/_modified&gt;&lt;_ori_publication&gt;Copyright (c) 2022. Published by Elsevier Inc.&lt;/_ori_publication&gt;&lt;_pages&gt;64-70&lt;/_pages&gt;&lt;_social_category&gt;医学(2)&lt;/_social_category&gt;&lt;_subject_headings&gt;Humans; *Carcinoma, Non-Small-Cell Lung/drug therapy; Anaplastic Lymphoma Kinase/therapeutic use; Docetaxel/therapeutic use; Pemetrexed/therapeutic use; *Lung Neoplasms/drug therapy; Lactams, Macrocyclic/adverse effects; Protein Kinase Inhibitors/therapeutic use&lt;/_subject_headings&gt;&lt;_tertiary_title&gt;Value in health : the journal of the International Society for Pharmacoeconomics _x000d__x000a_      and Outcomes Research&lt;/_tertiary_title&gt;&lt;_type_work&gt;Journal Article; Systematic Review&lt;/_type_work&gt;&lt;_url&gt;http://www.ncbi.nlm.nih.gov/entrez/query.fcgi?cmd=Retrieve&amp;amp;db=pubmed&amp;amp;dopt=Abstract&amp;amp;list_uids=35985941&amp;amp;query_hl=1&lt;/_url&gt;&lt;_volume&gt;26&lt;/_volume&gt;&lt;/Details&gt;&lt;Extra&gt;&lt;DBUID&gt;{F96A950B-833F-4880-A151-76DA2D6A2879}&lt;/DBUID&gt;&lt;/Extra&gt;&lt;/Item&gt;&lt;/References&gt;&lt;/Group&gt;&lt;/Citation&gt;_x000a_"/>
    <w:docVar w:name="NE.Ref{7978D9EF-CD96-4E5A-8EE6-9F3CE7996169}" w:val=" ADDIN NE.Ref.{7978D9EF-CD96-4E5A-8EE6-9F3CE7996169}&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Citation&gt;_x000a_"/>
    <w:docVar w:name="NE.Ref{7AC5E797-272C-4087-A201-9236B778D1C4}" w:val=" ADDIN NE.Ref.{7AC5E797-272C-4087-A201-9236B778D1C4}&lt;Citation&gt;&lt;Group&gt;&lt;References&gt;&lt;Item&gt;&lt;ID&gt;5040&lt;/ID&gt;&lt;UID&gt;{717BD1CF-CD3B-48EC-B523-80C0C3A00305}&lt;/UID&gt;&lt;Title&gt;Health state utilities for metastatic breast cancer&lt;/Title&gt;&lt;Template&gt;Journal Article&lt;/Template&gt;&lt;Star&gt;0&lt;/Star&gt;&lt;Tag&gt;0&lt;/Tag&gt;&lt;Author&gt;Lloyd, A; Nafees, B; Narewska, J; Dewilde, S; Watkins, J&lt;/Author&gt;&lt;Year&gt;2006&lt;/Year&gt;&lt;Details&gt;&lt;_accession_num&gt;16967055&lt;/_accession_num&gt;&lt;_author_adr&gt;United BioSource Corporation, 20 Bloomsbury Square, London WC1A 2NS, UK.  andrew.lloyd@unitedbiosource.com&lt;/_author_adr&gt;&lt;_date_display&gt;2006 Sep 18&lt;/_date_display&gt;&lt;_date&gt;2006-09-18&lt;/_date&gt;&lt;_doi&gt;10.1038/sj.bjc.6603326&lt;/_doi&gt;&lt;_isbn&gt;0007-0920 (Print); 1532-1827 (Electronic); 0007-0920 (Linking)&lt;/_isbn&gt;&lt;_issue&gt;6&lt;/_issue&gt;&lt;_journal&gt;Br J Cancer&lt;/_journal&gt;&lt;_language&gt;eng&lt;/_language&gt;&lt;_pages&gt;683-90&lt;/_pages&gt;&lt;_subject_headings&gt;Adult; Age Factors; *Attitude to Health; Breast Neoplasms/drug therapy/epidemiology/*psychology; Disease Progression; Female; *Health Status; Humans; Male; Pilot Projects; *Quality of Life; Recurrence; Sex Factors; *Sickness Impact Profile; United Kingdom/epidemiology&lt;/_subject_headings&gt;&lt;_tertiary_title&gt;British journal of cancer&lt;/_tertiary_title&gt;&lt;_type_work&gt;Comparative Study; Journal Article&lt;/_type_work&gt;&lt;_url&gt;http://www.ncbi.nlm.nih.gov/entrez/query.fcgi?cmd=Retrieve&amp;amp;db=pubmed&amp;amp;dopt=Abstract&amp;amp;list_uids=16967055&amp;amp;query_hl=1&lt;/_url&gt;&lt;_volume&gt;95&lt;/_volume&gt;&lt;_created&gt;65329740&lt;/_created&gt;&lt;_modified&gt;65329740&lt;/_modified&gt;&lt;_impact_factor&gt;   8.800&lt;/_impact_factor&gt;&lt;_social_category&gt;肿瘤学(2)&lt;/_social_category&gt;&lt;_collection_scope&gt;SCIE&lt;/_collection_scope&gt;&lt;_accessed&gt;65330884&lt;/_accessed&gt;&lt;/Details&gt;&lt;Extra&gt;&lt;DBUID&gt;{F96A950B-833F-4880-A151-76DA2D6A2879}&lt;/DBUID&gt;&lt;/Extra&gt;&lt;/Item&gt;&lt;/References&gt;&lt;/Group&gt;&lt;/Citation&gt;_x000a_"/>
    <w:docVar w:name="NE.Ref{7BD2311C-1A5E-4448-B7CF-5F5FEAEC8624}" w:val=" ADDIN NE.Ref.{7BD2311C-1A5E-4448-B7CF-5F5FEAEC8624}&lt;Citation&gt;&lt;Group&gt;&lt;References&gt;&lt;Item&gt;&lt;ID&gt;5019&lt;/ID&gt;&lt;UID&gt;{443D8660-0E79-4CC3-9241-4472B0EDEF70}&lt;/UID&gt;&lt;Title&gt;VA Federal Supply Schedule Price. https://www.vendorportal.ecms.va.gov/NAC/Pharma/List,Feb 1, 2024&lt;/Title&gt;&lt;Template&gt;Web Page&lt;/Template&gt;&lt;Star&gt;0&lt;/Star&gt;&lt;Tag&gt;0&lt;/Tag&gt;&lt;Author/&gt;&lt;Year&gt;0&lt;/Year&gt;&lt;Details&gt;&lt;_accessed&gt;65330783&lt;/_accessed&gt;&lt;_created&gt;65329707&lt;/_created&gt;&lt;_modified&gt;65329711&lt;/_modified&gt;&lt;/Details&gt;&lt;Extra&gt;&lt;DBUID&gt;{F96A950B-833F-4880-A151-76DA2D6A2879}&lt;/DBUID&gt;&lt;/Extra&gt;&lt;/Item&gt;&lt;/References&gt;&lt;/Group&gt;&lt;/Citation&gt;_x000a_"/>
    <w:docVar w:name="NE.Ref{7C2470D3-D8A2-4180-98E1-F0E5E99F40CC}" w:val=" ADDIN NE.Ref.{7C2470D3-D8A2-4180-98E1-F0E5E99F40CC}&lt;Citation&gt;&lt;Group&gt;&lt;References&gt;&lt;Item&gt;&lt;ID&gt;5024&lt;/ID&gt;&lt;UID&gt;{92A69443-DEB5-4742-9D1E-2BA3CD918B1A}&lt;/UID&gt;&lt;Title&gt;Assuming consistency with TAS-102&lt;/Title&gt;&lt;Template&gt;Web Page&lt;/Template&gt;&lt;Star&gt;0&lt;/Star&gt;&lt;Tag&gt;0&lt;/Tag&gt;&lt;Author/&gt;&lt;Year&gt;0&lt;/Year&gt;&lt;Details&gt;&lt;_accessed&gt;65330880&lt;/_accessed&gt;&lt;_created&gt;65329725&lt;/_created&gt;&lt;_modified&gt;65329740&lt;/_modified&gt;&lt;/Details&gt;&lt;Extra&gt;&lt;DBUID&gt;{F96A950B-833F-4880-A151-76DA2D6A2879}&lt;/DBUID&gt;&lt;/Extra&gt;&lt;/Item&gt;&lt;/References&gt;&lt;/Group&gt;&lt;/Citation&gt;_x000a_"/>
    <w:docVar w:name="NE.Ref{7D2E796A-8687-41AC-8FF8-B8ABF8C46737}" w:val=" ADDIN NE.Ref.{7D2E796A-8687-41AC-8FF8-B8ABF8C46737}&lt;Citation&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Group&gt;&lt;References&gt;&lt;Item&gt;&lt;ID&gt;5036&lt;/ID&gt;&lt;UID&gt;{F2CA6EA4-05F3-414C-BD41-AACD34657658}&lt;/UID&gt;&lt;Title&gt;Regorafenib plus best supportive care versus placebo plus best supportive care in  Asian patients with previously treated metastatic colorectal cancer (CONCUR): a  randomised, double-blind, placebo-controlled, phase 3 trial&lt;/Title&gt;&lt;Template&gt;Journal Article&lt;/Template&gt;&lt;Star&gt;0&lt;/Star&gt;&lt;Tag&gt;0&lt;/Tag&gt;&lt;Author&gt;Li, J; Qin, S; Xu, R; Yau, T C; Ma, B; Pan, H; Xu, J; Bai, Y; Chi, Y; Wang, L; Yeh, K H; Bi, F; Cheng, Y; &amp;quot;Le AT&amp;quot;; Lin, J K; Liu, T; Ma, D; Kappeler, C; Kalmus, J; Kim, T W&lt;/Author&gt;&lt;Year&gt;2015&lt;/Year&gt;&lt;Details&gt;&lt;_accession_num&gt;25981818&lt;/_accession_num&gt;&lt;_author_adr&gt;Department of Medical Oncology, Fudan University Shanghai Cancer Center, and  Department of Oncology, Shanghai Medical College, Fudan University, Shanghai,  China.; Department of Medical Oncology, Chinese People&amp;apos;s Liberation Army Cancer Center of  Nanjing Bayi Hospital, Nanjing, China.; Department of Medical Oncology, Sun Yat-Sen University Cancer Center,  Collaborative Innovation Center for Cancer Medicine, Guangzhou, China.; Department of Medicine, University of Hong Kong, Queen Mary Hospital, Hong Kong,  China.; Department of Clinical Oncology, Prince of Wales Hospital, Chinese University of  Hong Kong, Hong Kong, China.; Medical Oncology, Sir Run Run Shaw Hospital Medical School, Zhejiang University,  Hangzhou, China.; Beijing 307 People&amp;apos;s Liberation Army Hospital Cancer Centre, Beijing, China.; Third Affiliated Hospital of Harbin Medical University, Harbin, China.; Department of Medical Oncology, Cancer Hospital, Chinese Academy of Medical  Sciences, Beijing, China.; Comprehensive Cancer Center, Shanghai First People&amp;apos;s Hospital, Shanghai Jiaotong  University, Shanghai, China.; Department of Oncology, National Taiwan University Hospital, Taipei, Taiwan.; Department of Medical Oncology, West China Hospital, Sichuan University, Chengdu,  China.; Jilin Provincial Tumor Hospital, Changchun, China.; Department of Oncology, Cho Ray Hospital, Ho Chi Minh City, Vietnam.; Department of Surgery, Taipei Veterans General Hospital, National Yang-Ming  University, Taipei, Taiwan.; Department of Medical Oncology, Zhong Shan Hospital, Fudan University, Shanghai,  China.; Department of Medical Oncology, Guangdong General Hospital, Guangzhou, Guangdong,  China.; Bayer Pharma AG, Berlin, Germany.; Bayer Pharma AG, Berlin, Germany.; Department of Oncology, Asan Medical Center, University of Ulsan College of  Medicine, Songpa-gu, South Korea. Electronic address: twkimmd@amc.seoul.kr.&lt;/_author_adr&gt;&lt;_date_display&gt;2015 Jun&lt;/_date_display&gt;&lt;_date&gt;2015-06-01&lt;/_date&gt;&lt;_doi&gt;10.1016/S1470-2045(15)70156-7&lt;/_doi&gt;&lt;_isbn&gt;1474-5488 (Electronic); 1470-2045 (Linking)&lt;/_isbn&gt;&lt;_issue&gt;6&lt;/_issue&gt;&lt;_journal&gt;Lancet Oncol&lt;/_journal&gt;&lt;_language&gt;eng&lt;/_language&gt;&lt;_ori_publication&gt;Copyright © 2015 Elsevier Ltd. All rights reserved.&lt;/_ori_publication&gt;&lt;_pages&gt;619-29&lt;/_pages&gt;&lt;_subject_headings&gt;Aged; Antineoplastic Combined Chemotherapy Protocols/*administration &amp;amp; dosage; Asian People; Colorectal Neoplasms/*drug therapy/epidemiology/pathology; Disease-Free Survival; Double-Blind Method; Female; Humans; Kaplan-Meier Estimate; Male; Middle Aged; Neoplasm Metastasis; Phenylurea Compounds/*administration &amp;amp; dosage/adverse effects; Pyridines/*administration &amp;amp; dosage/adverse effects; Treatment Outcom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25981818&amp;amp;query_hl=1&lt;/_url&gt;&lt;_volume&gt;16&lt;/_volume&gt;&lt;_created&gt;65329740&lt;/_created&gt;&lt;_modified&gt;65329740&lt;/_modified&gt;&lt;_impact_factor&gt;  51.100&lt;/_impact_factor&gt;&lt;_social_category&gt;肿瘤学(1)&lt;/_social_category&gt;&lt;_collection_scope&gt;SCIE&lt;/_collection_scope&gt;&lt;/Details&gt;&lt;Extra&gt;&lt;DBUID&gt;{F96A950B-833F-4880-A151-76DA2D6A2879}&lt;/DBUID&gt;&lt;/Extra&gt;&lt;/Item&gt;&lt;/References&gt;&lt;/Group&gt;&lt;Group&gt;&lt;References&gt;&lt;Item&gt;&lt;ID&gt;5038&lt;/ID&gt;&lt;UID&gt;{E1AFF1CE-834F-47CD-AB65-9B4E05D6B565}&lt;/UID&gt;&lt;Title&gt;Effect of Fruquintinib vs Placebo on Overall Survival in Patients With Previously  Treated Metastatic Colorectal Cancer: The FRESCO Randomized Clinical Trial&lt;/Title&gt;&lt;Template&gt;Journal Article&lt;/Template&gt;&lt;Star&gt;0&lt;/Star&gt;&lt;Tag&gt;0&lt;/Tag&gt;&lt;Author&gt;Li, J; Qin, S; Xu, R H; Shen, L; Xu, J; Bai, Y; Yang, L; Deng, Y; Chen, Z D; Zhong, H; Pan, H; Guo, W; Shu, Y; Yuan, Y; Zhou, J; Xu, N; Liu, T; Ma, D; Wu, C; Cheng, Y; Chen, D; Li, W; Sun, S; Yu, Z; Cao, P; Chen, H; Wang, J; Wang, S; Wang, H; Fan, S; Hua, Y; Su, W&lt;/Author&gt;&lt;Year&gt;2018&lt;/Year&gt;&lt;Details&gt;&lt;_accession_num&gt;29946728&lt;/_accession_num&gt;&lt;_author_adr&gt;Department of Medical Oncology, Tongji University Shanghai East Hospital,  Shanghai, China.; Department of Medical Oncology, Shanghai Medical College, Fudan University  Shanghai Cancer Center, Shanghai, China.; Department of Medical Oncology, Nanjing Chinese Medicine University-Affiliated  Bayi Hospital, Nanjing, China.; Department of Medical Oncology, Sun Yat-sen University Cancer Center, State Key  Laboratory of Oncology in South China, Guangzhou, China.; Collaborative Innovation Center for Cancer Medicine, Guangzhou, China.; Department of Medical Oncology, Beijing University Cancer Center, Beijing, China.; Department of Medical Oncology, 307th Hospital of Chinese People&amp;apos;s Liberation  Army, The Affiliated Hospital of Military Medical Sciences, Beijing, China.; Department of Medical Oncology, Harbin Medical University Cancer Hospital,  Harbin, China.; Department of Medical Oncology, Nantong Cancer Hospital, Nantong, China.; Department of Medical Oncology, The Sixth Affiliated Hospital of Sun Yat-sen  University, Guangzhou, China.; Department of Medical Oncology, The Second Hospital of Anhui Medical University,  Hefei, China.; Department of Medical Oncology, Zhejiang Cancer Hospital, Hangzhou, China.; Department of Medical Oncology, Sir RunRun Shaw Hospital, College of Medicine,  Zhejiang University, Hangzhou, China.; Department of Medical Oncology, Shanghai Medical College, Fudan University  Shanghai Cancer Center, Shanghai, China.; Department of Medical Oncology, Jiangsu Provincial Hospital, Nanjing, China.; Department of Medical Oncology, The Second Affiliated Hospital of Zhejiang  University School of Medicine, Hangzhou, China.; Department of Medical Oncology, Peking Union Medical College Hospital, Beijing,  China.; Department of Medical Oncology, The First Affiliated Hospital of Zhejiang  University School of Medicine, Hangzhou, China.; Department of Medical Oncology, Fudan University Zhongshan Hospital, Shanghai  Medical College, Shanghai, China.; Department of Medical Oncology, Guangdong General Hospital, Guangzhou, China.; Department of Medical Oncology, The First People&amp;apos;s Hospital of Changzhou,  Changzhou, China.; Department of Medical Oncology, Jilin Province Cancer Hospital, Changchun, China.; Department of Medical Oncology, Shanghai Jiaotong University Affiliated First  People&amp;apos;s Hospital, Shanghai, China.; Department of Medical Oncology, The First Hospital of Jilin University,  Changchun, China.; Department of Medical Oncology, Xuzhou Central Hospital, Xuzhou, China.; Department of Medical Oncology, The Affiliated Hospital of Medical College  Qingdao University, Qingdao, China.; Department of Medical Oncology, The Third Xiangya Hospital of Central South  University, Changsha, China.; Department of Medical Oncology, Liuzhou Worker&amp;apos;s Hospital, Liuzhou, China.; Department of Medical Oncology, Shanghai Changzheng Hospital, The Second Military  Medical University, Shanghai, China.; Department of Medical Oncology, Peking University Shenzhen Hospital, Beijing  University, Shenzhen, China.; Department of Medical Oncology, The Affiliated Hospital of Xuzhou Medical  College, Xuzhou Medical College, Xuzhou, China.; Hutchison MediPharma Ltd, Shanghai, China.; Hutchison MediPharma Ltd, Shanghai, China.; Hutchison MediPharma Ltd, Shanghai, China.&lt;/_author_adr&gt;&lt;_date_display&gt;2018 Jun 26&lt;/_date_display&gt;&lt;_date&gt;2018-06-26&lt;/_date&gt;&lt;_doi&gt;10.1001/jama.2018.7855&lt;/_doi&gt;&lt;_isbn&gt;1538-3598 (Electronic); 0098-7484 (Print); 0098-7484 (Linking)&lt;/_isbn&gt;&lt;_issue&gt;24&lt;/_issue&gt;&lt;_journal&gt;JAMA&lt;/_journal&gt;&lt;_language&gt;eng&lt;/_language&gt;&lt;_pages&gt;2486-2496&lt;/_pages&gt;&lt;_subject_headings&gt;Adult; Aged; Aged, 80 and over; Antineoplastic Combined Chemotherapy Protocols/adverse effects/*therapeutic use; Benzofurans/*administration &amp;amp; dosage/adverse effects; China; Colorectal Neoplasms/*drug therapy/mortality/pathology/therapy; Combined Modality Therapy; Double-Blind Method; Female; Humans; Intention to Treat Analysis; Male; Middle Aged; Quinazolines/*administration &amp;amp; dosage/adverse effects; Survival Analysis; Vascular Endothelial Growth Factor A/*antagonists &amp;amp; inhibitors; Young Adult&lt;/_subject_headings&gt;&lt;_tertiary_title&gt;JAMA&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946728&amp;amp;query_hl=1&lt;/_url&gt;&lt;_volume&gt;319&lt;/_volume&gt;&lt;_created&gt;65329740&lt;/_created&gt;&lt;_modified&gt;65329740&lt;/_modified&gt;&lt;_impact_factor&gt; 120.700&lt;/_impact_factor&gt;&lt;_social_category&gt;医学：内科(1)&lt;/_social_category&gt;&lt;_collection_scope&gt;SCIE&lt;/_collection_scope&gt;&lt;_accessed&gt;65330873&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7F479A5F-1D3B-4662-8227-EBF018DBDA53}" w:val=" ADDIN NE.Ref.{7F479A5F-1D3B-4662-8227-EBF018DBDA53}&lt;Citation&gt;&lt;Group&gt;&lt;References&gt;&lt;Item&gt;&lt;ID&gt;2964&lt;/ID&gt;&lt;UID&gt;{6B2BCC35-50BF-4C9A-9D44-CB698C76B7DE}&lt;/UID&gt;&lt;Title&gt;Challenges of modelling approaches for network meta-analysis of time-to-event  outcomes in the presence of non-proportional hazards to aid decision making:  Application to a melanoma network&lt;/Title&gt;&lt;Template&gt;Journal Article&lt;/Template&gt;&lt;Star&gt;0&lt;/Star&gt;&lt;Tag&gt;0&lt;/Tag&gt;&lt;Author&gt;Freeman, S C; Cooper, N J; Sutton, A J; Crowther, M J; Carpenter, J R; Hawkins, N&lt;/Author&gt;&lt;Year&gt;2022&lt;/Year&gt;&lt;Details&gt;&lt;_accession_num&gt;35044255&lt;/_accession_num&gt;&lt;_author_adr&gt;Department of Health Sciences, 4488University of Leicester, Leicester, UK.; Department of Health Sciences, 4488University of Leicester, Leicester, UK.; Department of Health Sciences, 4488University of Leicester, Leicester, UK.; Department of Health Sciences, 4488University of Leicester, Leicester, UK.; 4919MRC Clinical Trials Unit at UCL, London, UK.; 4906London School of Hygiene &amp;amp; Tropical Medicine, London, UK.; Health Economics &amp;amp; Health Technology Assessment, 3526University of Glasgow,  Glasgow, UK.&lt;/_author_adr&gt;&lt;_collection_scope&gt;SCIE&lt;/_collection_scope&gt;&lt;_created&gt;64739506&lt;/_created&gt;&lt;_date&gt;2022-05-01&lt;/_date&gt;&lt;_date_display&gt;2022 May&lt;/_date_display&gt;&lt;_db_updated&gt;PubMed&lt;/_db_updated&gt;&lt;_doi&gt;10.1177/09622802211070253&lt;/_doi&gt;&lt;_impact_factor&gt;   2.494&lt;/_impact_factor&gt;&lt;_isbn&gt;1477-0334 (Electronic); 0962-2802 (Print); 0962-2802 (Linking)&lt;/_isbn&gt;&lt;_issue&gt;5&lt;/_issue&gt;&lt;_journal&gt;Stat Methods Med Res&lt;/_journal&gt;&lt;_keywords&gt;Bayesian; Network meta-analysis; decision making; non-proportional hazards; time-to-event outcomes&lt;/_keywords&gt;&lt;_language&gt;eng&lt;/_language&gt;&lt;_modified&gt;64740725&lt;/_modified&gt;&lt;_pages&gt;839-861&lt;/_pages&gt;&lt;_social_category&gt;医学(3)&lt;/_social_category&gt;&lt;_subject_headings&gt;Decision Making; Humans; *Melanoma/drug therapy; Network Meta-Analysis; Proportional Hazards Models; Reproducibility of Results; Survival Analysis&lt;/_subject_headings&gt;&lt;_tertiary_title&gt;Statistical methods in medical research&lt;/_tertiary_title&gt;&lt;_type_work&gt;Journal Article; Meta-Analysis; Research Support, Non-U.S. Gov&amp;apos;t&lt;/_type_work&gt;&lt;_url&gt;http://www.ncbi.nlm.nih.gov/entrez/query.fcgi?cmd=Retrieve&amp;amp;db=pubmed&amp;amp;dopt=Abstract&amp;amp;list_uids=35044255&amp;amp;query_hl=1&lt;/_url&gt;&lt;_volume&gt;31&lt;/_volume&gt;&lt;/Details&gt;&lt;Extra&gt;&lt;DBUID&gt;{F96A950B-833F-4880-A151-76DA2D6A2879}&lt;/DBUID&gt;&lt;/Extra&gt;&lt;/Item&gt;&lt;/References&gt;&lt;/Group&gt;&lt;/Citation&gt;_x000a_"/>
    <w:docVar w:name="NE.Ref{7F6F0C2A-F190-4E83-B0E5-46A602BA683B}" w:val=" ADDIN NE.Ref.{7F6F0C2A-F190-4E83-B0E5-46A602BA683B}&lt;Citation&gt;&lt;Group&gt;&lt;References&gt;&lt;Item&gt;&lt;ID&gt;2934&lt;/ID&gt;&lt;UID&gt;{586E131D-C588-43D7-A714-E02652E97574}&lt;/UID&gt;&lt;Title&gt;Alectinib versus Crizotinib in Untreated ALK-Positive Non-Small-Cell Lung Cancer&lt;/Title&gt;&lt;Template&gt;Journal Article&lt;/Template&gt;&lt;Star&gt;0&lt;/Star&gt;&lt;Tag&gt;0&lt;/Tag&gt;&lt;Author&gt;Peters, S; Camidge, D R; Shaw, A T; Gadgeel, S; Ahn, J S; Kim, D W; Ou, S I; Perol, M; Dziadziuszko, R; Rosell, R; Zeaiter, A; Mitry, E; Golding, S; Balas, B; Noe, J; Morcos, P N; Mok, T&lt;/Author&gt;&lt;Year&gt;2017&lt;/Year&gt;&lt;Details&gt;&lt;_accessed&gt;64632453&lt;/_accessed&gt;&lt;_accession_num&gt;28586279&lt;/_accession_num&gt;&lt;_collection_scope&gt;SCIE&lt;/_collection_scope&gt;&lt;_created&gt;64630944&lt;/_created&gt;&lt;_date&gt;2017-08-31&lt;/_date&gt;&lt;_date_display&gt;2017 Aug 31&lt;/_date_display&gt;&lt;_db_updated&gt;PubMed&lt;/_db_updated&gt;&lt;_doi&gt;10.1056/NEJMoa1704795&lt;/_doi&gt;&lt;_impact_factor&gt; 176.079&lt;/_impact_factor&gt;&lt;_isbn&gt;1533-4406 (Electronic); 0028-4793 (Linking)&lt;/_isbn&gt;&lt;_issue&gt;9&lt;/_issue&gt;&lt;_journal&gt;N Engl J Med&lt;/_journal&gt;&lt;_language&gt;eng&lt;/_language&gt;&lt;_modified&gt;64740725&lt;/_modified&gt;&lt;_pages&gt;829-838&lt;/_pages&gt;&lt;_social_category&gt;医学(1)&lt;/_social_category&gt;&lt;_subject_headings&gt;Adult; Aged, 80 and over; Anaplastic Lymphoma Kinase; Animals; Antineoplastic Agents/adverse effects/therapeutic use; Carbazoles/adverse effects/*therapeutic use; Carcinoma, Non-Small-Cell Lung/*drug therapy/mortality; Central Nervous System Neoplasms/drug therapy/*secondary; Crizotinib; Disease-Free Survival; Female; Follow-Up Studies; Humans; Intention to Treat Analysis; Kaplan-Meier Estimate; Lung Neoplasms/*drug therapy/mortality; Male; Middle Aged; Piperidines/adverse effects/*therapeutic use; Protein Kinase Inhibitors/adverse effects/*therapeutic use; Pyrazoles/adverse effects/*therapeutic use; Pyridines/adverse effects/*therapeutic use; Receptor Protein-Tyrosine Kinases/analysis/antagonists &amp;amp; inhibitors; Young Adult&lt;/_subject_headings&gt;&lt;_tertiary_title&gt;The New England journal of medicine&lt;/_tertiary_title&gt;&lt;_type_work&gt;Clinical Trial, Phase III; Comparative Study; Journal Article; Multicenter Study; Randomized Controlled Trial&lt;/_type_work&gt;&lt;_url&gt;http://www.ncbi.nlm.nih.gov/entrez/query.fcgi?cmd=Retrieve&amp;amp;db=pubmed&amp;amp;dopt=Abstract&amp;amp;list_uids=28586279&amp;amp;query_hl=1&lt;/_url&gt;&lt;_volume&gt;377&lt;/_volume&gt;&lt;/Details&gt;&lt;Extra&gt;&lt;DBUID&gt;{F96A950B-833F-4880-A151-76DA2D6A2879}&lt;/DBUID&gt;&lt;/Extra&gt;&lt;/Item&gt;&lt;/References&gt;&lt;/Group&gt;&lt;Group&gt;&lt;References&gt;&lt;Item&gt;&lt;ID&gt;2941&lt;/ID&gt;&lt;UID&gt;{B086EC0A-7A4B-4D90-B70F-DDBF0A775389}&lt;/UID&gt;&lt;Title&gt;First-line crizotinib versus chemotherapy in ALK-positive lung cancer&lt;/Title&gt;&lt;Template&gt;Journal Article&lt;/Template&gt;&lt;Star&gt;0&lt;/Star&gt;&lt;Tag&gt;0&lt;/Tag&gt;&lt;Author&gt;Solomon, B J; Mok, T; Kim, D W; Wu, Y L; Nakagawa, K; Mekhail, T; Felip, E; Cappuzzo, F; Paolini, J; Usari, T; Iyer, S; Reisman, A; Wilner, K D; Tursi, J; Blackhall, F&lt;/Author&gt;&lt;Year&gt;2014&lt;/Year&gt;&lt;Details&gt;&lt;_accessed&gt;64632481&lt;/_accessed&gt;&lt;_accession_num&gt;25470694&lt;/_accession_num&gt;&lt;_collection_scope&gt;SCIE&lt;/_collection_scope&gt;&lt;_created&gt;64630940&lt;/_created&gt;&lt;_date&gt;2014-12-04&lt;/_date&gt;&lt;_date_display&gt;2014 Dec 4&lt;/_date_display&gt;&lt;_db_updated&gt;PubMed&lt;/_db_updated&gt;&lt;_doi&gt;10.1056/NEJMoa1408440&lt;/_doi&gt;&lt;_impact_factor&gt; 176.079&lt;/_impact_factor&gt;&lt;_isbn&gt;1533-4406 (Electronic); 0028-4793 (Linking)&lt;/_isbn&gt;&lt;_issue&gt;23&lt;/_issue&gt;&lt;_journal&gt;N Engl J Med&lt;/_journal&gt;&lt;_language&gt;eng&lt;/_language&gt;&lt;_modified&gt;64740725&lt;/_modified&gt;&lt;_pages&gt;2167-77&lt;/_pages&gt;&lt;_social_category&gt;医学(1)&lt;/_social_category&gt;&lt;_subject_headings&gt;Adenocarcinoma/drug therapy/mortality; Adult; Aged; Anaplastic Lymphoma Kinase; Antineoplastic Combined Chemotherapy Protocols/adverse effects/*therapeutic use; Carboplatin/administration &amp;amp; dosage; Carcinoma, Non-Small-Cell Lung/*drug therapy/mortality; Cisplatin/administration &amp;amp; dosage; Crizotinib; Disease-Free Survival; Female; Glutamates/administration &amp;amp; dosage; Guanine/administration &amp;amp; dosage/analogs &amp;amp; derivatives; Humans; Kaplan-Meier Estimate; Lung Neoplasms/*drug therapy/mortality; Male; Middle Aged; Pemetrexed; Protein Kinase Inhibitors/adverse effects/*therapeutic use; Pyrazoles/adverse effects/*therapeutic use; Pyridines/adverse effects/*therapeutic use; Receptor Protein-Tyrosine Kinases/*antagonists &amp;amp; inhibitor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5470694&amp;amp;query_hl=1&lt;/_url&gt;&lt;_volume&gt;371&lt;/_volume&gt;&lt;/Details&gt;&lt;Extra&gt;&lt;DBUID&gt;{F96A950B-833F-4880-A151-76DA2D6A2879}&lt;/DBUID&gt;&lt;/Extra&gt;&lt;/Item&gt;&lt;/References&gt;&lt;/Group&gt;&lt;Group&gt;&lt;References&gt;&lt;Item&gt;&lt;ID&gt;2942&lt;/ID&gt;&lt;UID&gt;{C149040B-D728-45B4-A3C4-E825FCCB700A}&lt;/UID&gt;&lt;Title&gt;First-Line Lorlatinib or Crizotinib in Advanced ALK-Positive Lung Cancer&lt;/Title&gt;&lt;Template&gt;Journal Article&lt;/Template&gt;&lt;Star&gt;0&lt;/Star&gt;&lt;Tag&gt;0&lt;/Tag&gt;&lt;Author&gt;Shaw, A T; Bauer, T M; de Marinis, F; Felip, E; Goto, Y; Liu, G; Mazieres, J; Kim, D W; Mok, T; Polli, A; Thurm, H; Calella, A M; Peltz, G; Solomon, B J&lt;/Author&gt;&lt;Year&gt;2020&lt;/Year&gt;&lt;Details&gt;&lt;_accessed&gt;64632463&lt;/_accessed&gt;&lt;_accession_num&gt;33207094&lt;/_accession_num&gt;&lt;_collection_scope&gt;SCIE&lt;/_collection_scope&gt;&lt;_created&gt;64630950&lt;/_created&gt;&lt;_date&gt;2020-11-19&lt;/_date&gt;&lt;_date_display&gt;2020 Nov 19&lt;/_date_display&gt;&lt;_db_updated&gt;PubMed&lt;/_db_updated&gt;&lt;_doi&gt;10.1056/NEJMoa2027187&lt;/_doi&gt;&lt;_impact_factor&gt; 176.079&lt;/_impact_factor&gt;&lt;_isbn&gt;1533-4406 (Electronic); 0028-4793 (Linking)&lt;/_isbn&gt;&lt;_issue&gt;21&lt;/_issue&gt;&lt;_journal&gt;N Engl J Med&lt;/_journal&gt;&lt;_language&gt;eng&lt;/_language&gt;&lt;_modified&gt;64740725&lt;/_modified&gt;&lt;_ori_publication&gt;Copyright (c) 2020 Massachusetts Medical Society.&lt;/_ori_publication&gt;&lt;_pages&gt;2018-2029&lt;/_pages&gt;&lt;_social_category&gt;医学(1)&lt;/_social_category&gt;&lt;_subject_headings&gt;Adult; Aged; Aminopyridines; Anaplastic Lymphoma Kinase/*antagonists &amp;amp; inhibitors/genetics; Antineoplastic Agents/adverse effects/*therapeutic use; Carcinoma, Non-Small-Cell Lung/*drug therapy/genetics/mortality; Crizotinib/adverse effects/*therapeutic use; Female; Humans; Hyperlipidemias/chemically induced; Intention to Treat Analysis; Lactams; Lactams, Macrocyclic/adverse effects/*therapeutic use; Lung Neoplasms/*drug therapy/genetics/mortality; Male; Middle Aged; Mutation; Pyrazoles; Survival Analysi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3207094&amp;amp;query_hl=1&lt;/_url&gt;&lt;_volume&gt;383&lt;/_volume&gt;&lt;/Details&gt;&lt;Extra&gt;&lt;DBUID&gt;{F96A950B-833F-4880-A151-76DA2D6A2879}&lt;/DBUID&gt;&lt;/Extra&gt;&lt;/Item&gt;&lt;/References&gt;&lt;/Group&gt;&lt;/Citation&gt;_x000a_"/>
    <w:docVar w:name="NE.Ref{8159A26A-B7CA-4376-ABF7-783908027DD4}" w:val=" ADDIN NE.Ref.{8159A26A-B7CA-4376-ABF7-783908027DD4}&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Citation&gt;_x000a_"/>
    <w:docVar w:name="NE.Ref{82777918-1B73-4381-BABA-047FBAF23E42}" w:val=" ADDIN NE.Ref.{82777918-1B73-4381-BABA-047FBAF23E42}&lt;Citation&gt;&lt;Group&gt;&lt;References&gt;&lt;Item&gt;&lt;ID&gt;4955&lt;/ID&gt;&lt;UID&gt;{A945FE5F-22BD-4DD1-8230-55BA99AE2DD0}&lt;/UID&gt;&lt;Title&gt;Brooks, S. P., &amp;amp; Gelman, A. (1998). General Methods for Monitoring Convergence of Iterative Simulations. Journal of Computational and Graphical Statistics, 7(4), 434–455.&lt;/Title&gt;&lt;Template&gt;Web Page&lt;/Template&gt;&lt;Star&gt;0&lt;/Star&gt;&lt;Tag&gt;0&lt;/Tag&gt;&lt;Author/&gt;&lt;Year&gt;0&lt;/Year&gt;&lt;Details&gt;&lt;_accessed&gt;65091943&lt;/_accessed&gt;&lt;_created&gt;65091943&lt;/_created&gt;&lt;_modified&gt;65091943&lt;/_modified&gt;&lt;/Details&gt;&lt;Extra&gt;&lt;DBUID&gt;{F96A950B-833F-4880-A151-76DA2D6A2879}&lt;/DBUID&gt;&lt;/Extra&gt;&lt;/Item&gt;&lt;/References&gt;&lt;/Group&gt;&lt;/Citation&gt;_x000a_"/>
    <w:docVar w:name="NE.Ref{8293A2F0-2D91-4B17-8772-5A6A0F99A99E}" w:val=" ADDIN NE.Ref.{8293A2F0-2D91-4B17-8772-5A6A0F99A99E}&lt;Citation&gt;&lt;Group&gt;&lt;References&gt;&lt;Item&gt;&lt;ID&gt;5040&lt;/ID&gt;&lt;UID&gt;{717BD1CF-CD3B-48EC-B523-80C0C3A00305}&lt;/UID&gt;&lt;Title&gt;Health state utilities for metastatic breast cancer&lt;/Title&gt;&lt;Template&gt;Journal Article&lt;/Template&gt;&lt;Star&gt;0&lt;/Star&gt;&lt;Tag&gt;0&lt;/Tag&gt;&lt;Author&gt;Lloyd, A; Nafees, B; Narewska, J; Dewilde, S; Watkins, J&lt;/Author&gt;&lt;Year&gt;2006&lt;/Year&gt;&lt;Details&gt;&lt;_accession_num&gt;16967055&lt;/_accession_num&gt;&lt;_author_adr&gt;United BioSource Corporation, 20 Bloomsbury Square, London WC1A 2NS, UK.  andrew.lloyd@unitedbiosource.com&lt;/_author_adr&gt;&lt;_date_display&gt;2006 Sep 18&lt;/_date_display&gt;&lt;_date&gt;2006-09-18&lt;/_date&gt;&lt;_doi&gt;10.1038/sj.bjc.6603326&lt;/_doi&gt;&lt;_isbn&gt;0007-0920 (Print); 1532-1827 (Electronic); 0007-0920 (Linking)&lt;/_isbn&gt;&lt;_issue&gt;6&lt;/_issue&gt;&lt;_journal&gt;Br J Cancer&lt;/_journal&gt;&lt;_language&gt;eng&lt;/_language&gt;&lt;_pages&gt;683-90&lt;/_pages&gt;&lt;_subject_headings&gt;Adult; Age Factors; *Attitude to Health; Breast Neoplasms/drug therapy/epidemiology/*psychology; Disease Progression; Female; *Health Status; Humans; Male; Pilot Projects; *Quality of Life; Recurrence; Sex Factors; *Sickness Impact Profile; United Kingdom/epidemiology&lt;/_subject_headings&gt;&lt;_tertiary_title&gt;British journal of cancer&lt;/_tertiary_title&gt;&lt;_type_work&gt;Comparative Study; Journal Article&lt;/_type_work&gt;&lt;_url&gt;http://www.ncbi.nlm.nih.gov/entrez/query.fcgi?cmd=Retrieve&amp;amp;db=pubmed&amp;amp;dopt=Abstract&amp;amp;list_uids=16967055&amp;amp;query_hl=1&lt;/_url&gt;&lt;_volume&gt;95&lt;/_volume&gt;&lt;_created&gt;65329740&lt;/_created&gt;&lt;_modified&gt;65329740&lt;/_modified&gt;&lt;_impact_factor&gt;   8.800&lt;/_impact_factor&gt;&lt;_social_category&gt;肿瘤学(2)&lt;/_social_category&gt;&lt;_collection_scope&gt;SCIE&lt;/_collection_scope&gt;&lt;_accessed&gt;65330884&lt;/_accessed&gt;&lt;/Details&gt;&lt;Extra&gt;&lt;DBUID&gt;{F96A950B-833F-4880-A151-76DA2D6A2879}&lt;/DBUID&gt;&lt;/Extra&gt;&lt;/Item&gt;&lt;/References&gt;&lt;/Group&gt;&lt;/Citation&gt;_x000a_"/>
    <w:docVar w:name="NE.Ref{83EB6337-5C86-468C-8A6F-867D88585F52}" w:val=" ADDIN NE.Ref.{83EB6337-5C86-468C-8A6F-867D88585F52}&lt;Citation&gt;&lt;Group&gt;&lt;References&gt;&lt;Item&gt;&lt;ID&gt;46213&lt;/ID&gt;&lt;UID&gt;{C52E6473-19FC-4568-9C36-08533DAB0392}&lt;/UID&gt;&lt;Title&gt;Generalized Linear Models for Flexible Parametric Modeling of the Hazard Function&lt;/Title&gt;&lt;Template&gt;Journal Article&lt;/Template&gt;&lt;Star&gt;0&lt;/Star&gt;&lt;Tag&gt;0&lt;/Tag&gt;&lt;Author&gt;Kearns, B; Stevenson, M D; Triantafyllopoulos, K; Manca, A&lt;/Author&gt;&lt;Year&gt;2019&lt;/Year&gt;&lt;Details&gt;&lt;_accession_num&gt;31556792&lt;/_accession_num&gt;&lt;_author_adr&gt;The University of Sheffield, Sheffield, UK.; The University of Sheffield, Sheffield, UK.; The University of Sheffield, Sheffield, UK.; The University of Sheffield, Sheffield, UK.; The University of York, York, UK.&lt;/_author_adr&gt;&lt;_collection_scope&gt;SCI;SCIE&lt;/_collection_scope&gt;&lt;_created&gt;64299980&lt;/_created&gt;&lt;_date&gt;2019-10-01&lt;/_date&gt;&lt;_date_display&gt;2019 Oct&lt;/_date_display&gt;&lt;_db_updated&gt;PubMed&lt;/_db_updated&gt;&lt;_doi&gt;10.1177/0272989X19873661&lt;/_doi&gt;&lt;_impact_factor&gt;   2.583&lt;/_impact_factor&gt;&lt;_isbn&gt;1552-681X (Electronic); 0272-989X (Linking)&lt;/_isbn&gt;&lt;_issue&gt;7&lt;/_issue&gt;&lt;_journal&gt;Med Decis Making&lt;/_journal&gt;&lt;_keywords&gt;*dynamic survival models; *fractional polynomials; *frailty models; *generalized additive models; *generalized linear mixed models; *splines; *survival analysis; *time to event&lt;/_keywords&gt;&lt;_language&gt;eng&lt;/_language&gt;&lt;_modified&gt;64688891&lt;/_modified&gt;&lt;_pages&gt;867-878&lt;/_pages&gt;&lt;_subject_headings&gt;Data Interpretation, Statistical; Humans; *Linear Models; *Survival Analysis&lt;/_subject_headings&gt;&lt;_tertiary_title&gt;Medical decision making : an international journal of the Society for Medical_x000d__x000a_      Decision Making&lt;/_tertiary_title&gt;&lt;_type_work&gt;Journal Article; Research Support, Non-U.S. Gov&amp;apos;t&lt;/_type_work&gt;&lt;_url&gt;http://www.ncbi.nlm.nih.gov/entrez/query.fcgi?cmd=Retrieve&amp;amp;db=pubmed&amp;amp;dopt=Abstract&amp;amp;list_uids=31556792&amp;amp;query_hl=1&lt;/_url&gt;&lt;_volume&gt;39&lt;/_volume&gt;&lt;/Details&gt;&lt;Extra&gt;&lt;DBUID&gt;{F96A950B-833F-4880-A151-76DA2D6A2879}&lt;/DBUID&gt;&lt;/Extra&gt;&lt;/Item&gt;&lt;/References&gt;&lt;/Group&gt;&lt;/Citation&gt;_x000a_"/>
    <w:docVar w:name="NE.Ref{85B83D2D-3551-426D-866C-5FF34A785285}" w:val=" ADDIN NE.Ref.{85B83D2D-3551-426D-866C-5FF34A785285}&lt;Citation&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Group&gt;&lt;References&gt;&lt;Item&gt;&lt;ID&gt;5036&lt;/ID&gt;&lt;UID&gt;{F2CA6EA4-05F3-414C-BD41-AACD34657658}&lt;/UID&gt;&lt;Title&gt;Regorafenib plus best supportive care versus placebo plus best supportive care in  Asian patients with previously treated metastatic colorectal cancer (CONCUR): a  randomised, double-blind, placebo-controlled, phase 3 trial&lt;/Title&gt;&lt;Template&gt;Journal Article&lt;/Template&gt;&lt;Star&gt;0&lt;/Star&gt;&lt;Tag&gt;0&lt;/Tag&gt;&lt;Author&gt;Li, J; Qin, S; Xu, R; Yau, T C; Ma, B; Pan, H; Xu, J; Bai, Y; Chi, Y; Wang, L; Yeh, K H; Bi, F; Cheng, Y; &amp;quot;Le AT&amp;quot;; Lin, J K; Liu, T; Ma, D; Kappeler, C; Kalmus, J; Kim, T W&lt;/Author&gt;&lt;Year&gt;2015&lt;/Year&gt;&lt;Details&gt;&lt;_accession_num&gt;25981818&lt;/_accession_num&gt;&lt;_author_adr&gt;Department of Medical Oncology, Fudan University Shanghai Cancer Center, and  Department of Oncology, Shanghai Medical College, Fudan University, Shanghai,  China.; Department of Medical Oncology, Chinese People&amp;apos;s Liberation Army Cancer Center of  Nanjing Bayi Hospital, Nanjing, China.; Department of Medical Oncology, Sun Yat-Sen University Cancer Center,  Collaborative Innovation Center for Cancer Medicine, Guangzhou, China.; Department of Medicine, University of Hong Kong, Queen Mary Hospital, Hong Kong,  China.; Department of Clinical Oncology, Prince of Wales Hospital, Chinese University of  Hong Kong, Hong Kong, China.; Medical Oncology, Sir Run Run Shaw Hospital Medical School, Zhejiang University,  Hangzhou, China.; Beijing 307 People&amp;apos;s Liberation Army Hospital Cancer Centre, Beijing, China.; Third Affiliated Hospital of Harbin Medical University, Harbin, China.; Department of Medical Oncology, Cancer Hospital, Chinese Academy of Medical  Sciences, Beijing, China.; Comprehensive Cancer Center, Shanghai First People&amp;apos;s Hospital, Shanghai Jiaotong  University, Shanghai, China.; Department of Oncology, National Taiwan University Hospital, Taipei, Taiwan.; Department of Medical Oncology, West China Hospital, Sichuan University, Chengdu,  China.; Jilin Provincial Tumor Hospital, Changchun, China.; Department of Oncology, Cho Ray Hospital, Ho Chi Minh City, Vietnam.; Department of Surgery, Taipei Veterans General Hospital, National Yang-Ming  University, Taipei, Taiwan.; Department of Medical Oncology, Zhong Shan Hospital, Fudan University, Shanghai,  China.; Department of Medical Oncology, Guangdong General Hospital, Guangzhou, Guangdong,  China.; Bayer Pharma AG, Berlin, Germany.; Bayer Pharma AG, Berlin, Germany.; Department of Oncology, Asan Medical Center, University of Ulsan College of  Medicine, Songpa-gu, South Korea. Electronic address: twkimmd@amc.seoul.kr.&lt;/_author_adr&gt;&lt;_date_display&gt;2015 Jun&lt;/_date_display&gt;&lt;_date&gt;2015-06-01&lt;/_date&gt;&lt;_doi&gt;10.1016/S1470-2045(15)70156-7&lt;/_doi&gt;&lt;_isbn&gt;1474-5488 (Electronic); 1470-2045 (Linking)&lt;/_isbn&gt;&lt;_issue&gt;6&lt;/_issue&gt;&lt;_journal&gt;Lancet Oncol&lt;/_journal&gt;&lt;_language&gt;eng&lt;/_language&gt;&lt;_ori_publication&gt;Copyright © 2015 Elsevier Ltd. All rights reserved.&lt;/_ori_publication&gt;&lt;_pages&gt;619-29&lt;/_pages&gt;&lt;_subject_headings&gt;Aged; Antineoplastic Combined Chemotherapy Protocols/*administration &amp;amp; dosage; Asian People; Colorectal Neoplasms/*drug therapy/epidemiology/pathology; Disease-Free Survival; Double-Blind Method; Female; Humans; Kaplan-Meier Estimate; Male; Middle Aged; Neoplasm Metastasis; Phenylurea Compounds/*administration &amp;amp; dosage/adverse effects; Pyridines/*administration &amp;amp; dosage/adverse effects; Treatment Outcom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25981818&amp;amp;query_hl=1&lt;/_url&gt;&lt;_volume&gt;16&lt;/_volume&gt;&lt;_created&gt;65329740&lt;/_created&gt;&lt;_modified&gt;65329740&lt;/_modified&gt;&lt;_impact_factor&gt;  51.100&lt;/_impact_factor&gt;&lt;_social_category&gt;肿瘤学(1)&lt;/_social_category&gt;&lt;_collection_scope&gt;SCIE&lt;/_collection_scope&gt;&lt;/Details&gt;&lt;Extra&gt;&lt;DBUID&gt;{F96A950B-833F-4880-A151-76DA2D6A2879}&lt;/DBUID&gt;&lt;/Extra&gt;&lt;/Item&gt;&lt;/References&gt;&lt;/Group&gt;&lt;Group&gt;&lt;References&gt;&lt;Item&gt;&lt;ID&gt;5038&lt;/ID&gt;&lt;UID&gt;{E1AFF1CE-834F-47CD-AB65-9B4E05D6B565}&lt;/UID&gt;&lt;Title&gt;Effect of Fruquintinib vs Placebo on Overall Survival in Patients With Previously  Treated Metastatic Colorectal Cancer: The FRESCO Randomized Clinical Trial&lt;/Title&gt;&lt;Template&gt;Journal Article&lt;/Template&gt;&lt;Star&gt;0&lt;/Star&gt;&lt;Tag&gt;0&lt;/Tag&gt;&lt;Author&gt;Li, J; Qin, S; Xu, R H; Shen, L; Xu, J; Bai, Y; Yang, L; Deng, Y; Chen, Z D; Zhong, H; Pan, H; Guo, W; Shu, Y; Yuan, Y; Zhou, J; Xu, N; Liu, T; Ma, D; Wu, C; Cheng, Y; Chen, D; Li, W; Sun, S; Yu, Z; Cao, P; Chen, H; Wang, J; Wang, S; Wang, H; Fan, S; Hua, Y; Su, W&lt;/Author&gt;&lt;Year&gt;2018&lt;/Year&gt;&lt;Details&gt;&lt;_accession_num&gt;29946728&lt;/_accession_num&gt;&lt;_author_adr&gt;Department of Medical Oncology, Tongji University Shanghai East Hospital,  Shanghai, China.; Department of Medical Oncology, Shanghai Medical College, Fudan University  Shanghai Cancer Center, Shanghai, China.; Department of Medical Oncology, Nanjing Chinese Medicine University-Affiliated  Bayi Hospital, Nanjing, China.; Department of Medical Oncology, Sun Yat-sen University Cancer Center, State Key  Laboratory of Oncology in South China, Guangzhou, China.; Collaborative Innovation Center for Cancer Medicine, Guangzhou, China.; Department of Medical Oncology, Beijing University Cancer Center, Beijing, China.; Department of Medical Oncology, 307th Hospital of Chinese People&amp;apos;s Liberation  Army, The Affiliated Hospital of Military Medical Sciences, Beijing, China.; Department of Medical Oncology, Harbin Medical University Cancer Hospital,  Harbin, China.; Department of Medical Oncology, Nantong Cancer Hospital, Nantong, China.; Department of Medical Oncology, The Sixth Affiliated Hospital of Sun Yat-sen  University, Guangzhou, China.; Department of Medical Oncology, The Second Hospital of Anhui Medical University,  Hefei, China.; Department of Medical Oncology, Zhejiang Cancer Hospital, Hangzhou, China.; Department of Medical Oncology, Sir RunRun Shaw Hospital, College of Medicine,  Zhejiang University, Hangzhou, China.; Department of Medical Oncology, Shanghai Medical College, Fudan University  Shanghai Cancer Center, Shanghai, China.; Department of Medical Oncology, Jiangsu Provincial Hospital, Nanjing, China.; Department of Medical Oncology, The Second Affiliated Hospital of Zhejiang  University School of Medicine, Hangzhou, China.; Department of Medical Oncology, Peking Union Medical College Hospital, Beijing,  China.; Department of Medical Oncology, The First Affiliated Hospital of Zhejiang  University School of Medicine, Hangzhou, China.; Department of Medical Oncology, Fudan University Zhongshan Hospital, Shanghai  Medical College, Shanghai, China.; Department of Medical Oncology, Guangdong General Hospital, Guangzhou, China.; Department of Medical Oncology, The First People&amp;apos;s Hospital of Changzhou,  Changzhou, China.; Department of Medical Oncology, Jilin Province Cancer Hospital, Changchun, China.; Department of Medical Oncology, Shanghai Jiaotong University Affiliated First  People&amp;apos;s Hospital, Shanghai, China.; Department of Medical Oncology, The First Hospital of Jilin University,  Changchun, China.; Department of Medical Oncology, Xuzhou Central Hospital, Xuzhou, China.; Department of Medical Oncology, The Affiliated Hospital of Medical College  Qingdao University, Qingdao, China.; Department of Medical Oncology, The Third Xiangya Hospital of Central South  University, Changsha, China.; Department of Medical Oncology, Liuzhou Worker&amp;apos;s Hospital, Liuzhou, China.; Department of Medical Oncology, Shanghai Changzheng Hospital, The Second Military  Medical University, Shanghai, China.; Department of Medical Oncology, Peking University Shenzhen Hospital, Beijing  University, Shenzhen, China.; Department of Medical Oncology, The Affiliated Hospital of Xuzhou Medical  College, Xuzhou Medical College, Xuzhou, China.; Hutchison MediPharma Ltd, Shanghai, China.; Hutchison MediPharma Ltd, Shanghai, China.; Hutchison MediPharma Ltd, Shanghai, China.&lt;/_author_adr&gt;&lt;_date_display&gt;2018 Jun 26&lt;/_date_display&gt;&lt;_date&gt;2018-06-26&lt;/_date&gt;&lt;_doi&gt;10.1001/jama.2018.7855&lt;/_doi&gt;&lt;_isbn&gt;1538-3598 (Electronic); 0098-7484 (Print); 0098-7484 (Linking)&lt;/_isbn&gt;&lt;_issue&gt;24&lt;/_issue&gt;&lt;_journal&gt;JAMA&lt;/_journal&gt;&lt;_language&gt;eng&lt;/_language&gt;&lt;_pages&gt;2486-2496&lt;/_pages&gt;&lt;_subject_headings&gt;Adult; Aged; Aged, 80 and over; Antineoplastic Combined Chemotherapy Protocols/adverse effects/*therapeutic use; Benzofurans/*administration &amp;amp; dosage/adverse effects; China; Colorectal Neoplasms/*drug therapy/mortality/pathology/therapy; Combined Modality Therapy; Double-Blind Method; Female; Humans; Intention to Treat Analysis; Male; Middle Aged; Quinazolines/*administration &amp;amp; dosage/adverse effects; Survival Analysis; Vascular Endothelial Growth Factor A/*antagonists &amp;amp; inhibitors; Young Adult&lt;/_subject_headings&gt;&lt;_tertiary_title&gt;JAMA&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946728&amp;amp;query_hl=1&lt;/_url&gt;&lt;_volume&gt;319&lt;/_volume&gt;&lt;_created&gt;65329740&lt;/_created&gt;&lt;_modified&gt;65329740&lt;/_modified&gt;&lt;_impact_factor&gt; 120.700&lt;/_impact_factor&gt;&lt;_social_category&gt;医学：内科(1)&lt;/_social_category&gt;&lt;_collection_scope&gt;SCIE&lt;/_collection_scope&gt;&lt;_accessed&gt;65330873&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85D2AE09-6A08-4BB2-AADB-7B8FF122F8AD}" w:val=" ADDIN NE.Ref.{85D2AE09-6A08-4BB2-AADB-7B8FF122F8AD}&lt;Citation&gt;&lt;Group&gt;&lt;References&gt;&lt;Item&gt;&lt;ID&gt;3014&lt;/ID&gt;&lt;UID&gt;{B953E457-AB58-4D9C-8873-31B106CEB4E0}&lt;/UID&gt;&lt;Title&gt;Alectinib versus chemotherapy in crizotinib-pretreated anaplastic lymphoma kinase (ALK)-positive non-small-cell lung cancer: results from the phase III ALUR study&lt;/Title&gt;&lt;Template&gt;Journal Article&lt;/Template&gt;&lt;Star&gt;1&lt;/Star&gt;&lt;Tag&gt;0&lt;/Tag&gt;&lt;Author&gt;Novello, S; Mazieres, J; Oh, I J; de Castro, J; Migliorino, M R; Helland, A; Dziadziuszko, R; Griesinger, F; Kotb, A; Zeaiter, A; Cardona, A; Balas, B; Johannsdottir, H K; Das-Gupta, A; Wolf, J&lt;/Author&gt;&lt;Year&gt;2018&lt;/Year&gt;&lt;Details&gt;&lt;_accessed&gt;64631487&lt;/_accessed&gt;&lt;_accession_num&gt;29668860&lt;/_accession_num&gt;&lt;_author_adr&gt;Department of Oncology, University of Turin, Turin, Italy.; Department of Pneumology, Toulouse University Hospital, Paul Sabatier University, Toulouse, France.; Department of Internal Medicine, Chonnam National University Hwasun Hospital, Hwasun-gun Jeollanam-do, Republic of Korea.; Department of Translational Oncology, La Paz University Hospital, Madrid, Spain.; Azienda Ospedaliera San Camillo Forlanini Hospital, Rome, Italy.; Department of Cancer Genetics and Department of Oncology, Institute for Cancer Research, Oslo University Hospital, Oslo, Norway.; Department of Oncology and Radiotherapy, Medical University of Gdansk, Gdansk, Poland.; Department of Hematology and Oncology, Pius Hospital, Medical Campus University of Oldenburg, Oldenburg, Germany.; F. Hoffmann-La Roche Ltd., Basel, Switzerland.; F. Hoffmann-La Roche Ltd., Basel, Switzerland.; F. Hoffmann-La Roche Ltd., Basel, Switzerland.; F. Hoffmann-La Roche Ltd., Basel, Switzerland.; F. Hoffmann-La Roche Ltd., Basel, Switzerland.; F. Hoffmann-La Roche Ltd., Basel, Switzerland.; Department I of Internal Medicine, Center for Integrated Oncology, University Hospital Cologne, Cologne, Germany. Electronic address: juergen.wolf@uk-koeln.de.&lt;/_author_adr&gt;&lt;_collection_scope&gt;SCIE&lt;/_collection_scope&gt;&lt;_created&gt;64630952&lt;/_created&gt;&lt;_date&gt;2018-06-01&lt;/_date&gt;&lt;_date_display&gt;2018 Jun 1&lt;/_date_display&gt;&lt;_db_updated&gt;PubMed&lt;/_db_updated&gt;&lt;_doi&gt;10.1093/annonc/mdy121&lt;/_doi&gt;&lt;_impact_factor&gt;  51.769&lt;/_impact_factor&gt;&lt;_isbn&gt;1569-8041 (Electronic); 0923-7534 (Linking)&lt;/_isbn&gt;&lt;_issue&gt;6&lt;/_issue&gt;&lt;_journal&gt;Ann Oncol&lt;/_journal&gt;&lt;_language&gt;eng&lt;/_language&gt;&lt;_modified&gt;64740730&lt;/_modified&gt;&lt;_pages&gt;1409-1416&lt;/_pages&gt;&lt;_social_category&gt;医学(1)&lt;/_social_category&gt;&lt;_subject_headings&gt;Adenocarcinoma/*drug therapy/secondary; Adult; Aged; Aged, 80 and over; Antineoplastic Combined Chemotherapy Protocols/*therapeutic use; Carbazoles/administration &amp;amp; dosage; Carcinoma, Non-Small-Cell Lung/*drug therapy/pathology; Central Nervous System Neoplasms/*drug therapy/secondary; Crizotinib/administration &amp;amp; dosage; Drug Resistance, Neoplasm/*drug effects; Female; Follow-Up Studies; Humans; Lung Neoplasms/*drug therapy/pathology; Lymphatic Metastasis; Male; Middle Aged; Pemetrexed/administration &amp;amp; dosage; Piperidines/administration &amp;amp; dosage; Prognosis; *Salvage Therapy; Survival Rate&lt;/_subject_headings&gt;&lt;_tertiary_title&gt;Annals of oncology : official journal of the European Society for Medical_x000d__x000a_      Oncology&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668860&amp;amp;query_hl=1 _x000d__x000a_https://www.ncbi.nlm.nih.gov/pmc/articles/PMC6005013/pdf/mdy121.pdf _x000d__x000a_&lt;/_url&gt;&lt;_volume&gt;29&lt;/_volume&gt;&lt;/Details&gt;&lt;Extra&gt;&lt;DBUID&gt;{F96A950B-833F-4880-A151-76DA2D6A2879}&lt;/DBUID&gt;&lt;/Extra&gt;&lt;/Item&gt;&lt;/References&gt;&lt;/Group&gt;&lt;Group&gt;&lt;References&gt;&lt;Item&gt;&lt;ID&gt;3015&lt;/ID&gt;&lt;UID&gt;{7FA4D165-5AFF-4C2A-825E-2816F54AFFD1}&lt;/UID&gt;&lt;Title&gt;Final efficacy and safety data, and exploratory molecular profiling from the phase III ALUR study of alectinib versus chemotherapy in crizotinib-pretreated ALK-positive non-small-cell lung cancer&lt;/Title&gt;&lt;Template&gt;Journal Article&lt;/Template&gt;&lt;Star&gt;1&lt;/Star&gt;&lt;Tag&gt;0&lt;/Tag&gt;&lt;Author&gt;Wolf, J; Helland, A; Oh, I J; Migliorino, M R; Dziadziuszko, R; Wrona, A; de Castro, J; Mazieres, J; Griesinger, F; Chlistalla, M; Cardona, A; Ruf, T; Trunzer, K; Smoljanovic, V; Novello, S&lt;/Author&gt;&lt;Year&gt;2022&lt;/Year&gt;&lt;Details&gt;&lt;_accessed&gt;64631462&lt;/_accessed&gt;&lt;_accession_num&gt;35042152&lt;/_accession_num&gt;&lt;_author_adr&gt;Department I of Internal Medicine, Center for Integrated Oncology, University Hospital Cologne, Cologne, Germany.; Department of Cancer Genetics and Department of Oncology, Institute for Cancer Research, Oslo University Hospital, University of Oslo, Oslo, Norway.; Department of Internal Medicine, Chonnam National University Medical School, Hwasun-gun Jeollanam-do, Republic of Korea.; Pulmonary Oncology Unit, Azienda Ospedaliera San Camillo Forlanini Hospital, Rome, Italy.; Department of Oncology and Radiotherapy, Medical University of Gdansk, Gdansk, Poland.; Department of Oncology and Radiotherapy, Medical University of Gdansk, Gdansk, Poland.; Department of Medical Oncology, La Paz University Hospital, IdiPAZ, Madrid, Spain.; Department of Pneumology, Toulouse University Hospital, Paul Sabatier University, Toulouse, France.; Department of Hematology and Oncology, Pius Hospital, University Medicine Oldenburg, Oldenburg, Germany.; F. Hoffmann-La Roche Ltd., Basel, Switzerland.; F. Hoffmann-La Roche Ltd., Basel, Switzerland.; F. Hoffmann-La Roche Ltd., Basel, Switzerland.; F. Hoffmann-La Roche Ltd., Basel, Switzerland.; F. Hoffmann-La Roche Ltd., Basel, Switzerland.; Department of Oncology, University of Turin, Orbassano, Italy. Electronic address: silvia.novello@unito.it.&lt;/_author_adr&gt;&lt;_collection_scope&gt;SCIE&lt;/_collection_scope&gt;&lt;_created&gt;64630990&lt;/_created&gt;&lt;_date&gt;2022-02-01&lt;/_date&gt;&lt;_date_display&gt;2022 Feb&lt;/_date_display&gt;&lt;_db_updated&gt;PubMed&lt;/_db_updated&gt;&lt;_doi&gt;10.1016/j.esmoop.2021.100333&lt;/_doi&gt;&lt;_impact_factor&gt;   6.883&lt;/_impact_factor&gt;&lt;_isbn&gt;2059-7029 (Electronic); 2059-7029 (Linking)&lt;/_isbn&gt;&lt;_issue&gt;1&lt;/_issue&gt;&lt;_journal&gt;ESMO Open&lt;/_journal&gt;&lt;_keywords&gt;ALK-positive NSCLC; ALUR; TP53; alectinib; chemotherapy&lt;/_keywords&gt;&lt;_language&gt;eng&lt;/_language&gt;&lt;_modified&gt;64740730&lt;/_modified&gt;&lt;_ori_publication&gt;Copyright (c) 2021 The Authors. Published by Elsevier Ltd.. All rights reserved.&lt;/_ori_publication&gt;&lt;_pages&gt;100333&lt;/_pages&gt;&lt;_social_category&gt;医学(3)&lt;/_social_category&gt;&lt;_subject_headings&gt;Anaplastic Lymphoma Kinase/genetics; Carbazoles; *Carcinoma, Non-Small-Cell Lung/drug therapy/genetics/pathology; Crizotinib/adverse effects; Humans; *Lung Neoplasms/drug therapy/genetics/pathology; Piperidines&lt;/_subject_headings&gt;&lt;_tertiary_title&gt;ESMO open&lt;/_tertiary_title&gt;&lt;_type_work&gt;Journal Article; Randomized Controlled Trial; Research Support, Non-U.S. Gov&amp;apos;t&lt;/_type_work&gt;&lt;_url&gt;http://www.ncbi.nlm.nih.gov/entrez/query.fcgi?cmd=Retrieve&amp;amp;db=pubmed&amp;amp;dopt=Abstract&amp;amp;list_uids=35042152&amp;amp;query_hl=1 _x000d__x000a_https://www.ncbi.nlm.nih.gov/pmc/articles/PMC8777286/pdf/main.pdf _x000d__x000a_&lt;/_url&gt;&lt;_volume&gt;7&lt;/_volume&gt;&lt;/Details&gt;&lt;Extra&gt;&lt;DBUID&gt;{F96A950B-833F-4880-A151-76DA2D6A2879}&lt;/DBUID&gt;&lt;/Extra&gt;&lt;/Item&gt;&lt;/References&gt;&lt;/Group&gt;&lt;/Citation&gt;_x000a_"/>
    <w:docVar w:name="NE.Ref{860D80D3-91EE-4786-925A-4FFB7DDFCC85}" w:val=" ADDIN NE.Ref.{860D80D3-91EE-4786-925A-4FFB7DDFCC85}&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86DCD552-737F-4F7B-8F26-D715FD6AB17E}" w:val=" ADDIN NE.Ref.{86DCD552-737F-4F7B-8F26-D715FD6AB17E}&lt;Citation&gt;&lt;Group&gt;&lt;References&gt;&lt;Item&gt;&lt;ID&gt;4734&lt;/ID&gt;&lt;UID&gt;{A078DB5A-8296-4752-88E8-57364E964902}&lt;/UID&gt;&lt;Title&gt;Efficacy and safety of first line treatments for patients with advanced epidermal  growth factor receptor mutated, non-small cell lung cancer: systematic review and  network meta-analysis&lt;/Title&gt;&lt;Template&gt;Journal Article&lt;/Template&gt;&lt;Star&gt;0&lt;/Star&gt;&lt;Tag&gt;0&lt;/Tag&gt;&lt;Author&gt;Zhao, Y; Liu, J; Cai, X; Pan, Z; Liu, J; Yin, W; Chen, H; Xie, Z; Liang, H; Wang, W; Guo, Z; Zhao, S; Liang, W; He, J&lt;/Author&gt;&lt;Year&gt;2019&lt;/Year&gt;&lt;Details&gt;&lt;_accession_num&gt;31591158&lt;/_accession_num&gt;&lt;_author_adr&gt;Department of Thoracic Surgery and Oncology, First Affiliated Hospital of  Guangzhou Medical University, State Key Laboratory of Respiratory Disease and  National Clinical Research Centre for Respiratory Disease, 151 Yanjiang Road,  Guangzhou 510120, China.; Department of Thoracic Surgery and Oncology, First Affiliated Hospital of  Guangzhou Medical University, State Key Laboratory of Respiratory Disease and  National Clinical Research Centre for Respiratory Disease, 151 Yanjiang Road,  Guangzhou 510120, China.; Department of General Internal Medicine, Sun Yat-sen University Cancer Centre,  State Key Laboratory of Oncology in South China, Collaborative Innovation Centre  for Cancer Medicine, Guangzhou, China.; Department of Oncology, Qingdao Municipal Hospital, Qingdao, China.; Department of Thoracic Surgery and Oncology, First Affiliated Hospital of  Guangzhou Medical University, State Key Laboratory of Respiratory Disease and  National Clinical Research Centre for Respiratory Disease, 151 Yanjiang Road,  Guangzhou 510120, China.; Department of Thoracic Surgery and Oncology, First Affiliated Hospital of  Guangzhou Medical University, State Key Laboratory of Respiratory Disease and  National Clinical Research Centre for Respiratory Disease, 151 Yanjiang Road,  Guangzhou 510120, China.; Department of Thoracic Surgery and Oncology, First Affiliated Hospital of  Guangzhou Medical University, State Key Laboratory of Respiratory Disease and  National Clinical Research Centre for Respiratory Disease, 151 Yanjiang Road,  Guangzhou 510120, China.; Department of Respiratory Medicine, First Affiliated Hospital of Guangzhou  Medical University, State Key Laboratory of Respiratory Disease and National  Clinical Research Centre for Respiratory Disease, Guangzhou, China.; Department of Thoracic Surgery and Oncology, First Affiliated Hospital of  Guangzhou Medical University, State Key Laboratory of Respiratory Disease and  National Clinical Research Centre for Respiratory Disease, 151 Yanjiang Road,  Guangzhou 510120, China drjianxing.he@gmail.com liangwh1987@163.com.; Department of Thoracic Surgery and Oncology, First Affiliated Hospital of  Guangzhou Medical University, State Key Laboratory of Respiratory Disease and  National Clinical Research Centre for Respiratory Disease, 151 Yanjiang Road,  Guangzhou 510120, China.; Department of Thoracic Surgery and Oncology, First Affiliated Hospital of  Guangzhou Medical University, State Key Laboratory of Respiratory Disease and  National Clinical Research Centre for Respiratory Disease, 151 Yanjiang Road,  Guangzhou 510120, China.; Department of Medical Oncology, Sun Yat-sen University Cancer Centre, State Key  Laboratory of Oncology in South China, Collaborative Innovation Centre for Cancer  Medicine, Guangzhou, China.; Department of Thoracic Surgery and Oncology, First Affiliated Hospital of  Guangzhou Medical University, State Key Laboratory of Respiratory Disease and  National Clinical Research Centre for Respiratory Disease, 151 Yanjiang Road,  Guangzhou 510120, China drjianxing.he@gmail.com liangwh1987@163.com.; Department of Thoracic Surgery and Oncology, First Affiliated Hospital of  Guangzhou Medical University, State Key Laboratory of Respiratory Disease and  National Clinical Research Centre for Respiratory Disease, 151 Yanjiang Road,  Guangzhou 510120, China drjianxing.he@gmail.com liangwh1987@163.com.&lt;/_author_adr&gt;&lt;_date_display&gt;2019 Oct 7&lt;/_date_display&gt;&lt;_date&gt;2019-10-07&lt;/_date&gt;&lt;_doi&gt;10.1136/bmj.l5460&lt;/_doi&gt;&lt;_isbn&gt;1756-1833 (Electronic); 0959-8138 (Print); 0959-8138 (Linking)&lt;/_isbn&gt;&lt;_journal&gt;BMJ&lt;/_journal&gt;&lt;_language&gt;eng&lt;/_language&gt;&lt;_ori_publication&gt;Published by the BMJ Publishing Group Limited. For permission to use (where not _x000d__x000a_      already granted under a licence) please go to _x000d__x000a_      http://group.bmj.com/group/rights-licensing/permissions.&lt;/_ori_publication&gt;&lt;_pages&gt;l5460&lt;/_pages&gt;&lt;_subject_headings&gt;Biomarkers, Tumor/genetics; Carcinoma, Non-Small-Cell Lung/*genetics/*therapy; ErbB Receptors/genetics; Humans; *Mutation; Network Meta-Analysis&lt;/_subject_headings&gt;&lt;_tertiary_title&gt;BMJ (Clinical research ed.)&lt;/_tertiary_title&gt;&lt;_type_work&gt;Journal Article; Meta-Analysis; Systematic Review&lt;/_type_work&gt;&lt;_url&gt;http://www.ncbi.nlm.nih.gov/entrez/query.fcgi?cmd=Retrieve&amp;amp;db=pubmed&amp;amp;dopt=Abstract&amp;amp;list_uids=31591158&amp;amp;query_hl=1&lt;/_url&gt;&lt;_volume&gt;367&lt;/_volume&gt;&lt;_created&gt;65021590&lt;/_created&gt;&lt;_modified&gt;65021590&lt;/_modified&gt;&lt;_impact_factor&gt;  93.333&lt;/_impact_factor&gt;&lt;_collection_scope&gt;SCIE&lt;/_collection_scope&gt;&lt;/Details&gt;&lt;Extra&gt;&lt;DBUID&gt;{F96A950B-833F-4880-A151-76DA2D6A2879}&lt;/DBUID&gt;&lt;/Extra&gt;&lt;/Item&gt;&lt;/References&gt;&lt;/Group&gt;&lt;/Citation&gt;_x000a_"/>
    <w:docVar w:name="NE.Ref{8790498C-C0B3-4EE0-B90E-31C74D47E293}" w:val=" ADDIN NE.Ref.{8790498C-C0B3-4EE0-B90E-31C74D47E293}&lt;Citation&gt;&lt;Group&gt;&lt;References&gt;&lt;Item&gt;&lt;ID&gt;4742&lt;/ID&gt;&lt;UID&gt;{F46D721E-AAAF-44DE-B850-413FDE462A6B}&lt;/UID&gt;&lt;Title&gt;Global Burden of 5 Major Types of Gastrointestinal Cancer&lt;/Title&gt;&lt;Template&gt;Journal Article&lt;/Template&gt;&lt;Star&gt;0&lt;/Star&gt;&lt;Tag&gt;0&lt;/Tag&gt;&lt;Author&gt;Arnold, M; Abnet, C C; Neale, R E; Vignat, J; Giovannucci, E L; McGlynn, K A; Bray, F&lt;/Author&gt;&lt;Year&gt;2020&lt;/Year&gt;&lt;Details&gt;&lt;_accession_num&gt;32247694&lt;/_accession_num&gt;&lt;_author_adr&gt;Section of Cancer Surveillance, International Agency for Research on Cancer,  Lyon, France. Electronic address: arnoldm@iarc.fr.; Division of Cancer Epidemiology and Genetics, National Cancer Institute,  Bethesda, Maryland.; Population Health Division, QIMR Berghofer Medical Research Institute, Herston,  Queensland, Australia.; Section of Cancer Surveillance, International Agency for Research on Cancer,  Lyon, France.; Department of Epidemiology, Harvard T.H. Chan School of Public Health, Boston,  Massachusetts.; Division of Cancer Epidemiology and Genetics, National Cancer Institute,  Bethesda, Maryland.; Section of Cancer Surveillance, International Agency for Research on Cancer,  Lyon, France.&lt;/_author_adr&gt;&lt;_date_display&gt;2020 Jul&lt;/_date_display&gt;&lt;_date&gt;2020-07-01&lt;/_date&gt;&lt;_doi&gt;10.1053/j.gastro.2020.02.068&lt;/_doi&gt;&lt;_isbn&gt;1528-0012 (Electronic); 0016-5085 (Print); 0016-5085 (Linking)&lt;/_isbn&gt;&lt;_issue&gt;1&lt;/_issue&gt;&lt;_journal&gt;Gastroenterology&lt;/_journal&gt;&lt;_keywords&gt;Cancer; Epidemiology; Global; Incidence; Mortality; Risk Factors&lt;/_keywords&gt;&lt;_language&gt;eng&lt;/_language&gt;&lt;_ori_publication&gt;Copyright © 2020 World Health Organization. Published by Elsevier Inc. All rights _x000d__x000a_      reserved.&lt;/_ori_publication&gt;&lt;_pages&gt;335-349.e15&lt;/_pages&gt;&lt;_subject_headings&gt;Aged; Americas/epidemiology; Asia/epidemiology; Australasia/epidemiology; Databases, Factual/statistics &amp;amp; numerical data; Europe/epidemiology; Female; Gastrointestinal Neoplasms/*epidemiology/prevention &amp;amp; control; Geography; Global Burden of Disease/*statistics &amp;amp; numerical data/trends; Global Health/statistics &amp;amp; numerical data/trends; Health Services Needs and Demand; Humans; Incidence; Liver Neoplasms/*epidemiology/prevention &amp;amp; control; Male; Mass Screening/organization &amp;amp; administration; Mortality/trends; Pancreatic Neoplasms/*epidemiology/prevention &amp;amp; control; Risk Factors; Sex Factors&lt;/_subject_headings&gt;&lt;_tertiary_title&gt;Gastroenterology&lt;/_tertiary_title&gt;&lt;_type_work&gt;Journal Article&lt;/_type_work&gt;&lt;_url&gt;http://www.ncbi.nlm.nih.gov/entrez/query.fcgi?cmd=Retrieve&amp;amp;db=pubmed&amp;amp;dopt=Abstract&amp;amp;list_uids=32247694&amp;amp;query_hl=1&lt;/_url&gt;&lt;_volume&gt;159&lt;/_volume&gt;&lt;_created&gt;65021590&lt;/_created&gt;&lt;_modified&gt;65021590&lt;/_modified&gt;&lt;_impact_factor&gt;  33.883&lt;/_impact_factor&gt;&lt;_social_category&gt;医学(1)&lt;/_social_category&gt;&lt;_collection_scope&gt;SCIE&lt;/_collection_scope&gt;&lt;/Details&gt;&lt;Extra&gt;&lt;DBUID&gt;{F96A950B-833F-4880-A151-76DA2D6A2879}&lt;/DBUID&gt;&lt;/Extra&gt;&lt;/Item&gt;&lt;/References&gt;&lt;/Group&gt;&lt;/Citation&gt;_x000a_"/>
    <w:docVar w:name="NE.Ref{88CCDEE7-DCF8-4E45-9781-0BF31D1DA56C}" w:val=" ADDIN NE.Ref.{88CCDEE7-DCF8-4E45-9781-0BF31D1DA56C}&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8A5BA7FA-D963-4D97-AE72-A7D59E478D43}" w:val=" ADDIN NE.Ref.{8A5BA7FA-D963-4D97-AE72-A7D59E478D43}&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8A735798-4610-4496-B034-CEFFBF177F09}" w:val=" ADDIN NE.Ref.{8A735798-4610-4496-B034-CEFFBF177F09}&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Citation&gt;_x000a_"/>
    <w:docVar w:name="NE.Ref{8B0C22F7-F9A1-45FA-B8F3-BF7600997198}" w:val=" ADDIN NE.Ref.{8B0C22F7-F9A1-45FA-B8F3-BF7600997198}&lt;Citation&gt;&lt;Group&gt;&lt;References&gt;&lt;Item&gt;&lt;ID&gt;3017&lt;/ID&gt;&lt;UID&gt;{B7E83D5C-E74F-4890-A8D5-C43325E06427}&lt;/UID&gt;&lt;Title&gt;319O ALTA-3: A randomized trial of brigatinib (BRG) vs alectinib (ALC) in crizotinib (CRZ)-refractory advanced ALK+ NSCLC&lt;/Title&gt;&lt;Template&gt;Journal Article&lt;/Template&gt;&lt;Star&gt;0&lt;/Star&gt;&lt;Tag&gt;0&lt;/Tag&gt;&lt;Author&gt;Yang, J C-H.; Liu, G; Lu, S; He, J; Burotto, M; Vincent, S; Yin, J; Ma, X; Popat, S&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6&lt;/_doi&gt;&lt;_impact_factor&gt;  51.769&lt;/_impact_factor&gt;&lt;_isbn&gt;0923-7534&lt;/_isbn&gt;&lt;_journal&gt;Annals of Oncology&lt;/_journal&gt;&lt;_modified&gt;64740730&lt;/_modified&gt;&lt;_pages&gt;S1564&lt;/_pages&gt;&lt;_social_category&gt;医学(1)&lt;/_social_category&gt;&lt;_url&gt;https://www.sciencedirect.com/science/article/pii/S0923753422045471&lt;/_url&gt;&lt;_volume&gt;33&lt;/_volume&gt;&lt;/Details&gt;&lt;Extra&gt;&lt;DBUID&gt;{F96A950B-833F-4880-A151-76DA2D6A2879}&lt;/DBUID&gt;&lt;/Extra&gt;&lt;/Item&gt;&lt;/References&gt;&lt;/Group&gt;&lt;Group&gt;&lt;References&gt;&lt;Item&gt;&lt;ID&gt;3015&lt;/ID&gt;&lt;UID&gt;{7FA4D165-5AFF-4C2A-825E-2816F54AFFD1}&lt;/UID&gt;&lt;Title&gt;Final efficacy and safety data, and exploratory molecular profiling from the phase III ALUR study of alectinib versus chemotherapy in crizotinib-pretreated ALK-positive non-small-cell lung cancer&lt;/Title&gt;&lt;Template&gt;Journal Article&lt;/Template&gt;&lt;Star&gt;1&lt;/Star&gt;&lt;Tag&gt;0&lt;/Tag&gt;&lt;Author&gt;Wolf, J; Helland, A; Oh, I J; Migliorino, M R; Dziadziuszko, R; Wrona, A; de Castro, J; Mazieres, J; Griesinger, F; Chlistalla, M; Cardona, A; Ruf, T; Trunzer, K; Smoljanovic, V; Novello, S&lt;/Author&gt;&lt;Year&gt;2022&lt;/Year&gt;&lt;Details&gt;&lt;_accessed&gt;64631462&lt;/_accessed&gt;&lt;_accession_num&gt;35042152&lt;/_accession_num&gt;&lt;_author_adr&gt;Department I of Internal Medicine, Center for Integrated Oncology, University Hospital Cologne, Cologne, Germany.; Department of Cancer Genetics and Department of Oncology, Institute for Cancer Research, Oslo University Hospital, University of Oslo, Oslo, Norway.; Department of Internal Medicine, Chonnam National University Medical School, Hwasun-gun Jeollanam-do, Republic of Korea.; Pulmonary Oncology Unit, Azienda Ospedaliera San Camillo Forlanini Hospital, Rome, Italy.; Department of Oncology and Radiotherapy, Medical University of Gdansk, Gdansk, Poland.; Department of Oncology and Radiotherapy, Medical University of Gdansk, Gdansk, Poland.; Department of Medical Oncology, La Paz University Hospital, IdiPAZ, Madrid, Spain.; Department of Pneumology, Toulouse University Hospital, Paul Sabatier University, Toulouse, France.; Department of Hematology and Oncology, Pius Hospital, University Medicine Oldenburg, Oldenburg, Germany.; F. Hoffmann-La Roche Ltd., Basel, Switzerland.; F. Hoffmann-La Roche Ltd., Basel, Switzerland.; F. Hoffmann-La Roche Ltd., Basel, Switzerland.; F. Hoffmann-La Roche Ltd., Basel, Switzerland.; F. Hoffmann-La Roche Ltd., Basel, Switzerland.; Department of Oncology, University of Turin, Orbassano, Italy. Electronic address: silvia.novello@unito.it.&lt;/_author_adr&gt;&lt;_collection_scope&gt;SCIE&lt;/_collection_scope&gt;&lt;_created&gt;64630990&lt;/_created&gt;&lt;_date&gt;2022-02-01&lt;/_date&gt;&lt;_date_display&gt;2022 Feb&lt;/_date_display&gt;&lt;_db_updated&gt;PubMed&lt;/_db_updated&gt;&lt;_doi&gt;10.1016/j.esmoop.2021.100333&lt;/_doi&gt;&lt;_impact_factor&gt;   6.883&lt;/_impact_factor&gt;&lt;_isbn&gt;2059-7029 (Electronic); 2059-7029 (Linking)&lt;/_isbn&gt;&lt;_issue&gt;1&lt;/_issue&gt;&lt;_journal&gt;ESMO Open&lt;/_journal&gt;&lt;_keywords&gt;ALK-positive NSCLC; ALUR; TP53; alectinib; chemotherapy&lt;/_keywords&gt;&lt;_language&gt;eng&lt;/_language&gt;&lt;_modified&gt;64740730&lt;/_modified&gt;&lt;_ori_publication&gt;Copyright (c) 2021 The Authors. Published by Elsevier Ltd.. All rights reserved.&lt;/_ori_publication&gt;&lt;_pages&gt;100333&lt;/_pages&gt;&lt;_social_category&gt;医学(3)&lt;/_social_category&gt;&lt;_subject_headings&gt;Anaplastic Lymphoma Kinase/genetics; Carbazoles; *Carcinoma, Non-Small-Cell Lung/drug therapy/genetics/pathology; Crizotinib/adverse effects; Humans; *Lung Neoplasms/drug therapy/genetics/pathology; Piperidines&lt;/_subject_headings&gt;&lt;_tertiary_title&gt;ESMO open&lt;/_tertiary_title&gt;&lt;_type_work&gt;Journal Article; Randomized Controlled Trial; Research Support, Non-U.S. Gov&amp;apos;t&lt;/_type_work&gt;&lt;_url&gt;http://www.ncbi.nlm.nih.gov/entrez/query.fcgi?cmd=Retrieve&amp;amp;db=pubmed&amp;amp;dopt=Abstract&amp;amp;list_uids=35042152&amp;amp;query_hl=1 _x000d__x000a_https://www.ncbi.nlm.nih.gov/pmc/articles/PMC8777286/pdf/main.pdf _x000d__x000a_&lt;/_url&gt;&lt;_volume&gt;7&lt;/_volume&gt;&lt;/Details&gt;&lt;Extra&gt;&lt;DBUID&gt;{F96A950B-833F-4880-A151-76DA2D6A2879}&lt;/DBUID&gt;&lt;/Extra&gt;&lt;/Item&gt;&lt;/References&gt;&lt;/Group&gt;&lt;Group&gt;&lt;References&gt;&lt;Item&gt;&lt;ID&gt;2999&lt;/ID&gt;&lt;UID&gt;{8FEB57F0-CC56-4F6C-8617-D4BE9EC2D6B8}&lt;/UID&gt;&lt;Title&gt;Updated Efficacy and Safety Data and Impact of the EML4-ALK Fusion Variant on the Efficacy of Alectinib in Untreated ALK-Positive Advanced Non-Small Cell Lung Cancer in the Global Phase III ALEX Study&lt;/Title&gt;&lt;Template&gt;Journal Article&lt;/Template&gt;&lt;Star&gt;0&lt;/Star&gt;&lt;Tag&gt;0&lt;/Tag&gt;&lt;Author&gt;Camidge, D R; Dziadziuszko, R; Peters, S; Mok, T; Noe, J; Nowicka, M; Gadgeel, S M; Cheema, P; Pavlakis, N; de Marinis, F; Cho, B C; Zhang, L; Moro-Sibilot, D; Liu, T; Bordogna, W; Balas, B; Muller, B; Shaw, A T&lt;/Author&gt;&lt;Year&gt;2019&lt;/Year&gt;&lt;Details&gt;&lt;_accessed&gt;64631483&lt;/_accessed&gt;&lt;_accession_num&gt;30902613&lt;/_accession_num&gt;&lt;_author_adr&gt;Division of Medical Oncology, University of Colorado, Denver, Colorado.; Medical University of Gdansk, Gdansk, Poland.; Lausanne University Hospital, Lausanne, Switzerland.; State Key Laboratory of South China, Chinese University of Hong Kong, Shatin, New Territories, Hong Kong.; F. Hoffmann-La Roche Ltd, Basel, Switzerland.; F. Hoffmann-La Roche Ltd, Basel, Switzerland.; University of Michigan, Ann Arbor, Michigan.; University of Toronto, Sunnybrook Odette Cancer Centre, Toronto, Ontario, Canada.; Royal North Shore Hospital, Sydney University, Sydney, Australia.; European Institute of Oncology, Scientific Institute for Research and Healthcare, Milan, Italy.; Severence Hospital, Seoul, Republic of Korea.; Sun Yet-sen University Cancer Center, Guangdong, People&amp;apos;s Republic of China.; Grenoble University Hospital Center, La Tronche, France.; F. Hoffmann-La Roche Ltd, Basel, Switzerland.; F. Hoffmann-La Roche Ltd, Basel, Switzerland.; F. Hoffmann-La Roche Ltd, Basel, Switzerland.; F. Hoffmann-La Roche Ltd, Basel, Switzerland.; Massachusetts General Hospital Cancer Center, Boston, Massachusetts. Electronic address: Ashaw1@partners.org.&lt;/_author_adr&gt;&lt;_collection_scope&gt;SCIE&lt;/_collection_scope&gt;&lt;_created&gt;64630939&lt;/_created&gt;&lt;_date&gt;2019-07-01&lt;/_date&gt;&lt;_date_display&gt;2019 Jul&lt;/_date_display&gt;&lt;_db_updated&gt;PubMed&lt;/_db_updated&gt;&lt;_doi&gt;10.1016/j.jtho.2019.03.007&lt;/_doi&gt;&lt;_impact_factor&gt;  20.121&lt;/_impact_factor&gt;&lt;_isbn&gt;1556-1380 (Electronic); 1556-0864 (Linking)&lt;/_isbn&gt;&lt;_issue&gt;7&lt;/_issue&gt;&lt;_journal&gt;J Thorac Oncol&lt;/_journal&gt;&lt;_keywords&gt;ALEX; Alectinib; EML4-ALK; NGS; Non-small cell lung cancer&lt;/_keywords&gt;&lt;_language&gt;eng&lt;/_language&gt;&lt;_modified&gt;64740730&lt;/_modified&gt;&lt;_ori_publication&gt;Copyright (c) 2019 International Association for the Study of Lung Cancer._x000d__x000a_      Published by Elsevier Inc. All rights reserved.&lt;/_ori_publication&gt;&lt;_pages&gt;1233-1243&lt;/_pages&gt;&lt;_social_category&gt;医学(1)&lt;/_social_category&gt;&lt;_subject_headings&gt;Adolescent; Adult; Aged; Anaplastic Lymphoma Kinase/genetics/*metabolism; Antineoplastic Combined Chemotherapy Protocols/*therapeutic use; Brain Neoplasms/*drug therapy/genetics/secondary; Carbazoles/administration &amp;amp; dosage; Carcinoma, Non-Small-Cell Lung/*drug therapy/genetics/pathology; Cohort Studies; Crizotinib/administration &amp;amp; dosage; Female; Follow-Up Studies; Humans; Lung Neoplasms/*drug therapy/genetics/pathology; Male; Middle Aged; Oncogene Proteins, Fusion/*genetics; Piperidines/administration &amp;amp; dosage; Prognosis; Survival Rate; Young Adult&lt;/_subject_headings&gt;&lt;_tertiary_title&gt;Journal of thoracic oncology : official publication of the International_x000d__x000a_      Association for the Study of Lung Cancer&lt;/_tertiary_title&gt;&lt;_type_work&gt;Clinical Trial, Phase III; Journal Article; Multicenter Study; Randomized Controlled Trial; Research Support, Non-U.S. Gov&amp;apos;t&lt;/_type_work&gt;&lt;_url&gt;http://www.ncbi.nlm.nih.gov/entrez/query.fcgi?cmd=Retrieve&amp;amp;db=pubmed&amp;amp;dopt=Abstract&amp;amp;list_uids=30902613&amp;amp;query_hl=1&lt;/_url&gt;&lt;_volume&gt;14&lt;/_volume&gt;&lt;/Details&gt;&lt;Extra&gt;&lt;DBUID&gt;{F96A950B-833F-4880-A151-76DA2D6A2879}&lt;/DBUID&gt;&lt;/Extra&gt;&lt;/Item&gt;&lt;/References&gt;&lt;/Group&gt;&lt;/Citation&gt;_x000a_"/>
    <w:docVar w:name="NE.Ref{8B664821-849E-4CE2-A7DE-5FAD0E09C463}" w:val=" ADDIN NE.Ref.{8B664821-849E-4CE2-A7DE-5FAD0E09C463}&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8C4DB5B7-0072-4010-90FB-A06CF37ED0A2}" w:val=" ADDIN NE.Ref.{8C4DB5B7-0072-4010-90FB-A06CF37ED0A2}&lt;Citation&gt;&lt;Group&gt;&lt;References&gt;&lt;Item&gt;&lt;ID&gt;5021&lt;/ID&gt;&lt;UID&gt;{FC01DC97-7D4C-4C9D-9151-12C0AE958C20}&lt;/UID&gt;&lt;Title&gt;National Institute for Health and Care Excellence. Regorafenib for previously treated metastatic colorectal cancer [ID4002]. https://www.nice.org.uk/guidance(Accessed Feb 2, 2024).&lt;/Title&gt;&lt;Template&gt;Web Page&lt;/Template&gt;&lt;Star&gt;0&lt;/Star&gt;&lt;Tag&gt;0&lt;/Tag&gt;&lt;Author/&gt;&lt;Year&gt;0&lt;/Year&gt;&lt;Details&gt;&lt;_accessed&gt;65330793&lt;/_accessed&gt;&lt;_created&gt;65329711&lt;/_created&gt;&lt;_modified&gt;65329715&lt;/_modified&gt;&lt;/Details&gt;&lt;Extra&gt;&lt;DBUID&gt;{F96A950B-833F-4880-A151-76DA2D6A2879}&lt;/DBUID&gt;&lt;/Extra&gt;&lt;/Item&gt;&lt;/References&gt;&lt;/Group&gt;&lt;Group&gt;&lt;References&gt;&lt;Item&gt;&lt;ID&gt;5040&lt;/ID&gt;&lt;UID&gt;{717BD1CF-CD3B-48EC-B523-80C0C3A00305}&lt;/UID&gt;&lt;Title&gt;Health state utilities for metastatic breast cancer&lt;/Title&gt;&lt;Template&gt;Journal Article&lt;/Template&gt;&lt;Star&gt;0&lt;/Star&gt;&lt;Tag&gt;0&lt;/Tag&gt;&lt;Author&gt;Lloyd, A; Nafees, B; Narewska, J; Dewilde, S; Watkins, J&lt;/Author&gt;&lt;Year&gt;2006&lt;/Year&gt;&lt;Details&gt;&lt;_accession_num&gt;16967055&lt;/_accession_num&gt;&lt;_author_adr&gt;United BioSource Corporation, 20 Bloomsbury Square, London WC1A 2NS, UK.  andrew.lloyd@unitedbiosource.com&lt;/_author_adr&gt;&lt;_date_display&gt;2006 Sep 18&lt;/_date_display&gt;&lt;_date&gt;2006-09-18&lt;/_date&gt;&lt;_doi&gt;10.1038/sj.bjc.6603326&lt;/_doi&gt;&lt;_isbn&gt;0007-0920 (Print); 1532-1827 (Electronic); 0007-0920 (Linking)&lt;/_isbn&gt;&lt;_issue&gt;6&lt;/_issue&gt;&lt;_journal&gt;Br J Cancer&lt;/_journal&gt;&lt;_language&gt;eng&lt;/_language&gt;&lt;_pages&gt;683-90&lt;/_pages&gt;&lt;_subject_headings&gt;Adult; Age Factors; *Attitude to Health; Breast Neoplasms/drug therapy/epidemiology/*psychology; Disease Progression; Female; *Health Status; Humans; Male; Pilot Projects; *Quality of Life; Recurrence; Sex Factors; *Sickness Impact Profile; United Kingdom/epidemiology&lt;/_subject_headings&gt;&lt;_tertiary_title&gt;British journal of cancer&lt;/_tertiary_title&gt;&lt;_type_work&gt;Comparative Study; Journal Article&lt;/_type_work&gt;&lt;_url&gt;http://www.ncbi.nlm.nih.gov/entrez/query.fcgi?cmd=Retrieve&amp;amp;db=pubmed&amp;amp;dopt=Abstract&amp;amp;list_uids=16967055&amp;amp;query_hl=1&lt;/_url&gt;&lt;_volume&gt;95&lt;/_volume&gt;&lt;_created&gt;65329740&lt;/_created&gt;&lt;_modified&gt;65329740&lt;/_modified&gt;&lt;_impact_factor&gt;   8.800&lt;/_impact_factor&gt;&lt;_social_category&gt;肿瘤学(2)&lt;/_social_category&gt;&lt;_collection_scope&gt;SCIE&lt;/_collection_scope&gt;&lt;_accessed&gt;65330884&lt;/_accessed&gt;&lt;/Details&gt;&lt;Extra&gt;&lt;DBUID&gt;{F96A950B-833F-4880-A151-76DA2D6A2879}&lt;/DBUID&gt;&lt;/Extra&gt;&lt;/Item&gt;&lt;/References&gt;&lt;/Group&gt;&lt;/Citation&gt;_x000a_"/>
    <w:docVar w:name="NE.Ref{8C65D5F8-4CBD-4C45-B4B8-EF034381EF2D}" w:val=" ADDIN NE.Ref.{8C65D5F8-4CBD-4C45-B4B8-EF034381EF2D}&lt;Citation&gt;&lt;Group&gt;&lt;References&gt;&lt;Item&gt;&lt;ID&gt;4694&lt;/ID&gt;&lt;UID&gt;{901EC8D8-2AC9-4CE7-8B7D-6FAA1BD2A713}&lt;/UID&gt;&lt;Title&gt;Nintedanib for the treatment of patients with refractory metastatic colorectal  cancer (LUME-Colon 1): a phase III, international, randomized, placebo-controlled  study&lt;/Title&gt;&lt;Template&gt;Journal Article&lt;/Template&gt;&lt;Star&gt;0&lt;/Star&gt;&lt;Tag&gt;0&lt;/Tag&gt;&lt;Author&gt;Van Cutsem, E; Yoshino, T; Lenz, H J; Lonardi, S; Falcone, A; Limón, M L; Saunders, M; Sobrero, A; Park, Y S; Ferreiro, R; Hong, Y S; Tomasek, J; Taniguchi, H; Ciardiello, F; Stoehr, J; Oum&amp;apos;Hamed, Z; Vlassak, S; Studeny, M; Argiles, G&lt;/Author&gt;&lt;Year&gt;2018&lt;/Year&gt;&lt;Details&gt;&lt;_accession_num&gt;30010751&lt;/_accession_num&gt;&lt;_author_adr&gt;Division of Digestive Oncology, University Hospitals Gasthuisberg Leuven and KU  Leuven, Leuven, Belgium. Electronic address: eric.vancutsem@uzleuven.be.; Department of Gastrointestinal Oncology, National Cancer Center Hospital East,  Chiba, Japan.; Division of Medical Oncology, Norris Comprehensive Cancer Center, Los Angeles,  USA.; Medical Oncology Unit 1, Department of Clinical and Experimental Oncology,  Istituto Oncologico Veneto - IRCCS, Padua.; Department of Translational Research on New Technologies in Medicine and Surgery,  University of Pisa, Pisa, Italy.; Department of Medical Oncology, Hospital Universitario Virgen del Rocio, Seville,  Spain.; Department of Clinical Oncology, The Christie NHS Foundation Trust, Manchester,  UK.; Department of Medical Oncology, Azienda Ospedaliera San Martino, Genoa, Italy.; Department of Hematology and Oncology, Samsung Medical Center, Seoul, South  Korea.; Department of Clinical Oncology, Ramón y Cajal Hospital, Madrid, Spain.; Department of Oncology, Asan Medical Center, Seoul, South Korea.; Department of Complex Oncology Care, Masaryk Memorial Cancer Institute, Brno,  Czech Republic.; Department of Clinical Oncology, Aichi Cancer Center Hospital, Nagoya, Japan.; Oncologia Medica, Seconda Università deli Studi di Napoli, Naples, Italy.; Boehringer Ingelheim, Pharma GmbH &amp;amp; Co. KG, Biberach, Germany.; Boehringer Ingelheim France S.A.S, Reims, France.; SCS Boehringer Ingelheim Comm.V, Brussels, Belgium.; Division of Medicine/Clinical Development Department, Boehringer Ingelheim,  Vienna, Austria.; Medical Oncology Department, Vall d&amp;apos;Hebron University Hospital and Institute of  Oncology (VHIO), Universitat Autònoma de Barcelona, CIBERONC, Barcelona, Spain.&lt;/_author_adr&gt;&lt;_date_display&gt;2018 Sep 1&lt;/_date_display&gt;&lt;_date&gt;2018-09-01&lt;/_date&gt;&lt;_doi&gt;10.1093/annonc/mdy241&lt;/_doi&gt;&lt;_isbn&gt;1569-8041 (Electronic); 0923-7534 (Print); 0923-7534 (Linking)&lt;/_isbn&gt;&lt;_issue&gt;9&lt;/_issue&gt;&lt;_journal&gt;Ann Oncol&lt;/_journal&gt;&lt;_language&gt;eng&lt;/_language&gt;&lt;_pages&gt;1955-1963&lt;/_pages&gt;&lt;_subject_headings&gt;Adenocarcinoma/*drug therapy/mortality/pathology; Administration, Oral; Adult; Aged; Antineoplastic Agents/*administration &amp;amp; dosage/adverse effects; Chemical and Drug Induced Liver Injury/epidemiology/etiology; Colorectal Neoplasms/*drug therapy/mortality/pathology; Disease Progression; Double-Blind Method; Fatigue/chemically induced/epidemiology; Female; Humans; Indoles/*administration &amp;amp; dosage/adverse effects; Male; Middle Aged; Placebos/administration &amp;amp; dosage/adverse effects; Progression-Free Survival; Protein Kinase Inhibitors/*administration &amp;amp; dosage/adverse effects; Receptors, Vascular Endothelial Growth Factor/antagonists &amp;amp; inhibitors; Response Evaluation Criteria in Solid Tumors&lt;/_subject_headings&gt;&lt;_tertiary_title&gt;Annals of oncology : official journal of the European Society for Medical _x000d__x000a_      Oncology&lt;/_tertiary_title&gt;&lt;_type_work&gt;Clinical Trial, Phase III; Journal Article; Multicenter Study; Randomized Controlled Trial; Research Support, Non-U.S. Gov&amp;apos;t&lt;/_type_work&gt;&lt;_url&gt;http://www.ncbi.nlm.nih.gov/entrez/query.fcgi?cmd=Retrieve&amp;amp;db=pubmed&amp;amp;dopt=Abstract&amp;amp;list_uids=30010751&amp;amp;query_hl=1&lt;/_url&gt;&lt;_volume&gt;29&lt;/_volume&gt;&lt;_created&gt;65020956&lt;/_created&gt;&lt;_modified&gt;65020956&lt;/_modified&gt;&lt;_impact_factor&gt;  51.769&lt;/_impact_factor&gt;&lt;_social_category&gt;医学(1)&lt;/_social_category&gt;&lt;_collection_scope&gt;SCIE&lt;/_collection_scope&gt;&lt;/Details&gt;&lt;Extra&gt;&lt;DBUID&gt;{F96A950B-833F-4880-A151-76DA2D6A2879}&lt;/DBUID&gt;&lt;/Extra&gt;&lt;/Item&gt;&lt;/References&gt;&lt;/Group&gt;&lt;/Citation&gt;_x000a_"/>
    <w:docVar w:name="NE.Ref{8C854DCB-A8AE-42E9-B847-DE0C809A3B4D}" w:val=" ADDIN NE.Ref.{8C854DCB-A8AE-42E9-B847-DE0C809A3B4D}&lt;Citation&gt;&lt;Group&gt;&lt;References&gt;&lt;Item&gt;&lt;ID&gt;4905&lt;/ID&gt;&lt;UID&gt;{14C2D3E0-BB54-49A8-BB54-27E66AC9C422}&lt;/UID&gt;&lt;Title&gt;Efficacy and Tolerability of First-Line Cetuximab Plus Leucovorin, Fluorouracil,  and Oxaliplatin (FOLFOX-4) Versus FOLFOX-4 in Patients With RAS Wild-Type  Metastatic Colorectal Cancer: The Open-Label, Randomized, Phase III TAILOR Trial&lt;/Title&gt;&lt;Template&gt;Journal Article&lt;/Template&gt;&lt;Star&gt;0&lt;/Star&gt;&lt;Tag&gt;0&lt;/Tag&gt;&lt;Author&gt;Qin, S; Li, J; Wang, L; Xu, J; Cheng, Y; Bai, Y; Li, W; Xu, N; Lin, L Z; Wu, Q; Li, Y; Yang, J; Pan, H; Ouyang, X; Qiu, W; Wu, K; Xiong, J; Dai, G; Liang, H; Hu, C; Zhang, J; Tao, M; Yao, Q; Wang, J; Chen, J; Eggleton, S P; Liu, T&lt;/Author&gt;&lt;Year&gt;2018&lt;/Year&gt;&lt;Details&gt;&lt;_accession_num&gt;30199311&lt;/_accession_num&gt;&lt;_author_adr&gt;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 Shukui Qin, Bayi Hospital, Nanjing University of Chinese Medicine, Nanjing; Jin  Li, Fudan University Cancer Hospital and Tongji University East Hospital; Liwei  Wang, Shanghai First People&amp;apos;s Hospital; Jun Zhang, Ruijin Hospital, Shanghai Jiao  Tong University School of Medicine; Tianshu Liu, Affiliated Zhongshan Hospital of  Fudan University, Shanghai; Jianming Xu, 307 Hospital of the Chinese People&amp;apos;s  Liberation Army; Guanghai Dai, Chinese People&amp;apos;s Liberation Army General Hospital;  Junyuan Wang and Jiongjie Chen, Merck Serono, Beijing; Ying Cheng, Jilin Cancer  Hospital; Wei Li, First Affiliated Hospital of Jilin University, Jilin; Yuxian  Bai, Affiliated Hospital of Harbin Medical University, Harbin; Nong Xu, First  Affiliated Hospital of College of Medicine, Zhejiang University, Hangzhou; Li-zhu  Lin, First Affiliated Hospital of Guangzhou University of Traditional Chinese  Medicine, Guangzhou; Qiong Wu, First Affiliated Hospital of Bengbu Medical  College, Bengbu; Yunfeng Li, Yunnan Province Cancer Hospital, Kunming; Jianwei  Yang, Fujian Province Cancer Hospital; Xuenong Ouyang, Fuzhou General Hospital,  Fuzhou; Hongming Pan, Sir Run Run Shaw Hospital Affiliated With School of  Medicine, Zhejiang University, Zhejiang; Wensheng Qiu, Affiliated Hospital of  Qingdao University, Qingdao; Kaichun Wu, Xijing Hospital, Fourth Military Medical  University, Shaanxi; Jianping Xiong, First Affiliated Hospital of Nanchang  University, Nanchang; Houjie Liang, Southwest Cancer Center, Southwest Hospital,  Third Military Medical University, Chongqing; Chunhong Hu, Second Xiangya  Hospital of Central South University, Changsha; Min Tao, First Affiliated  Hospital of Suzhou University, Suzhou; Qiang Yao, Tianjin People&amp;apos;s Hospital,  Tianjin, People&amp;apos;s Republic of China; and S. Peter Eggleton, Merck KGaA,  Darmstadt, Germany.&lt;/_author_adr&gt;&lt;_date_display&gt;2018 Oct 20&lt;/_date_display&gt;&lt;_date&gt;2018-10-20&lt;/_date&gt;&lt;_doi&gt;10.1200/JCO.2018.78.3183&lt;/_doi&gt;&lt;_isbn&gt;1527-7755 (Electronic); 0732-183X (Print); 0732-183X (Linking)&lt;/_isbn&gt;&lt;_issue&gt;30&lt;/_issue&gt;&lt;_journal&gt;J Clin Oncol&lt;/_journal&gt;&lt;_language&gt;eng&lt;/_language&gt;&lt;_pages&gt;3031-3039&lt;/_pages&gt;&lt;_subject_headings&gt;Adult; Aged; Antineoplastic Combined Chemotherapy Protocols/*therapeutic use; Cetuximab/*administration &amp;amp; dosage/adverse effects; China; Colorectal Neoplasms/*drug therapy/mortality; Female; Fluorouracil/therapeutic use; Humans; Leucovorin/therapeutic use; Male; Middle Aged; Organoplatinum Compounds/therapeutic use; Progression-Free Survival; Young Adult&lt;/_subject_headings&gt;&lt;_tertiary_title&gt;Journal of clinical oncology : official journal of the American Society of _x000d__x000a_      Clinical Oncology&lt;/_tertiary_title&gt;&lt;_type_work&gt;Clinical Trial, Phase III; Journal Article; Multicenter Study; Research Support, Non-U.S. Gov&amp;apos;t&lt;/_type_work&gt;&lt;_url&gt;http://www.ncbi.nlm.nih.gov/entrez/query.fcgi?cmd=Retrieve&amp;amp;db=pubmed&amp;amp;dopt=Abstract&amp;amp;list_uids=30199311&amp;amp;query_hl=1&lt;/_url&gt;&lt;_volume&gt;36&lt;/_volume&gt;&lt;_created&gt;65090136&lt;/_created&gt;&lt;_modified&gt;65090136&lt;/_modified&gt;&lt;_impact_factor&gt;  50.717&lt;/_impact_factor&gt;&lt;_social_category&gt;医学(1)&lt;/_social_category&gt;&lt;_collection_scope&gt;SCIE&lt;/_collection_scope&gt;&lt;/Details&gt;&lt;Extra&gt;&lt;DBUID&gt;{F96A950B-833F-4880-A151-76DA2D6A2879}&lt;/DBUID&gt;&lt;/Extra&gt;&lt;/Item&gt;&lt;/References&gt;&lt;/Group&gt;&lt;Group&gt;&lt;References&gt;&lt;Item&gt;&lt;ID&gt;4906&lt;/ID&gt;&lt;UID&gt;{58350CE1-12C9-4C7C-B438-8FD50CD98F35}&lt;/UID&gt;&lt;Title&gt;A Randomized Phase II Study of FOLFOX6/Bevacizumab With or Without Pelareorep in  Patients With Metastatic Colorectal Cancer: IND.210, a Canadian Cancer Trials  Group Trial&lt;/Title&gt;&lt;Template&gt;Journal Article&lt;/Template&gt;&lt;Star&gt;0&lt;/Star&gt;&lt;Tag&gt;0&lt;/Tag&gt;&lt;Author&gt;Jonker, D J; Tang, P A; Kennecke, H; Welch, S A; Cripps, M C; Asmis, T; Chalchal, H; Tomiak, A; Lim, H; Ko, Y J; Chen, E X; Alcindor, T; Goffin, J R; Korpanty, G J; Feilotter, H; Tsao, M S; Theis, A; Tu, D; Seymour, L&lt;/Author&gt;&lt;Year&gt;2018&lt;/Year&gt;&lt;Details&gt;&lt;_accession_num&gt;29653857&lt;/_accession_num&gt;&lt;_author_adr&gt;Department of Medicine, Ottawa Hospital Research Institute, University of Ottawa,  Ottawa, Ontario, Canada. Electronic address: djonker@toh.on.ca.; Departments of Medicine and Oncology, Tom Baker Cancer Centre, University of  Calgary, Calgary, Alberta, Canada.; Department of Medicine, BC Cancer Agency, Vancouver, British Columbia, Canada.; Department of Medical Oncology, University of Western Ontario, London, Ontario,  Canada.; Department of Medicine, Ottawa Hospital Research Institute, University of Ottawa,  Ottawa, Ontario, Canada.; Department of Medicine, Ottawa Hospital Research Institute, University of Ottawa,  Ottawa, Ontario, Canada.; Division of Oncology, Allan Blair Cancer Centre, Regina, Saskatchewan, Canada.; Department of Oncology, Queen&amp;apos;s University, Kingston, Ontario, Canada.; Department of Medicine, BC Cancer Agency, Vancouver, British Columbia, Canada.; Department of Medicine, Sunnybrook Odette Cancer Centre, Toronto, Ontario,  Canada.; Department of Medical Oncology and Hematology, Princess Margaret Cancer Centre,  Toronto, Ontario, Canada.; Department of Oncology, McGill University, Montréal, Quebec, Canada.; Department of Oncology, Juravinski Cancer Centre, McMaster University, Hamilton,  Ontario, Canada.; Department of Oncology, Canadian Cancer Trials Group, Queen&amp;apos;s University,  Kingston, Ontario, Canada.; Department of Pathology and Molecular Medicine, Queen&amp;apos;s University, Kingston,  Ontario, Canada.; Department of Laboratory Medicine and Pathobiology, Princess Margaret Cancer  Centre, Toronto, Ontario, Canada.; Department of Oncology, Canadian Cancer Trials Group, Queen&amp;apos;s University,  Kingston, Ontario, Canada.; Department of Mathematics and Statistics, Queen&amp;apos;s University, Kingston, Ontario,  Canada.; Department of Oncology, Canadian Cancer Trials Group, Queen&amp;apos;s University,  Kingston, Ontario, Canada.&lt;/_author_adr&gt;&lt;_date_display&gt;2018 Sep&lt;/_date_display&gt;&lt;_date&gt;2018-09-01&lt;/_date&gt;&lt;_doi&gt;10.1016/j.clcc.2018.03.001&lt;/_doi&gt;&lt;_isbn&gt;1938-0674 (Electronic); 1533-0028 (Linking)&lt;/_isbn&gt;&lt;_issue&gt;3&lt;/_issue&gt;&lt;_journal&gt;Clin Colorectal Cancer&lt;/_journal&gt;&lt;_keywords&gt;Chemotherapy; Oncolytic virus; RAS; Reolysin; Reovirus&lt;/_keywords&gt;&lt;_language&gt;eng&lt;/_language&gt;&lt;_ori_publication&gt;Copyright © 2018 Elsevier Inc. All rights reserved.&lt;/_ori_publication&gt;&lt;_pages&gt;231-239.e7&lt;/_pages&gt;&lt;_subject_headings&gt;Adult; Aged; Antineoplastic Combined Chemotherapy Protocols/*therapeutic use; Bevacizumab/*therapeutic use; Canada/epidemiology; Colorectal Neoplasms/mortality/pathology/*therapy; Combined Modality Therapy/adverse effects/methods; Female; Fluorouracil/therapeutic use; Follow-Up Studies; Humans; Kaplan-Meier Estimate; Leucovorin/therapeutic use; Male; Mammalian orthoreovirus 3/genetics; Middle Aged; Oncolytic Virotherapy/adverse effects/*methods; Oncolytic Viruses/genetics; Organoplatinum Compounds/therapeutic use; Progression-Free Survival; *Quality of Life; Response Evaluation Criteria in Solid Tumors&lt;/_subject_headings&gt;&lt;_tertiary_title&gt;Clinical colorectal cancer&lt;/_tertiary_title&gt;&lt;_type_work&gt;Clinical Trial, Phase II; Equivalence Trial; Journal Article; Randomized Controlled Trial; Research Support, Non-U.S. Gov&amp;apos;t&lt;/_type_work&gt;&lt;_url&gt;http://www.ncbi.nlm.nih.gov/entrez/query.fcgi?cmd=Retrieve&amp;amp;db=pubmed&amp;amp;dopt=Abstract&amp;amp;list_uids=29653857&amp;amp;query_hl=1&lt;/_url&gt;&lt;_volume&gt;17&lt;/_volume&gt;&lt;_created&gt;65090136&lt;/_created&gt;&lt;_modified&gt;65090136&lt;/_modified&gt;&lt;_impact_factor&gt;   4.035&lt;/_impact_factor&gt;&lt;_social_category&gt;医学(2)&lt;/_social_category&gt;&lt;_collection_scope&gt;SCIE&lt;/_collection_scope&gt;&lt;/Details&gt;&lt;Extra&gt;&lt;DBUID&gt;{F96A950B-833F-4880-A151-76DA2D6A2879}&lt;/DBUID&gt;&lt;/Extra&gt;&lt;/Item&gt;&lt;/References&gt;&lt;/Group&gt;&lt;/Citation&gt;_x000a_"/>
    <w:docVar w:name="NE.Ref{8D10BB46-A664-47FF-BFC9-DE932DF416F4}" w:val=" ADDIN NE.Ref.{8D10BB46-A664-47FF-BFC9-DE932DF416F4}&lt;Citation&gt;&lt;Group&gt;&lt;References&gt;&lt;Item&gt;&lt;ID&gt;4717&lt;/ID&gt;&lt;UID&gt;{B4B608CE-C1DE-41F9-8945-8FD4A7F31D72}&lt;/UID&gt;&lt;Title&gt;Health-related quality of life in patients with advanced colorectal cancer  treated with cetuximab: overall and KRAS-specific results of the NCIC CTG and  AGITG CO.17 Trial&lt;/Title&gt;&lt;Template&gt;Journal Article&lt;/Template&gt;&lt;Star&gt;0&lt;/Star&gt;&lt;Tag&gt;0&lt;/Tag&gt;&lt;Author&gt;Au, H J; Karapetis, C S; O&amp;apos;Callaghan, C J; Tu, D; Moore, M J; Zalcberg, J R; Kennecke, H; Shapiro, J D; Koski, S; Pavlakis, N; Charpentier, D; Wyld, D; Jefford, M; Knight, G J; Magoski, N M; Brundage, M D; Jonker, D J&lt;/Author&gt;&lt;Year&gt;2009&lt;/Year&gt;&lt;Details&gt;&lt;_accession_num&gt;19273701&lt;/_accession_num&gt;&lt;_author_adr&gt;Cross Cancer Institute, Edmonton, Alberta, Canada. heathera@cancerboard.ab.ca&lt;/_author_adr&gt;&lt;_date_display&gt;2009 Apr 10&lt;/_date_display&gt;&lt;_date&gt;2009-04-10&lt;/_date&gt;&lt;_doi&gt;10.1200/JCO.2008.19.6048&lt;/_doi&gt;&lt;_isbn&gt;1527-7755 (Electronic); 0732-183X (Linking)&lt;/_isbn&gt;&lt;_issue&gt;11&lt;/_issue&gt;&lt;_journal&gt;J Clin Oncol&lt;/_journal&gt;&lt;_language&gt;eng&lt;/_language&gt;&lt;_pages&gt;1822-8&lt;/_pages&gt;&lt;_subject_headings&gt;Antibodies, Monoclonal/*therapeutic use; Antibodies, Monoclonal, Humanized; Antineoplastic Agents/*therapeutic use; Cetuximab; Colorectal Neoplasms/*drug therapy/*genetics; Humans; Middle Aged; Mutation; Proto-Oncogene Proteins/*genetics; Proto-Oncogene Proteins p21(ras); *Quality of Life; Treatment Outcome; ras Proteins/*genetics&lt;/_subject_headings&gt;&lt;_tertiary_title&gt;Journal of clinical oncology : official journal of the American Society of _x000d__x000a_      Clinical Oncology&lt;/_tertiary_title&gt;&lt;_type_work&gt;Journal Article; Randomized Controlled Trial; Research Support, Non-U.S. Gov&amp;apos;t&lt;/_type_work&gt;&lt;_url&gt;http://www.ncbi.nlm.nih.gov/entrez/query.fcgi?cmd=Retrieve&amp;amp;db=pubmed&amp;amp;dopt=Abstract&amp;amp;list_uids=19273701&amp;amp;query_hl=1&lt;/_url&gt;&lt;_volume&gt;27&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8D335C03-FAA5-4C79-B5D5-5AB70F2D5CFF}" w:val=" ADDIN NE.Ref.{8D335C03-FAA5-4C79-B5D5-5AB70F2D5CFF}&lt;Citation&gt;&lt;Group&gt;&lt;References&gt;&lt;Item&gt;&lt;ID&gt;5030&lt;/ID&gt;&lt;UID&gt;{68408DB7-11CC-4A97-A8C9-A5D38548BD6C}&lt;/UID&gt;&lt;Title&gt;Estimated Cost-effectiveness of Atezolizumab Plus Cobimetinib and Vemurafenib for  Treatment of BRAF V600 Variation Metastatic Melanoma&lt;/Title&gt;&lt;Template&gt;Journal Article&lt;/Template&gt;&lt;Star&gt;0&lt;/Star&gt;&lt;Tag&gt;0&lt;/Tag&gt;&lt;Author&gt;Cai, C; Yunusa, I; Tarhini, A&lt;/Author&gt;&lt;Year&gt;2021&lt;/Year&gt;&lt;Details&gt;&lt;_accession_num&gt;34762112&lt;/_accession_num&gt;&lt;_author_adr&gt;Department of Clinical Pharmacy and Outcomes Sciences, University of South  Carolina, Columbia.; Department of Clinical Pharmacy and Outcomes Sciences, University of South  Carolina, Columbia.; Department of Cutaneous Oncology, Moffitt Cancer Center &amp;amp; Research Institute,  Tampa, Florida.; Department of Immunology, Moffitt Cancer Center &amp;amp; Research Institute, Tampa,  Florida.; Department of Oncologic Sciences, Morsani College of Medicine, University of  South Florida, Tampa.&lt;/_author_adr&gt;&lt;_date_display&gt;2021 Nov 1&lt;/_date_display&gt;&lt;_date&gt;2021-11-01&lt;/_date&gt;&lt;_doi&gt;10.1001/jamanetworkopen.2021.32262&lt;/_doi&gt;&lt;_isbn&gt;2574-3805 (Electronic); 2574-3805 (Linking)&lt;/_isbn&gt;&lt;_issue&gt;11&lt;/_issue&gt;&lt;_journal&gt;JAMA Netw Open&lt;/_journal&gt;&lt;_language&gt;eng&lt;/_language&gt;&lt;_pages&gt;e2132262&lt;/_pages&gt;&lt;_subject_headings&gt;Antibodies, Monoclonal, Humanized/*economics/therapeutic use; Antineoplastic Agents/*economics/therapeutic use; Antineoplastic Combined Chemotherapy Protocols/*economics/therapeutic use; Azetidines/*economics; Cost-Benefit Analysis; Humans; Immunotherapy/economics/methods; Melanoma/*economics/mortality/pathology/*therapy; Neoplasm Metastasis/therapy; Piperidines/*economics; Progression-Free Survival; Proto-Oncogene Proteins B-raf; Quality-Adjusted Life Years; Vemurafenib/*economics/therapeutic use&lt;/_subject_headings&gt;&lt;_tertiary_title&gt;JAMA network open&lt;/_tertiary_title&gt;&lt;_type_work&gt;Journal Article&lt;/_type_work&gt;&lt;_url&gt;http://www.ncbi.nlm.nih.gov/entrez/query.fcgi?cmd=Retrieve&amp;amp;db=pubmed&amp;amp;dopt=Abstract&amp;amp;list_uids=34762112&amp;amp;query_hl=1&lt;/_url&gt;&lt;_volume&gt;4&lt;/_volume&gt;&lt;_created&gt;65329740&lt;/_created&gt;&lt;_modified&gt;65329740&lt;/_modified&gt;&lt;_impact_factor&gt;  13.800&lt;/_impact_factor&gt;&lt;_social_category&gt;医学：内科(1)&lt;/_social_category&gt;&lt;_collection_scope&gt;SCIE&lt;/_collection_scope&gt;&lt;_accessed&gt;65330811&lt;/_accessed&gt;&lt;/Details&gt;&lt;Extra&gt;&lt;DBUID&gt;{F96A950B-833F-4880-A151-76DA2D6A2879}&lt;/DBUID&gt;&lt;/Extra&gt;&lt;/Item&gt;&lt;/References&gt;&lt;/Group&gt;&lt;Group&gt;&lt;References&gt;&lt;Item&gt;&lt;ID&gt;5031&lt;/ID&gt;&lt;UID&gt;{D6984E2B-3D92-48A6-A43F-C426091CFFB0}&lt;/UID&gt;&lt;Title&gt;Budget Impact of Dabrafenib and Trametinib in Combination as Adjuvant Treatment  of BRAF V600E/K Mutation-Positive Melanoma from a U.S. Commercial Payer  Perspective&lt;/Title&gt;&lt;Template&gt;Journal Article&lt;/Template&gt;&lt;Star&gt;0&lt;/Star&gt;&lt;Tag&gt;0&lt;/Tag&gt;&lt;Author&gt;Stellato, D; Gerbasi, M E; Ndife, B; Ghate, S R; Moynahan, A; Mishra, D; Gunda, P; Koruth, R; Delea, T E&lt;/Author&gt;&lt;Year&gt;2019&lt;/Year&gt;&lt;Details&gt;&lt;_accession_num&gt;31663466&lt;/_accession_num&gt;&lt;_author_adr&gt;Policy Analysis Inc. (PAI), Brookline, Massachusetts.; Policy Analysis Inc. (PAI), Brookline, Massachusetts.; Novartis Pharmaceuticals, East Hanover, New Jersey.; Novartis Pharmaceuticals, East Hanover, New Jersey.; Policy Analysis Inc. (PAI), Brookline, Massachusetts.; Novartis Pharmaceuticals, Hyderabad, Telangana, India.; Novartis Pharmaceuticals, Hyderabad, Telangana, India.; Novartis Pharmaceuticals, East Hanover, New Jersey.; Policy Analysis Inc. (PAI), Brookline, Massachusetts.&lt;/_author_adr&gt;&lt;_date_display&gt;2019 Nov&lt;/_date_display&gt;&lt;_date&gt;2019-11-01&lt;/_date&gt;&lt;_doi&gt;10.18553/jmcp.2019.25.11.1227&lt;/_doi&gt;&lt;_isbn&gt;2376-1032 (Electronic); 2376-0540 (Print); 2376-0540 (Linking)&lt;/_isbn&gt;&lt;_issue&gt;11&lt;/_issue&gt;&lt;_journal&gt;J Manag Care Spec Pharm&lt;/_journal&gt;&lt;_language&gt;eng&lt;/_language&gt;&lt;_pages&gt;1227-1237&lt;/_pages&gt;&lt;_subject_headings&gt;Adult; Aged; Antineoplastic Combined Chemotherapy Protocols/*economics/therapeutic use; Budgets/statistics &amp;amp; numerical data; Chemotherapy, Adjuvant/economics/statistics &amp;amp; numerical data; Clinical Trials, Phase III as Topic; Decision Making; Disease-Free Survival; Drug Costs/*statistics &amp;amp; numerical data; For-Profit Insurance Plans/*economics/statistics &amp;amp; numerical data; Humans; Imidazoles/economics/therapeutic use; Male; Melanoma/economics/genetics/mortality/*therapy; Middle Aged; Models, Economic; Mutation; Oximes/economics/therapeutic use; Progression-Free Survival; Proto-Oncogene Proteins B-raf/genetics; Pyridones/economics/therapeutic use; Pyrimidinones/economics/therapeutic use; Skin Neoplasms/economics/genetics/mortality/*therapy&lt;/_subject_headings&gt;&lt;_tertiary_title&gt;Journal of managed care &amp;amp; specialty pharmacy&lt;/_tertiary_title&gt;&lt;_type_work&gt;Journal Article&lt;/_type_work&gt;&lt;_url&gt;http://www.ncbi.nlm.nih.gov/entrez/query.fcgi?cmd=Retrieve&amp;amp;db=pubmed&amp;amp;dopt=Abstract&amp;amp;list_uids=31663466&amp;amp;query_hl=1&lt;/_url&gt;&lt;_volume&gt;25&lt;/_volume&gt;&lt;_created&gt;65329740&lt;/_created&gt;&lt;_modified&gt;65330571&lt;/_modified&gt;&lt;_impact_factor&gt;   2.100&lt;/_impact_factor&gt;&lt;_social_category&gt;卫生保健与服务(4) &amp;amp; 药学(3)&lt;/_social_category&gt;&lt;_collection_scope&gt;SCIE&lt;/_collection_scope&gt;&lt;_accessed&gt;65330811&lt;/_accessed&gt;&lt;/Details&gt;&lt;Extra&gt;&lt;DBUID&gt;{F96A950B-833F-4880-A151-76DA2D6A2879}&lt;/DBUID&gt;&lt;/Extra&gt;&lt;/Item&gt;&lt;/References&gt;&lt;/Group&gt;&lt;/Citation&gt;_x000a_"/>
    <w:docVar w:name="NE.Ref{8E2E28F5-6567-4358-9256-DAE03C3FAEF3}" w:val=" ADDIN NE.Ref.{8E2E28F5-6567-4358-9256-DAE03C3FAEF3}&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Citation&gt;_x000a_"/>
    <w:docVar w:name="NE.Ref{90135512-39AF-46A3-BAB7-317FBE83403A}" w:val=" ADDIN NE.Ref.{90135512-39AF-46A3-BAB7-317FBE83403A}&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9130C497-EED4-402B-8B06-41ED2A53C1B4}" w:val=" ADDIN NE.Ref.{9130C497-EED4-402B-8B06-41ED2A53C1B4}&lt;Citation&gt;&lt;Group&gt;&lt;References&gt;&lt;Item&gt;&lt;ID&gt;2983&lt;/ID&gt;&lt;UID&gt;{BD0BB2E0-CB32-4C0B-B0FD-E7E7E8E77746}&lt;/UID&gt;&lt;Title&gt;Non-Small Cell Lung Cancer: Epidemiology, Screening, Diagnosis, and Treatment&lt;/Title&gt;&lt;Template&gt;Journal Article&lt;/Template&gt;&lt;Star&gt;0&lt;/Star&gt;&lt;Tag&gt;0&lt;/Tag&gt;&lt;Author&gt;Duma, N; Santana-Davila, R; Molina, J R&lt;/Author&gt;&lt;Year&gt;2019&lt;/Year&gt;&lt;Details&gt;&lt;_accessed&gt;64073675&lt;/_accessed&gt;&lt;_accession_num&gt;31378236&lt;/_accession_num&gt;&lt;_author_adr&gt;Division of Medical Oncology, Mayo Clinic, Rochester, MN.; Division of Medical Oncology, Department of Medicine, University of Washington, Seattle.; Division of Medical Oncology, Mayo Clinic, Rochester, MN.&lt;/_author_adr&gt;&lt;_collection_scope&gt;SCI;SCIE&lt;/_collection_scope&gt;&lt;_created&gt;64069789&lt;/_created&gt;&lt;_date&gt;2019-08-01&lt;/_date&gt;&lt;_date_display&gt;2019 Aug&lt;/_date_display&gt;&lt;_db_updated&gt;PubMed&lt;/_db_updated&gt;&lt;_doi&gt;10.1016/j.mayocp.2019.01.013&lt;/_doi&gt;&lt;_impact_factor&gt;  11.104&lt;/_impact_factor&gt;&lt;_isbn&gt;1942-5546 (Electronic); 0025-6196 (Linking)&lt;/_isbn&gt;&lt;_issue&gt;8&lt;/_issue&gt;&lt;_journal&gt;Mayo Clin Proc&lt;/_journal&gt;&lt;_language&gt;eng&lt;/_language&gt;&lt;_modified&gt;64740730&lt;/_modified&gt;&lt;_ori_publication&gt;Copyright (c) 2019 Mayo Foundation for Medical Education and Research. Published _x000d__x000a_      by Elsevier Inc. All rights reserved.&lt;/_ori_publication&gt;&lt;_pages&gt;1623-1640&lt;/_pages&gt;&lt;_social_category&gt;医学(2)&lt;/_social_category&gt;&lt;_subject_headings&gt;Carcinoma, Non-Small-Cell Lung/*diagnosis/epidemiology/prevention &amp;amp;_x000d__x000a_      control/*therapy; Chemoradiotherapy/*methods; Chemotherapy, Adjuvant; Disease-Free Survival; Early Detection of Cancer/*methods; Education, Medical, Continuing; Female; Humans; Immunotherapy/methods; Lung Neoplasms/*diagnosis/epidemiology/prevention &amp;amp; control/*therapy; Male; Molecular Targeted Therapy/methods; Pneumonectomy/methods; Prognosis; Risk Assessment; Survival Analysis; United States&lt;/_subject_headings&gt;&lt;_tertiary_title&gt;Mayo Clinic proceedings&lt;/_tertiary_title&gt;&lt;_type_work&gt;Journal Article; Review&lt;/_type_work&gt;&lt;_url&gt;http://www.ncbi.nlm.nih.gov/entrez/query.fcgi?cmd=Retrieve&amp;amp;db=pubmed&amp;amp;dopt=Abstract&amp;amp;list_uids=31378236&amp;amp;query_hl=1&lt;/_url&gt;&lt;_volume&gt;94&lt;/_volume&gt;&lt;/Details&gt;&lt;Extra&gt;&lt;DBUID&gt;{F96A950B-833F-4880-A151-76DA2D6A2879}&lt;/DBUID&gt;&lt;/Extra&gt;&lt;/Item&gt;&lt;/References&gt;&lt;/Group&gt;&lt;/Citation&gt;_x000a_"/>
    <w:docVar w:name="NE.Ref{9133BA97-3DC9-486C-ABFA-F1DB58D11047}" w:val=" ADDIN NE.Ref.{9133BA97-3DC9-486C-ABFA-F1DB58D11047}&lt;Citation&gt;&lt;Group&gt;&lt;References&gt;&lt;Item&gt;&lt;ID&gt;46202&lt;/ID&gt;&lt;UID&gt;{4B64A322-E4EA-4491-BD66-79CF9493DD09}&lt;/UID&gt;&lt;Title&gt;First-line crizotinib versus chemotherapy in ALK-positive lung cancer&lt;/Title&gt;&lt;Template&gt;Journal Article&lt;/Template&gt;&lt;Star&gt;0&lt;/Star&gt;&lt;Tag&gt;0&lt;/Tag&gt;&lt;Author&gt;Solomon, B J; Mok, T; Kim, D W; Wu, Y L; Nakagawa, K; Mekhail, T; Felip, E; Cappuzzo, F; Paolini, J; Usari, T; Iyer, S; Reisman, A; Wilner, K D; Tursi, J; Blackhall, F&lt;/Author&gt;&lt;Year&gt;2014&lt;/Year&gt;&lt;Details&gt;&lt;_accessed&gt;64632481&lt;/_accessed&gt;&lt;_accession_num&gt;25470694&lt;/_accession_num&gt;&lt;_collection_scope&gt;SCIE&lt;/_collection_scope&gt;&lt;_created&gt;64630940&lt;/_created&gt;&lt;_date&gt;2014-12-04&lt;/_date&gt;&lt;_date_display&gt;2014 Dec 4&lt;/_date_display&gt;&lt;_db_updated&gt;PubMed&lt;/_db_updated&gt;&lt;_doi&gt;10.1056/NEJMoa1408440&lt;/_doi&gt;&lt;_impact_factor&gt; 176.079&lt;/_impact_factor&gt;&lt;_isbn&gt;1533-4406 (Electronic); 0028-4793 (Linking)&lt;/_isbn&gt;&lt;_issue&gt;23&lt;/_issue&gt;&lt;_journal&gt;N Engl J Med&lt;/_journal&gt;&lt;_language&gt;eng&lt;/_language&gt;&lt;_modified&gt;64688891&lt;/_modified&gt;&lt;_pages&gt;2167-77&lt;/_pages&gt;&lt;_social_category&gt;医学(1)&lt;/_social_category&gt;&lt;_subject_headings&gt;Adenocarcinoma/drug therapy/mortality; Adult; Aged; Anaplastic Lymphoma Kinase; Antineoplastic Combined Chemotherapy Protocols/adverse effects/*therapeutic use; Carboplatin/administration &amp;amp; dosage; Carcinoma, Non-Small-Cell Lung/*drug therapy/mortality; Cisplatin/administration &amp;amp; dosage; Crizotinib; Disease-Free Survival; Female; Glutamates/administration &amp;amp; dosage; Guanine/administration &amp;amp; dosage/analogs &amp;amp; derivatives; Humans; Kaplan-Meier Estimate; Lung Neoplasms/*drug therapy/mortality; Male; Middle Aged; Pemetrexed; Protein Kinase Inhibitors/adverse effects/*therapeutic use; Pyrazoles/adverse effects/*therapeutic use; Pyridines/adverse effects/*therapeutic use; Receptor Protein-Tyrosine Kinases/*antagonists &amp;amp; inhibitor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5470694&amp;amp;query_hl=1&lt;/_url&gt;&lt;_volume&gt;371&lt;/_volume&gt;&lt;/Details&gt;&lt;Extra&gt;&lt;DBUID&gt;{F96A950B-833F-4880-A151-76DA2D6A2879}&lt;/DBUID&gt;&lt;/Extra&gt;&lt;/Item&gt;&lt;/References&gt;&lt;/Group&gt;&lt;/Citation&gt;_x000a_"/>
    <w:docVar w:name="NE.Ref{918D7FCC-366A-459D-9B37-46813C95455F}" w:val=" ADDIN NE.Ref.{918D7FCC-366A-459D-9B37-46813C95455F}&lt;Citation&gt;&lt;Group&gt;&lt;References&gt;&lt;Item&gt;&lt;ID&gt;5038&lt;/ID&gt;&lt;UID&gt;{E1AFF1CE-834F-47CD-AB65-9B4E05D6B565}&lt;/UID&gt;&lt;Title&gt;Effect of Fruquintinib vs Placebo on Overall Survival in Patients With Previously  Treated Metastatic Colorectal Cancer: The FRESCO Randomized Clinical Trial&lt;/Title&gt;&lt;Template&gt;Journal Article&lt;/Template&gt;&lt;Star&gt;0&lt;/Star&gt;&lt;Tag&gt;0&lt;/Tag&gt;&lt;Author&gt;Li, J; Qin, S; Xu, R H; Shen, L; Xu, J; Bai, Y; Yang, L; Deng, Y; Chen, Z D; Zhong, H; Pan, H; Guo, W; Shu, Y; Yuan, Y; Zhou, J; Xu, N; Liu, T; Ma, D; Wu, C; Cheng, Y; Chen, D; Li, W; Sun, S; Yu, Z; Cao, P; Chen, H; Wang, J; Wang, S; Wang, H; Fan, S; Hua, Y; Su, W&lt;/Author&gt;&lt;Year&gt;2018&lt;/Year&gt;&lt;Details&gt;&lt;_accession_num&gt;29946728&lt;/_accession_num&gt;&lt;_author_adr&gt;Department of Medical Oncology, Tongji University Shanghai East Hospital,  Shanghai, China.; Department of Medical Oncology, Shanghai Medical College, Fudan University  Shanghai Cancer Center, Shanghai, China.; Department of Medical Oncology, Nanjing Chinese Medicine University-Affiliated  Bayi Hospital, Nanjing, China.; Department of Medical Oncology, Sun Yat-sen University Cancer Center, State Key  Laboratory of Oncology in South China, Guangzhou, China.; Collaborative Innovation Center for Cancer Medicine, Guangzhou, China.; Department of Medical Oncology, Beijing University Cancer Center, Beijing, China.; Department of Medical Oncology, 307th Hospital of Chinese People&amp;apos;s Liberation  Army, The Affiliated Hospital of Military Medical Sciences, Beijing, China.; Department of Medical Oncology, Harbin Medical University Cancer Hospital,  Harbin, China.; Department of Medical Oncology, Nantong Cancer Hospital, Nantong, China.; Department of Medical Oncology, The Sixth Affiliated Hospital of Sun Yat-sen  University, Guangzhou, China.; Department of Medical Oncology, The Second Hospital of Anhui Medical University,  Hefei, China.; Department of Medical Oncology, Zhejiang Cancer Hospital, Hangzhou, China.; Department of Medical Oncology, Sir RunRun Shaw Hospital, College of Medicine,  Zhejiang University, Hangzhou, China.; Department of Medical Oncology, Shanghai Medical College, Fudan University  Shanghai Cancer Center, Shanghai, China.; Department of Medical Oncology, Jiangsu Provincial Hospital, Nanjing, China.; Department of Medical Oncology, The Second Affiliated Hospital of Zhejiang  University School of Medicine, Hangzhou, China.; Department of Medical Oncology, Peking Union Medical College Hospital, Beijing,  China.; Department of Medical Oncology, The First Affiliated Hospital of Zhejiang  University School of Medicine, Hangzhou, China.; Department of Medical Oncology, Fudan University Zhongshan Hospital, Shanghai  Medical College, Shanghai, China.; Department of Medical Oncology, Guangdong General Hospital, Guangzhou, China.; Department of Medical Oncology, The First People&amp;apos;s Hospital of Changzhou,  Changzhou, China.; Department of Medical Oncology, Jilin Province Cancer Hospital, Changchun, China.; Department of Medical Oncology, Shanghai Jiaotong University Affiliated First  People&amp;apos;s Hospital, Shanghai, China.; Department of Medical Oncology, The First Hospital of Jilin University,  Changchun, China.; Department of Medical Oncology, Xuzhou Central Hospital, Xuzhou, China.; Department of Medical Oncology, The Affiliated Hospital of Medical College  Qingdao University, Qingdao, China.; Department of Medical Oncology, The Third Xiangya Hospital of Central South  University, Changsha, China.; Department of Medical Oncology, Liuzhou Worker&amp;apos;s Hospital, Liuzhou, China.; Department of Medical Oncology, Shanghai Changzheng Hospital, The Second Military  Medical University, Shanghai, China.; Department of Medical Oncology, Peking University Shenzhen Hospital, Beijing  University, Shenzhen, China.; Department of Medical Oncology, The Affiliated Hospital of Xuzhou Medical  College, Xuzhou Medical College, Xuzhou, China.; Hutchison MediPharma Ltd, Shanghai, China.; Hutchison MediPharma Ltd, Shanghai, China.; Hutchison MediPharma Ltd, Shanghai, China.&lt;/_author_adr&gt;&lt;_date_display&gt;2018 Jun 26&lt;/_date_display&gt;&lt;_date&gt;2018-06-26&lt;/_date&gt;&lt;_doi&gt;10.1001/jama.2018.7855&lt;/_doi&gt;&lt;_isbn&gt;1538-3598 (Electronic); 0098-7484 (Print); 0098-7484 (Linking)&lt;/_isbn&gt;&lt;_issue&gt;24&lt;/_issue&gt;&lt;_journal&gt;JAMA&lt;/_journal&gt;&lt;_language&gt;eng&lt;/_language&gt;&lt;_pages&gt;2486-2496&lt;/_pages&gt;&lt;_subject_headings&gt;Adult; Aged; Aged, 80 and over; Antineoplastic Combined Chemotherapy Protocols/adverse effects/*therapeutic use; Benzofurans/*administration &amp;amp; dosage/adverse effects; China; Colorectal Neoplasms/*drug therapy/mortality/pathology/therapy; Combined Modality Therapy; Double-Blind Method; Female; Humans; Intention to Treat Analysis; Male; Middle Aged; Quinazolines/*administration &amp;amp; dosage/adverse effects; Survival Analysis; Vascular Endothelial Growth Factor A/*antagonists &amp;amp; inhibitors; Young Adult&lt;/_subject_headings&gt;&lt;_tertiary_title&gt;JAMA&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946728&amp;amp;query_hl=1&lt;/_url&gt;&lt;_volume&gt;319&lt;/_volume&gt;&lt;_created&gt;65329740&lt;/_created&gt;&lt;_modified&gt;65329740&lt;/_modified&gt;&lt;_impact_factor&gt; 120.700&lt;/_impact_factor&gt;&lt;_social_category&gt;医学：内科(1)&lt;/_social_category&gt;&lt;_collection_scope&gt;SCIE&lt;/_collection_scope&gt;&lt;_accessed&gt;65330873&lt;/_accessed&gt;&lt;/Details&gt;&lt;Extra&gt;&lt;DBUID&gt;{F96A950B-833F-4880-A151-76DA2D6A2879}&lt;/DBUID&gt;&lt;/Extra&gt;&lt;/Item&gt;&lt;/References&gt;&lt;/Group&gt;&lt;/Citation&gt;_x000a_"/>
    <w:docVar w:name="NE.Ref{922464D9-208B-49D3-A18E-90C27A42A538}" w:val=" ADDIN NE.Ref.{922464D9-208B-49D3-A18E-90C27A42A538}&lt;Citation&gt;&lt;Group&gt;&lt;References&gt;&lt;Item&gt;&lt;ID&gt;46205&lt;/ID&gt;&lt;UID&gt;{67905BEA-F213-4767-B85A-4C5B34BE8922}&lt;/UID&gt;&lt;Title&gt;Brigatinib Versus Crizotinib in ALK Inhibitor-Naive Advanced ALK-Positive NSCLC:  Final Results of Phase 3 ALTA-1L Trial&lt;/Title&gt;&lt;Template&gt;Journal Article&lt;/Template&gt;&lt;Star&gt;0&lt;/Star&gt;&lt;Tag&gt;0&lt;/Tag&gt;&lt;Author&gt;Camidge, D R; Kim, H R; Ahn, M J; Yang, JCH; Han, J Y; Hochmair, M J; Lee, K H; Delmonte, A; Garcia, Campelo MR; Kim, D W; Griesinger, F; Felip, E; Califano, R; Spira, A I; Gettinger, S N; Tiseo, M; Lin, H M; Liu, Y; Vranceanu, F; Niu, H; Zhang, P; Popat, S&lt;/Author&gt;&lt;Year&gt;2021&lt;/Year&gt;&lt;Details&gt;&lt;_accessed&gt;64632482&lt;/_accessed&gt;&lt;_accession_num&gt;34537440&lt;/_accession_num&gt;&lt;_author_adr&gt;Department of Medicine, University of Colorado Cancer Center, Aurora, Colorado. Electronic address: ross.camidge@cuanschutz.edu.; Division of Medical Oncology, Department of Internal Medicine, Yonsei Cancer Center, Yonsei University College of Medicine, Seoul, South Korea.; Division of Hematology-Oncology, Samsung Medical Center, Seoul, South Korea.; Department of Medical Oncology, National Taiwan University Cancer Center, Taipei, Taiwan.; Department of Precision Medicine, National Cancer Center, Gyeonggi, South Korea.; Department of Respiratory and Critical Care Medicine, Karl Landsteiner Institute  of Lung Research and Pulmonary Oncology, Vienna, Austria.; Internal Medicine Department, Chungbuk National University Hospital, Chungbuk, South Korea.; Department of Medical Oncology, Istituto Romagnolo per lo Studio dei Tumori &amp;quot;Dino Amadori&amp;quot; (IRST) Istituto di Ricovero e Cura a Carattere Scientifico (IRCCS), Meldola, Italy.; Department of Medical Oncology, Complejo Hospitalario Universitario A Coruna (CHUAC), University Hospital A Coruna, A Coruna, Spain.; Department of Internal Medicine, Seoul National University Hospital, Seoul National University College of Medicine, Seoul, South Korea.; Department of Hematology and Oncology, Pius-Hospital Oldenburg, University of Oldenburg, Oldenburg, Germany.; Vall d&amp;apos;Hebron Institute of Oncology, Vall d&amp;apos;Hebron University Hospital, Barcelona, Spain.; Department of Medical Oncology, The Christie NHS Foundation Trust, Manchester, United Kingdom; Department of Medical Oncology, Division of Cancer Sciences, The  University of Manchester, Manchester, England, United Kingdom.; Department of Medical Oncology, Virginia Cancer Specialists, US Oncology Research, Fairfax, Virginia.; Department of Medical Oncology, Yale Cancer Center, New Haven, Connecticut.; Department of Medicine and Surgery, University Hospital of Parma, Parma, Italy.; Global Evidence and Outcome, Millennium Pharmaceuticals, Inc., a wholly-owned subsidiary of Takeda Pharmaceutical Company Limited, Cambridge, Massachusetts.; Oncology Statistics, Millennium Pharmaceuticals, Inc., a wholly-owned subsidiary  of Takeda Pharmaceutical Company Limited, Cambridge, Massachusetts.; Clinical Science, Millennium Pharmaceuticals, Inc., a wholly-owned subsidiary of  Takeda Pharmaceutical Company Limited, Cambridge, Massachusetts.; Oncology Translational Sciences, Millennium Pharmaceuticals, Inc., a wholly-owned subsidiary of Takeda Pharmaceutical Company Limited, Cambridge, Massachusetts.; Oncology Clinical Research, Millennium Pharmaceuticals, Inc., a wholly-owned subsidiary of Takeda Pharmaceutical Company Limited, Cambridge, Massachusetts.; Royal Marsden Hospital, London, United Kingdom.&lt;/_author_adr&gt;&lt;_collection_scope&gt;SCIE&lt;/_collection_scope&gt;&lt;_created&gt;64630982&lt;/_created&gt;&lt;_date&gt;2021-12-01&lt;/_date&gt;&lt;_date_display&gt;2021 Dec&lt;/_date_display&gt;&lt;_db_updated&gt;PubMed&lt;/_db_updated&gt;&lt;_doi&gt;10.1016/j.jtho.2021.07.035&lt;/_doi&gt;&lt;_impact_factor&gt;  20.121&lt;/_impact_factor&gt;&lt;_isbn&gt;1556-1380 (Electronic); 1556-0864 (Linking)&lt;/_isbn&gt;&lt;_issue&gt;12&lt;/_issue&gt;&lt;_journal&gt;J Thorac Oncol&lt;/_journal&gt;&lt;_keywords&gt;ALK tyrosine kinase inhibitor; Anaplastic lymphoma kinase; Brigatinib; Crizotinib; Non-small cell lung cancer&lt;/_keywords&gt;&lt;_language&gt;eng&lt;/_language&gt;&lt;_modified&gt;64688891&lt;/_modified&gt;&lt;_ori_publication&gt;Copyright (c) 2021 International Association for the Study of Lung Cancer._x000d__x000a_      Published by Elsevier Inc. All rights reserved.&lt;/_ori_publication&gt;&lt;_pages&gt;2091-2108&lt;/_pages&gt;&lt;_social_category&gt;医学(1)&lt;/_social_category&gt;&lt;_subject_headings&gt;Anaplastic Lymphoma Kinase/genetics; Crizotinib/therapeutic use; Humans; *Lung Neoplasms/drug therapy/genetics; Organophosphorus Compounds; Protein Kinase Inhibitors/therapeutic use; Pyrimidines/therapeutic use&lt;/_subject_headings&gt;&lt;_tertiary_title&gt;Journal of thoracic oncology : official publication of the International_x000d__x000a_      Association for the Study of Lung Cancer&lt;/_tertiary_title&gt;&lt;_type_work&gt;Journal Article; Randomized Controlled Trial; Research Support, Non-U.S. Gov&amp;apos;t&lt;/_type_work&gt;&lt;_url&gt;http://www.ncbi.nlm.nih.gov/entrez/query.fcgi?cmd=Retrieve&amp;amp;db=pubmed&amp;amp;dopt=Abstract&amp;amp;list_uids=34537440&amp;amp;query_hl=1&lt;/_url&gt;&lt;_volume&gt;16&lt;/_volume&gt;&lt;/Details&gt;&lt;Extra&gt;&lt;DBUID&gt;{F96A950B-833F-4880-A151-76DA2D6A2879}&lt;/DBUID&gt;&lt;/Extra&gt;&lt;/Item&gt;&lt;/References&gt;&lt;/Group&gt;&lt;/Citation&gt;_x000a_"/>
    <w:docVar w:name="NE.Ref{9264D63B-3AAE-4675-A3F9-9DF9C0394694}" w:val=" ADDIN NE.Ref.{9264D63B-3AAE-4675-A3F9-9DF9C0394694}&lt;Citation&gt;&lt;Group&gt;&lt;References&gt;&lt;Item&gt;&lt;ID&gt;46224&lt;/ID&gt;&lt;UID&gt;{49400BF2-B2F0-4D20-95FB-01E3B459C112}&lt;/UID&gt;&lt;Title&gt;Restricted mean survival time: an alternative to the hazard ratio for the design and analysis of randomized trials with a time-to-event outcome&lt;/Title&gt;&lt;Template&gt;Journal Article&lt;/Template&gt;&lt;Star&gt;0&lt;/Star&gt;&lt;Tag&gt;0&lt;/Tag&gt;&lt;Author&gt;Royston, P; Parmar, M K&lt;/Author&gt;&lt;Year&gt;2013&lt;/Year&gt;&lt;Details&gt;&lt;_issue&gt;1&lt;/_issue&gt;&lt;_journal&gt;Bmc Medical Research Methodology&lt;/_journal&gt;&lt;_pages&gt;152-152&lt;/_pages&gt;&lt;_volume&gt;13&lt;/_volume&gt;&lt;_created&gt;64323403&lt;/_created&gt;&lt;_modified&gt;64688891&lt;/_modified&gt;&lt;_impact_factor&gt;   4.612&lt;/_impact_factor&gt;&lt;_collection_scope&gt;SCIE&lt;/_collection_scope&gt;&lt;_accessed&gt;64323403&lt;/_accessed&gt;&lt;_social_category&gt;医学(3)&lt;/_social_category&gt;&lt;/Details&gt;&lt;Extra&gt;&lt;DBUID&gt;{F96A950B-833F-4880-A151-76DA2D6A2879}&lt;/DBUID&gt;&lt;/Extra&gt;&lt;/Item&gt;&lt;/References&gt;&lt;/Group&gt;&lt;/Citation&gt;_x000a_"/>
    <w:docVar w:name="NE.Ref{930DA86C-E9F6-4150-B307-55825BA52F38}" w:val=" ADDIN NE.Ref.{930DA86C-E9F6-4150-B307-55825BA52F38}&lt;Citation&gt;&lt;Group&gt;&lt;References&gt;&lt;Item&gt;&lt;ID&gt;5025&lt;/ID&gt;&lt;UID&gt;{78B5BC73-2FCE-45C8-9813-4AD5D20274FD}&lt;/UID&gt;&lt;Title&gt;Cost-effectiveness Analysis of Regorafenib and TAS-102 in Refractory Metastatic  Colorectal Cancer in the United States&lt;/Title&gt;&lt;Template&gt;Journal Article&lt;/Template&gt;&lt;Star&gt;0&lt;/Star&gt;&lt;Tag&gt;0&lt;/Tag&gt;&lt;Author&gt;Cho, S K; Hay, J W; Barzi, A&lt;/Author&gt;&lt;Year&gt;2018&lt;/Year&gt;&lt;Details&gt;&lt;_accession_num&gt;30228027&lt;/_accession_num&gt;&lt;_author_adr&gt;School of Pharmacy, University of Southern California, Los Angeles, CA.  Electronic address: sangkcho@usc.edu.; School of Pharmacy, University of Southern California, Los Angeles, CA.; Keck School of Medicine, University of Southern California, Los Angeles, CA.&lt;/_author_adr&gt;&lt;_date_display&gt;2018 Dec&lt;/_date_display&gt;&lt;_date&gt;2018-12-01&lt;/_date&gt;&lt;_doi&gt;10.1016/j.clcc.2018.08.003&lt;/_doi&gt;&lt;_isbn&gt;1938-0674 (Electronic); 1533-0028 (Linking)&lt;/_isbn&gt;&lt;_issue&gt;4&lt;/_issue&gt;&lt;_journal&gt;Clin Colorectal Cancer&lt;/_journal&gt;&lt;_keywords&gt;Colorectal cancer; Cost-effectiveness analysis; Regorafenib; Sensitivity analysis; TAS-102&lt;/_keywords&gt;&lt;_language&gt;eng&lt;/_language&gt;&lt;_ori_publication&gt;Copyright © 2018 Elsevier Inc. All rights reserved.&lt;/_ori_publication&gt;&lt;_pages&gt;e751-e761&lt;/_pages&gt;&lt;_subject_headings&gt;Antineoplastic Combined Chemotherapy Protocols/*economics/therapeutic use; Colorectal Neoplasms/drug therapy/*economics/pathology; *Cost-Benefit Analysis; Double-Blind Method; Drug Combinations; *Drug Resistance, Neoplasm; Follow-Up Studies; Humans; Liver Neoplasms/drug therapy/*economics/secondary; Markov Chains; Palliative Care/*economics; Phenylurea Compounds/administration &amp;amp; dosage; Prognosis; Pyridines/administration &amp;amp; dosage; Pyrrolidines; Quality-Adjusted Life Years; *Salvage Therapy; Survival Rate; Thymine; Trifluridine/administration &amp;amp; dosage; United States; Uracil/analogs &amp;amp; derivatives&lt;/_subject_headings&gt;&lt;_tertiary_title&gt;Clinical colorectal cancer&lt;/_tertiary_title&gt;&lt;_type_work&gt;Clinical Trial, Phase III; Journal Article; Multicenter Study; Randomized Controlled Trial&lt;/_type_work&gt;&lt;_url&gt;http://www.ncbi.nlm.nih.gov/entrez/query.fcgi?cmd=Retrieve&amp;amp;db=pubmed&amp;amp;dopt=Abstract&amp;amp;list_uids=30228027&amp;amp;query_hl=1&lt;/_url&gt;&lt;_volume&gt;17&lt;/_volume&gt;&lt;_created&gt;65329740&lt;/_created&gt;&lt;_modified&gt;65329740&lt;/_modified&gt;&lt;_impact_factor&gt;   3.400&lt;/_impact_factor&gt;&lt;_social_category&gt;肿瘤学(3)&lt;/_social_category&gt;&lt;_collection_scope&gt;SCIE&lt;/_collection_scope&gt;&lt;_accessed&gt;65330792&lt;/_accessed&gt;&lt;/Details&gt;&lt;Extra&gt;&lt;DBUID&gt;{F96A950B-833F-4880-A151-76DA2D6A2879}&lt;/DBUID&gt;&lt;/Extra&gt;&lt;/Item&gt;&lt;/References&gt;&lt;/Group&gt;&lt;/Citation&gt;_x000a_"/>
    <w:docVar w:name="NE.Ref{93131ABA-27DF-4EAF-84DC-DD8F2D4BE67D}" w:val=" ADDIN NE.Ref.{93131ABA-27DF-4EAF-84DC-DD8F2D4BE67D}&lt;Citation&gt;&lt;Group&gt;&lt;References&gt;&lt;Item&gt;&lt;ID&gt;2413&lt;/ID&gt;&lt;UID&gt;{E2892200-A830-4F60-9693-A3A9873852A8}&lt;/UID&gt;&lt;Title&gt;Nonproportional Hazards in Network Meta-Analysis: Efficient Strategies for Model  Building and Analysis&lt;/Title&gt;&lt;Template&gt;Journal Article&lt;/Template&gt;&lt;Star&gt;0&lt;/Star&gt;&lt;Tag&gt;0&lt;/Tag&gt;&lt;Author&gt;Wiksten, A; Hawkins, N; Piepho, H P; Gsteiger, S&lt;/Author&gt;&lt;Year&gt;2020&lt;/Year&gt;&lt;Details&gt;&lt;_accession_num&gt;32762994&lt;/_accession_num&gt;&lt;_author_adr&gt;Novartis Pharma AG, Basel, Switzerland.; Institute of Health and Wellbeing, University of Glasgow, Glasgow, Scotland.; Biostatistics Unit, University of Hohenheim, Stuttgart, Germany.; F. Hoffmann-La Roche AG, Basel, Switzerland. Electronic address: sandro.gsteiger@roche.com.&lt;/_author_adr&gt;&lt;_collection_scope&gt;SCIE;SSCI&lt;/_collection_scope&gt;&lt;_created&gt;64299976&lt;/_created&gt;&lt;_date&gt;2020-07-01&lt;/_date&gt;&lt;_date_display&gt;2020 Jul&lt;/_date_display&gt;&lt;_db_updated&gt;PubMed&lt;/_db_updated&gt;&lt;_doi&gt;10.1016/j.jval.2020.03.010&lt;/_doi&gt;&lt;_impact_factor&gt;   5.101&lt;/_impact_factor&gt;&lt;_isbn&gt;1524-4733 (Electronic); 1098-3015 (Linking)&lt;/_isbn&gt;&lt;_issue&gt;7&lt;/_issue&gt;&lt;_journal&gt;Value Health&lt;/_journal&gt;&lt;_keywords&gt;*fractional polynomial models; *network meta-analysis; *nonproportional hazards time-to-event data; *piecewise exponential models&lt;/_keywords&gt;&lt;_language&gt;eng&lt;/_language&gt;&lt;_modified&gt;64630791&lt;/_modified&gt;&lt;_ori_publication&gt;Copyright (c) 2020 ISPOR-The Professional Society for Health Economics and_x000d__x000a_      Outcomes Research. Published by Elsevier Inc. All rights reserved.&lt;/_ori_publication&gt;&lt;_pages&gt;918-927&lt;/_pages&gt;&lt;_subject_headings&gt;Bayes Theorem; *Data Interpretation, Statistical; Humans; Linear Models; *Models, Statistical; *Network Meta-Analysis; Time Factors&lt;/_subject_headings&gt;&lt;_tertiary_title&gt;Value in health : the journal of the International Society for Pharmacoeconomics _x000d__x000a_      and Outcomes Research&lt;/_tertiary_title&gt;&lt;_type_work&gt;Journal Article&lt;/_type_work&gt;&lt;_url&gt;http://www.ncbi.nlm.nih.gov/entrez/query.fcgi?cmd=Retrieve&amp;amp;db=pubmed&amp;amp;dopt=Abstract&amp;amp;list_uids=32762994&amp;amp;query_hl=1&lt;/_url&gt;&lt;_volume&gt;23&lt;/_volume&gt;&lt;_social_category&gt;医学(2)&lt;/_social_category&gt;&lt;/Details&gt;&lt;Extra&gt;&lt;DBUID&gt;{F96A950B-833F-4880-A151-76DA2D6A2879}&lt;/DBUID&gt;&lt;/Extra&gt;&lt;/Item&gt;&lt;/References&gt;&lt;/Group&gt;&lt;/Citation&gt;_x000a_"/>
    <w:docVar w:name="NE.Ref{95A1F71E-3A7E-4A44-9129-18BA7C62CA69}" w:val=" ADDIN NE.Ref.{95A1F71E-3A7E-4A44-9129-18BA7C62CA69}&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Citation&gt;_x000a_"/>
    <w:docVar w:name="NE.Ref{95D61CAF-1605-478D-A8E1-AAAA726E2E3A}" w:val=" ADDIN NE.Ref.{95D61CAF-1605-478D-A8E1-AAAA726E2E3A}&lt;Citation&gt;&lt;Group&gt;&lt;References&gt;&lt;Item&gt;&lt;ID&gt;4689&lt;/ID&gt;&lt;UID&gt;{0405F413-0AF9-4483-9E2D-80E38E06E35B}&lt;/UID&gt;&lt;Title&gt;Irinotecan plus fluorouracil and leucovorin for metastatic colorectal cancer.  Irinotecan Study Group&lt;/Title&gt;&lt;Template&gt;Journal Article&lt;/Template&gt;&lt;Star&gt;0&lt;/Star&gt;&lt;Tag&gt;0&lt;/Tag&gt;&lt;Author&gt;Saltz, L B; Cox, J V; Blanke, C; Rosen, L S; Fehrenbacher, L; Moore, M J; Maroun, J A; Ackland, S P; Locker, P K; Pirotta, N; Elfring, G L; Miller, L L&lt;/Author&gt;&lt;Year&gt;2000&lt;/Year&gt;&lt;Details&gt;&lt;_accession_num&gt;11006366&lt;/_accession_num&gt;&lt;_author_adr&gt;Memorial Sloan-Kettering Cancer Center, New York, NY 10021, USA.&lt;/_author_adr&gt;&lt;_date_display&gt;2000 Sep 28&lt;/_date_display&gt;&lt;_date&gt;2000-09-28&lt;/_date&gt;&lt;_doi&gt;10.1056/NEJM200009283431302&lt;/_doi&gt;&lt;_isbn&gt;0028-4793 (Print); 0028-4793 (Linking)&lt;/_isbn&gt;&lt;_issue&gt;13&lt;/_issue&gt;&lt;_journal&gt;N Engl J Med&lt;/_journal&gt;&lt;_language&gt;eng&lt;/_language&gt;&lt;_pages&gt;905-14&lt;/_pages&gt;&lt;_subject_headings&gt;Adult; Aged; Aged, 80 and over; Antineoplastic Agents, Phytogenic/administration &amp;amp; dosage/adverse effects; Antineoplastic Combined Chemotherapy Protocols/adverse effects/*therapeutic use; Camptothecin/*administration &amp;amp; dosage/adverse effects/*analogs &amp;amp; derivatives; Colorectal Neoplasms/*drug therapy/mortality/pathology; Diarrhea/chemically induced; Disease-Free Survival; Female; Fluorouracil/*administration &amp;amp; dosage; Humans; Irinotecan; Leucovorin/*administration &amp;amp; dosage; Male; Middle Aged; Mouth Mucosa; Neoplasm Metastasis; Neutropenia/chemically induced; Proportional Hazards Models; Quality of Life; Stomatitis/chemically induced; Survival Analysis&lt;/_subject_headings&gt;&lt;_tertiary_title&gt;The New England journal of medicine&lt;/_tertiary_title&gt;&lt;_type_work&gt;Clinical Trial; Comparative Study; Journal Article; Multicenter Study; Randomized Controlled Trial; Research Support, Non-U.S. Gov&amp;apos;t&lt;/_type_work&gt;&lt;_url&gt;http://www.ncbi.nlm.nih.gov/entrez/query.fcgi?cmd=Retrieve&amp;amp;db=pubmed&amp;amp;dopt=Abstract&amp;amp;list_uids=11006366&amp;amp;query_hl=1&lt;/_url&gt;&lt;_volume&gt;343&lt;/_volume&gt;&lt;_created&gt;65020956&lt;/_created&gt;&lt;_modified&gt;65020956&lt;/_modified&gt;&lt;_impact_factor&gt; 176.079&lt;/_impact_factor&gt;&lt;_social_category&gt;医学(1)&lt;/_social_category&gt;&lt;_collection_scope&gt;SCIE&lt;/_collection_scope&gt;&lt;/Details&gt;&lt;Extra&gt;&lt;DBUID&gt;{F96A950B-833F-4880-A151-76DA2D6A2879}&lt;/DBUID&gt;&lt;/Extra&gt;&lt;/Item&gt;&lt;/References&gt;&lt;/Group&gt;&lt;/Citation&gt;_x000a_"/>
    <w:docVar w:name="NE.Ref{95DAF119-220F-4B66-9F67-E1D968395855}" w:val=" ADDIN NE.Ref.{95DAF119-220F-4B66-9F67-E1D968395855}&lt;Citation&gt;&lt;Group&gt;&lt;References&gt;&lt;Item&gt;&lt;ID&gt;4725&lt;/ID&gt;&lt;UID&gt;{3E743D09-8446-46E9-82BD-1260428B4093}&lt;/UID&gt;&lt;Title&gt;S-1 plus oxaliplatin versus capecitabine plus oxaliplatin for first-line  treatment of patients with metastatic colorectal cancer: a randomised,  non-inferiority phase 3 trial&lt;/Title&gt;&lt;Template&gt;Journal Article&lt;/Template&gt;&lt;Star&gt;0&lt;/Star&gt;&lt;Tag&gt;0&lt;/Tag&gt;&lt;Author&gt;Hong, Y S; Park, Y S; Lim, H Y; Lee, J; Kim, T W; Kim, K P; Kim, S Y; Baek, J Y; Kim, J H; Lee, K W; Chung, I J; Cho, S H; Lee, K H; Shin, S J; Kang, H J; Shin, D B; Jo, S J; Lee, J W&lt;/Author&gt;&lt;Year&gt;2012&lt;/Year&gt;&lt;Details&gt;&lt;_accession_num&gt;23062232&lt;/_accession_num&gt;&lt;_author_adr&gt;Department of Oncology, Asan Medical Centre, University of Ulsan College of  Medicine, Seoul, South Korea.&lt;/_author_adr&gt;&lt;_date_display&gt;2012 Nov&lt;/_date_display&gt;&lt;_date&gt;2012-11-01&lt;/_date&gt;&lt;_doi&gt;10.1016/S1470-2045(12)70363-7&lt;/_doi&gt;&lt;_isbn&gt;1474-5488 (Electronic); 1470-2045 (Linking)&lt;/_isbn&gt;&lt;_issue&gt;11&lt;/_issue&gt;&lt;_journal&gt;Lancet Oncol&lt;/_journal&gt;&lt;_language&gt;eng&lt;/_language&gt;&lt;_ori_publication&gt;Copyright © 2012 Elsevier Ltd. All rights reserved.&lt;/_ori_publication&gt;&lt;_pages&gt;1125-32&lt;/_pages&gt;&lt;_subject_headings&gt;Aged; *Antineoplastic Combined Chemotherapy Protocols/administration &amp;amp; dosage/adverse _x000d__x000a_      effects; Capecitabine; Colorectal Neoplasms/*drug therapy/pathology/secondary; Deoxycytidine/administration &amp;amp; dosage/adverse effects/*analogs &amp;amp; derivatives; Disease-Free Survival; Drug Combinations; Female; Fluorouracil/administration &amp;amp; dosage/adverse effects/*analogs &amp;amp; derivatives; Humans; Kaplan-Meier Estimate; Male; Middle Aged; *Organoplatinum Compounds/administration &amp;amp; dosage/adverse effects; Oxaliplatin; *Oxonic Acid/administration &amp;amp; dosage/adverse effects; Republic of Korea; *Tegafur/administration &amp;amp; dosage/adverse effects&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23062232&amp;amp;query_hl=1&lt;/_url&gt;&lt;_volume&gt;13&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Citation&gt;_x000a_"/>
    <w:docVar w:name="NE.Ref{982EF223-6FDF-4E99-A3A2-DA516297DF72}" w:val=" ADDIN NE.Ref.{982EF223-6FDF-4E99-A3A2-DA516297DF72}&lt;Citation&gt;&lt;Group&gt;&lt;References&gt;&lt;Item&gt;&lt;ID&gt;46219&lt;/ID&gt;&lt;UID&gt;{D4C18B12-DA4F-49FC-B608-94E3F04BE24F}&lt;/UID&gt;&lt;Title&gt;Bayesian one-step IPD network meta-analysis of time-to-event data using  Royston-Parmar models&lt;/Title&gt;&lt;Template&gt;Journal Article&lt;/Template&gt;&lt;Star&gt;0&lt;/Star&gt;&lt;Tag&gt;0&lt;/Tag&gt;&lt;Author&gt;Freeman, S C; Carpenter, J R&lt;/Author&gt;&lt;Year&gt;2017&lt;/Year&gt;&lt;Details&gt;&lt;_accession_num&gt;28742955&lt;/_accession_num&gt;&lt;_author_adr&gt;MRC Clinical Trials Unit at UCL, Aviation House, 125 Kingsway, London, WC2B 6NH,  UK.; Department of Health Sciences, Univeristy of Leicester, University Road,  Leicester, LE1 7RH, UK.; MRC Clinical Trials Unit at UCL, Aviation House, 125 Kingsway, London, WC2B 6NH,  UK.; London School of Hygiene &amp;amp; Tropical Medicine, Keppel Street, London, WC1E 7HT,  UK.&lt;/_author_adr&gt;&lt;_date_display&gt;2017 Dec&lt;/_date_display&gt;&lt;_date&gt;2017-12-01&lt;/_date&gt;&lt;_doi&gt;10.1002/jrsm.1253&lt;/_doi&gt;&lt;_isbn&gt;1759-2887 (Electronic); 1759-2879 (Print); 1759-2879 (Linking)&lt;/_isbn&gt;&lt;_issue&gt;4&lt;/_issue&gt;&lt;_journal&gt;Res Synth Methods&lt;/_journal&gt;&lt;_keywords&gt;IPD; Royston-Parmar; network meta-analysis; time-to-event data&lt;/_keywords&gt;&lt;_language&gt;eng&lt;/_language&gt;&lt;_ori_publication&gt;© 2017 The Authors. Research Synthesis Methods Published by John Wiley &amp;amp; Sons _x000d__x000a_      Ltd.&lt;/_ori_publication&gt;&lt;_pages&gt;451-464&lt;/_pages&gt;&lt;_subject_headings&gt;Algorithms; Bayes Theorem; Female; Humans; Medical Oncology/methods; *Network Meta-Analysis; Proportional Hazards Models; Reproducibility of Results; *Research Design; Time Factors; Uterine Cervical Neoplasms/*drug therapy/*radiotherapy/*surgery&lt;/_subject_headings&gt;&lt;_tertiary_title&gt;Research synthesis methods&lt;/_tertiary_title&gt;&lt;_type_work&gt;Journal Article&lt;/_type_work&gt;&lt;_url&gt;http://www.ncbi.nlm.nih.gov/entrez/query.fcgi?cmd=Retrieve&amp;amp;db=pubmed&amp;amp;dopt=Abstract&amp;amp;list_uids=28742955&amp;amp;query_hl=1&lt;/_url&gt;&lt;_volume&gt;8&lt;/_volume&gt;&lt;_created&gt;64323362&lt;/_created&gt;&lt;_modified&gt;64688891&lt;/_modified&gt;&lt;_impact_factor&gt;   9.308&lt;/_impact_factor&gt;&lt;_collection_scope&gt;SCIE&lt;/_collection_scope&gt;&lt;_accessed&gt;64323364&lt;/_accessed&gt;&lt;_social_category&gt;综合性期刊(2)&lt;/_social_category&gt;&lt;/Details&gt;&lt;Extra&gt;&lt;DBUID&gt;{F96A950B-833F-4880-A151-76DA2D6A2879}&lt;/DBUID&gt;&lt;/Extra&gt;&lt;/Item&gt;&lt;/References&gt;&lt;/Group&gt;&lt;/Citation&gt;_x000a_"/>
    <w:docVar w:name="NE.Ref{9859A9CE-7185-422E-8751-7A4F25BE39A3}" w:val=" ADDIN NE.Ref.{9859A9CE-7185-422E-8751-7A4F25BE39A3}&lt;Citation&gt;&lt;Group&gt;&lt;References&gt;&lt;Item&gt;&lt;ID&gt;5032&lt;/ID&gt;&lt;UID&gt;{AC85D677-102F-4D7C-8CEF-8512683D25B2}&lt;/UID&gt;&lt;Title&gt;Clinical and economic outcomes of treatment sequences for intermediate- to  poor-risk advanced renal cell carcinoma&lt;/Title&gt;&lt;Template&gt;Journal Article&lt;/Template&gt;&lt;Star&gt;0&lt;/Star&gt;&lt;Tag&gt;0&lt;/Tag&gt;&lt;Author&gt;Ambavane, A; Yang, S; Atkins, M B; Rao, S; Shah, A; Regan, M M; McDermott, D F; Michaelson, M D&lt;/Author&gt;&lt;Year&gt;2020&lt;/Year&gt;&lt;Details&gt;&lt;_accession_num&gt;31992108&lt;/_accession_num&gt;&lt;_author_adr&gt;Evidence Synthesis, Modeling, &amp;amp; Communications, Evidera, Inc., Bethesda, MD  20814, USA.; Health Economics Outcomes Research, Bristol-Myers Squibb, Princeton, NJ 08540,  USA.; Department of Internal Medicine - Medical Oncology, Georgetown-Lombardi  Comprehensive Cancer Center, Washington, DC 20007-2113, USA.; Health Economics Outcomes Research, Bristol-Myers Squibb, Princeton, NJ 08540,  USA.; Evidence Synthesis, Modeling, &amp;amp; Communications, Evidera, Inc., Waltham, MA 20814,  USA.; Division of Biostatistics, Dana-Farber Cancer Institute, Harvard Medical School,  Boston, MA 02215, USA.; Department of Medicine, Beth Israel Deaconess Medical Center, Dana-Farber/Harvard  Cancer Center, Boston, MA 02215, USA.; Massachusetts General Hospital Cancer Center, Boston, MA 02214, USA.&lt;/_author_adr&gt;&lt;_date_display&gt;2020 Jan&lt;/_date_display&gt;&lt;_date&gt;2020-01-01&lt;/_date&gt;&lt;_doi&gt;10.2217/imt-2019-0199&lt;/_doi&gt;&lt;_isbn&gt;1750-7448 (Electronic); 1750-743X (Linking)&lt;/_isbn&gt;&lt;_issue&gt;1&lt;/_issue&gt;&lt;_journal&gt;Immunotherapy&lt;/_journal&gt;&lt;_keywords&gt;cost–effectiveness; immuno-oncology therapy; renal cell carcinoma; survival; treatment sequences; treatment-free interval&lt;/_keywords&gt;&lt;_language&gt;eng&lt;/_language&gt;&lt;_pages&gt;37-51&lt;/_pages&gt;&lt;_subject_headings&gt;Antineoplastic Agents, Immunological/*therapeutic use; Antineoplastic Protocols; Carcinoma, Renal Cell/*drug therapy/economics/mortality; *Computer Simulation; Cost-Benefit Analysis; Drug Therapy, Combination; Humans; Ipilimumab/*therapeutic use; Kidney Neoplasms/*drug therapy/economics/mortality; Models, Economic; Neoplasm Staging; Nivolumab/*therapeutic use; Quality-Adjusted Life Years; Survival Analysis; Treatment Outcome&lt;/_subject_headings&gt;&lt;_tertiary_title&gt;Immunotherapy&lt;/_tertiary_title&gt;&lt;_type_work&gt;Clinical Trial, Phase II; Journal Article; Research Support, Non-U.S. Gov&amp;apos;t&lt;/_type_work&gt;&lt;_url&gt;http://www.ncbi.nlm.nih.gov/entrez/query.fcgi?cmd=Retrieve&amp;amp;db=pubmed&amp;amp;dopt=Abstract&amp;amp;list_uids=31992108&amp;amp;query_hl=1&lt;/_url&gt;&lt;_volume&gt;12&lt;/_volume&gt;&lt;_created&gt;65329740&lt;/_created&gt;&lt;_modified&gt;65329740&lt;/_modified&gt;&lt;_impact_factor&gt;   2.800&lt;/_impact_factor&gt;&lt;_social_category&gt;免疫学(4)&lt;/_social_category&gt;&lt;_collection_scope&gt;SCIE&lt;/_collection_scope&gt;&lt;_accessed&gt;65330823&lt;/_accessed&gt;&lt;/Details&gt;&lt;Extra&gt;&lt;DBUID&gt;{F96A950B-833F-4880-A151-76DA2D6A2879}&lt;/DBUID&gt;&lt;/Extra&gt;&lt;/Item&gt;&lt;/References&gt;&lt;/Group&gt;&lt;Group&gt;&lt;References&gt;&lt;Item&gt;&lt;ID&gt;5043&lt;/ID&gt;&lt;UID&gt;{283B1341-C609-4229-84D7-2B0DE5D67427}&lt;/UID&gt;&lt;Title&gt;Elicitation of health state utilities in metastatic renal cell carcinoma&lt;/Title&gt;&lt;Template&gt;Journal Article&lt;/Template&gt;&lt;Star&gt;0&lt;/Star&gt;&lt;Tag&gt;0&lt;/Tag&gt;&lt;Author&gt;Swinburn, P; Lloyd, A; Nathan, P; Choueiri, T K; Cella, D; Neary, M P&lt;/Author&gt;&lt;Year&gt;2010&lt;/Year&gt;&lt;Details&gt;&lt;_accession_num&gt;20225993&lt;/_accession_num&gt;&lt;_author_adr&gt;Oxford Outcomes Ltd, Oxfordshire, UK. Paul.Swinburn@oxfordoutcomes.com&lt;/_author_adr&gt;&lt;_date_display&gt;2010 May&lt;/_date_display&gt;&lt;_date&gt;2010-05-01&lt;/_date&gt;&lt;_doi&gt;10.1185/03007991003712258&lt;/_doi&gt;&lt;_isbn&gt;1473-4877 (Electronic); 0300-7995 (Linking)&lt;/_isbn&gt;&lt;_issue&gt;5&lt;/_issue&gt;&lt;_journal&gt;Curr Med Res Opin&lt;/_journal&gt;&lt;_language&gt;eng&lt;/_language&gt;&lt;_pages&gt;1091-6&lt;/_pages&gt;&lt;_subject_headings&gt;Carcinoma, Renal Cell/pathology/*physiopathology; *Health Status; Humans; Kidney Neoplasms/pathology/*physiopathology; *Neoplasm Metastasis&lt;/_subject_headings&gt;&lt;_tertiary_title&gt;Current medical research and opinion&lt;/_tertiary_title&gt;&lt;_type_work&gt;Journal Article; Research Support, Non-U.S. Gov&amp;apos;t; Review&lt;/_type_work&gt;&lt;_url&gt;http://www.ncbi.nlm.nih.gov/entrez/query.fcgi?cmd=Retrieve&amp;amp;db=pubmed&amp;amp;dopt=Abstract&amp;amp;list_uids=20225993&amp;amp;query_hl=1&lt;/_url&gt;&lt;_volume&gt;26&lt;/_volume&gt;&lt;_created&gt;65329740&lt;/_created&gt;&lt;_modified&gt;65330572&lt;/_modified&gt;&lt;_impact_factor&gt;   2.300&lt;/_impact_factor&gt;&lt;_social_category&gt;医学：内科(3) &amp;amp; 医学：研究与实验(4)&lt;/_social_category&gt;&lt;_collection_scope&gt;SCIE&lt;/_collection_scope&gt;&lt;_accessed&gt;65330910&lt;/_accessed&gt;&lt;/Details&gt;&lt;Extra&gt;&lt;DBUID&gt;{F96A950B-833F-4880-A151-76DA2D6A2879}&lt;/DBUID&gt;&lt;/Extra&gt;&lt;/Item&gt;&lt;/References&gt;&lt;/Group&gt;&lt;/Citation&gt;_x000a_"/>
    <w:docVar w:name="NE.Ref{9860D16F-251B-40D7-A85C-62F342AB5758}" w:val=" ADDIN NE.Ref.{9860D16F-251B-40D7-A85C-62F342AB5758}&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Citation&gt;_x000a_"/>
    <w:docVar w:name="NE.Ref{987120E7-7B93-42A1-BFF5-5104402D470C}" w:val=" ADDIN NE.Ref.{987120E7-7B93-42A1-BFF5-5104402D470C}&lt;Citation&gt;&lt;Group&gt;&lt;References&gt;&lt;Item&gt;&lt;ID&gt;4701&lt;/ID&gt;&lt;UID&gt;{80800FC8-CB3E-45EB-A70C-F0B62D689719}&lt;/UID&gt;&lt;Title&gt;Quality of life with encorafenib plus cetuximab with or without binimetinib  treatment in patients with BRAF V600E-mutant metastatic colorectal cancer:  patient-reported outcomes from BEACON CRC&lt;/Title&gt;&lt;Template&gt;Journal Article&lt;/Template&gt;&lt;Star&gt;0&lt;/Star&gt;&lt;Tag&gt;0&lt;/Tag&gt;&lt;Author&gt;Kopetz, S; Grothey, A; Van Cutsem, E; Yaeger, R; Wasan, H; Yoshino, T; Desai, J; Ciardiello, F; Loupakis, F; Hong, Y S; Steeghs, N; Guren, T K; Arkenau, H T; Garcia-Alfonso, P; Belani, A; Zhang, X; Tabernero, J&lt;/Author&gt;&lt;Year&gt;2022&lt;/Year&gt;&lt;Details&gt;&lt;_accession_num&gt;35653981&lt;/_accession_num&gt;&lt;_author_adr&gt;University of Texas MD Anderson Cancer Center, Houston, USA. Electronic address:  skopetz@mdanderson.org.; West Cancer Center and Research Institute, OneOncology, Germantown, USA.; University Hospitals Gasthuisberg Leuven and KU Leuven, Leuven, Belgium.; Memorial Sloan-Kettering Cancer Center, New York, USA.; Hammersmith Hospital, Department of Cancer Medicine, London, UK.; National Cancer Center Hospital East, Kashiwa, Japan.; Royal Melbourne Hospital and Peter MacCallum Cancer Centre, Walter and Aliza Hall  Institute, Parkville, Australia.; University of Campania, Naples, Italy.; Istituto Oncologico del Veneto IRCCS, Padova, Italy.; Asan Medical Center, University of Ulsan College of Medicine, Seoul, Korea.; Netherlands Cancer Institute, Amsterdam, The Netherlands.; Oslo University Hospital, Department of Oncology, Oslo, Norway.; Sarah Cannon Research Institute, University College of London, London, UK.; Gregorio Marañón Hospital, Madrid, Spain.; Pfizer Inc, New York, USA.; Pfizer Inc, New York, USA.; Vall d&amp;apos;Hebron Hospital Campus, Vall d&amp;apos;Hebron Institute of Oncology (VHIO),  IOB-Quiron, UVic-UCC, Barcelona, Spain.&lt;/_author_adr&gt;&lt;_date_display&gt;2022 Jun&lt;/_date_display&gt;&lt;_date&gt;2022-06-01&lt;/_date&gt;&lt;_doi&gt;10.1016/j.esmoop.2022.100477&lt;/_doi&gt;&lt;_isbn&gt;2059-7029 (Electronic); 2059-7029 (Linking)&lt;/_isbn&gt;&lt;_issue&gt;3&lt;/_issue&gt;&lt;_journal&gt;ESMO Open&lt;/_journal&gt;&lt;_keywords&gt;BEACON CRC; cetuximab; colorectal cancer; encorafenib; patient-reported outcomes; quality of life&lt;/_keywords&gt;&lt;_language&gt;eng&lt;/_language&gt;&lt;_ori_publication&gt;Copyright © 2022 The Pfizer, The Author(s). Published by Elsevier Ltd.. All _x000d__x000a_      rights reserved.&lt;/_ori_publication&gt;&lt;_pages&gt;100477&lt;/_pages&gt;&lt;_subject_headings&gt;*Antineoplastic Agents/therapeutic use; Antineoplastic Combined Chemotherapy Protocols/therapeutic use; Benzimidazoles; Carbamates; Cetuximab/therapeutic use; *Colorectal Neoplasms/drug therapy/genetics; Humans; Mutation; Patient Reported Outcome Measures; *Proto-Oncogene Proteins B-raf/genetics; Quality of Life; Sulfonamides&lt;/_subject_headings&gt;&lt;_tertiary_title&gt;ESMO open&lt;/_tertiary_title&gt;&lt;_type_work&gt;Clinical Trial, Phase III; Journal Article; Randomized Controlled Trial; Research Support, N.I.H., Extramural; Research Support, Non-U.S. Gov&amp;apos;t&lt;/_type_work&gt;&lt;_url&gt;http://www.ncbi.nlm.nih.gov/entrez/query.fcgi?cmd=Retrieve&amp;amp;db=pubmed&amp;amp;dopt=Abstract&amp;amp;list_uids=35653981&amp;amp;query_hl=1&lt;/_url&gt;&lt;_volume&gt;7&lt;/_volume&gt;&lt;_created&gt;65020956&lt;/_created&gt;&lt;_modified&gt;65020956&lt;/_modified&gt;&lt;_impact_factor&gt;   6.883&lt;/_impact_factor&gt;&lt;_social_category&gt;医学(3)&lt;/_social_category&gt;&lt;_collection_scope&gt;SCIE&lt;/_collection_scope&gt;&lt;/Details&gt;&lt;Extra&gt;&lt;DBUID&gt;{F96A950B-833F-4880-A151-76DA2D6A2879}&lt;/DBUID&gt;&lt;/Extra&gt;&lt;/Item&gt;&lt;/References&gt;&lt;/Group&gt;&lt;/Citation&gt;_x000a_"/>
    <w:docVar w:name="NE.Ref{98837728-3600-4A21-8219-0E887CA242B1}" w:val=" ADDIN NE.Ref.{98837728-3600-4A21-8219-0E887CA242B1}&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989A9EB7-80E5-402E-8C52-C67BDD0593EF}" w:val=" ADDIN NE.Ref.{989A9EB7-80E5-402E-8C52-C67BDD0593EF}&lt;Citation&gt;&lt;Group&gt;&lt;References&gt;&lt;Item&gt;&lt;ID&gt;5021&lt;/ID&gt;&lt;UID&gt;{FC01DC97-7D4C-4C9D-9151-12C0AE958C20}&lt;/UID&gt;&lt;Title&gt;National Institute for Health and Care Excellence. Regorafenib for previously treated metastatic colorectal cancer [ID4002]. https://www.nice.org.uk/guidance(Accessed Feb 2, 2024).&lt;/Title&gt;&lt;Template&gt;Web Page&lt;/Template&gt;&lt;Star&gt;0&lt;/Star&gt;&lt;Tag&gt;0&lt;/Tag&gt;&lt;Author/&gt;&lt;Year&gt;0&lt;/Year&gt;&lt;Details&gt;&lt;_accessed&gt;65330793&lt;/_accessed&gt;&lt;_created&gt;65329711&lt;/_created&gt;&lt;_modified&gt;65329715&lt;/_modified&gt;&lt;/Details&gt;&lt;Extra&gt;&lt;DBUID&gt;{F96A950B-833F-4880-A151-76DA2D6A2879}&lt;/DBUID&gt;&lt;/Extra&gt;&lt;/Item&gt;&lt;/References&gt;&lt;/Group&gt;&lt;/Citation&gt;_x000a_"/>
    <w:docVar w:name="NE.Ref{99835DE1-0D4E-4925-979D-2C38894B941A}" w:val=" ADDIN NE.Ref.{99835DE1-0D4E-4925-979D-2C38894B941A}&lt;Citation&gt;&lt;Group&gt;&lt;References&gt;&lt;Item&gt;&lt;ID&gt;4713&lt;/ID&gt;&lt;UID&gt;{0871A122-C944-4D87-83C0-BFA3F45CC4A3}&lt;/UID&gt;&lt;Title&gt;Randomized phase II study of capecitabine with or without oxaliplatin as  first-line treatment for elderly or fragile patients with metastatic colorectal  cancer: a prospective, multicenter trial of the Korean Cancer Study Group  CO06-01&lt;/Title&gt;&lt;Template&gt;Journal Article&lt;/Template&gt;&lt;Star&gt;0&lt;/Star&gt;&lt;Tag&gt;0&lt;/Tag&gt;&lt;Author&gt;Hong, Y S; Jung, K H; Kim, H J; Kim, K P; Kim, S Y; Lee, J L; Shim, B Y; Zang, D Y; Kim, J H; Ahn, J B; Park, Y S; Kim, T W&lt;/Author&gt;&lt;Year&gt;2013&lt;/Year&gt;&lt;Details&gt;&lt;_accession_num&gt;22868243&lt;/_accession_num&gt;&lt;_author_adr&gt;*Center for Colorectal Cancer, Research Institute and Hospital, National Cancer  Center, Goyang †Department of Clinical Epidemiology and Biostatistics ‡Department  of Oncology, Asan Medical Center, University of Ulsan College of Medicine, Seoul  §Department of Internal Medicine, St. Vincent&amp;apos;s Hospital, Catholic University  College of Medicine, Suwon ∥Department of Internal Medicine, Hallym University  Medical Center, Hallym University College of Medicine, Anyang ¶Department of  Internal Medicine, Division of Hematology and Medical Oncology, Seoul National  University Bundang Hospital, Seoul National University College of Medicine,  Seongnam #Department of Internal Medicine, Cancer Metastasis Research Center,  Yonsei Cancer Center, Yonsei University College of Medicine **Department of  Internal Medicine, Samsung Medical Center, Division of Hematology-Oncology,  Sungkyunkwan University School of Medicine, Seoul, Korea.&lt;/_author_adr&gt;&lt;_date_display&gt;2013 Dec&lt;/_date_display&gt;&lt;_date&gt;2013-12-01&lt;/_date&gt;&lt;_doi&gt;10.1097/COC.0b013e31825d52d5&lt;/_doi&gt;&lt;_isbn&gt;1537-453X (Electronic); 0277-3732 (Linking)&lt;/_isbn&gt;&lt;_issue&gt;6&lt;/_issue&gt;&lt;_journal&gt;Am J Clin Oncol&lt;/_journal&gt;&lt;_language&gt;eng&lt;/_language&gt;&lt;_pages&gt;565-71&lt;/_pages&gt;&lt;_subject_headings&gt;Aged; Aged, 80 and over; Antineoplastic Combined Chemotherapy Protocols/*therapeutic use; Asian People; Capecitabine; Colorectal Neoplasms/*drug therapy/*pathology; Deoxycytidine/administration &amp;amp; dosage/adverse effects/*analogs &amp;amp; _x000d__x000a_      derivatives/therapeutic use; Disease-Free Survival; Drug Administration Schedule; Female; Fluorouracil/administration &amp;amp; dosage/adverse effects/*analogs &amp;amp; _x000d__x000a_      derivatives/therapeutic use; Humans; Male; Organoplatinum Compounds/administration &amp;amp; dosage/adverse effects/*therapeutic use; Oxaliplatin; Prospective Studies; Quality of Life; Treatment Outcome&lt;/_subject_headings&gt;&lt;_tertiary_title&gt;American journal of clinical oncology&lt;/_tertiary_title&gt;&lt;_type_work&gt;Clinical Trial, Phase II; Journal Article; Multicenter Study; Randomized Controlled Trial; Research Support, Non-U.S. Gov&amp;apos;t&lt;/_type_work&gt;&lt;_url&gt;http://www.ncbi.nlm.nih.gov/entrez/query.fcgi?cmd=Retrieve&amp;amp;db=pubmed&amp;amp;dopt=Abstract&amp;amp;list_uids=22868243&amp;amp;query_hl=1&lt;/_url&gt;&lt;_volume&gt;36&lt;/_volume&gt;&lt;_created&gt;65020956&lt;/_created&gt;&lt;_modified&gt;65020956&lt;/_modified&gt;&lt;_impact_factor&gt;   2.787&lt;/_impact_factor&gt;&lt;_social_category&gt;医学(4)&lt;/_social_category&gt;&lt;_collection_scope&gt;SCIE&lt;/_collection_scope&gt;&lt;/Details&gt;&lt;Extra&gt;&lt;DBUID&gt;{F96A950B-833F-4880-A151-76DA2D6A2879}&lt;/DBUID&gt;&lt;/Extra&gt;&lt;/Item&gt;&lt;/References&gt;&lt;/Group&gt;&lt;/Citation&gt;_x000a_"/>
    <w:docVar w:name="NE.Ref{99FE959E-4CE9-420C-9428-FFA9F4212A05}" w:val=" ADDIN NE.Ref.{99FE959E-4CE9-420C-9428-FFA9F4212A05}&lt;Citation&gt;&lt;Group&gt;&lt;References&gt;&lt;Item&gt;&lt;ID&gt;5028&lt;/ID&gt;&lt;UID&gt;{4B0A74AA-75B0-47E3-9506-7EFA2A9259BF}&lt;/UID&gt;&lt;Title&gt;Drivers of care costs and quality in the last 3 months of life among older people  receiving palliative care: A multinational mortality follow-back survey across  England, Ireland and the United States&lt;/Title&gt;&lt;Template&gt;Journal Article&lt;/Template&gt;&lt;Star&gt;0&lt;/Star&gt;&lt;Tag&gt;0&lt;/Tag&gt;&lt;Author&gt;Yi, D; Johnston, B M; Ryan, K; Daveson, B A; Meier, D E; Smith, M; McQuillan, R; Selman, L; Pantilat, S Z; Normand, C; Morrison, R S; Higginson, I J&lt;/Author&gt;&lt;Year&gt;2020&lt;/Year&gt;&lt;Details&gt;&lt;_accession_num&gt;32009542&lt;/_accession_num&gt;&lt;_author_adr&gt;Cicely Saunders Institute, Florence Nightingale Faculty of Nursing, Midwifery &amp;amp;  Palliative Care, King&amp;apos;s College London, London, UK.; The Centre for Health Policy and Management, Trinity College Dublin, Dublin,  Ireland.; Mater Misericordiae Hospital, Eccles Street, Dublin, Ireland.; Cicely Saunders Institute, Florence Nightingale Faculty of Nursing, Midwifery &amp;amp;  Palliative Care, King&amp;apos;s College London, London, UK.; Department of Geriatrics and Palliative Medicine, Mount Sinai School of Medicine,  Icahn School of Medicine at Mount Sinai, New York, NY, USA.; Cicely Saunders Institute, Florence Nightingale Faculty of Nursing, Midwifery &amp;amp;  Palliative Care, King&amp;apos;s College London, London, UK.; Beaumont Hospital, Beaumont Road, Dublin, Ireland.; Cicely Saunders Institute, Florence Nightingale Faculty of Nursing, Midwifery &amp;amp;  Palliative Care, King&amp;apos;s College London, London, UK.; Population Health Sciences, Bristol Medical School, University of Bristol,  Bristol, UK.; Palliative Care Program, Division of Hospital Medicine, Department of Medicine,  University of California, San Francisco, San Francisco, CA, USA.; Cicely Saunders Institute, Florence Nightingale Faculty of Nursing, Midwifery &amp;amp;  Palliative Care, King&amp;apos;s College London, London, UK.; The Centre for Health Policy and Management, Trinity College Dublin, Dublin,  Ireland.; Department of Geriatrics and Palliative Medicine, Mount Sinai School of Medicine,  Icahn School of Medicine at Mount Sinai, New York, NY, USA.; Cicely Saunders Institute, Florence Nightingale Faculty of Nursing, Midwifery &amp;amp;  Palliative Care, King&amp;apos;s College London, London, UK.; King&amp;apos;s College Hospital NHS Foundation Trust, Bessemer Road, London, UK.&lt;/_author_adr&gt;&lt;_date_display&gt;2020 Apr&lt;/_date_display&gt;&lt;_date&gt;2020-04-01&lt;/_date&gt;&lt;_doi&gt;10.1177/0269216319896745&lt;/_doi&gt;&lt;_isbn&gt;1477-030X (Electronic); 0269-2163 (Linking)&lt;/_isbn&gt;&lt;_issue&gt;4&lt;/_issue&gt;&lt;_journal&gt;Palliat Med&lt;/_journal&gt;&lt;_keywords&gt;End-of-life care; critical care; health care costs; hospice; hospital; palliative care; satisfaction&lt;/_keywords&gt;&lt;_language&gt;eng&lt;/_language&gt;&lt;_pages&gt;513-523&lt;/_pages&gt;&lt;_subject_headings&gt;Aged; Aged, 80 and over; England; *Health Care Costs; Humans; Ireland; *Palliative Care/economics/standards; *Quality of Health Care; Surveys and Questionnaires; *Terminal Care/economics/standards; United States&lt;/_subject_headings&gt;&lt;_tertiary_title&gt;Palliative medicine&lt;/_tertiary_title&gt;&lt;_type_work&gt;Journal Article; Research Support, Non-U.S. Gov&amp;apos;t&lt;/_type_work&gt;&lt;_url&gt;http://www.ncbi.nlm.nih.gov/entrez/query.fcgi?cmd=Retrieve&amp;amp;db=pubmed&amp;amp;dopt=Abstract&amp;amp;list_uids=32009542&amp;amp;query_hl=1&lt;/_url&gt;&lt;_volume&gt;34&lt;/_volume&gt;&lt;_created&gt;65329740&lt;/_created&gt;&lt;_modified&gt;65329740&lt;/_modified&gt;&lt;_impact_factor&gt;   4.400&lt;/_impact_factor&gt;&lt;_social_category&gt;卫生保健与服务(1) &amp;amp; 医学：内科(2) &amp;amp; 公共卫生、环境卫生与职业卫生(2)&lt;/_social_category&gt;&lt;_collection_scope&gt;SCIE&lt;/_collection_scope&gt;&lt;_accessed&gt;65330802&lt;/_accessed&gt;&lt;/Details&gt;&lt;Extra&gt;&lt;DBUID&gt;{F96A950B-833F-4880-A151-76DA2D6A2879}&lt;/DBUID&gt;&lt;/Extra&gt;&lt;/Item&gt;&lt;/References&gt;&lt;/Group&gt;&lt;/Citation&gt;_x000a_"/>
    <w:docVar w:name="NE.Ref{9A0AD66F-78DE-4578-B52C-6C1288FC1CCB}" w:val=" ADDIN NE.Ref.{9A0AD66F-78DE-4578-B52C-6C1288FC1CCB}&lt;Citation&gt;&lt;Group&gt;&lt;References&gt;&lt;Item&gt;&lt;ID&gt;5021&lt;/ID&gt;&lt;UID&gt;{FC01DC97-7D4C-4C9D-9151-12C0AE958C20}&lt;/UID&gt;&lt;Title&gt;National Institute for Health and Care Excellence. Regorafenib for previously treated metastatic colorectal cancer [ID4002]. https://www.nice.org.uk/guidance(Accessed Feb 2, 2024).&lt;/Title&gt;&lt;Template&gt;Web Page&lt;/Template&gt;&lt;Star&gt;0&lt;/Star&gt;&lt;Tag&gt;0&lt;/Tag&gt;&lt;Author/&gt;&lt;Year&gt;0&lt;/Year&gt;&lt;Details&gt;&lt;_accessed&gt;65330793&lt;/_accessed&gt;&lt;_created&gt;65329711&lt;/_created&gt;&lt;_modified&gt;65329715&lt;/_modified&gt;&lt;/Details&gt;&lt;Extra&gt;&lt;DBUID&gt;{F96A950B-833F-4880-A151-76DA2D6A2879}&lt;/DBUID&gt;&lt;/Extra&gt;&lt;/Item&gt;&lt;/References&gt;&lt;/Group&gt;&lt;Group&gt;&lt;References&gt;&lt;Item&gt;&lt;ID&gt;5041&lt;/ID&gt;&lt;UID&gt;{3154A280-2B61-4C36-BD50-ABC671FE750F}&lt;/UID&gt;&lt;Title&gt;Health state utilities for non small cell lung cancer&lt;/Title&gt;&lt;Template&gt;Journal Article&lt;/Template&gt;&lt;Star&gt;0&lt;/Star&gt;&lt;Tag&gt;0&lt;/Tag&gt;&lt;Author&gt;Nafees, B; Stafford, M; Gavriel, S; Bhalla, S; Watkins, J&lt;/Author&gt;&lt;Year&gt;2008&lt;/Year&gt;&lt;Details&gt;&lt;_accession_num&gt;18939982&lt;/_accession_num&gt;&lt;_author_adr&gt;United BioSource Corporation, UK, 20 Bloomsbury Square, London, WC1A 2NS, UK.  beenish.nafees@unitedbiosource.com&lt;/_author_adr&gt;&lt;_date_display&gt;2008 Oct 21&lt;/_date_display&gt;&lt;_date&gt;2008-10-21&lt;/_date&gt;&lt;_doi&gt;10.1186/1477-7525-6-84&lt;/_doi&gt;&lt;_isbn&gt;1477-7525 (Electronic); 1477-7525 (Linking)&lt;/_isbn&gt;&lt;_journal&gt;Health Qual Life Outcomes&lt;/_journal&gt;&lt;_language&gt;eng&lt;/_language&gt;&lt;_pages&gt;84&lt;/_pages&gt;&lt;_subject_headings&gt;Adult; Antineoplastic Combined Chemotherapy Protocols/*adverse effects/therapeutic use; *Attitude to Health; Breast Neoplasms/drug therapy/pathology; Carcinoma, Non-Small-Cell Lung/*drug therapy/physiopathology/psychology; Clinical Trials, Phase III as Topic; Demography; *Disease Progression; Drug-Related Side Effects and Adverse Reactions/psychology; Female; Humans; Interviews as Topic; Lung Neoplasms/*drug therapy/physiopathology/psychology; Male; Middle Aged; Pilot Projects; Psychometrics/instrumentation/*standards; *Quality of Life; *Sickness Impact Profile; Treatment Outcome; United Kingdom&lt;/_subject_headings&gt;&lt;_tertiary_title&gt;Health and quality of life outcomes&lt;/_tertiary_title&gt;&lt;_type_work&gt;Journal Article; Validation Study&lt;/_type_work&gt;&lt;_url&gt;http://www.ncbi.nlm.nih.gov/entrez/query.fcgi?cmd=Retrieve&amp;amp;db=pubmed&amp;amp;dopt=Abstract&amp;amp;list_uids=18939982&amp;amp;query_hl=1&lt;/_url&gt;&lt;_volume&gt;6&lt;/_volume&gt;&lt;_created&gt;65329740&lt;/_created&gt;&lt;_modified&gt;65329740&lt;/_modified&gt;&lt;_impact_factor&gt;   3.600&lt;/_impact_factor&gt;&lt;_social_category&gt;卫生保健与服务(3) &amp;amp; 卫生政策与服务(2)&lt;/_social_category&gt;&lt;_collection_scope&gt;SSCI;SCIE&lt;/_collection_scope&gt;&lt;_accessed&gt;65330885&lt;/_accessed&gt;&lt;/Details&gt;&lt;Extra&gt;&lt;DBUID&gt;{F96A950B-833F-4880-A151-76DA2D6A2879}&lt;/DBUID&gt;&lt;/Extra&gt;&lt;/Item&gt;&lt;/References&gt;&lt;/Group&gt;&lt;/Citation&gt;_x000a_"/>
    <w:docVar w:name="NE.Ref{9B6EECD6-7EEE-4D9D-903C-3A1AA00E02DC}" w:val=" ADDIN NE.Ref.{9B6EECD6-7EEE-4D9D-903C-3A1AA00E02DC}&lt;Citation&gt;&lt;Group&gt;&lt;References&gt;&lt;Item&gt;&lt;ID&gt;3016&lt;/ID&gt;&lt;UID&gt;{B4CEAAA1-F94B-4D26-88B7-DA67ADBFAC6D}&lt;/UID&gt;&lt;Title&gt;Ceritinib versus chemotherapy in patients with ALK-rearranged non-small-cell lung cancer previously given chemotherapy and crizotinib (ASCEND-5): a randomised, controlled, open-label, phase 3 trial&lt;/Title&gt;&lt;Template&gt;Journal Article&lt;/Template&gt;&lt;Star&gt;1&lt;/Star&gt;&lt;Tag&gt;0&lt;/Tag&gt;&lt;Author&gt;Shaw, A T; Kim, T M; Crino, L; Gridelli, C; Kiura, K; Liu, G; Novello, S; Bearz, A; Gautschi, O; Mok, T; Nishio, M; Scagliotti, G; Spigel, D R; Deudon, S; Zheng, C; Pantano, S; Urban, P; Massacesi, C; Viraswami-Appanna, K; Felip, E&lt;/Author&gt;&lt;Year&gt;2017&lt;/Year&gt;&lt;Details&gt;&lt;_accessed&gt;64632463&lt;/_accessed&gt;&lt;_accession_num&gt;28602779&lt;/_accession_num&gt;&lt;_author_adr&gt;Massachusetts General Hospital, Boston, MA, USA. Electronic address: ashaw1@mgh.harvard.edu.; Seoul National University Hospital, Seoul, Korea.; Istituto Scientifico Romagnolo per lo Studio e la Cura dei Tumori, Istituto di Ricovero e Cura a Carattere Scientifico, Meldola, Italy.; SG Moscati Hospital, Citta Ospedaliera, Contrada Amoretta, Avellino, Italy.; Okayama University Hospital, Okayama, Japan.; Princess Margaret Cancer Centre, Toronto, ON, Canada.; University of Torino, Torino, Italy.; Istituto di Ricovero e Cura a Carattere Scientifico-Centro di Riferimento Oncologico, Aviano, Italy.; Cantonal Hospital Lucerne, Lucerne, Switzerland.; State Key Laboratory of South China, Chinese University of Hong Kong, Shatin, China.; Cancer Institute Hospital of Japanese Foundation for Cancer Research, Tokyo, Japan.; University of Torino, Torino, Italy.; Sarah Cannon Research Institute, Nashville, TN, USA.; Novartis, Basel, Switzerland.; Novartis, East Hanover, NJ, USA.; Novartis, Basel, Switzerland.; Novartis, Basel, Switzerland.; Novartis, Basel, Switzerland.; Novartis, East Hanover, NJ, USA.; Vall d&amp;apos;Hebron University Hospital, Barcelona, Spain; Vall d&amp;apos;Hebron Institute of Oncology, Barcelona, Spain.&lt;/_author_adr&gt;&lt;_collection_scope&gt;SCIE&lt;/_collection_scope&gt;&lt;_created&gt;64630954&lt;/_created&gt;&lt;_date&gt;2017-07-01&lt;/_date&gt;&lt;_date_display&gt;2017 Jul&lt;/_date_display&gt;&lt;_db_updated&gt;PubMed&lt;/_db_updated&gt;&lt;_doi&gt;10.1016/S1470-2045(17)30339-X&lt;/_doi&gt;&lt;_impact_factor&gt;  54.433&lt;/_impact_factor&gt;&lt;_isbn&gt;1474-5488 (Electronic); 1470-2045 (Linking)&lt;/_isbn&gt;&lt;_issue&gt;7&lt;/_issue&gt;&lt;_journal&gt;Lancet Oncol&lt;/_journal&gt;&lt;_language&gt;eng&lt;/_language&gt;&lt;_modified&gt;64740730&lt;/_modified&gt;&lt;_ori_publication&gt;Copyright (c) 2017 Elsevier Ltd. All rights reserved.&lt;/_ori_publication&gt;&lt;_pages&gt;874-886&lt;/_pages&gt;&lt;_social_category&gt;医学(1)&lt;/_social_category&gt;&lt;_subject_headings&gt;Adult; Alanine Transaminase/blood; Anaplastic Lymphoma Kinase; Antineoplastic Agents/*therapeutic use; Antineoplastic Combined Chemotherapy Protocols/therapeutic use; Aspartate Aminotransferases/blood; Carcinoma, Non-Small-Cell Lung/*drug therapy/genetics/secondary; Crizotinib; Disease Progression; Disease-Free Survival; Docetaxel; Female; Gene Rearrangement; Humans; Lung Neoplasms/*drug therapy/genetics/pathology; Male; Middle Aged; Neoplasm Staging; Pemetrexed/*therapeutic use; Platinum Compounds/administration &amp;amp; dosage; Pyrazoles/therapeutic use; Pyridines/therapeutic use; Pyrimidines/adverse effects/*therapeutic use; Receptor Protein-Tyrosine Kinases/*genetics; Response Evaluation Criteria in Solid Tumors; Retreatment; Sulfones/adverse effects/*therapeutic use; Taxoids/*therapeutic use; gamma-Glutamyltransferase/blood&lt;/_subject_headings&gt;&lt;_tertiary_title&gt;The Lancet. Oncology&lt;/_tertiary_title&gt;&lt;_type_work&gt;Clinical Trial, Phase III; Comparative Study; Journal Article; Multicenter Study; Randomized Controlled Trial&lt;/_type_work&gt;&lt;_url&gt;http://www.ncbi.nlm.nih.gov/entrez/query.fcgi?cmd=Retrieve&amp;amp;db=pubmed&amp;amp;dopt=Abstract&amp;amp;list_uids=28602779&amp;amp;query_hl=1&lt;/_url&gt;&lt;_volume&gt;18&lt;/_volume&gt;&lt;/Details&gt;&lt;Extra&gt;&lt;DBUID&gt;{F96A950B-833F-4880-A151-76DA2D6A2879}&lt;/DBUID&gt;&lt;/Extra&gt;&lt;/Item&gt;&lt;/References&gt;&lt;/Group&gt;&lt;/Citation&gt;_x000a_"/>
    <w:docVar w:name="NE.Ref{9C0ACB5C-84CE-4F53-81CD-66AF081C8CD6}" w:val=" ADDIN NE.Ref.{9C0ACB5C-84CE-4F53-81CD-66AF081C8CD6}&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9C516707-B0AC-4ECB-9B5A-F25226922204}" w:val=" ADDIN NE.Ref.{9C516707-B0AC-4ECB-9B5A-F25226922204}&lt;Citation&gt;&lt;Group&gt;&lt;References&gt;&lt;Item&gt;&lt;ID&gt;46203&lt;/ID&gt;&lt;UID&gt;{215C111E-D5EE-4F01-9F67-533F1AD6C6A3}&lt;/UID&gt;&lt;Title&gt;Crizotinib versus chemotherapy in advanced ALK-positive lung cancer&lt;/Title&gt;&lt;Template&gt;Journal Article&lt;/Template&gt;&lt;Star&gt;1&lt;/Star&gt;&lt;Tag&gt;0&lt;/Tag&gt;&lt;Author&gt;Shaw, A T; Kim, D W; Nakagawa, K; Seto, T; Crino, L; Ahn, M J; De Pas, T; Besse, B; Solomon, B J; Blackhall, F; Wu, Y L; Thomas, M; O&amp;apos;Byrne, K J; Moro-Sibilot, D; Camidge, D R; Mok, T; Hirsh, V; Riely, G J; Iyer, S; Tassell, V; Polli, A; Wilner, K D; Janne, P A&lt;/Author&gt;&lt;Year&gt;2013&lt;/Year&gt;&lt;Details&gt;&lt;_accessed&gt;64632466&lt;/_accessed&gt;&lt;_accession_num&gt;23724913&lt;/_accession_num&gt;&lt;_author_adr&gt;Massachusetts General Hospital, Boston, MA 02114, USA. ashaw1@partners.org&lt;/_author_adr&gt;&lt;_collection_scope&gt;SCIE&lt;/_collection_scope&gt;&lt;_created&gt;64630997&lt;/_created&gt;&lt;_date&gt;2013-06-20&lt;/_date&gt;&lt;_date_display&gt;2013 Jun 20&lt;/_date_display&gt;&lt;_db_updated&gt;PubMed&lt;/_db_updated&gt;&lt;_doi&gt;10.1056/NEJMoa1214886&lt;/_doi&gt;&lt;_impact_factor&gt; 176.079&lt;/_impact_factor&gt;&lt;_isbn&gt;1533-4406 (Electronic); 0028-4793 (Linking)&lt;/_isbn&gt;&lt;_issue&gt;25&lt;/_issue&gt;&lt;_journal&gt;N Engl J Med&lt;/_journal&gt;&lt;_language&gt;eng&lt;/_language&gt;&lt;_modified&gt;64688891&lt;/_modified&gt;&lt;_pages&gt;2385-94&lt;/_pages&gt;&lt;_social_category&gt;医学(1)&lt;/_social_category&gt;&lt;_subject_headings&gt;Adult; Aged; Aged, 80 and over; Antineoplastic Agents/adverse effects/*therapeutic use; Carcinoma, Non-Small-Cell Lung/*drug therapy/mortality; Crizotinib; Disease-Free Survival; Docetaxel; Female; Glutamates/adverse effects/therapeutic use; Guanine/adverse effects/analogs &amp;amp; derivatives/therapeutic use; Humans; Kaplan-Meier Estimate; Lung Neoplasms/*drug therapy/mortality; Male; Middle Aged; Pemetrexed; Protein Kinase Inhibitors/adverse effects/*therapeutic use; Pyrazoles/adverse effects/*therapeutic use; Pyridines/adverse effects/*therapeutic use; Quality of Life; Taxoids/adverse effects/therapeutic use; Young Adult&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3724913&amp;amp;query_hl=1&lt;/_url&gt;&lt;_volume&gt;368&lt;/_volume&gt;&lt;/Details&gt;&lt;Extra&gt;&lt;DBUID&gt;{F96A950B-833F-4880-A151-76DA2D6A2879}&lt;/DBUID&gt;&lt;/Extra&gt;&lt;/Item&gt;&lt;/References&gt;&lt;/Group&gt;&lt;/Citation&gt;_x000a_"/>
    <w:docVar w:name="NE.Ref{9C68D5E0-ADBC-4919-A354-0EFB08D57FC7}" w:val=" ADDIN NE.Ref.{9C68D5E0-ADBC-4919-A354-0EFB08D57FC7}&lt;Citation&gt;&lt;Group&gt;&lt;References&gt;&lt;Item&gt;&lt;ID&gt;4724&lt;/ID&gt;&lt;UID&gt;{0BF38630-9E40-4644-BE04-CFABFB05D27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020956&lt;/_created&gt;&lt;_modified&gt;65020956&lt;/_modified&gt;&lt;_impact_factor&gt; 202.731&lt;/_impact_factor&gt;&lt;_social_category&gt;医学(1)&lt;/_social_category&gt;&lt;_collection_scope&gt;SCIE&lt;/_collection_scope&gt;&lt;/Details&gt;&lt;Extra&gt;&lt;DBUID&gt;{F96A950B-833F-4880-A151-76DA2D6A2879}&lt;/DBUID&gt;&lt;/Extra&gt;&lt;/Item&gt;&lt;/References&gt;&lt;/Group&gt;&lt;/Citation&gt;_x000a_"/>
    <w:docVar w:name="NE.Ref{9E9DAD47-3214-494A-A778-471C16F68980}" w:val=" ADDIN NE.Ref.{9E9DAD47-3214-494A-A778-471C16F68980}&lt;Citation&gt;&lt;Group&gt;&lt;References&gt;&lt;Item&gt;&lt;ID&gt;4765&lt;/ID&gt;&lt;UID&gt;{DDB6E722-73BA-442A-8E5C-037A7B57C45E}&lt;/UID&gt;&lt;Title&gt;Michael Overman, Shital Kamble, Rebecca Moss, Fiona Taylor, Gregory Maglinte, James Shaw, Kim Cocks, Erin Mann, Christine Yip, Thierry André, P-308 - Patient-reported outcomes in DNA mismatch repair deficient/microsatellite instability high metastatic colorectal cancer treated with nivolumab: CheckMate 142, Annals of Oncology, Volume 28, Supplement 3,2017&lt;/Title&gt;&lt;Template&gt;Web Page&lt;/Template&gt;&lt;Star&gt;0&lt;/Star&gt;&lt;Tag&gt;0&lt;/Tag&gt;&lt;Author/&gt;&lt;Year&gt;0&lt;/Year&gt;&lt;Details&gt;&lt;_accessed&gt;65022442&lt;/_accessed&gt;&lt;_created&gt;65022442&lt;/_created&gt;&lt;_modified&gt;65022442&lt;/_modified&gt;&lt;/Details&gt;&lt;Extra&gt;&lt;DBUID&gt;{F96A950B-833F-4880-A151-76DA2D6A2879}&lt;/DBUID&gt;&lt;/Extra&gt;&lt;/Item&gt;&lt;/References&gt;&lt;/Group&gt;&lt;/Citation&gt;_x000a_"/>
    <w:docVar w:name="NE.Ref{9EAE8277-87C9-4DF9-A1C0-B982CAD007AC}" w:val=" ADDIN NE.Ref.{9EAE8277-87C9-4DF9-A1C0-B982CAD007AC}&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32&lt;/ID&gt;&lt;UID&gt;{AC85D677-102F-4D7C-8CEF-8512683D25B2}&lt;/UID&gt;&lt;Title&gt;Clinical and economic outcomes of treatment sequences for intermediate- to  poor-risk advanced renal cell carcinoma&lt;/Title&gt;&lt;Template&gt;Journal Article&lt;/Template&gt;&lt;Star&gt;0&lt;/Star&gt;&lt;Tag&gt;0&lt;/Tag&gt;&lt;Author&gt;Ambavane, A; Yang, S; Atkins, M B; Rao, S; Shah, A; Regan, M M; McDermott, D F; Michaelson, M D&lt;/Author&gt;&lt;Year&gt;2020&lt;/Year&gt;&lt;Details&gt;&lt;_accession_num&gt;31992108&lt;/_accession_num&gt;&lt;_author_adr&gt;Evidence Synthesis, Modeling, &amp;amp; Communications, Evidera, Inc., Bethesda, MD  20814, USA.; Health Economics Outcomes Research, Bristol-Myers Squibb, Princeton, NJ 08540,  USA.; Department of Internal Medicine - Medical Oncology, Georgetown-Lombardi  Comprehensive Cancer Center, Washington, DC 20007-2113, USA.; Health Economics Outcomes Research, Bristol-Myers Squibb, Princeton, NJ 08540,  USA.; Evidence Synthesis, Modeling, &amp;amp; Communications, Evidera, Inc., Waltham, MA 20814,  USA.; Division of Biostatistics, Dana-Farber Cancer Institute, Harvard Medical School,  Boston, MA 02215, USA.; Department of Medicine, Beth Israel Deaconess Medical Center, Dana-Farber/Harvard  Cancer Center, Boston, MA 02215, USA.; Massachusetts General Hospital Cancer Center, Boston, MA 02214, USA.&lt;/_author_adr&gt;&lt;_date_display&gt;2020 Jan&lt;/_date_display&gt;&lt;_date&gt;2020-01-01&lt;/_date&gt;&lt;_doi&gt;10.2217/imt-2019-0199&lt;/_doi&gt;&lt;_isbn&gt;1750-7448 (Electronic); 1750-743X (Linking)&lt;/_isbn&gt;&lt;_issue&gt;1&lt;/_issue&gt;&lt;_journal&gt;Immunotherapy&lt;/_journal&gt;&lt;_keywords&gt;cost–effectiveness; immuno-oncology therapy; renal cell carcinoma; survival; treatment sequences; treatment-free interval&lt;/_keywords&gt;&lt;_language&gt;eng&lt;/_language&gt;&lt;_pages&gt;37-51&lt;/_pages&gt;&lt;_subject_headings&gt;Antineoplastic Agents, Immunological/*therapeutic use; Antineoplastic Protocols; Carcinoma, Renal Cell/*drug therapy/economics/mortality; *Computer Simulation; Cost-Benefit Analysis; Drug Therapy, Combination; Humans; Ipilimumab/*therapeutic use; Kidney Neoplasms/*drug therapy/economics/mortality; Models, Economic; Neoplasm Staging; Nivolumab/*therapeutic use; Quality-Adjusted Life Years; Survival Analysis; Treatment Outcome&lt;/_subject_headings&gt;&lt;_tertiary_title&gt;Immunotherapy&lt;/_tertiary_title&gt;&lt;_type_work&gt;Clinical Trial, Phase II; Journal Article; Research Support, Non-U.S. Gov&amp;apos;t&lt;/_type_work&gt;&lt;_url&gt;http://www.ncbi.nlm.nih.gov/entrez/query.fcgi?cmd=Retrieve&amp;amp;db=pubmed&amp;amp;dopt=Abstract&amp;amp;list_uids=31992108&amp;amp;query_hl=1&lt;/_url&gt;&lt;_volume&gt;12&lt;/_volume&gt;&lt;_created&gt;65329740&lt;/_created&gt;&lt;_modified&gt;65329740&lt;/_modified&gt;&lt;_impact_factor&gt;   2.800&lt;/_impact_factor&gt;&lt;_social_category&gt;免疫学(4)&lt;/_social_category&gt;&lt;_collection_scope&gt;SCIE&lt;/_collection_scope&gt;&lt;_accessed&gt;65330823&lt;/_accessed&gt;&lt;/Details&gt;&lt;Extra&gt;&lt;DBUID&gt;{F96A950B-833F-4880-A151-76DA2D6A2879}&lt;/DBUID&gt;&lt;/Extra&gt;&lt;/Item&gt;&lt;/References&gt;&lt;/Group&gt;&lt;/Citation&gt;_x000a_"/>
    <w:docVar w:name="NE.Ref{A0947F25-F21B-4A32-B120-E221BC277A42}" w:val=" ADDIN NE.Ref.{A0947F25-F21B-4A32-B120-E221BC277A42}&lt;Citation&gt;&lt;Group&gt;&lt;References&gt;&lt;Item&gt;&lt;ID&gt;4714&lt;/ID&gt;&lt;UID&gt;{6A6C03BB-AA9D-4B90-98B0-5D8222C94A4C}&lt;/UID&gt;&lt;Title&gt;Health-related quality of life in patients with metastatic colorectal cancer  treated with panitumumab in first- or second-line treatment&lt;/Title&gt;&lt;Template&gt;Journal Article&lt;/Template&gt;&lt;Star&gt;0&lt;/Star&gt;&lt;Tag&gt;0&lt;/Tag&gt;&lt;Author&gt;Bennett, L; Zhao, Z; Barber, B; Zhou, X; Peeters, M; Zhang, J; Xu, F; Wiezorek, J; Douillard, J Y&lt;/Author&gt;&lt;Year&gt;2011&lt;/Year&gt;&lt;Details&gt;&lt;_accession_num&gt;21989186&lt;/_accession_num&gt;&lt;_author_adr&gt;RTI Health Solutions, 3040 East Cornwallis Road, Post Office Box 12194, Research  Triangle Park, NC 22709-2194, USA.&lt;/_author_adr&gt;&lt;_date_display&gt;2011 Nov 8&lt;/_date_display&gt;&lt;_date&gt;2011-11-08&lt;/_date&gt;&lt;_doi&gt;10.1038/bjc.2011.409&lt;/_doi&gt;&lt;_isbn&gt;1532-1827 (Electronic); 0007-0920 (Print); 0007-0920 (Linking)&lt;/_isbn&gt;&lt;_issue&gt;10&lt;/_issue&gt;&lt;_journal&gt;Br J Cancer&lt;/_journal&gt;&lt;_language&gt;eng&lt;/_language&gt;&lt;_ori_publication&gt;2011 Cancer Research UK&lt;/_ori_publication&gt;&lt;_pages&gt;1495-502&lt;/_pages&gt;&lt;_subject_headings&gt;Antibodies, Monoclonal/*therapeutic use; Antineoplastic Agents/*therapeutic use; Colorectal Neoplasms/drug therapy/pathology/*physiopathology; Female; Humans; Male; Middle Aged; Neoplasm Metastasis; Panitumumab; *Quality of Life&lt;/_subject_headings&gt;&lt;_tertiary_title&gt;British journal of cancer&lt;/_tertiary_title&gt;&lt;_type_work&gt;Journal Article; Randomized Controlled Trial; Research Support, Non-U.S. Gov&amp;apos;t&lt;/_type_work&gt;&lt;_url&gt;http://www.ncbi.nlm.nih.gov/entrez/query.fcgi?cmd=Retrieve&amp;amp;db=pubmed&amp;amp;dopt=Abstract&amp;amp;list_uids=21989186&amp;amp;query_hl=1&lt;/_url&gt;&lt;_volume&gt;105&lt;/_volume&gt;&lt;_created&gt;65020956&lt;/_created&gt;&lt;_modified&gt;65020956&lt;/_modified&gt;&lt;_impact_factor&gt;   9.075&lt;/_impact_factor&gt;&lt;_social_category&gt;医学(1)&lt;/_social_category&gt;&lt;_collection_scope&gt;SCIE&lt;/_collection_scope&gt;&lt;/Details&gt;&lt;Extra&gt;&lt;DBUID&gt;{F96A950B-833F-4880-A151-76DA2D6A2879}&lt;/DBUID&gt;&lt;/Extra&gt;&lt;/Item&gt;&lt;/References&gt;&lt;/Group&gt;&lt;/Citation&gt;_x000a_"/>
    <w:docVar w:name="NE.Ref{A1384499-E752-40A6-8CCE-26DC6BE961D1}" w:val=" ADDIN NE.Ref.{A1384499-E752-40A6-8CCE-26DC6BE961D1}&lt;Citation&gt;&lt;Group&gt;&lt;References&gt;&lt;Item&gt;&lt;ID&gt;2410&lt;/ID&gt;&lt;UID&gt;{B46AEE56-1A1C-4514-B451-CD840F01C431}&lt;/UID&gt;&lt;Title&gt;survHE : Survival Analysis for Health Economic Evaluation and Cost-Effectiveness Modeling&lt;/Title&gt;&lt;Template&gt;Journal Article&lt;/Template&gt;&lt;Star&gt;0&lt;/Star&gt;&lt;Tag&gt;0&lt;/Tag&gt;&lt;Author&gt;Baio, G&lt;/Author&gt;&lt;Year&gt;2020&lt;/Year&gt;&lt;Details&gt;&lt;_collection_scope&gt;SCIE&lt;/_collection_scope&gt;&lt;_created&gt;64213128&lt;/_created&gt;&lt;_impact_factor&gt;   6.992&lt;/_impact_factor&gt;&lt;_issue&gt;14&lt;/_issue&gt;&lt;_journal&gt;Journal of Statistical Software&lt;/_journal&gt;&lt;_modified&gt;64630791&lt;/_modified&gt;&lt;_volume&gt;95&lt;/_volume&gt;&lt;_social_category&gt;计算机科学(2)&lt;/_social_category&gt;&lt;/Details&gt;&lt;Extra&gt;&lt;DBUID&gt;{F96A950B-833F-4880-A151-76DA2D6A2879}&lt;/DBUID&gt;&lt;/Extra&gt;&lt;/Item&gt;&lt;/References&gt;&lt;/Group&gt;&lt;/Citation&gt;_x000a_"/>
    <w:docVar w:name="NE.Ref{A177D1CE-9D86-488D-B082-9052646C961E}" w:val=" ADDIN NE.Ref.{A177D1CE-9D86-488D-B082-9052646C961E}&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Citation&gt;_x000a_"/>
    <w:docVar w:name="NE.Ref{A2CA41D6-E453-4A6E-86D9-E6324DAC476A}" w:val=" ADDIN NE.Ref.{A2CA41D6-E453-4A6E-86D9-E6324DAC476A}&lt;Citation&gt;&lt;Group&gt;&lt;References&gt;&lt;Item&gt;&lt;ID&gt;4739&lt;/ID&gt;&lt;UID&gt;{DDC70CA1-DA3E-4EAB-A172-EAB82592FF80}&lt;/UID&gt;&lt;Title&gt;Fruquintinib versus placebo in patients with refractory metastatic colorectal  cancer (FRESCO-2): an international, multicentre, randomised, double-blind, phase  3 study&lt;/Title&gt;&lt;Template&gt;Journal Article&lt;/Template&gt;&lt;Star&gt;0&lt;/Star&gt;&lt;Tag&gt;0&lt;/Tag&gt;&lt;Author&gt;Dasari, A; Lonardi, S; Garcia-Carbonero, R; Elez, E; Yoshino, T; Sobrero, A; Yao, J; García-Alfonso, P; Kocsis, J; Cubillo, Gracian A; Sartore-Bianchi, A; Satoh, T; Randrian, V; Tomasek, J; Chong, G; Paulson, A S; Masuishi, T; Jones, J; Csőszi, T; Cremolini, C; Ghiringhelli, F; Shergill, A; Hochster, H S; Krauss, J; Bassam, A; Ducreux, M; Elme, A; Faugeras, L; Kasper, S; Van Cutsem, E; Arnold, D; Nanda, S; Yang, Z; Schelman, W R; Kania, M; Tabernero, J; Eng, C&lt;/Author&gt;&lt;Year&gt;2023&lt;/Year&gt;&lt;Details&gt;&lt;_accession_num&gt;37331369&lt;/_accession_num&gt;&lt;_author_adr&gt;Department of Gastrointestinal Medical Oncology, University of Texas MD Anderson  Cancer Center, Houston, TX, USA. Electronic address: adasari@mdanderson.org.; Medical Oncology Unit 1, Veneto Institute of Oncology IOV-IRCCS Padua, Padua,  Italy.; Oncology Department, Hospital Universitario 12 de Octubre, lmas12, UCM, Madrid,  Spain.; Vall d&amp;apos;Hebron Barcelona Hospital Campus, Vall d&amp;apos;Hebron Institute of Oncology,  Universitat Autònoma de Barcelona, Barcelona, Spain.; Department of Gastroenterology and Gastrointestinal Oncology, National Cancer  Center Hospital East, Kashiwa, Japan.; Department of Medical Oncology, Azienda Ospedaliera San Martino, Genoa, Italy.; Department of Gastrointestinal Medical Oncology, University of Texas MD Anderson  Cancer Center, Houston, TX, USA.; Medical Oncology Service, Hospital General Universitario Gregorio Marañón,  Instituto de Investigación Sanitaria Gregorio Marañón (IiSGM), Universidad  Complutense, Madrid, Spain.; Department of Oncoradiology, Bács -Kiskun Megyei Oktatókórház, Kecskemét,  Hungary.; Medical Oncology, Hospital Universitario HM Sanchinarro Centro Integral  Oncológico Clara Campal, Madrid, Spain.; Grande Ospedale Metropolitano Niguarda, Milan, Italy; Department of Oncology and  Hemato-Oncology, Università degli Studi di Milano, Milan, Italy.; Palliative and Supportive Care Center, Osaka University Hospital, Osaka, Japan.; Department of Hepato-Gastroenterology, CHU Poitiers, Université de Poitiers,  Poitiers, France.; Department of Complex Oncology Care, Masaryk Memorial Cancer Institute, Brno,  Czech Republic.; Olivia Newton-John Cancer Wellness &amp;amp; Research Centre, Austin Hospital, Melbourne,  VIC, Australia.; Texas Oncology-Baylor Charles A Sammons Cancer Center, US Oncology Research,  Dallas, TX, USA.; Department of Clinical Oncology, Aichi Cancer Center Hospital, Aichi, Japan.; Division of Hematology and Medical Oncology, Mayo Clinic Cancer Center,  Jacksonville, FL, USA.; Hetényi Géza Kórház, Onkológiai Központ, Szolnok, Hungary.; Department of Translational Research and New Technologies in Medicine and  Surgery, University of Pisa, Pisa, Italy.; Department of Medical Oncology, Centre Georges François Leclerc, Dijon, France.; University of Chicago, Biological Sciences Division, Chicago, IL, USA.; Rutgers Cancer Institute of New Jersey, New Brunswick, NJ, USA.; Department of Medicine, University of Michigan, Ann Arbor, MI, USA.; Békés Megyei Központi Kórház, Pándy Kálmán Tagkórház, Megyei Onkológiai Központ,  Gyula, Hungary.; Gustave Roussy Cancer Center, Inserm U1279 Tumors Cell Dynamics, Université Paris  Saclay, Villejuif, France.; Oncology and Haematology Clinic, North Estonia Medical Centre, Tallinn, Estonia.; Department of Oncology, CHU UCL Namur, Site Godinne, Yvoir, Belgium.; Department of Medical Oncology, West German Cancer Center, University Hospital  Essen, Essen, Germany.; University Hospitals Gasthuisberg, Leuven and KU Leuven, Leuven, Belgium.; Asklepios Tumorzentrum Hamburg, Department of Oncology and Hematology, AK Altona,  Hamburg, Germany.; HUTCHMED International Corporation, Florham Park, NJ, USA.; HUTCHMED International Corporation, Florham Park, NJ, USA.; HUTCHMED International Corporation, Florham Park, NJ, USA.; HUTCHMED International Corporation, Florham Park, NJ, USA.; Vall d&amp;apos;Hebron Barcelona Hospital Campus, Vall d&amp;apos;Hebron Institute of Oncology  (VHIO), IOB-Quiron, Barcelona, Spain.; Division Hematology and Oncology, Vanderbilt-Ingram Cancer Center, Nashville, TN,  USA.&lt;/_author_adr&gt;&lt;_date_display&gt;2023 Jul 1&lt;/_date_display&gt;&lt;_date&gt;2023-07-01&lt;/_date&gt;&lt;_doi&gt;10.1016/S0140-6736(23)00772-9&lt;/_doi&gt;&lt;_isbn&gt;1474-547X (Electronic); 0140-6736 (Linking)&lt;/_isbn&gt;&lt;_issue&gt;10395&lt;/_issue&gt;&lt;_journal&gt;Lancet&lt;/_journal&gt;&lt;_language&gt;eng&lt;/_language&gt;&lt;_ori_publication&gt;Copyright © 2023 Elsevier Ltd. All rights reserved.&lt;/_ori_publication&gt;&lt;_pages&gt;41-53&lt;/_pages&gt;&lt;_subject_headings&gt;Humans; Trifluridine/adverse effects; Vascular Endothelial Growth Factor A; Quality of Life; *Colorectal Neoplasms; *Colonic Neoplasms; *Rectal Neoplasms/drug therapy; Double-Blind Method; Antineoplastic Combined Chemotherapy Protocols/adverse effects&lt;/_subject_headings&gt;&lt;_tertiary_title&gt;Lancet (London, England)&lt;/_tertiary_title&gt;&lt;_type_work&gt;Clinical Trial, Phase III; Journal Article; Multicenter Study; Randomized Controlled Trial&lt;/_type_work&gt;&lt;_url&gt;http://www.ncbi.nlm.nih.gov/entrez/query.fcgi?cmd=Retrieve&amp;amp;db=pubmed&amp;amp;dopt=Abstract&amp;amp;list_uids=37331369&amp;amp;query_hl=1&lt;/_url&gt;&lt;_volume&gt;402&lt;/_volume&gt;&lt;_created&gt;65021590&lt;/_created&gt;&lt;_modified&gt;65021590&lt;/_modified&gt;&lt;_impact_factor&gt; 202.731&lt;/_impact_factor&gt;&lt;_social_category&gt;医学(1)&lt;/_social_category&gt;&lt;_collection_scope&gt;SCIE&lt;/_collection_scope&gt;&lt;/Details&gt;&lt;Extra&gt;&lt;DBUID&gt;{F96A950B-833F-4880-A151-76DA2D6A2879}&lt;/DBUID&gt;&lt;/Extra&gt;&lt;/Item&gt;&lt;/References&gt;&lt;/Group&gt;&lt;Group&gt;&lt;References&gt;&lt;Item&gt;&lt;ID&gt;4700&lt;/ID&gt;&lt;UID&gt;{0A4A76C1-D5C7-4A61-B1DA-7994029F6515}&lt;/UID&gt;&lt;Title&gt;Famitinib versus placebo in the treatment of refractory metastatic colorectal  cancer: a multicenter, randomized, double-blinded, placebo-controlled, phase II  clinical trial&lt;/Title&gt;&lt;Template&gt;Journal Article&lt;/Template&gt;&lt;Star&gt;0&lt;/Star&gt;&lt;Tag&gt;0&lt;/Tag&gt;&lt;Author&gt;Xu, R H; Shen, L; Wang, K M; Wu, G; Shi, C M; Ding, K F; Lin, L Z; Wang, J W; Xiong, J P; Wu, C P; Li, J; Liu, Y P; Wang, D; Ba, Y; Feng, J P; Bai, Y X; Bi, J W; Ma, L W; Lei, J; Yang, Q; Yu, H&lt;/Author&gt;&lt;Year&gt;2017&lt;/Year&gt;&lt;Details&gt;&lt;_accession_num&gt;29273089&lt;/_accession_num&gt;&lt;_author_adr&gt;Department of Medical Oncology, Sun Yat-sen University Cancer Center, State Key  Laboratory of Oncology in South China, Collaborative Innovation Center for Cancer  Medicine, Guangzhou, 510060, Guangdong, P. R. China.; Key Laboratory of Carcinogenesis and Translational Research (Ministry of  Education), Department of Gastrointestinal Oncology, Peking University Cancer  Hospital &amp;amp; Institute, No 52, Fucheng Road, Haidian District, Beijing, 100142, P.  R. China. lin100@medmail.com.cn.; Department of Medical Oncology, Second Affiliated Hospital of Nanjing Medical  University, Nanjing, 210011, Jiangsu, P. R. China.; Cancer Center of Union Hospital, Tongji Medical College, Huazhong University of  Science and Technology, Wuhan, 430030, Hubei, P. R. China.; Department of Medical Oncology, Fujian Medical University Union Hospital, Fuzhou,  350001, Fujian, P. R. China.; Department of Surgical Oncology, Second Hospital Affiliated to Zhejiang  University School of Medicine, Hangzhou, 310009, Zhejiang, P. R. China.; Department of Oncology, First Affiliated Hospital of Guangzhou Medical University  of Chinese Medicine, Guangzhou, 510405, Guangdong, P. R. China.; Department of Medical Oncology, Chinese Academy of Medical Sciences Cancer  Hospital, Beijing, 100021, P. R. China.; Department of Medical Oncology, First Affiliated Hospital of Nanchang University,  Nanchang, 330006, Jiangxi, P. R. China.; Department of Medical Oncology, First People&amp;apos;s Hospital of Changzhou, Changzhou,  213003, Jiangsu, P. R. China.; Department of Medical Oncology, Fudan University Cancer Hospital, Shanghai,  200032, P. R. China.; Department of Medical Oncology, First Hospital of China Medical University,  Shenyang, 110001, Liaoning, P. R. China.; Cancer Center, Daping Hospital and Institute of Surgery Research, Third Military  Medical University, Chongqing, 400042, P. R. China.; Department of Gastrointestinal Medical Oncology, Tianjin Medical University  Cancer Institute and Hospital, Tianjin, 300060, P. R. China.; Department of Oncology, PuAi Hospital of Tongji Medical College, Huazhong  University of Science and Technology, Wuhan, 430032, Hubei, P. R. China.; Department of Medical Oncology, Harbin Medical University Cancer Hospital,  Harbin, 150081, Heilongjiang, P. R. China.; Department of Oncology, Jinan Military General Hospital, Jinan, 250000, Shandong,  P. R. China.; Department of Tumor Chemotherapy and Radiology, Peking University Third Hospital,  Beijing, 100191, P. R. China.; Department of Gastrointestinal Surgery, First Affiliated Hospital of Guangzhou  Medical University, Guangzhou, 510120, Guangdong, P. R. China.; Department of Clinical Medicine, Jiangsu Hengrui Medicine Co., Ltd, Lianyungang,  222047, Jiangsu, P. R. China.; Department of Epidemic and Health Statistics, Nanjing Medical University,  Nanjing, 211166, Jiangsu, P. R. China.&lt;/_author_adr&gt;&lt;_date_display&gt;2017 Dec 22&lt;/_date_display&gt;&lt;_date&gt;2017-12-22&lt;/_date&gt;&lt;_doi&gt;10.1186/s40880-017-0263-y&lt;/_doi&gt;&lt;_isbn&gt;1944-446X (Electronic); 1000-467X (Print); 1944-446X (Linking)&lt;/_isbn&gt;&lt;_issue&gt;1&lt;/_issue&gt;&lt;_journal&gt;Chin J Cancer&lt;/_journal&gt;&lt;_keywords&gt;Colorectal cancer; Efficacy; Famitinib; Safety&lt;/_keywords&gt;&lt;_language&gt;eng&lt;/_language&gt;&lt;_pages&gt;97&lt;/_pages&gt;&lt;_subject_headings&gt;Administration, Oral; Adult; Aged; Colorectal Neoplasms/*drug therapy; Double-Blind Method; Drug Administration Schedule; Female; Humans; Indoles/*administration &amp;amp; dosage/adverse effects; Male; Neoplasm Metastasis; Protein Kinase Inhibitors/*administration &amp;amp; dosage/adverse effects; Pyrroles/*administration &amp;amp; dosage/adverse effects; Survival Analysis; Treatment Outcome&lt;/_subject_headings&gt;&lt;_tertiary_title&gt;Chinese journal of cancer&lt;/_tertiary_title&gt;&lt;_type_work&gt;Clinical Trial, Phase II; Journal Article; Multicenter Study; Randomized Controlled Trial; Research Support, Non-U.S. Gov&amp;apos;t&lt;/_type_work&gt;&lt;_url&gt;http://www.ncbi.nlm.nih.gov/entrez/query.fcgi?cmd=Retrieve&amp;amp;db=pubmed&amp;amp;dopt=Abstract&amp;amp;list_uids=29273089&amp;amp;query_hl=1&lt;/_url&gt;&lt;_volume&gt;36&lt;/_volume&gt;&lt;_created&gt;65020956&lt;/_created&gt;&lt;_modified&gt;65020956&lt;/_modified&gt;&lt;/Details&gt;&lt;Extra&gt;&lt;DBUID&gt;{F96A950B-833F-4880-A151-76DA2D6A2879}&lt;/DBUID&gt;&lt;/Extra&gt;&lt;/Item&gt;&lt;/References&gt;&lt;/Group&gt;&lt;Group&gt;&lt;References&gt;&lt;Item&gt;&lt;ID&gt;4747&lt;/ID&gt;&lt;UID&gt;{3C0B8EF9-8AB0-42ED-BCEB-66F0F0885BCB}&lt;/UID&gt;&lt;Title&gt;Ramucirumab versus placebo in combination with second-line FOLFIRI in patients  with metastatic colorectal carcinoma that progressed during or after first-line  therapy with bevacizumab, oxaliplatin, and a fluoropyrimidine (RAISE): a  randomised, double-blind, multicentre, phase 3 study&lt;/Title&gt;&lt;Template&gt;Journal Article&lt;/Template&gt;&lt;Star&gt;0&lt;/Star&gt;&lt;Tag&gt;0&lt;/Tag&gt;&lt;Author&gt;Tabernero, J; Yoshino, T; Cohn, A L; Obermannova, R; Bodoky, G; Garcia-Carbonero, R; Ciuleanu, T E; Portnoy, D C; Van Cutsem, E; Grothey, A; Prausová, J; Garcia-Alfonso, P; Yamazaki, K; Clingan, P R; Lonardi, S; Kim, T W; Simms, L; Chang, S C; Nasroulah, F&lt;/Author&gt;&lt;Year&gt;2015&lt;/Year&gt;&lt;Details&gt;&lt;_accession_num&gt;25877855&lt;/_accession_num&gt;&lt;_author_adr&gt;Medical Oncology Department, Vall d&amp;apos;Hebron University Hospital and Institute of  Oncology, Universitat Autònoma de Barcelona, Barcelona, Spain. Electronic  address: jtabernero@vhio.net.; Department of Gastroenterology, National Cancer Centre Hospital East, Chiba,  Japan.; Rocky Mountain Cancer Center/US Oncology, Denver, CO, USA.; Department of Comprehensive Cancer Care, Masaryk Memorial Cancer Institute, Brno,  Czech Republic.; Department of Oncology, Szent László Hospital, Budapest, Hungary.; Hospital Universitario Virgen del Rocio, Instituto de Biomedicina de Sevilla,  RTICC, Instituto Carlos III, Spanish Ministry of Science and Innovation, Seville,  Spain.; Prof Dr Ion Chiricuta Institute of Oncology and UMF Iuliu Hatieganu, Cluj-Napoca,  Romania.; West Clinic, Memphis, TN, USA.; University Hospitals Gasthuisberg, Leuven, Belgium.; Department of Oncology, Mayo Clinic, Rochester, MN, USA.; University Hospital Motol, Prague, Czech Republic.; Hospital General Universitario Gregorio Marañón, Madrid, Spain.; Shizuoka Cancer Centre, Shizuoka, Japan.; Southern Medical Day Care Centre, Wollongong, NSW, Australia.; Medical Oncology 1, Istituto Oncologico Veneto IOV - IRCCS, Padova, Italy.; Department of Oncology, Asan Medical Centre, University of Ulsan College of  Medicine, Seoul, South Korea.; Eli Lilly Canada, Toronto, ON, Canada.; Eli Lilly, Indianapolis, IN, USA.; Eli Lilly and Company, Bridgewater, NJ, USA.&lt;/_author_adr&gt;&lt;_date_display&gt;2015 May&lt;/_date_display&gt;&lt;_date&gt;2015-05-01&lt;/_date&gt;&lt;_doi&gt;10.1016/S1470-2045(15)70127-0&lt;/_doi&gt;&lt;_isbn&gt;1474-5488 (Electronic); 1470-2045 (Linking)&lt;/_isbn&gt;&lt;_issue&gt;5&lt;/_issue&gt;&lt;_journal&gt;Lancet Oncol&lt;/_journal&gt;&lt;_language&gt;eng&lt;/_language&gt;&lt;_ori_publication&gt;Copyright © 2015 Elsevier Ltd. All rights reserved.&lt;/_ori_publication&gt;&lt;_pages&gt;499-508&lt;/_pages&gt;&lt;_subject_headings&gt;Adult; Aged; Aged, 80 and over; Antibodies, Monoclonal/*administration &amp;amp; dosage; Antibodies, Monoclonal, Humanized/*administration &amp;amp; dosage; Antineoplastic Combined Chemotherapy Protocols/*administration &amp;amp; dosage; Bevacizumab; Camptothecin/administration &amp;amp; dosage/*analogs &amp;amp; derivatives; Colorectal Neoplasms/*drug therapy/pathology; Disease-Free Survival; Female; Fluorouracil/administration &amp;amp; dosage; Humans; Leucovorin/administration &amp;amp; dosage; Male; Middle Aged; Neoplasm Metastasis; Neoplasm Staging; Organoplatinum Compounds/*administration &amp;amp; dosage; Oxaliplatin&lt;/_subject_headings&gt;&lt;_tertiary_title&gt;The Lancet. Oncology&lt;/_tertiary_title&gt;&lt;_type_work&gt;Clinical Trial, Phase III; Journal Article; Multicenter Study; Randomized Controlled Trial; Research Support, Non-U.S. Gov&amp;apos;t&lt;/_type_work&gt;&lt;_url&gt;http://www.ncbi.nlm.nih.gov/entrez/query.fcgi?cmd=Retrieve&amp;amp;db=pubmed&amp;amp;dopt=Abstract&amp;amp;list_uids=25877855&amp;amp;query_hl=1&lt;/_url&gt;&lt;_volume&gt;16&lt;/_volume&gt;&lt;_created&gt;65021590&lt;/_created&gt;&lt;_modified&gt;65021590&lt;/_modified&gt;&lt;_impact_factor&gt;  54.433&lt;/_impact_factor&gt;&lt;_social_category&gt;医学(1)&lt;/_social_category&gt;&lt;_collection_scope&gt;SCIE&lt;/_collection_scope&gt;&lt;/Details&gt;&lt;Extra&gt;&lt;DBUID&gt;{F96A950B-833F-4880-A151-76DA2D6A2879}&lt;/DBUID&gt;&lt;/Extra&gt;&lt;/Item&gt;&lt;/References&gt;&lt;/Group&gt;&lt;Group&gt;&lt;References&gt;&lt;Item&gt;&lt;ID&gt;4748&lt;/ID&gt;&lt;UID&gt;{F2B27E8C-680E-4FEC-AA19-1BB2A690C701}&lt;/UID&gt;&lt;Title&gt;Subgroup analysis in RAISE: a randomized, double-blind phase III study of  irinotecan, folinic acid, and 5-fluorouracil (FOLFIRI) plus ramucirumab or  placebo in patients with metastatic colorectal carcinoma progression&lt;/Title&gt;&lt;Template&gt;Journal Article&lt;/Template&gt;&lt;Star&gt;0&lt;/Star&gt;&lt;Tag&gt;0&lt;/Tag&gt;&lt;Author&gt;Obermannová, R; Van Cutsem, E; Yoshino, T; Bodoky, G; Prausová, J; Garcia-Carbonero, R; Ciuleanu, T; Garcia, Alfonso P; Portnoy, D; Cohn, A; Yamazaki, K; Clingan, P; Lonardi, S; Kim, T W; Yang, L; Nasroulah, F; Tabernero, J&lt;/Author&gt;&lt;Year&gt;2016&lt;/Year&gt;&lt;Details&gt;&lt;_accession_num&gt;27573561&lt;/_accession_num&gt;&lt;_author_adr&gt;Masaryk Memorial Cancer Institute, Brno, Czech Republic obermannova@mou.cz.; University Hospitals Leuven and KU Leuven, Leuven, Belgium.; Department of Gastroenterology and Gastrointestinal Oncology, National Cancer  Center Hospital East, Chiba, Japan.; Department of Oncology, St László Hospital, Budapest, Hungary.; Onocology Clinic, Charles University, Prague, Czech Republic.; Department of Oncology, Hospital Universitario Doce de Octubre, Madrid, Spain.; Institutul Oncologic Ion Chiricuta and UMF, Cluj-Napoca, Romania.; Department of Oncology, Hospital General Universitario Gregorio Maraňón, Madrid,  Spain.; The West Clinic-University of Tennessee Health Sciences Center, Memphis.; Rocky Mountain Cancer Center, Denver, USA.; Department of Gastrointestinal Oncology, Shizouka Cancer Center, Shizouka, Japan.; Southern Medical Day Care Centre, Wollongong, NSW, Australia.; Department of Medical Oncology, Istituto Oncologico Veneto-IRCCS, Padova, Italy.; Department of Oncology, Asan Medical Center, University of Ulsan College of  Medicine, Seoul, South Korea.; Eli Lilly and Company, Bridgewater, USA.; Eli Lilly and Company, Buenos Aires, Argentine Republic.; Vall d&amp;apos;Hebron University Hospital and Institute of Oncology (VHIO), Universitat  Autònoma de Barcelona, Barcelona, Spain.&lt;/_author_adr&gt;&lt;_date_display&gt;2016 Nov&lt;/_date_display&gt;&lt;_date&gt;2016-11-01&lt;/_date&gt;&lt;_doi&gt;10.1093/annonc/mdw402&lt;/_doi&gt;&lt;_isbn&gt;1569-8041 (Electronic); 0923-7534 (Print); 0923-7534 (Linking)&lt;/_isbn&gt;&lt;_issue&gt;11&lt;/_issue&gt;&lt;_journal&gt;Ann Oncol&lt;/_journal&gt;&lt;_keywords&gt;CRC; RAISE; VEGFR-2; metastatic colorectal carcinoma; phase III clinical trial; ramucirumab&lt;/_keywords&gt;&lt;_language&gt;eng&lt;/_language&gt;&lt;_ori_publication&gt;© The Author 2016. Published by Oxford University Press on behalf of the European _x000d__x000a_      Society for Medical Oncology.&lt;/_ori_publication&gt;&lt;_pages&gt;2082-2090&lt;/_pages&gt;&lt;_subject_headings&gt;Adult; Aged; Antibodies, Monoclonal/*administration &amp;amp; dosage; Antibodies, Monoclonal, Humanized; Antineoplastic Combined Chemotherapy Protocols/*administration &amp;amp; dosage; Camptothecin/administration &amp;amp; dosage/*analogs &amp;amp; derivatives; Colorectal Neoplasms/*drug therapy/genetics/pathology; Disease-Free Survival; Double-Blind Method; Female; Fluorouracil/administration &amp;amp; dosage; Humans; Irinotecan; Kaplan-Meier Estimate; Leucovorin/administration &amp;amp; dosage; Male; Middle Aged; Mutation; Neoplasm Metastasis; Proto-Oncogene Proteins p21(ras)/*genetics&lt;/_subject_headings&gt;&lt;_tertiary_title&gt;Annals of oncology : official journal of the European Society for Medical _x000d__x000a_      Oncology&lt;/_tertiary_title&gt;&lt;_type_work&gt;Clinical Trial, Phase III; Journal Article; Randomized Controlled Trial&lt;/_type_work&gt;&lt;_url&gt;http://www.ncbi.nlm.nih.gov/entrez/query.fcgi?cmd=Retrieve&amp;amp;db=pubmed&amp;amp;dopt=Abstract&amp;amp;list_uids=27573561&amp;amp;query_hl=1&lt;/_url&gt;&lt;_volume&gt;27&lt;/_volume&gt;&lt;_created&gt;65021590&lt;/_created&gt;&lt;_modified&gt;65021590&lt;/_modified&gt;&lt;_impact_factor&gt;  51.769&lt;/_impact_factor&gt;&lt;_social_category&gt;医学(1)&lt;/_social_category&gt;&lt;_collection_scope&gt;SCIE&lt;/_collection_scope&gt;&lt;/Details&gt;&lt;Extra&gt;&lt;DBUID&gt;{F96A950B-833F-4880-A151-76DA2D6A2879}&lt;/DBUID&gt;&lt;/Extra&gt;&lt;/Item&gt;&lt;/References&gt;&lt;/Group&gt;&lt;/Citation&gt;_x000a_"/>
    <w:docVar w:name="NE.Ref{A326A574-B14E-4243-94A2-56A68611AEE4}" w:val=" ADDIN NE.Ref.{A326A574-B14E-4243-94A2-56A68611AEE4}&lt;Citation&gt;&lt;Group&gt;&lt;References&gt;&lt;Item&gt;&lt;ID&gt;2981&lt;/ID&gt;&lt;UID&gt;{A604D7EA-0EA4-4D1C-B79B-6A848DF2E5ED}&lt;/UID&gt;&lt;Title&gt;Lorlatinib Should Not be Considered as the Preferred First-Line Option in  Patients With Advanced ALK Rearranged NSCLC&lt;/Title&gt;&lt;Template&gt;Journal Article&lt;/Template&gt;&lt;Star&gt;0&lt;/Star&gt;&lt;Tag&gt;0&lt;/Tag&gt;&lt;Author&gt;Camidge, D R&lt;/Author&gt;&lt;Year&gt;2021&lt;/Year&gt;&lt;Details&gt;&lt;_accession_num&gt;33781443&lt;/_accession_num&gt;&lt;_author_adr&gt;Division of Medical Oncology, Department of Medicine, University of Colorado  Anschutz Medical Campus, Aurora, Colorado. Electronic address:  Ross.camidge@cuanschutz.edu.&lt;/_author_adr&gt;&lt;_date_display&gt;2021 Apr&lt;/_date_display&gt;&lt;_date&gt;2021-04-01&lt;/_date&gt;&lt;_doi&gt;10.1016/j.jtho.2020.12.022&lt;/_doi&gt;&lt;_isbn&gt;1556-1380 (Electronic); 1556-0864 (Linking)&lt;/_isbn&gt;&lt;_issue&gt;4&lt;/_issue&gt;&lt;_journal&gt;J Thorac Oncol&lt;/_journal&gt;&lt;_language&gt;eng&lt;/_language&gt;&lt;_pages&gt;528-531&lt;/_pages&gt;&lt;_subject_headings&gt;Aminopyridines; *Carcinoma, Non-Small-Cell Lung/drug therapy/genetics; Humans; Lactams; Lactams, Macrocyclic; *Lung Neoplasms/drug therapy/genetics; Protein Kinase Inhibitors/therapeutic use; Pyrazoles; Receptor Protein-Tyrosine Kinases/genetics&lt;/_subject_headings&gt;&lt;_tertiary_title&gt;Journal of thoracic oncology : official publication of the International _x000d__x000a_      Association for the Study of Lung Cancer&lt;/_tertiary_title&gt;&lt;_type_work&gt;Editorial; Research Support, Non-U.S. Gov&amp;apos;t&lt;/_type_work&gt;&lt;_url&gt;http://www.ncbi.nlm.nih.gov/entrez/query.fcgi?cmd=Retrieve&amp;amp;db=pubmed&amp;amp;dopt=Abstract&amp;amp;list_uids=33781443&amp;amp;query_hl=1&lt;/_url&gt;&lt;_volume&gt;16&lt;/_volume&gt;&lt;_created&gt;64740343&lt;/_created&gt;&lt;_modified&gt;64740725&lt;/_modified&gt;&lt;_db_updated&gt;PubMed&lt;/_db_updated&gt;&lt;_impact_factor&gt;  20.121&lt;/_impact_factor&gt;&lt;_social_category&gt;医学(1)&lt;/_social_category&gt;&lt;_collection_scope&gt;SCIE&lt;/_collection_scope&gt;&lt;/Details&gt;&lt;Extra&gt;&lt;DBUID&gt;{F96A950B-833F-4880-A151-76DA2D6A2879}&lt;/DBUID&gt;&lt;/Extra&gt;&lt;/Item&gt;&lt;/References&gt;&lt;/Group&gt;&lt;/Citation&gt;_x000a_"/>
    <w:docVar w:name="NE.Ref{A3F7109B-BA92-484E-AB2D-188734C0579B}" w:val=" ADDIN NE.Ref.{A3F7109B-BA92-484E-AB2D-188734C0579B}&lt;Citation&gt;&lt;Group&gt;&lt;References&gt;&lt;Item&gt;&lt;ID&gt;5019&lt;/ID&gt;&lt;UID&gt;{443D8660-0E79-4CC3-9241-4472B0EDEF70}&lt;/UID&gt;&lt;Title&gt;VA Federal Supply Schedule Price. https://www.vendorportal.ecms.va.gov/NAC/Pharma/List,Feb 1, 2024&lt;/Title&gt;&lt;Template&gt;Web Page&lt;/Template&gt;&lt;Star&gt;0&lt;/Star&gt;&lt;Tag&gt;0&lt;/Tag&gt;&lt;Author/&gt;&lt;Year&gt;0&lt;/Year&gt;&lt;Details&gt;&lt;_accessed&gt;65330783&lt;/_accessed&gt;&lt;_created&gt;65329707&lt;/_created&gt;&lt;_modified&gt;65329711&lt;/_modified&gt;&lt;/Details&gt;&lt;Extra&gt;&lt;DBUID&gt;{F96A950B-833F-4880-A151-76DA2D6A2879}&lt;/DBUID&gt;&lt;/Extra&gt;&lt;/Item&gt;&lt;/References&gt;&lt;/Group&gt;&lt;/Citation&gt;_x000a_"/>
    <w:docVar w:name="NE.Ref{A453A9F3-D563-4FB5-A9AF-856DFAC6AE42}" w:val=" ADDIN NE.Ref.{A453A9F3-D563-4FB5-A9AF-856DFAC6AE42}&lt;Citation&gt;&lt;Group&gt;&lt;References&gt;&lt;Item&gt;&lt;ID&gt;5032&lt;/ID&gt;&lt;UID&gt;{AC85D677-102F-4D7C-8CEF-8512683D25B2}&lt;/UID&gt;&lt;Title&gt;Clinical and economic outcomes of treatment sequences for intermediate- to  poor-risk advanced renal cell carcinoma&lt;/Title&gt;&lt;Template&gt;Journal Article&lt;/Template&gt;&lt;Star&gt;0&lt;/Star&gt;&lt;Tag&gt;0&lt;/Tag&gt;&lt;Author&gt;Ambavane, A; Yang, S; Atkins, M B; Rao, S; Shah, A; Regan, M M; McDermott, D F; Michaelson, M D&lt;/Author&gt;&lt;Year&gt;2020&lt;/Year&gt;&lt;Details&gt;&lt;_accession_num&gt;31992108&lt;/_accession_num&gt;&lt;_author_adr&gt;Evidence Synthesis, Modeling, &amp;amp; Communications, Evidera, Inc., Bethesda, MD  20814, USA.; Health Economics Outcomes Research, Bristol-Myers Squibb, Princeton, NJ 08540,  USA.; Department of Internal Medicine - Medical Oncology, Georgetown-Lombardi  Comprehensive Cancer Center, Washington, DC 20007-2113, USA.; Health Economics Outcomes Research, Bristol-Myers Squibb, Princeton, NJ 08540,  USA.; Evidence Synthesis, Modeling, &amp;amp; Communications, Evidera, Inc., Waltham, MA 20814,  USA.; Division of Biostatistics, Dana-Farber Cancer Institute, Harvard Medical School,  Boston, MA 02215, USA.; Department of Medicine, Beth Israel Deaconess Medical Center, Dana-Farber/Harvard  Cancer Center, Boston, MA 02215, USA.; Massachusetts General Hospital Cancer Center, Boston, MA 02214, USA.&lt;/_author_adr&gt;&lt;_date_display&gt;2020 Jan&lt;/_date_display&gt;&lt;_date&gt;2020-01-01&lt;/_date&gt;&lt;_doi&gt;10.2217/imt-2019-0199&lt;/_doi&gt;&lt;_isbn&gt;1750-7448 (Electronic); 1750-743X (Linking)&lt;/_isbn&gt;&lt;_issue&gt;1&lt;/_issue&gt;&lt;_journal&gt;Immunotherapy&lt;/_journal&gt;&lt;_keywords&gt;cost–effectiveness; immuno-oncology therapy; renal cell carcinoma; survival; treatment sequences; treatment-free interval&lt;/_keywords&gt;&lt;_language&gt;eng&lt;/_language&gt;&lt;_pages&gt;37-51&lt;/_pages&gt;&lt;_subject_headings&gt;Antineoplastic Agents, Immunological/*therapeutic use; Antineoplastic Protocols; Carcinoma, Renal Cell/*drug therapy/economics/mortality; *Computer Simulation; Cost-Benefit Analysis; Drug Therapy, Combination; Humans; Ipilimumab/*therapeutic use; Kidney Neoplasms/*drug therapy/economics/mortality; Models, Economic; Neoplasm Staging; Nivolumab/*therapeutic use; Quality-Adjusted Life Years; Survival Analysis; Treatment Outcome&lt;/_subject_headings&gt;&lt;_tertiary_title&gt;Immunotherapy&lt;/_tertiary_title&gt;&lt;_type_work&gt;Clinical Trial, Phase II; Journal Article; Research Support, Non-U.S. Gov&amp;apos;t&lt;/_type_work&gt;&lt;_url&gt;http://www.ncbi.nlm.nih.gov/entrez/query.fcgi?cmd=Retrieve&amp;amp;db=pubmed&amp;amp;dopt=Abstract&amp;amp;list_uids=31992108&amp;amp;query_hl=1&lt;/_url&gt;&lt;_volume&gt;12&lt;/_volume&gt;&lt;_created&gt;65329740&lt;/_created&gt;&lt;_modified&gt;65329740&lt;/_modified&gt;&lt;_impact_factor&gt;   2.800&lt;/_impact_factor&gt;&lt;_social_category&gt;免疫学(4)&lt;/_social_category&gt;&lt;_collection_scope&gt;SCIE&lt;/_collection_scope&gt;&lt;_accessed&gt;65330823&lt;/_accessed&gt;&lt;/Details&gt;&lt;Extra&gt;&lt;DBUID&gt;{F96A950B-833F-4880-A151-76DA2D6A2879}&lt;/DBUID&gt;&lt;/Extra&gt;&lt;/Item&gt;&lt;/References&gt;&lt;/Group&gt;&lt;Group&gt;&lt;References&gt;&lt;Item&gt;&lt;ID&gt;5043&lt;/ID&gt;&lt;UID&gt;{283B1341-C609-4229-84D7-2B0DE5D67427}&lt;/UID&gt;&lt;Title&gt;Elicitation of health state utilities in metastatic renal cell carcinoma&lt;/Title&gt;&lt;Template&gt;Journal Article&lt;/Template&gt;&lt;Star&gt;0&lt;/Star&gt;&lt;Tag&gt;0&lt;/Tag&gt;&lt;Author&gt;Swinburn, P; Lloyd, A; Nathan, P; Choueiri, T K; Cella, D; Neary, M P&lt;/Author&gt;&lt;Year&gt;2010&lt;/Year&gt;&lt;Details&gt;&lt;_accession_num&gt;20225993&lt;/_accession_num&gt;&lt;_author_adr&gt;Oxford Outcomes Ltd, Oxfordshire, UK. Paul.Swinburn@oxfordoutcomes.com&lt;/_author_adr&gt;&lt;_date_display&gt;2010 May&lt;/_date_display&gt;&lt;_date&gt;2010-05-01&lt;/_date&gt;&lt;_doi&gt;10.1185/03007991003712258&lt;/_doi&gt;&lt;_isbn&gt;1473-4877 (Electronic); 0300-7995 (Linking)&lt;/_isbn&gt;&lt;_issue&gt;5&lt;/_issue&gt;&lt;_journal&gt;Curr Med Res Opin&lt;/_journal&gt;&lt;_language&gt;eng&lt;/_language&gt;&lt;_pages&gt;1091-6&lt;/_pages&gt;&lt;_subject_headings&gt;Carcinoma, Renal Cell/pathology/*physiopathology; *Health Status; Humans; Kidney Neoplasms/pathology/*physiopathology; *Neoplasm Metastasis&lt;/_subject_headings&gt;&lt;_tertiary_title&gt;Current medical research and opinion&lt;/_tertiary_title&gt;&lt;_type_work&gt;Journal Article; Research Support, Non-U.S. Gov&amp;apos;t; Review&lt;/_type_work&gt;&lt;_url&gt;http://www.ncbi.nlm.nih.gov/entrez/query.fcgi?cmd=Retrieve&amp;amp;db=pubmed&amp;amp;dopt=Abstract&amp;amp;list_uids=20225993&amp;amp;query_hl=1&lt;/_url&gt;&lt;_volume&gt;26&lt;/_volume&gt;&lt;_created&gt;65329740&lt;/_created&gt;&lt;_modified&gt;65330572&lt;/_modified&gt;&lt;_impact_factor&gt;   2.300&lt;/_impact_factor&gt;&lt;_social_category&gt;医学：内科(3) &amp;amp; 医学：研究与实验(4)&lt;/_social_category&gt;&lt;_collection_scope&gt;SCIE&lt;/_collection_scope&gt;&lt;_accessed&gt;65330910&lt;/_accessed&gt;&lt;/Details&gt;&lt;Extra&gt;&lt;DBUID&gt;{F96A950B-833F-4880-A151-76DA2D6A2879}&lt;/DBUID&gt;&lt;/Extra&gt;&lt;/Item&gt;&lt;/References&gt;&lt;/Group&gt;&lt;/Citation&gt;_x000a_"/>
    <w:docVar w:name="NE.Ref{A5A06C16-08D1-4192-95A9-7A723D48960C}" w:val=" ADDIN NE.Ref.{A5A06C16-08D1-4192-95A9-7A723D48960C}&lt;Citation&gt;&lt;Group&gt;&lt;References&gt;&lt;Item&gt;&lt;ID&gt;46216&lt;/ID&gt;&lt;UID&gt;{1BE2E5A5-39A8-4A07-A55D-138939A493DA}&lt;/UID&gt;&lt;Title&gt;What Did Time Tell Us? A Comparison and Retrospective Validation of Different Survival Extrapolation Methods for Immuno-Oncologic Therapy in Advanced or Metastatic Renal Cell Carcinoma&lt;/Title&gt;&lt;Template&gt;Journal Article&lt;/Template&gt;&lt;Star&gt;0&lt;/Star&gt;&lt;Tag&gt;0&lt;/Tag&gt;&lt;Author&gt;Klijn, S L; Fenwick, E; Kroep, S; Johannesen, K; Malcolm, B; Kurt, M; Kiff, C; Borrill, J&lt;/Author&gt;&lt;Year&gt;2021&lt;/Year&gt;&lt;Details&gt;&lt;_accessed&gt;64475122&lt;/_accessed&gt;&lt;_accession_num&gt;33428174&lt;/_accession_num&gt;&lt;_author_adr&gt;Pharmerit - an OPEN Health Company, Marten Meesweg 107, 3068 AV, Rotterdam, The Netherlands. sklijn@pharmerit.com.; Pharmerit - an OPEN Health Company, Oxford, UK.; Pharmerit - an OPEN Health Company, Marten Meesweg 107, 3068 AV, Rotterdam, The Netherlands.; Bristol Myers Squibb, Stockholm, Sweden.; Bristol Myers Squibb, Uxbridge, Greater London, UK.; Bristol Myers Squibb, Princeton, NJ, USA.; Bristol Myers Squibb, Uxbridge, Greater London, UK.; Bristol Myers Squibb, Uxbridge, Greater London, UK.&lt;/_author_adr&gt;&lt;_collection_scope&gt;SCI;SCIE;SSCI&lt;/_collection_scope&gt;&lt;_created&gt;64475121&lt;/_created&gt;&lt;_date&gt;63725760&lt;/_date&gt;&lt;_date_display&gt;2021 Mar&lt;/_date_display&gt;&lt;_db_updated&gt;PubMed&lt;/_db_updated&gt;&lt;_doi&gt;10.1007/s40273-020-00989-1&lt;/_doi&gt;&lt;_impact_factor&gt;   4.558&lt;/_impact_factor&gt;&lt;_isbn&gt;1179-2027 (Electronic); 1170-7690 (Linking)&lt;/_isbn&gt;&lt;_issue&gt;3&lt;/_issue&gt;&lt;_journal&gt;Pharmacoeconomics&lt;/_journal&gt;&lt;_language&gt;eng&lt;/_language&gt;&lt;_modified&gt;64688891&lt;/_modified&gt;&lt;_pages&gt;345-356&lt;/_pages&gt;&lt;_social_category&gt;医学(3)&lt;/_social_category&gt;&lt;_subject_headings&gt;*Carcinoma, Renal Cell/drug therapy; Everolimus/therapeutic use; Humans; *Kidney Neoplasms/drug therapy; Nivolumab/therapeutic use; Retrospective Studies&lt;/_subject_headings&gt;&lt;_tertiary_title&gt;PharmacoEconomics&lt;/_tertiary_title&gt;&lt;_type_work&gt;Journal Article; Research Support, Non-U.S. Gov&amp;apos;t&lt;/_type_work&gt;&lt;_url&gt;http://www.ncbi.nlm.nih.gov/entrez/query.fcgi?cmd=Retrieve&amp;amp;db=pubmed&amp;amp;dopt=Abstract&amp;amp;list_uids=33428174&amp;amp;query_hl=1&lt;/_url&gt;&lt;_volume&gt;39&lt;/_volume&gt;&lt;/Details&gt;&lt;Extra&gt;&lt;DBUID&gt;{F96A950B-833F-4880-A151-76DA2D6A2879}&lt;/DBUID&gt;&lt;/Extra&gt;&lt;/Item&gt;&lt;/References&gt;&lt;/Group&gt;&lt;Group&gt;&lt;References&gt;&lt;Item&gt;&lt;ID&gt;46217&lt;/ID&gt;&lt;UID&gt;{31B8AB2F-2C05-4F9E-A97B-5227C3674CBF}&lt;/UID&gt;&lt;Title&gt;A Simplex Method for Function Minimization&lt;/Title&gt;&lt;Template&gt;Journal Article&lt;/Template&gt;&lt;Star&gt;0&lt;/Star&gt;&lt;Tag&gt;0&lt;/Tag&gt;&lt;Author&gt;Nelder, J A; Mead, R&lt;/Author&gt;&lt;Year&gt;1964&lt;/Year&gt;&lt;Details&gt;&lt;_created&gt;64481622&lt;/_created&gt;&lt;_journal&gt;The Computer Journal&lt;/_journal&gt;&lt;_modified&gt;64688891&lt;/_modified&gt;&lt;_pages&gt;308-313&lt;/_pages&gt;&lt;_volume&gt;7&lt;/_volume&gt;&lt;/Details&gt;&lt;Extra&gt;&lt;DBUID&gt;{F96A950B-833F-4880-A151-76DA2D6A2879}&lt;/DBUID&gt;&lt;/Extra&gt;&lt;/Item&gt;&lt;/References&gt;&lt;/Group&gt;&lt;/Citation&gt;_x000a_"/>
    <w:docVar w:name="NE.Ref{A639F390-4313-44EE-842E-CE69D426BBDC}" w:val=" ADDIN NE.Ref.{A639F390-4313-44EE-842E-CE69D426BBDC}&lt;Citation&gt;&lt;Group&gt;&lt;References&gt;&lt;Item&gt;&lt;ID&gt;5021&lt;/ID&gt;&lt;UID&gt;{FC01DC97-7D4C-4C9D-9151-12C0AE958C20}&lt;/UID&gt;&lt;Title&gt;National Institute for Health and Care Excellence. Regorafenib for previously treated metastatic colorectal cancer [ID4002]. https://www.nice.org.uk/guidance(Accessed Feb 2, 2024).&lt;/Title&gt;&lt;Template&gt;Web Page&lt;/Template&gt;&lt;Star&gt;0&lt;/Star&gt;&lt;Tag&gt;0&lt;/Tag&gt;&lt;Author/&gt;&lt;Year&gt;0&lt;/Year&gt;&lt;Details&gt;&lt;_accessed&gt;65330793&lt;/_accessed&gt;&lt;_created&gt;65329711&lt;/_created&gt;&lt;_modified&gt;65329715&lt;/_modified&gt;&lt;/Details&gt;&lt;Extra&gt;&lt;DBUID&gt;{F96A950B-833F-4880-A151-76DA2D6A2879}&lt;/DBUID&gt;&lt;/Extra&gt;&lt;/Item&gt;&lt;/References&gt;&lt;/Group&gt;&lt;Group&gt;&lt;References&gt;&lt;Item&gt;&lt;ID&gt;5041&lt;/ID&gt;&lt;UID&gt;{3154A280-2B61-4C36-BD50-ABC671FE750F}&lt;/UID&gt;&lt;Title&gt;Health state utilities for non small cell lung cancer&lt;/Title&gt;&lt;Template&gt;Journal Article&lt;/Template&gt;&lt;Star&gt;0&lt;/Star&gt;&lt;Tag&gt;0&lt;/Tag&gt;&lt;Author&gt;Nafees, B; Stafford, M; Gavriel, S; Bhalla, S; Watkins, J&lt;/Author&gt;&lt;Year&gt;2008&lt;/Year&gt;&lt;Details&gt;&lt;_accession_num&gt;18939982&lt;/_accession_num&gt;&lt;_author_adr&gt;United BioSource Corporation, UK, 20 Bloomsbury Square, London, WC1A 2NS, UK.  beenish.nafees@unitedbiosource.com&lt;/_author_adr&gt;&lt;_date_display&gt;2008 Oct 21&lt;/_date_display&gt;&lt;_date&gt;2008-10-21&lt;/_date&gt;&lt;_doi&gt;10.1186/1477-7525-6-84&lt;/_doi&gt;&lt;_isbn&gt;1477-7525 (Electronic); 1477-7525 (Linking)&lt;/_isbn&gt;&lt;_journal&gt;Health Qual Life Outcomes&lt;/_journal&gt;&lt;_language&gt;eng&lt;/_language&gt;&lt;_pages&gt;84&lt;/_pages&gt;&lt;_subject_headings&gt;Adult; Antineoplastic Combined Chemotherapy Protocols/*adverse effects/therapeutic use; *Attitude to Health; Breast Neoplasms/drug therapy/pathology; Carcinoma, Non-Small-Cell Lung/*drug therapy/physiopathology/psychology; Clinical Trials, Phase III as Topic; Demography; *Disease Progression; Drug-Related Side Effects and Adverse Reactions/psychology; Female; Humans; Interviews as Topic; Lung Neoplasms/*drug therapy/physiopathology/psychology; Male; Middle Aged; Pilot Projects; Psychometrics/instrumentation/*standards; *Quality of Life; *Sickness Impact Profile; Treatment Outcome; United Kingdom&lt;/_subject_headings&gt;&lt;_tertiary_title&gt;Health and quality of life outcomes&lt;/_tertiary_title&gt;&lt;_type_work&gt;Journal Article; Validation Study&lt;/_type_work&gt;&lt;_url&gt;http://www.ncbi.nlm.nih.gov/entrez/query.fcgi?cmd=Retrieve&amp;amp;db=pubmed&amp;amp;dopt=Abstract&amp;amp;list_uids=18939982&amp;amp;query_hl=1&lt;/_url&gt;&lt;_volume&gt;6&lt;/_volume&gt;&lt;_created&gt;65329740&lt;/_created&gt;&lt;_modified&gt;65329740&lt;/_modified&gt;&lt;_impact_factor&gt;   3.600&lt;/_impact_factor&gt;&lt;_social_category&gt;卫生保健与服务(3) &amp;amp; 卫生政策与服务(2)&lt;/_social_category&gt;&lt;_collection_scope&gt;SSCI;SCIE&lt;/_collection_scope&gt;&lt;_accessed&gt;65330885&lt;/_accessed&gt;&lt;/Details&gt;&lt;Extra&gt;&lt;DBUID&gt;{F96A950B-833F-4880-A151-76DA2D6A2879}&lt;/DBUID&gt;&lt;/Extra&gt;&lt;/Item&gt;&lt;/References&gt;&lt;/Group&gt;&lt;/Citation&gt;_x000a_"/>
    <w:docVar w:name="NE.Ref{A669DDB1-4B36-4227-861C-A680C6C3ACB4}" w:val=" ADDIN NE.Ref.{A669DDB1-4B36-4227-861C-A680C6C3ACB4}&lt;Citation&gt;&lt;Group&gt;&lt;References&gt;&lt;Item&gt;&lt;ID&gt;4679&lt;/ID&gt;&lt;UID&gt;{C245E5E6-43CB-47CF-8ECA-BA621C2B6665}&lt;/UID&gt;&lt;Title&gt;Health-related quality of life assessment in contemporary phase III trials in  advanced colorectal cancer&lt;/Title&gt;&lt;Template&gt;Journal Article&lt;/Template&gt;&lt;Star&gt;0&lt;/Star&gt;&lt;Tag&gt;0&lt;/Tag&gt;&lt;Author&gt;Adamowicz, K; Saad, E D; Jassem, J&lt;/Author&gt;&lt;Year&gt;2016&lt;/Year&gt;&lt;Details&gt;&lt;_accession_num&gt;27718458&lt;/_accession_num&gt;&lt;_author_adr&gt;Regional Hospital, Wejherowo, Poland. Electronic address:  krzys.adamowicz@gmail.com.; Dendrix Research, Sao Paulo, Brazil; International Drug Development Institute,  Louvain-la-Neuve, Belgium.; Medical University of Gdansk, Poland.&lt;/_author_adr&gt;&lt;_date_display&gt;2016 Nov&lt;/_date_display&gt;&lt;_date&gt;2016-11-01&lt;/_date&gt;&lt;_doi&gt;10.1016/j.ctrv.2016.09.015&lt;/_doi&gt;&lt;_isbn&gt;1532-1967 (Electronic); 0305-7372 (Linking)&lt;/_isbn&gt;&lt;_journal&gt;Cancer Treat Rev&lt;/_journal&gt;&lt;_keywords&gt;Advanced colorectal cancer; Chemotherapy; Quality of life; Treatment outcomes&lt;/_keywords&gt;&lt;_language&gt;eng&lt;/_language&gt;&lt;_ori_publication&gt;Copyright © 2016 Elsevier Ltd. All rights reserved.&lt;/_ori_publication&gt;&lt;_pages&gt;194-199&lt;/_pages&gt;&lt;_subject_headings&gt;Antineoplastic Agents/*therapeutic use; Clinical Trials, Phase III as Topic; Colorectal Neoplasms/pathology/*therapy; *Health Status; Humans; Immunologic Factors/*therapeutic use; Outcome Assessment, Health Care; *Palliative Care; *Quality of Life&lt;/_subject_headings&gt;&lt;_tertiary_title&gt;Cancer treatment reviews&lt;/_tertiary_title&gt;&lt;_type_work&gt;Journal Article; Review&lt;/_type_work&gt;&lt;_url&gt;http://www.ncbi.nlm.nih.gov/entrez/query.fcgi?cmd=Retrieve&amp;amp;db=pubmed&amp;amp;dopt=Abstract&amp;amp;list_uids=27718458&amp;amp;query_hl=1&lt;/_url&gt;&lt;_volume&gt;50&lt;/_volume&gt;&lt;_created&gt;65020258&lt;/_created&gt;&lt;_modified&gt;65020258&lt;/_modified&gt;&lt;_impact_factor&gt;  13.608&lt;/_impact_factor&gt;&lt;_social_category&gt;医学(1)&lt;/_social_category&gt;&lt;_collection_scope&gt;SCIE&lt;/_collection_scope&gt;&lt;/Details&gt;&lt;Extra&gt;&lt;DBUID&gt;{F96A950B-833F-4880-A151-76DA2D6A2879}&lt;/DBUID&gt;&lt;/Extra&gt;&lt;/Item&gt;&lt;/References&gt;&lt;/Group&gt;&lt;/Citation&gt;_x000a_"/>
    <w:docVar w:name="NE.Ref{A6D92554-EDB5-4273-9187-4289F116E879}" w:val=" ADDIN NE.Ref.{A6D92554-EDB5-4273-9187-4289F116E879}&lt;Citation&gt;&lt;Group&gt;&lt;References&gt;&lt;Item&gt;&lt;ID&gt;4884&lt;/ID&gt;&lt;UID&gt;{380F026F-B456-4A00-A65A-01F03694FCD3}&lt;/UID&gt;&lt;Title&gt;Efficacy and safety of first line treatments for patients with advanced epidermal  growth factor receptor mutated, non-small cell lung cancer: systematic review and  network meta-analysis&lt;/Title&gt;&lt;Template&gt;Journal Article&lt;/Template&gt;&lt;Star&gt;0&lt;/Star&gt;&lt;Tag&gt;0&lt;/Tag&gt;&lt;Author&gt;Zhao, Y; Liu, J; Cai, X; Pan, Z; Liu, J; Yin, W; Chen, H; Xie, Z; Liang, H; Wang, W; Guo, Z; Zhao, S; Liang, W; He, J&lt;/Author&gt;&lt;Year&gt;2019&lt;/Year&gt;&lt;Details&gt;&lt;_accession_num&gt;31591158&lt;/_accession_num&gt;&lt;_author_adr&gt;Department of Thoracic Surgery and Oncology, First Affiliated Hospital of  Guangzhou Medical University, State Key Laboratory of Respiratory Disease and  National Clinical Research Centre for Respiratory Disease, 151 Yanjiang Road,  Guangzhou 510120, China.; Department of Thoracic Surgery and Oncology, First Affiliated Hospital of  Guangzhou Medical University, State Key Laboratory of Respiratory Disease and  National Clinical Research Centre for Respiratory Disease, 151 Yanjiang Road,  Guangzhou 510120, China.; Department of General Internal Medicine, Sun Yat-sen University Cancer Centre,  State Key Laboratory of Oncology in South China, Collaborative Innovation Centre  for Cancer Medicine, Guangzhou, China.; Department of Oncology, Qingdao Municipal Hospital, Qingdao, China.; Department of Thoracic Surgery and Oncology, First Affiliated Hospital of  Guangzhou Medical University, State Key Laboratory of Respiratory Disease and  National Clinical Research Centre for Respiratory Disease, 151 Yanjiang Road,  Guangzhou 510120, China.; Department of Thoracic Surgery and Oncology, First Affiliated Hospital of  Guangzhou Medical University, State Key Laboratory of Respiratory Disease and  National Clinical Research Centre for Respiratory Disease, 151 Yanjiang Road,  Guangzhou 510120, China.; Department of Thoracic Surgery and Oncology, First Affiliated Hospital of  Guangzhou Medical University, State Key Laboratory of Respiratory Disease and  National Clinical Research Centre for Respiratory Disease, 151 Yanjiang Road,  Guangzhou 510120, China.; Department of Respiratory Medicine, First Affiliated Hospital of Guangzhou  Medical University, State Key Laboratory of Respiratory Disease and National  Clinical Research Centre for Respiratory Disease, Guangzhou, China.; Department of Thoracic Surgery and Oncology, First Affiliated Hospital of  Guangzhou Medical University, State Key Laboratory of Respiratory Disease and  National Clinical Research Centre for Respiratory Disease, 151 Yanjiang Road,  Guangzhou 510120, China drjianxing.he@gmail.com liangwh1987@163.com.; Department of Thoracic Surgery and Oncology, First Affiliated Hospital of  Guangzhou Medical University, State Key Laboratory of Respiratory Disease and  National Clinical Research Centre for Respiratory Disease, 151 Yanjiang Road,  Guangzhou 510120, China.; Department of Thoracic Surgery and Oncology, First Affiliated Hospital of  Guangzhou Medical University, State Key Laboratory of Respiratory Disease and  National Clinical Research Centre for Respiratory Disease, 151 Yanjiang Road,  Guangzhou 510120, China.; Department of Medical Oncology, Sun Yat-sen University Cancer Centre, State Key  Laboratory of Oncology in South China, Collaborative Innovation Centre for Cancer  Medicine, Guangzhou, China.; Department of Thoracic Surgery and Oncology, First Affiliated Hospital of  Guangzhou Medical University, State Key Laboratory of Respiratory Disease and  National Clinical Research Centre for Respiratory Disease, 151 Yanjiang Road,  Guangzhou 510120, China drjianxing.he@gmail.com liangwh1987@163.com.; Department of Thoracic Surgery and Oncology, First Affiliated Hospital of  Guangzhou Medical University, State Key Laboratory of Respiratory Disease and  National Clinical Research Centre for Respiratory Disease, 151 Yanjiang Road,  Guangzhou 510120, China drjianxing.he@gmail.com liangwh1987@163.com.&lt;/_author_adr&gt;&lt;_date_display&gt;2019 Oct 7&lt;/_date_display&gt;&lt;_date&gt;2019-10-07&lt;/_date&gt;&lt;_doi&gt;10.1136/bmj.l5460&lt;/_doi&gt;&lt;_isbn&gt;1756-1833 (Electronic); 0959-8138 (Print); 0959-8138 (Linking)&lt;/_isbn&gt;&lt;_journal&gt;BMJ&lt;/_journal&gt;&lt;_language&gt;eng&lt;/_language&gt;&lt;_ori_publication&gt;Published by the BMJ Publishing Group Limited. For permission to use (where not _x000d__x000a_      already granted under a licence) please go to _x000d__x000a_      http://group.bmj.com/group/rights-licensing/permissions.&lt;/_ori_publication&gt;&lt;_pages&gt;l5460&lt;/_pages&gt;&lt;_subject_headings&gt;Biomarkers, Tumor/genetics; Carcinoma, Non-Small-Cell Lung/*genetics/*therapy; ErbB Receptors/genetics; Humans; *Mutation; Network Meta-Analysis&lt;/_subject_headings&gt;&lt;_tertiary_title&gt;BMJ (Clinical research ed.)&lt;/_tertiary_title&gt;&lt;_type_work&gt;Journal Article; Meta-Analysis; Systematic Review&lt;/_type_work&gt;&lt;_url&gt;http://www.ncbi.nlm.nih.gov/entrez/query.fcgi?cmd=Retrieve&amp;amp;db=pubmed&amp;amp;dopt=Abstract&amp;amp;list_uids=31591158&amp;amp;query_hl=1&lt;/_url&gt;&lt;_volume&gt;367&lt;/_volume&gt;&lt;_created&gt;65089356&lt;/_created&gt;&lt;_modified&gt;65089356&lt;/_modified&gt;&lt;_impact_factor&gt;  93.333&lt;/_impact_factor&gt;&lt;_collection_scope&gt;SCIE&lt;/_collection_scope&gt;&lt;/Details&gt;&lt;Extra&gt;&lt;DBUID&gt;{F96A950B-833F-4880-A151-76DA2D6A2879}&lt;/DBUID&gt;&lt;/Extra&gt;&lt;/Item&gt;&lt;/References&gt;&lt;/Group&gt;&lt;/Citation&gt;_x000a_"/>
    <w:docVar w:name="NE.Ref{A74686FE-D28B-40BD-A3A4-B25D4F24E32E}" w:val=" ADDIN NE.Ref.{A74686FE-D28B-40BD-A3A4-B25D4F24E32E}&lt;Citation&gt;&lt;Group&gt;&lt;References&gt;&lt;Item&gt;&lt;ID&gt;3018&lt;/ID&gt;&lt;UID&gt;{D71F9B2B-4620-4936-AA79-2D51F38A3C1A}&lt;/UID&gt;&lt;Title&gt;Crizotinib versus chemotherapy in advanced ALK-positive lung cancer&lt;/Title&gt;&lt;Template&gt;Journal Article&lt;/Template&gt;&lt;Star&gt;1&lt;/Star&gt;&lt;Tag&gt;0&lt;/Tag&gt;&lt;Author&gt;Shaw, A T; Kim, D W; Nakagawa, K; Seto, T; Crino, L; Ahn, M J; De Pas, T; Besse, B; Solomon, B J; Blackhall, F; Wu, Y L; Thomas, M; O&amp;apos;Byrne, K J; Moro-Sibilot, D; Camidge, D R; Mok, T; Hirsh, V; Riely, G J; Iyer, S; Tassell, V; Polli, A; Wilner, K D; Janne, P A&lt;/Author&gt;&lt;Year&gt;2013&lt;/Year&gt;&lt;Details&gt;&lt;_accessed&gt;64632466&lt;/_accessed&gt;&lt;_accession_num&gt;23724913&lt;/_accession_num&gt;&lt;_author_adr&gt;Massachusetts General Hospital, Boston, MA 02114, USA. ashaw1@partners.org&lt;/_author_adr&gt;&lt;_collection_scope&gt;SCIE&lt;/_collection_scope&gt;&lt;_created&gt;64630997&lt;/_created&gt;&lt;_date&gt;2013-06-20&lt;/_date&gt;&lt;_date_display&gt;2013 Jun 20&lt;/_date_display&gt;&lt;_db_updated&gt;PubMed&lt;/_db_updated&gt;&lt;_doi&gt;10.1056/NEJMoa1214886&lt;/_doi&gt;&lt;_impact_factor&gt; 176.079&lt;/_impact_factor&gt;&lt;_isbn&gt;1533-4406 (Electronic); 0028-4793 (Linking)&lt;/_isbn&gt;&lt;_issue&gt;25&lt;/_issue&gt;&lt;_journal&gt;N Engl J Med&lt;/_journal&gt;&lt;_language&gt;eng&lt;/_language&gt;&lt;_modified&gt;64740730&lt;/_modified&gt;&lt;_pages&gt;2385-94&lt;/_pages&gt;&lt;_social_category&gt;医学(1)&lt;/_social_category&gt;&lt;_subject_headings&gt;Adult; Aged; Aged, 80 and over; Antineoplastic Agents/adverse effects/*therapeutic use; Carcinoma, Non-Small-Cell Lung/*drug therapy/mortality; Crizotinib; Disease-Free Survival; Docetaxel; Female; Glutamates/adverse effects/therapeutic use; Guanine/adverse effects/analogs &amp;amp; derivatives/therapeutic use; Humans; Kaplan-Meier Estimate; Lung Neoplasms/*drug therapy/mortality; Male; Middle Aged; Pemetrexed; Protein Kinase Inhibitors/adverse effects/*therapeutic use; Pyrazoles/adverse effects/*therapeutic use; Pyridines/adverse effects/*therapeutic use; Quality of Life; Taxoids/adverse effects/therapeutic use; Young Adult&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3724913&amp;amp;query_hl=1&lt;/_url&gt;&lt;_volume&gt;368&lt;/_volume&gt;&lt;/Details&gt;&lt;Extra&gt;&lt;DBUID&gt;{F96A950B-833F-4880-A151-76DA2D6A2879}&lt;/DBUID&gt;&lt;/Extra&gt;&lt;/Item&gt;&lt;/References&gt;&lt;/Group&gt;&lt;Group&gt;&lt;References&gt;&lt;Item&gt;&lt;ID&gt;3019&lt;/ID&gt;&lt;UID&gt;{97874A92-D52D-4AF1-949F-9AF2328EAD9C}&lt;/UID&gt;&lt;Title&gt;Patient-reported outcomes and quality of life in PROFILE 1007: a randomized trial  of crizotinib compared with chemotherapy in previously treated patients with  ALK-positive advanced non-small-cell lung cancer&lt;/Title&gt;&lt;Template&gt;Journal Article&lt;/Template&gt;&lt;Star&gt;0&lt;/Star&gt;&lt;Tag&gt;0&lt;/Tag&gt;&lt;Author&gt;Blackhall, F; Kim, D W; Besse, B; Nokihara, H; Han, J Y; Wilner, K D; Reisman, A; Iyer, S; Hirsh, V; Shaw, A T&lt;/Author&gt;&lt;Year&gt;2014&lt;/Year&gt;&lt;Details&gt;&lt;_accession_num&gt;25436797&lt;/_accession_num&gt;&lt;_author_adr&gt;*Department of Medical Oncology, Institute of Cancer Sciences, Manchester  University, and Christie Hospital NHS Foundation Trust, Manchester, United  Kingdom; daggerDepartment of Internal Medicine, Seoul National University Hospital,  Seoul, Korea; double daggerDepartment of Thoracic Oncology, Institut Gustave Roussy,  Villejuif, France;  section signNational Cancer Center Hospital, Tokyo, Japan;  ||Division of  Translational &amp;amp; Clinical Research, Center for Lung Cancer, National Cancer  Center, Goyang, South Korea;  paragraph signClinical Development, Pfizer Oncology, La Jolla,  CA; #Biostatistics, Pfizer Global Innovative Pharma Business, New York, NY;  **Global Outcomes &amp;amp; Evidence, Pfizer Oncology, New York, NY; daggerdaggerDepartment of  Oncology, McGill University Health Centre, Montreal, Canada; and  double daggerdouble daggerHematology/Oncology, Department of Medicine, Massachusetts General Hospital,  Boston, MA.&lt;/_author_adr&gt;&lt;_date_display&gt;2014 Nov&lt;/_date_display&gt;&lt;_date&gt;2014-11-01&lt;/_date&gt;&lt;_doi&gt;10.1097/JTO.0000000000000318&lt;/_doi&gt;&lt;_isbn&gt;1556-1380 (Electronic); 1556-0864 (Linking)&lt;/_isbn&gt;&lt;_issue&gt;11&lt;/_issue&gt;&lt;_journal&gt;J Thorac Oncol&lt;/_journal&gt;&lt;_language&gt;eng&lt;/_language&gt;&lt;_pages&gt;1625-33&lt;/_pages&gt;&lt;_subject_headings&gt;Anaplastic Lymphoma Kinase; Antineoplastic Agents/*therapeutic use; Carcinoma, Non-Small-Cell Lung/*drug therapy/enzymology/genetics; Crizotinib; Docetaxel; Humans; Lung Neoplasms/*drug therapy/enzymology/genetics; Pemetrexed/therapeutic use; Protein Kinase Inhibitors/*therapeutic use; Pyrazoles/*therapeutic use; Pyridines/*therapeutic use; Quality of Life; Receptor Protein-Tyrosine Kinases/genetics/metabolism; Self Report; Taxoids/therapeutic use; Treatment Outcome&lt;/_subject_headings&gt;&lt;_tertiary_title&gt;Journal of thoracic oncology : official publication of the International _x000d__x000a_      Association for the Study of Lung Cancer&lt;/_tertiary_title&gt;&lt;_type_work&gt;Clinical Trial, Phase III; Journal Article; Randomized Controlled Trial; Research Support, Non-U.S. Gov&amp;apos;t&lt;/_type_work&gt;&lt;_url&gt;http://www.ncbi.nlm.nih.gov/entrez/query.fcgi?cmd=Retrieve&amp;amp;db=pubmed&amp;amp;dopt=Abstract&amp;amp;list_uids=25436797&amp;amp;query_hl=1&lt;/_url&gt;&lt;_volume&gt;9&lt;/_volume&gt;&lt;_created&gt;64740340&lt;/_created&gt;&lt;_modified&gt;64740730&lt;/_modified&gt;&lt;_db_updated&gt;PubMed&lt;/_db_updated&gt;&lt;_impact_factor&gt;  20.121&lt;/_impact_factor&gt;&lt;_social_category&gt;医学(1)&lt;/_social_category&gt;&lt;_collection_scope&gt;SCIE&lt;/_collection_scope&gt;&lt;/Details&gt;&lt;Extra&gt;&lt;DBUID&gt;{F96A950B-833F-4880-A151-76DA2D6A2879}&lt;/DBUID&gt;&lt;/Extra&gt;&lt;/Item&gt;&lt;/References&gt;&lt;/Group&gt;&lt;/Citation&gt;_x000a_"/>
    <w:docVar w:name="NE.Ref{A7B850C9-6CD1-40B7-8760-CC756F3AA6F5}" w:val=" ADDIN NE.Ref.{A7B850C9-6CD1-40B7-8760-CC756F3AA6F5}&lt;Citation&gt;&lt;Group&gt;&lt;References&gt;&lt;Item&gt;&lt;ID&gt;46220&lt;/ID&gt;&lt;UID&gt;{E3AAA649-C3D8-40A7-A843-A124978F00D6}&lt;/UID&gt;&lt;Title&gt;Individual patient data meta-analysis of survival data using Poisson regression models&lt;/Title&gt;&lt;Template&gt;Journal Article&lt;/Template&gt;&lt;Star&gt;0&lt;/Star&gt;&lt;Tag&gt;0&lt;/Tag&gt;&lt;Author&gt;Crowther, M J; Riley, R D; Staessen, J A; Wang, J; Gueyffier, F; Lambert, P C&lt;/Author&gt;&lt;Year&gt;2012&lt;/Year&gt;&lt;Details&gt;&lt;_issue&gt;1&lt;/_issue&gt;&lt;_journal&gt;Bmc Medical Research Methodology&lt;/_journal&gt;&lt;_pages&gt;34&lt;/_pages&gt;&lt;_volume&gt;12&lt;/_volume&gt;&lt;_created&gt;64323400&lt;/_created&gt;&lt;_modified&gt;64688891&lt;/_modified&gt;&lt;_impact_factor&gt;   4.612&lt;/_impact_factor&gt;&lt;_collection_scope&gt;SCIE&lt;/_collection_scope&gt;&lt;_accessed&gt;64632525&lt;/_accessed&gt;&lt;_social_category&gt;医学(3)&lt;/_social_category&gt;&lt;/Details&gt;&lt;Extra&gt;&lt;DBUID&gt;{F96A950B-833F-4880-A151-76DA2D6A2879}&lt;/DBUID&gt;&lt;/Extra&gt;&lt;/Item&gt;&lt;/References&gt;&lt;/Group&gt;&lt;/Citation&gt;_x000a_"/>
    <w:docVar w:name="NE.Ref{A8BBA061-F7A1-4885-BDB6-37C9917E0FC9}" w:val=" ADDIN NE.Ref.{A8BBA061-F7A1-4885-BDB6-37C9917E0FC9}&lt;Citation&gt;&lt;Group&gt;&lt;References&gt;&lt;Item&gt;&lt;ID&gt;5041&lt;/ID&gt;&lt;UID&gt;{3154A280-2B61-4C36-BD50-ABC671FE750F}&lt;/UID&gt;&lt;Title&gt;Health state utilities for non small cell lung cancer&lt;/Title&gt;&lt;Template&gt;Journal Article&lt;/Template&gt;&lt;Star&gt;0&lt;/Star&gt;&lt;Tag&gt;0&lt;/Tag&gt;&lt;Author&gt;Nafees, B; Stafford, M; Gavriel, S; Bhalla, S; Watkins, J&lt;/Author&gt;&lt;Year&gt;2008&lt;/Year&gt;&lt;Details&gt;&lt;_accession_num&gt;18939982&lt;/_accession_num&gt;&lt;_author_adr&gt;United BioSource Corporation, UK, 20 Bloomsbury Square, London, WC1A 2NS, UK.  beenish.nafees@unitedbiosource.com&lt;/_author_adr&gt;&lt;_date_display&gt;2008 Oct 21&lt;/_date_display&gt;&lt;_date&gt;2008-10-21&lt;/_date&gt;&lt;_doi&gt;10.1186/1477-7525-6-84&lt;/_doi&gt;&lt;_isbn&gt;1477-7525 (Electronic); 1477-7525 (Linking)&lt;/_isbn&gt;&lt;_journal&gt;Health Qual Life Outcomes&lt;/_journal&gt;&lt;_language&gt;eng&lt;/_language&gt;&lt;_pages&gt;84&lt;/_pages&gt;&lt;_subject_headings&gt;Adult; Antineoplastic Combined Chemotherapy Protocols/*adverse effects/therapeutic use; *Attitude to Health; Breast Neoplasms/drug therapy/pathology; Carcinoma, Non-Small-Cell Lung/*drug therapy/physiopathology/psychology; Clinical Trials, Phase III as Topic; Demography; *Disease Progression; Drug-Related Side Effects and Adverse Reactions/psychology; Female; Humans; Interviews as Topic; Lung Neoplasms/*drug therapy/physiopathology/psychology; Male; Middle Aged; Pilot Projects; Psychometrics/instrumentation/*standards; *Quality of Life; *Sickness Impact Profile; Treatment Outcome; United Kingdom&lt;/_subject_headings&gt;&lt;_tertiary_title&gt;Health and quality of life outcomes&lt;/_tertiary_title&gt;&lt;_type_work&gt;Journal Article; Validation Study&lt;/_type_work&gt;&lt;_url&gt;http://www.ncbi.nlm.nih.gov/entrez/query.fcgi?cmd=Retrieve&amp;amp;db=pubmed&amp;amp;dopt=Abstract&amp;amp;list_uids=18939982&amp;amp;query_hl=1&lt;/_url&gt;&lt;_volume&gt;6&lt;/_volume&gt;&lt;_created&gt;65329740&lt;/_created&gt;&lt;_modified&gt;65329740&lt;/_modified&gt;&lt;_impact_factor&gt;   3.600&lt;/_impact_factor&gt;&lt;_social_category&gt;卫生保健与服务(3) &amp;amp; 卫生政策与服务(2)&lt;/_social_category&gt;&lt;_collection_scope&gt;SSCI;SCIE&lt;/_collection_scope&gt;&lt;_accessed&gt;65330885&lt;/_accessed&gt;&lt;/Details&gt;&lt;Extra&gt;&lt;DBUID&gt;{F96A950B-833F-4880-A151-76DA2D6A2879}&lt;/DBUID&gt;&lt;/Extra&gt;&lt;/Item&gt;&lt;/References&gt;&lt;/Group&gt;&lt;Group&gt;&lt;References&gt;&lt;Item&gt;&lt;ID&gt;5021&lt;/ID&gt;&lt;UID&gt;{FC01DC97-7D4C-4C9D-9151-12C0AE958C20}&lt;/UID&gt;&lt;Title&gt;National Institute for Health and Care Excellence. Regorafenib for previously treated metastatic colorectal cancer [ID4002]. https://www.nice.org.uk/guidance(Accessed Feb 2, 2024).&lt;/Title&gt;&lt;Template&gt;Web Page&lt;/Template&gt;&lt;Star&gt;0&lt;/Star&gt;&lt;Tag&gt;0&lt;/Tag&gt;&lt;Author/&gt;&lt;Year&gt;0&lt;/Year&gt;&lt;Details&gt;&lt;_accessed&gt;65330793&lt;/_accessed&gt;&lt;_created&gt;65329711&lt;/_created&gt;&lt;_modified&gt;65329715&lt;/_modified&gt;&lt;/Details&gt;&lt;Extra&gt;&lt;DBUID&gt;{F96A950B-833F-4880-A151-76DA2D6A2879}&lt;/DBUID&gt;&lt;/Extra&gt;&lt;/Item&gt;&lt;/References&gt;&lt;/Group&gt;&lt;/Citation&gt;_x000a_"/>
    <w:docVar w:name="NE.Ref{A9A0F201-9991-4107-B1BA-3689E7791A74}" w:val=" ADDIN NE.Ref.{A9A0F201-9991-4107-B1BA-3689E7791A74}&lt;Citation&gt;&lt;Group&gt;&lt;References&gt;&lt;Item&gt;&lt;ID&gt;46234&lt;/ID&gt;&lt;UID&gt;{1BA75C4F-5541-4A07-86BC-1D1C2FE39067}&lt;/UID&gt;&lt;Title&gt;Matching-Adjusted Indirect Comparisons of Lorlatinib Versus Chemotherapy for  Patients With Second-Line or Later Anaplastic Lymphoma Kinase-Positive Non-Small  Cell Lung Cancer&lt;/Title&gt;&lt;Template&gt;Journal Article&lt;/Template&gt;&lt;Star&gt;0&lt;/Star&gt;&lt;Tag&gt;0&lt;/Tag&gt;&lt;Author&gt;Smith, S; Albuquerque, De Almeida F; Ines, M; Iadeluca, L; Cooper, M&lt;/Author&gt;&lt;Year&gt;2022&lt;/Year&gt;&lt;Details&gt;&lt;_accession_num&gt;35985941&lt;/_accession_num&gt;&lt;_author_adr&gt;BresMed Health Solutions, Sheffield, England, UK.; Pfizer Portugal, Porto Salvo, Portugal.; Pfizer Portugal, Porto Salvo, Portugal. Electronic address:  monica.ines@pfizer.com.; Pfizer Inc, New York, NY, USA.; BresMed Health Solutions, Sheffield, England, UK.&lt;/_author_adr&gt;&lt;_date_display&gt;2022 Aug 16&lt;/_date_display&gt;&lt;_date&gt;2022-08-16&lt;/_date&gt;&lt;_doi&gt;10.1016/j.jval.2022.07.002&lt;/_doi&gt;&lt;_isbn&gt;1524-4733 (Electronic); 1098-3015 (Linking)&lt;/_isbn&gt;&lt;_journal&gt;Value Health&lt;/_journal&gt;&lt;_keywords&gt;ALK-positive; chemotherapy; indirect treatment comparison; lorlatinib; non-small cell lung cancer&lt;/_keywords&gt;&lt;_language&gt;eng&lt;/_language&gt;&lt;_ori_publication&gt;Copyright (c) 2022 International Society for Pharmacoeconomics and Outcomes _x000d__x000a_      Research, Inc. Published by Elsevier Inc. All rights reserved.&lt;/_ori_publication&gt;&lt;_tertiary_title&gt;Value in health : the journal of the International Society for Pharmacoeconomics _x000d__x000a_      and Outcomes Research&lt;/_tertiary_title&gt;&lt;_type_work&gt;Journal Article&lt;/_type_work&gt;&lt;_url&gt;http://www.ncbi.nlm.nih.gov/entrez/query.fcgi?cmd=Retrieve&amp;amp;db=pubmed&amp;amp;dopt=Abstract&amp;amp;list_uids=35985941&amp;amp;query_hl=1&lt;/_url&gt;&lt;_created&gt;64688926&lt;/_created&gt;&lt;_modified&gt;64688926&lt;/_modified&gt;&lt;_db_updated&gt;PubMed&lt;/_db_updated&gt;&lt;_impact_factor&gt;   5.728&lt;/_impact_factor&gt;&lt;_collection_scope&gt;SCIE;SSCI&lt;/_collection_scope&gt;&lt;/Details&gt;&lt;Extra&gt;&lt;DBUID&gt;{F96A950B-833F-4880-A151-76DA2D6A2879}&lt;/DBUID&gt;&lt;/Extra&gt;&lt;/Item&gt;&lt;/References&gt;&lt;/Group&gt;&lt;/Citation&gt;_x000a_"/>
    <w:docVar w:name="NE.Ref{ABD6FD05-AD03-4049-B9DF-3E131A695282}" w:val=" ADDIN NE.Ref.{ABD6FD05-AD03-4049-B9DF-3E131A695282}&lt;Citation&gt;&lt;Group&gt;&lt;References&gt;&lt;Item&gt;&lt;ID&gt;4675&lt;/ID&gt;&lt;UID&gt;{ECD0520D-47E4-45B0-B30F-ABA64D94DABC}&lt;/UID&gt;&lt;Title&gt;Global Cancer Statistics 2020: GLOBOCAN Estimates of Incidence and Mortality  Worldwide for 36 Cancers in 185 Countries&lt;/Title&gt;&lt;Template&gt;Journal Article&lt;/Template&gt;&lt;Star&gt;0&lt;/Star&gt;&lt;Tag&gt;0&lt;/Tag&gt;&lt;Author&gt;Sung, H; Ferlay, J; Siegel, R L; Laversanne, M; Soerjomataram, I; Jemal, A; Bray, F&lt;/Author&gt;&lt;Year&gt;2021&lt;/Year&gt;&lt;Details&gt;&lt;_accession_num&gt;33538338&lt;/_accession_num&gt;&lt;_author_adr&gt;Surveillance and Health Equity Science, American Cancer Society, Atlanta,  Georgia.; Section of Cancer Surveillance, International Agency for Research on Cancer,  Lyon, France.; Surveillance and Health Equity Science, American Cancer Society, Atlanta,  Georgia.; Section of Cancer Surveillance, International Agency for Research on Cancer,  Lyon, France.; Section of Cancer Surveillance, International Agency for Research on Cancer,  Lyon, France.; Surveillance and Health Equity Science, American Cancer Society, Atlanta,  Georgia.; Section of Cancer Surveillance, International Agency for Research on Cancer,  Lyon, France.&lt;/_author_adr&gt;&lt;_date_display&gt;2021 May&lt;/_date_display&gt;&lt;_date&gt;2021-05-01&lt;/_date&gt;&lt;_doi&gt;10.3322/caac.21660&lt;/_doi&gt;&lt;_isbn&gt;1542-4863 (Electronic); 0007-9235 (Linking)&lt;/_isbn&gt;&lt;_issue&gt;3&lt;/_issue&gt;&lt;_journal&gt;CA Cancer J Clin&lt;/_journal&gt;&lt;_keywords&gt;burden; cancer; epidemiology; incidence; mortality&lt;/_keywords&gt;&lt;_language&gt;eng&lt;/_language&gt;&lt;_ori_publication&gt;© 2021 American Cancer Society.&lt;/_ori_publication&gt;&lt;_pages&gt;209-249&lt;/_pages&gt;&lt;_subject_headings&gt;Africa/epidemiology; Americas/epidemiology; Asia/epidemiology; Databases, Factual; Developed Countries/*statistics &amp;amp; numerical data; Developing Countries/*statistics &amp;amp; numerical data; Europe; Female; Global Health/*statistics &amp;amp; numerical data; Humans; Incidence; Internationality; Male; Neoplasms/*epidemiology/mortality; Oceania/epidemiology; *Population Dynamics; Risk Factors; Sex Distribution&lt;/_subject_headings&gt;&lt;_tertiary_title&gt;CA: a cancer journal for clinicians&lt;/_tertiary_title&gt;&lt;_type_work&gt;Journal Article&lt;/_type_work&gt;&lt;_url&gt;http://www.ncbi.nlm.nih.gov/entrez/query.fcgi?cmd=Retrieve&amp;amp;db=pubmed&amp;amp;dopt=Abstract&amp;amp;list_uids=33538338&amp;amp;query_hl=1&lt;/_url&gt;&lt;_volume&gt;71&lt;/_volume&gt;&lt;_created&gt;65020247&lt;/_created&gt;&lt;_modified&gt;65020247&lt;/_modified&gt;&lt;_impact_factor&gt; 286.130&lt;/_impact_factor&gt;&lt;_social_category&gt;医学(1)&lt;/_social_category&gt;&lt;_collection_scope&gt;SCIE&lt;/_collection_scope&gt;&lt;/Details&gt;&lt;Extra&gt;&lt;DBUID&gt;{F96A950B-833F-4880-A151-76DA2D6A2879}&lt;/DBUID&gt;&lt;/Extra&gt;&lt;/Item&gt;&lt;/References&gt;&lt;/Group&gt;&lt;/Citation&gt;_x000a_"/>
    <w:docVar w:name="NE.Ref{AC1CCD18-4CE8-4643-9AC6-232DB786CD06}" w:val=" ADDIN NE.Ref.{AC1CCD18-4CE8-4643-9AC6-232DB786CD06}&lt;Citation&gt;&lt;Group&gt;&lt;References&gt;&lt;Item&gt;&lt;ID&gt;2958&lt;/ID&gt;&lt;UID&gt;{5EA183F8-1273-490F-8D66-B92FB52C47BE}&lt;/UID&gt;&lt;Title&gt;The Cochrane Collaboration&amp;apos;s tool for assessing risk of bias in randomised  trials&lt;/Title&gt;&lt;Template&gt;Journal Article&lt;/Template&gt;&lt;Star&gt;0&lt;/Star&gt;&lt;Tag&gt;0&lt;/Tag&gt;&lt;Author&gt;Higgins, J P; Altman, D G; Gotzsche, P C; Juni, P; Moher, D; Oxman, A D; Savovic, J; Schulz, K F; Weeks, L; Sterne, J A&lt;/Author&gt;&lt;Year&gt;2011&lt;/Year&gt;&lt;Details&gt;&lt;_accession_num&gt;22008217&lt;/_accession_num&gt;&lt;_author_adr&gt;MRC Biostatistics Unit, Institute of Public Health, Cambridge CB2 0SR, UK.  julian.higgins@mrc-bsu.cam.ac.uk&lt;/_author_adr&gt;&lt;_collection_scope&gt;SCIE&lt;/_collection_scope&gt;&lt;_created&gt;64739428&lt;/_created&gt;&lt;_date&gt;2011-10-18&lt;/_date&gt;&lt;_date_display&gt;2011 Oct 18&lt;/_date_display&gt;&lt;_db_updated&gt;PubMed&lt;/_db_updated&gt;&lt;_doi&gt;10.1136/bmj.d5928&lt;/_doi&gt;&lt;_impact_factor&gt;  93.333&lt;/_impact_factor&gt;&lt;_isbn&gt;1756-1833 (Electronic); 0959-8138 (Print); 0959-8138 (Linking)&lt;/_isbn&gt;&lt;_journal&gt;BMJ&lt;/_journal&gt;&lt;_language&gt;eng&lt;/_language&gt;&lt;_modified&gt;64740725&lt;/_modified&gt;&lt;_pages&gt;d5928&lt;/_pages&gt;&lt;_subject_headings&gt;Bias; Humans; Randomized Controlled Trials as Topic/*standards; Research Design; Risk Assessment&lt;/_subject_headings&gt;&lt;_tertiary_title&gt;BMJ (Clinical research ed.)&lt;/_tertiary_title&gt;&lt;_type_work&gt;Journal Article; Research Support, Non-U.S. Gov&amp;apos;t&lt;/_type_work&gt;&lt;_url&gt;http://www.ncbi.nlm.nih.gov/entrez/query.fcgi?cmd=Retrieve&amp;amp;db=pubmed&amp;amp;dopt=Abstract&amp;amp;list_uids=22008217&amp;amp;query_hl=1&lt;/_url&gt;&lt;_volume&gt;343&lt;/_volume&gt;&lt;/Details&gt;&lt;Extra&gt;&lt;DBUID&gt;{F96A950B-833F-4880-A151-76DA2D6A2879}&lt;/DBUID&gt;&lt;/Extra&gt;&lt;/Item&gt;&lt;/References&gt;&lt;/Group&gt;&lt;/Citation&gt;_x000a_"/>
    <w:docVar w:name="NE.Ref{AC331933-7E86-4812-B53B-9705D3EA601F}" w:val=" ADDIN NE.Ref.{AC331933-7E86-4812-B53B-9705D3EA601F}&lt;Citation&gt;&lt;Group&gt;&lt;References&gt;&lt;Item&gt;&lt;ID&gt;46210&lt;/ID&gt;&lt;UID&gt;{C40DCFD1-F02E-4274-A5D4-4DFABAAD8CB0}&lt;/UID&gt;&lt;Title&gt;A new approach to modelling interactions between treatment and continuous covariates in clinical trials by using fractional polynomials&lt;/Title&gt;&lt;Template&gt;Journal Article&lt;/Template&gt;&lt;Star&gt;0&lt;/Star&gt;&lt;Tag&gt;0&lt;/Tag&gt;&lt;Author&gt;Royston, P; Sauerbrei, W&lt;/Author&gt;&lt;Year&gt;2004&lt;/Year&gt;&lt;Details&gt;&lt;_accession_num&gt;15287081&lt;/_accession_num&gt;&lt;_author_adr&gt;MRC Clinical Trials Unit, 222 Euston Road, London NW1 2DA, UK. patrick.royston@ctu.mrc.ac.uk&lt;/_author_adr&gt;&lt;_collection_scope&gt;SCI;SCIE&lt;/_collection_scope&gt;&lt;_created&gt;64299979&lt;/_created&gt;&lt;_date&gt;2004-08-30&lt;/_date&gt;&lt;_date_display&gt;2004 Aug 30&lt;/_date_display&gt;&lt;_db_updated&gt;PubMed&lt;/_db_updated&gt;&lt;_doi&gt;10.1002/sim.1815&lt;/_doi&gt;&lt;_impact_factor&gt;   2.497&lt;/_impact_factor&gt;&lt;_isbn&gt;0277-6715 (Print); 0277-6715 (Linking)&lt;/_isbn&gt;&lt;_issue&gt;16&lt;/_issue&gt;&lt;_journal&gt;Stat Med&lt;/_journal&gt;&lt;_language&gt;eng&lt;/_language&gt;&lt;_modified&gt;64688891&lt;/_modified&gt;&lt;_pages&gt;2509-25&lt;/_pages&gt;&lt;_social_category&gt;医学(3)&lt;/_social_category&gt;&lt;_subject_headings&gt;Age Factors; Aged; Aged, 80 and over; Antineoplastic Agents, Hormonal/therapeutic use; Antineoplastic Agents, Phytogenic/therapeutic use; Breast Neoplasms/drug therapy; Diethylstilbestrol/therapeutic use; Disease-Free Survival; Female; Humans; Male; Middle Aged; *Models, Statistical; Multivariate Analysis; Predictive Value of Tests; Prostatic Neoplasms/drug therapy; *Randomized Controlled Trials as Topic; Tamoxifen/therapeutic use&lt;/_subject_headings&gt;&lt;_tertiary_title&gt;Statistics in medicine&lt;/_tertiary_title&gt;&lt;_type_work&gt;Journal Article; Research Support, Non-U.S. Gov&amp;apos;t&lt;/_type_work&gt;&lt;_url&gt;http://www.ncbi.nlm.nih.gov/entrez/query.fcgi?cmd=Retrieve&amp;amp;db=pubmed&amp;amp;dopt=Abstract&amp;amp;list_uids=15287081&amp;amp;query_hl=1&lt;/_url&gt;&lt;_volume&gt;23&lt;/_volume&gt;&lt;/Details&gt;&lt;Extra&gt;&lt;DBUID&gt;{F96A950B-833F-4880-A151-76DA2D6A2879}&lt;/DBUID&gt;&lt;/Extra&gt;&lt;/Item&gt;&lt;/References&gt;&lt;/Group&gt;&lt;Group&gt;&lt;References&gt;&lt;Item&gt;&lt;ID&gt;46211&lt;/ID&gt;&lt;UID&gt;{52E4DF72-A0EC-4352-BC13-97E599330E60}&lt;/UID&gt;&lt;Title&gt;Building multivariable regression models with continuous covariates in clinical epidemiology--with an emphasis on fractional polynomials&lt;/Title&gt;&lt;Template&gt;Journal Article&lt;/Template&gt;&lt;Star&gt;0&lt;/Star&gt;&lt;Tag&gt;0&lt;/Tag&gt;&lt;Author&gt;Royston, P; Sauerbrei, W&lt;/Author&gt;&lt;Year&gt;2005&lt;/Year&gt;&lt;Details&gt;&lt;_accession_num&gt;16342923&lt;/_accession_num&gt;&lt;_author_adr&gt;Cancer Division, MRC Clinical Trials Unit, London, UK. patrick.royston@ctu.mrc.ac.uk&lt;/_author_adr&gt;&lt;_created&gt;64299979&lt;/_created&gt;&lt;_date&gt;2005-01-20&lt;/_date&gt;&lt;_date_display&gt;2005&lt;/_date_display&gt;&lt;_db_updated&gt;PubMed&lt;/_db_updated&gt;&lt;_impact_factor&gt;   2.176&lt;/_impact_factor&gt;&lt;_isbn&gt;0026-1270 (Print); 0026-1270 (Linking)&lt;/_isbn&gt;&lt;_issue&gt;4&lt;/_issue&gt;&lt;_journal&gt;Methods Inf Med&lt;/_journal&gt;&lt;_language&gt;eng&lt;/_language&gt;&lt;_modified&gt;64688891&lt;/_modified&gt;&lt;_pages&gt;561-71&lt;/_pages&gt;&lt;_subject_headings&gt;Algorithms; Computer Simulation; *Epidemiologic Research Design; Humans; *Models, Statistical; Prognosis; Proportional Hazards Models; Regression Analysis; Risk Factors&lt;/_subject_headings&gt;&lt;_tertiary_title&gt;Methods of information in medicine&lt;/_tertiary_title&gt;&lt;_type_work&gt;Journal Article&lt;/_type_work&gt;&lt;_url&gt;http://www.ncbi.nlm.nih.gov/entrez/query.fcgi?cmd=Retrieve&amp;amp;db=pubmed&amp;amp;dopt=Abstract&amp;amp;list_uids=16342923&amp;amp;query_hl=1&lt;/_url&gt;&lt;_volume&gt;44&lt;/_volume&gt;&lt;/Details&gt;&lt;Extra&gt;&lt;DBUID&gt;{F96A950B-833F-4880-A151-76DA2D6A2879}&lt;/DBUID&gt;&lt;/Extra&gt;&lt;/Item&gt;&lt;/References&gt;&lt;/Group&gt;&lt;Group&gt;&lt;References&gt;&lt;Item&gt;&lt;ID&gt;46212&lt;/ID&gt;&lt;UID&gt;{CA84B4FC-D536-4E38-8D9C-AF24FC4438F2}&lt;/UID&gt;&lt;Title&gt;Regression Using Fractional Polynomials of Continuous Covariates: Parsimonious Parametric Modelling&lt;/Title&gt;&lt;Template&gt;Journal Article&lt;/Template&gt;&lt;Star&gt;0&lt;/Star&gt;&lt;Tag&gt;0&lt;/Tag&gt;&lt;Author&gt;Royston, P; Altman, Douglas G&lt;/Author&gt;&lt;Year&gt;1995&lt;/Year&gt;&lt;Details&gt;&lt;_created&gt;64213485&lt;/_created&gt;&lt;_issue&gt;2&lt;/_issue&gt;&lt;_journal&gt;Insurance Mathematics and Economics&lt;/_journal&gt;&lt;_modified&gt;64688891&lt;/_modified&gt;&lt;_pages&gt;165-166&lt;/_pages&gt;&lt;_volume&gt;16&lt;/_volume&gt;&lt;/Details&gt;&lt;Extra&gt;&lt;DBUID&gt;{F96A950B-833F-4880-A151-76DA2D6A2879}&lt;/DBUID&gt;&lt;/Extra&gt;&lt;/Item&gt;&lt;/References&gt;&lt;/Group&gt;&lt;/Citation&gt;_x000a_"/>
    <w:docVar w:name="NE.Ref{AC766D1D-4F89-4D1F-921C-C1FDD4D7BE92}" w:val=" ADDIN NE.Ref.{AC766D1D-4F89-4D1F-921C-C1FDD4D7BE92}&lt;Citation&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Group&gt;&lt;References&gt;&lt;Item&gt;&lt;ID&gt;5042&lt;/ID&gt;&lt;UID&gt;{A7C8F68F-A080-4EDE-9EDD-97387D8D9042}&lt;/UID&gt;&lt;Title&gt;Societal preference values for advanced melanoma health states in the United  Kingdom and Australia&lt;/Title&gt;&lt;Template&gt;Journal Article&lt;/Template&gt;&lt;Star&gt;0&lt;/Star&gt;&lt;Tag&gt;0&lt;/Tag&gt;&lt;Author&gt;Beusterien, K M; Szabo, S M; Kotapati, S; Mukherjee, J; Hoos, A; Hersey, P; Middleton, M R; Levy, A R&lt;/Author&gt;&lt;Year&gt;2009&lt;/Year&gt;&lt;Details&gt;&lt;_accession_num&gt;19603025&lt;/_accession_num&gt;&lt;_author_adr&gt;Oxford Outcomes Inc., 7315 Wisconsin Ave, 250W, Bethesda, MD 20814, USA.  kathy.beusterien@oxfordoutcomes.com&lt;/_author_adr&gt;&lt;_date_display&gt;2009 Aug 4&lt;/_date_display&gt;&lt;_date&gt;2009-08-04&lt;/_date&gt;&lt;_doi&gt;10.1038/sj.bjc.6605187&lt;/_doi&gt;&lt;_isbn&gt;1532-1827 (Electronic); 0007-0920 (Print); 0007-0920 (Linking)&lt;/_isbn&gt;&lt;_issue&gt;3&lt;/_issue&gt;&lt;_journal&gt;Br J Cancer&lt;/_journal&gt;&lt;_language&gt;eng&lt;/_language&gt;&lt;_pages&gt;387-9&lt;/_pages&gt;&lt;_subject_headings&gt;Adult; Aged; Antineoplastic Agents/adverse effects; Australia; Cross-Sectional Studies; Female; *Health Status; Humans; Male; Melanoma/*drug therapy/pathology; Middle Aged; United Kingdom&lt;/_subject_headings&gt;&lt;_tertiary_title&gt;British journal of cancer&lt;/_tertiary_title&gt;&lt;_type_work&gt;Journal Article; Research Support, Non-U.S. Gov&amp;apos;t&lt;/_type_work&gt;&lt;_url&gt;http://www.ncbi.nlm.nih.gov/entrez/query.fcgi?cmd=Retrieve&amp;amp;db=pubmed&amp;amp;dopt=Abstract&amp;amp;list_uids=19603025&amp;amp;query_hl=1&lt;/_url&gt;&lt;_volume&gt;101&lt;/_volume&gt;&lt;_created&gt;65329740&lt;/_created&gt;&lt;_modified&gt;65329740&lt;/_modified&gt;&lt;_impact_factor&gt;   8.800&lt;/_impact_factor&gt;&lt;_social_category&gt;肿瘤学(2)&lt;/_social_category&gt;&lt;_collection_scope&gt;SCIE&lt;/_collection_scope&gt;&lt;_accessed&gt;65330890&lt;/_accessed&gt;&lt;/Details&gt;&lt;Extra&gt;&lt;DBUID&gt;{F96A950B-833F-4880-A151-76DA2D6A2879}&lt;/DBUID&gt;&lt;/Extra&gt;&lt;/Item&gt;&lt;/References&gt;&lt;/Group&gt;&lt;/Citation&gt;_x000a_"/>
    <w:docVar w:name="NE.Ref{AC959D10-EEC6-43BE-98FC-C989B782A263}" w:val=" ADDIN NE.Ref.{AC959D10-EEC6-43BE-98FC-C989B782A263}&lt;Citation&gt;&lt;Group&gt;&lt;References&gt;&lt;Item&gt;&lt;ID&gt;4867&lt;/ID&gt;&lt;UID&gt;{813BF604-12E3-40FE-B918-2ED21842BEE0}&lt;/UID&gt;&lt;Title&gt;Impact of patient, primary tumor and metastatic pattern including tumor location  on survival in patients undergoing ablation or resection for colorectal liver  metastases: A population-based national cohort study&lt;/Title&gt;&lt;Template&gt;Journal Article&lt;/Template&gt;&lt;Star&gt;0&lt;/Star&gt;&lt;Tag&gt;0&lt;/Tag&gt;&lt;Author&gt;Scherman, P; Syk, I; Holmberg, E; Naredi, P; Rizell, M&lt;/Author&gt;&lt;Year&gt;2021&lt;/Year&gt;&lt;Details&gt;&lt;_accession_num&gt;32828581&lt;/_accession_num&gt;&lt;_author_adr&gt;Department of Surgery, Institute of Clinical Sciences, University of Gothenburg,  Gothenburg, Sweden; Department of Surgery, Helsingborg Hospital, Helsingborg,  Sweden. Electronic address: peter.scherman@gu.se.; Department of Surgery, Clinical Sciences Malmö, Lund University, Lund, Sweden;  Department of Surgery, Skåne University Hospital, Malmö, Sweden.; Department of Oncology, Institute of Clinical Sciences, University of Gothenburg,  Gothenburg, Sweden.; Department of Surgery, Institute of Clinical Sciences, University of Gothenburg,  Gothenburg, Sweden; Department of Surgery, Sahlgrenska University Hospital,  Gothenburg, Sweden.; Department of Surgery, Institute of Clinical Sciences, University of Gothenburg,  Gothenburg, Sweden; Transplant Institute, Sahlgrenska University Hospital,  Gothenburg, Sweden.&lt;/_author_adr&gt;&lt;_date_display&gt;2021 Feb&lt;/_date_display&gt;&lt;_date&gt;2021-02-01&lt;/_date&gt;&lt;_doi&gt;10.1016/j.ejso.2020.07.030&lt;/_doi&gt;&lt;_isbn&gt;1532-2157 (Electronic); 0748-7983 (Linking)&lt;/_isbn&gt;&lt;_issue&gt;2&lt;/_issue&gt;&lt;_journal&gt;Eur J Surg Oncol&lt;/_journal&gt;&lt;_keywords&gt;Ablation; Colorectal liver metastases; Crlm; Population-based national cohort study; Segmental location; Survival analysis&lt;/_keywords&gt;&lt;_language&gt;eng&lt;/_language&gt;&lt;_ori_publication&gt;Copyright © 2020 The Authors. Published by Elsevier Ltd.. All rights reserved.&lt;/_ori_publication&gt;&lt;_pages&gt;375-383&lt;/_pages&gt;&lt;_subject_headings&gt;Aged; Catheter Ablation/*methods; Colorectal Neoplasms/diagnosis/mortality/*secondary; Female; Hepatectomy/*methods; Humans; Liver Neoplasms/mortality/secondary/*surgery; Male; Middle Aged; Neoplasm Metastasis; *Neoplasm Staging; *Propensity Score; Retrospective Studies; Survival Rate/trends; Sweden/epidemiology&lt;/_subject_headings&gt;&lt;_tertiary_title&gt;European journal of surgical oncology : the journal of the European Society of _x000d__x000a_      Surgical Oncology and the British Association of Surgical Oncology&lt;/_tertiary_title&gt;&lt;_type_work&gt;Journal Article; Multicenter Study; Research Support, Non-U.S. Gov&amp;apos;t&lt;/_type_work&gt;&lt;_url&gt;http://www.ncbi.nlm.nih.gov/entrez/query.fcgi?cmd=Retrieve&amp;amp;db=pubmed&amp;amp;dopt=Abstract&amp;amp;list_uids=32828581&amp;amp;query_hl=1&lt;/_url&gt;&lt;_volume&gt;47&lt;/_volume&gt;&lt;_created&gt;65089356&lt;/_created&gt;&lt;_modified&gt;65089356&lt;/_modified&gt;&lt;_impact_factor&gt;   4.037&lt;/_impact_factor&gt;&lt;_social_category&gt;医学(2)&lt;/_social_category&gt;&lt;_collection_scope&gt;SCIE&lt;/_collection_scope&gt;&lt;/Details&gt;&lt;Extra&gt;&lt;DBUID&gt;{F96A950B-833F-4880-A151-76DA2D6A2879}&lt;/DBUID&gt;&lt;/Extra&gt;&lt;/Item&gt;&lt;/References&gt;&lt;/Group&gt;&lt;/Citation&gt;_x000a_"/>
    <w:docVar w:name="NE.Ref{ACB7C20C-24C2-4E3F-8BBB-BEE05877CF82}" w:val=" ADDIN NE.Ref.{ACB7C20C-24C2-4E3F-8BBB-BEE05877CF82}&lt;Citation&gt;&lt;Group&gt;&lt;References&gt;&lt;Item&gt;&lt;ID&gt;46198&lt;/ID&gt;&lt;UID&gt;{89E0B8BA-E7C2-40E9-81D4-0C4248F08B9F}&lt;/UID&gt;&lt;Title&gt;Ceritinib versus chemotherapy in patients with ALK-rearranged non-small-cell lung cancer previously given chemotherapy and crizotinib (ASCEND-5): a randomised, controlled, open-label, phase 3 trial&lt;/Title&gt;&lt;Template&gt;Journal Article&lt;/Template&gt;&lt;Star&gt;1&lt;/Star&gt;&lt;Tag&gt;0&lt;/Tag&gt;&lt;Author&gt;Shaw, A T; Kim, T M; Crino, L; Gridelli, C; Kiura, K; Liu, G; Novello, S; Bearz, A; Gautschi, O; Mok, T; Nishio, M; Scagliotti, G; Spigel, D R; Deudon, S; Zheng, C; Pantano, S; Urban, P; Massacesi, C; Viraswami-Appanna, K; Felip, E&lt;/Author&gt;&lt;Year&gt;2017&lt;/Year&gt;&lt;Details&gt;&lt;_accessed&gt;64632463&lt;/_accessed&gt;&lt;_accession_num&gt;28602779&lt;/_accession_num&gt;&lt;_author_adr&gt;Massachusetts General Hospital, Boston, MA, USA. Electronic address: ashaw1@mgh.harvard.edu.; Seoul National University Hospital, Seoul, Korea.; Istituto Scientifico Romagnolo per lo Studio e la Cura dei Tumori, Istituto di Ricovero e Cura a Carattere Scientifico, Meldola, Italy.; SG Moscati Hospital, Citta Ospedaliera, Contrada Amoretta, Avellino, Italy.; Okayama University Hospital, Okayama, Japan.; Princess Margaret Cancer Centre, Toronto, ON, Canada.; University of Torino, Torino, Italy.; Istituto di Ricovero e Cura a Carattere Scientifico-Centro di Riferimento Oncologico, Aviano, Italy.; Cantonal Hospital Lucerne, Lucerne, Switzerland.; State Key Laboratory of South China, Chinese University of Hong Kong, Shatin, China.; Cancer Institute Hospital of Japanese Foundation for Cancer Research, Tokyo, Japan.; University of Torino, Torino, Italy.; Sarah Cannon Research Institute, Nashville, TN, USA.; Novartis, Basel, Switzerland.; Novartis, East Hanover, NJ, USA.; Novartis, Basel, Switzerland.; Novartis, Basel, Switzerland.; Novartis, Basel, Switzerland.; Novartis, East Hanover, NJ, USA.; Vall d&amp;apos;Hebron University Hospital, Barcelona, Spain; Vall d&amp;apos;Hebron Institute of Oncology, Barcelona, Spain.&lt;/_author_adr&gt;&lt;_collection_scope&gt;SCIE&lt;/_collection_scope&gt;&lt;_created&gt;64630954&lt;/_created&gt;&lt;_date&gt;2017-07-01&lt;/_date&gt;&lt;_date_display&gt;2017 Jul&lt;/_date_display&gt;&lt;_db_updated&gt;PubMed&lt;/_db_updated&gt;&lt;_doi&gt;10.1016/S1470-2045(17)30339-X&lt;/_doi&gt;&lt;_impact_factor&gt;  54.433&lt;/_impact_factor&gt;&lt;_isbn&gt;1474-5488 (Electronic); 1470-2045 (Linking)&lt;/_isbn&gt;&lt;_issue&gt;7&lt;/_issue&gt;&lt;_journal&gt;Lancet Oncol&lt;/_journal&gt;&lt;_language&gt;eng&lt;/_language&gt;&lt;_modified&gt;64688891&lt;/_modified&gt;&lt;_ori_publication&gt;Copyright (c) 2017 Elsevier Ltd. All rights reserved.&lt;/_ori_publication&gt;&lt;_pages&gt;874-886&lt;/_pages&gt;&lt;_social_category&gt;医学(1)&lt;/_social_category&gt;&lt;_subject_headings&gt;Adult; Alanine Transaminase/blood; Anaplastic Lymphoma Kinase; Antineoplastic Agents/*therapeutic use; Antineoplastic Combined Chemotherapy Protocols/therapeutic use; Aspartate Aminotransferases/blood; Carcinoma, Non-Small-Cell Lung/*drug therapy/genetics/secondary; Crizotinib; Disease Progression; Disease-Free Survival; Docetaxel; Female; Gene Rearrangement; Humans; Lung Neoplasms/*drug therapy/genetics/pathology; Male; Middle Aged; Neoplasm Staging; Pemetrexed/*therapeutic use; Platinum Compounds/administration &amp;amp; dosage; Pyrazoles/therapeutic use; Pyridines/therapeutic use; Pyrimidines/adverse effects/*therapeutic use; Receptor Protein-Tyrosine Kinases/*genetics; Response Evaluation Criteria in Solid Tumors; Retreatment; Sulfones/adverse effects/*therapeutic use; Taxoids/*therapeutic use; gamma-Glutamyltransferase/blood&lt;/_subject_headings&gt;&lt;_tertiary_title&gt;The Lancet. Oncology&lt;/_tertiary_title&gt;&lt;_type_work&gt;Clinical Trial, Phase III; Comparative Study; Journal Article; Multicenter Study; Randomized Controlled Trial&lt;/_type_work&gt;&lt;_url&gt;http://www.ncbi.nlm.nih.gov/entrez/query.fcgi?cmd=Retrieve&amp;amp;db=pubmed&amp;amp;dopt=Abstract&amp;amp;list_uids=28602779&amp;amp;query_hl=1&lt;/_url&gt;&lt;_volume&gt;18&lt;/_volume&gt;&lt;/Details&gt;&lt;Extra&gt;&lt;DBUID&gt;{F96A950B-833F-4880-A151-76DA2D6A2879}&lt;/DBUID&gt;&lt;/Extra&gt;&lt;/Item&gt;&lt;/References&gt;&lt;/Group&gt;&lt;/Citation&gt;_x000a_"/>
    <w:docVar w:name="NE.Ref{AE15BF65-B06F-484D-8220-C281F0CB7146}" w:val=" ADDIN NE.Ref.{AE15BF65-B06F-484D-8220-C281F0CB7146}&lt;Citation&gt;&lt;Group&gt;&lt;References&gt;&lt;Item&gt;&lt;ID&gt;4871&lt;/ID&gt;&lt;UID&gt;{96DD58DD-4CB1-46CB-A654-0CD83A2DAB81}&lt;/UID&gt;&lt;Title&gt;Rescue surgery for unresectable colorectal liver metastases downstaged by  chemotherapy: a model to predict long-term survival&lt;/Title&gt;&lt;Template&gt;Journal Article&lt;/Template&gt;&lt;Star&gt;0&lt;/Star&gt;&lt;Tag&gt;0&lt;/Tag&gt;&lt;Author&gt;Adam, R; Delvart, V; Pascal, G; Valeanu, A; Castaing, D; Azoulay, D; Giacchetti, S; Paule, B; Kunstlinger, F; Ghémard, O; Levi, F; Bismuth, H&lt;/Author&gt;&lt;Year&gt;2004&lt;/Year&gt;&lt;Details&gt;&lt;_accession_num&gt;15383792&lt;/_accession_num&gt;&lt;_author_adr&gt;Centre Hépato-Biliaire and Inserm E0354 Cancer Chronotherapeutics, Hopital Paul  Brousse, Assistance Publique-Hopitaux de Paris Université Paris, Sud Villejuif,  France. rene.adam@pbr.ap-hop-paris.fr&lt;/_author_adr&gt;&lt;_date_display&gt;2004 Oct&lt;/_date_display&gt;&lt;_date&gt;2004-10-01&lt;/_date&gt;&lt;_doi&gt;10.1097/01.sla.0000141198.92114.f6&lt;/_doi&gt;&lt;_isbn&gt;0003-4932 (Print); 1528-1140 (Electronic); 0003-4932 (Linking)&lt;/_isbn&gt;&lt;_issue&gt;4&lt;/_issue&gt;&lt;_journal&gt;Ann Surg&lt;/_journal&gt;&lt;_language&gt;eng&lt;/_language&gt;&lt;_pages&gt;644-57; discussion 657-8&lt;/_pages&gt;&lt;_subject_headings&gt;Adult; Aged; Aged, 80 and over; Antimetabolites, Antineoplastic/administration &amp;amp; dosage; Antineoplastic Agents/administration &amp;amp; dosage; Antineoplastic Combined Chemotherapy Protocols/*therapeutic use; Colorectal Neoplasms/*pathology; Female; Fluorouracil/administration &amp;amp; dosage; Follow-Up Studies; Forecasting; *Hepatectomy; Humans; Leucovorin/administration &amp;amp; dosage; Liver Neoplasms/drug therapy/*secondary/surgery; Longitudinal Studies; Male; Middle Aged; Neoplasm Recurrence, Local/surgery; Organoplatinum Compounds/administration &amp;amp; dosage; Oxaliplatin; Prospective Studies; Risk Factors; Survival Rate; Treatment Outcome&lt;/_subject_headings&gt;&lt;_tertiary_title&gt;Annals of surgery&lt;/_tertiary_title&gt;&lt;_type_work&gt;Comparative Study; Journal Article&lt;/_type_work&gt;&lt;_url&gt;http://www.ncbi.nlm.nih.gov/entrez/query.fcgi?cmd=Retrieve&amp;amp;db=pubmed&amp;amp;dopt=Abstract&amp;amp;list_uids=15383792&amp;amp;query_hl=1&lt;/_url&gt;&lt;_volume&gt;240&lt;/_volume&gt;&lt;_created&gt;65089356&lt;/_created&gt;&lt;_modified&gt;65089356&lt;/_modified&gt;&lt;_impact_factor&gt;  13.787&lt;/_impact_factor&gt;&lt;_social_category&gt;医学(1)&lt;/_social_category&gt;&lt;_collection_scope&gt;SCIE&lt;/_collection_scope&gt;&lt;/Details&gt;&lt;Extra&gt;&lt;DBUID&gt;{F96A950B-833F-4880-A151-76DA2D6A2879}&lt;/DBUID&gt;&lt;/Extra&gt;&lt;/Item&gt;&lt;/References&gt;&lt;/Group&gt;&lt;/Citation&gt;_x000a_"/>
    <w:docVar w:name="NE.Ref{AE2BBDCC-607E-43C9-90B6-13F96426A91B}" w:val=" ADDIN NE.Ref.{AE2BBDCC-607E-43C9-90B6-13F96426A91B}&lt;Citation&gt;&lt;Group&gt;&lt;References&gt;&lt;Item&gt;&lt;ID&gt;4883&lt;/ID&gt;&lt;UID&gt;{F37A2DDF-53F0-44DB-88AC-665B5CF35BA3}&lt;/UID&gt;&lt;Title&gt;Quantifying publication bias in meta-analysis&lt;/Title&gt;&lt;Template&gt;Journal Article&lt;/Template&gt;&lt;Star&gt;0&lt;/Star&gt;&lt;Tag&gt;0&lt;/Tag&gt;&lt;Author&gt;Lin, L; Chu, H&lt;/Author&gt;&lt;Year&gt;2018&lt;/Year&gt;&lt;Details&gt;&lt;_accession_num&gt;29141096&lt;/_accession_num&gt;&lt;_author_adr&gt;Division of Biostatistics, University of Minnesota, Minneapolis 55455, Minnesota,  U.S.A.; Division of Biostatistics, University of Minnesota, Minneapolis 55455, Minnesota,  U.S.A.&lt;/_author_adr&gt;&lt;_date_display&gt;2018 Sep&lt;/_date_display&gt;&lt;_date&gt;2018-09-01&lt;/_date&gt;&lt;_doi&gt;10.1111/biom.12817&lt;/_doi&gt;&lt;_isbn&gt;1541-0420 (Electronic); 0006-341X (Print); 0006-341X (Linking)&lt;/_isbn&gt;&lt;_issue&gt;3&lt;/_issue&gt;&lt;_journal&gt;Biometrics&lt;/_journal&gt;&lt;_keywords&gt;Heterogeneity; Meta-analysis; Publication bias; Skewness; Standardized deviate; Statistical power&lt;/_keywords&gt;&lt;_language&gt;eng&lt;/_language&gt;&lt;_ori_publication&gt;© 2017, The International Biometric Society.&lt;/_ori_publication&gt;&lt;_pages&gt;785-794&lt;/_pages&gt;&lt;_subject_headings&gt;Animals; Computer Simulation; Humans; *Meta-Analysis as Topic; Models, Statistical; Ocular Motility Disorders; Publication Bias/*statistics &amp;amp; numerical data; Reference Standards; Regression Analysis; Sample Size&lt;/_subject_headings&gt;&lt;_tertiary_title&gt;Biometrics&lt;/_tertiary_title&gt;&lt;_type_work&gt;Journal Article; Research Support, N.I.H., Extramural; Research Support, Non-U.S. Gov&amp;apos;t&lt;/_type_work&gt;&lt;_url&gt;http://www.ncbi.nlm.nih.gov/entrez/query.fcgi?cmd=Retrieve&amp;amp;db=pubmed&amp;amp;dopt=Abstract&amp;amp;list_uids=29141096&amp;amp;query_hl=1&lt;/_url&gt;&lt;_volume&gt;74&lt;/_volume&gt;&lt;_created&gt;65089356&lt;/_created&gt;&lt;_modified&gt;65089356&lt;/_modified&gt;&lt;_impact_factor&gt;   1.701&lt;/_impact_factor&gt;&lt;_social_category&gt;数学(2)&lt;/_social_category&gt;&lt;_collection_scope&gt;SCIE&lt;/_collection_scope&gt;&lt;/Details&gt;&lt;Extra&gt;&lt;DBUID&gt;{F96A950B-833F-4880-A151-76DA2D6A2879}&lt;/DBUID&gt;&lt;/Extra&gt;&lt;/Item&gt;&lt;/References&gt;&lt;/Group&gt;&lt;/Citation&gt;_x000a_"/>
    <w:docVar w:name="NE.Ref{AE2E5321-3C56-4FB1-B978-099027F2687C}" w:val=" ADDIN NE.Ref.{AE2E5321-3C56-4FB1-B978-099027F2687C}&lt;Citation&gt;&lt;Group&gt;&lt;References&gt;&lt;Item&gt;&lt;ID&gt;4876&lt;/ID&gt;&lt;UID&gt;{DFD0490A-7199-4590-87A9-02C5397DF7F1}&lt;/UID&gt;&lt;Title&gt;Development of ipilimumab: contribution to a new paradigm for cancer  immunotherapy&lt;/Title&gt;&lt;Template&gt;Journal Article&lt;/Template&gt;&lt;Star&gt;0&lt;/Star&gt;&lt;Tag&gt;0&lt;/Tag&gt;&lt;Author&gt;Hoos, A; Ibrahim, R; Korman, A; Abdallah, K; Berman, D; Shahabi, V; Chin, K; Canetta, R; Humphrey, R&lt;/Author&gt;&lt;Year&gt;2010&lt;/Year&gt;&lt;Details&gt;&lt;_accession_num&gt;21074069&lt;/_accession_num&gt;&lt;_author_adr&gt;Global Clinical Research, Oncology, Bristol-Myers Squibb Co, Wallingford, CT  06492, USA. axel.hoos@bms.com&lt;/_author_adr&gt;&lt;_date_display&gt;2010 Oct&lt;/_date_display&gt;&lt;_date&gt;2010-10-01&lt;/_date&gt;&lt;_doi&gt;10.1053/j.seminoncol.2010.09.015&lt;/_doi&gt;&lt;_isbn&gt;1532-8708 (Electronic); 0093-7754 (Linking)&lt;/_isbn&gt;&lt;_issue&gt;5&lt;/_issue&gt;&lt;_journal&gt;Semin Oncol&lt;/_journal&gt;&lt;_language&gt;eng&lt;/_language&gt;&lt;_ori_publication&gt;Copyright © 2010 Elsevier Inc. All rights reserved.&lt;/_ori_publication&gt;&lt;_pages&gt;533-46&lt;/_pages&gt;&lt;_subject_headings&gt;Antibodies, Monoclonal/adverse effects/immunology/*therapeutic use; Antigens, CD/*immunology; Antineoplastic Agents/adverse effects/immunology/*therapeutic use; Biomarkers; CTLA-4 Antigen; Drug Evaluation; Drug-Related Side Effects and Adverse Reactions; Humans; Immune System Diseases/chemically induced/therapy; Ipilimumab; Melanoma/*drug therapy/immunology; Monitoring, Immunologic; Practice Guidelines as Topic; Skin Neoplasms/*drug therapy/immunology; Survival Analysis&lt;/_subject_headings&gt;&lt;_tertiary_title&gt;Seminars in oncology&lt;/_tertiary_title&gt;&lt;_type_work&gt;Journal Article; Research Support, Non-U.S. Gov&amp;apos;t; Review&lt;/_type_work&gt;&lt;_url&gt;http://www.ncbi.nlm.nih.gov/entrez/query.fcgi?cmd=Retrieve&amp;amp;db=pubmed&amp;amp;dopt=Abstract&amp;amp;list_uids=21074069&amp;amp;query_hl=1&lt;/_url&gt;&lt;_volume&gt;37&lt;/_volume&gt;&lt;_created&gt;65089356&lt;/_created&gt;&lt;_modified&gt;65089356&lt;/_modified&gt;&lt;_impact_factor&gt;   5.385&lt;/_impact_factor&gt;&lt;_social_category&gt;医学(3)&lt;/_social_category&gt;&lt;_collection_scope&gt;SCIE&lt;/_collection_scope&gt;&lt;/Details&gt;&lt;Extra&gt;&lt;DBUID&gt;{F96A950B-833F-4880-A151-76DA2D6A2879}&lt;/DBUID&gt;&lt;/Extra&gt;&lt;/Item&gt;&lt;/References&gt;&lt;/Group&gt;&lt;/Citation&gt;_x000a_"/>
    <w:docVar w:name="NE.Ref{AFC5C7EB-92D9-480F-9B9F-3B9E8F3CDEB4}" w:val=" ADDIN NE.Ref.{AFC5C7EB-92D9-480F-9B9F-3B9E8F3CDEB4}&lt;Citation&gt;&lt;Group&gt;&lt;References&gt;&lt;Item&gt;&lt;ID&gt;4885&lt;/ID&gt;&lt;UID&gt;{4E12CD9C-855A-4429-994A-B176D6F14954}&lt;/UID&gt;&lt;Title&gt;Use of indirect and mixed treatment comparisons for technology assessment&lt;/Title&gt;&lt;Template&gt;Journal Article&lt;/Template&gt;&lt;Star&gt;0&lt;/Star&gt;&lt;Tag&gt;0&lt;/Tag&gt;&lt;Author&gt;Sutton, A; Ades, A E; Cooper, N; Abrams, K&lt;/Author&gt;&lt;Year&gt;2008&lt;/Year&gt;&lt;Details&gt;&lt;_accession_num&gt;18767896&lt;/_accession_num&gt;&lt;_author_adr&gt;Department of Health Sciences and NICE Decision Support Unit, University of  Leicester, Leicester, UK. ajs22@le.ac.uk&lt;/_author_adr&gt;&lt;_date_display&gt;2008&lt;/_date_display&gt;&lt;_date&gt;2008-01-20&lt;/_date&gt;&lt;_doi&gt;10.2165/00019053-200826090-00006&lt;/_doi&gt;&lt;_isbn&gt;1170-7690 (Print); 1170-7690 (Linking)&lt;/_isbn&gt;&lt;_issue&gt;9&lt;/_issue&gt;&lt;_journal&gt;Pharmacoeconomics&lt;/_journal&gt;&lt;_language&gt;eng&lt;/_language&gt;&lt;_pages&gt;753-67&lt;/_pages&gt;&lt;_subject_headings&gt;Data Interpretation, Statistical; Humans; Meta-Analysis as Topic; *Models, Statistical; Technology Assessment, Biomedical/*economics&lt;/_subject_headings&gt;&lt;_tertiary_title&gt;PharmacoEconomics&lt;/_tertiary_title&gt;&lt;_type_work&gt;Journal Article; Research Support, Non-U.S. Gov&amp;apos;t; Review&lt;/_type_work&gt;&lt;_url&gt;http://www.ncbi.nlm.nih.gov/entrez/query.fcgi?cmd=Retrieve&amp;amp;db=pubmed&amp;amp;dopt=Abstract&amp;amp;list_uids=18767896&amp;amp;query_hl=1&lt;/_url&gt;&lt;_volume&gt;26&lt;/_volume&gt;&lt;_created&gt;65089356&lt;/_created&gt;&lt;_modified&gt;65089356&lt;/_modified&gt;&lt;_impact_factor&gt;   4.558&lt;/_impact_factor&gt;&lt;_social_category&gt;医学(3)&lt;/_social_category&gt;&lt;_collection_scope&gt;SSCI;SCIE&lt;/_collection_scope&gt;&lt;/Details&gt;&lt;Extra&gt;&lt;DBUID&gt;{F96A950B-833F-4880-A151-76DA2D6A2879}&lt;/DBUID&gt;&lt;/Extra&gt;&lt;/Item&gt;&lt;/References&gt;&lt;/Group&gt;&lt;/Citation&gt;_x000a_"/>
    <w:docVar w:name="NE.Ref{B0502D24-6E51-4F00-942A-8CB1652C0581}" w:val=" ADDIN NE.Ref.{B0502D24-6E51-4F00-942A-8CB1652C0581}&lt;Citation&gt;&lt;Group&gt;&lt;References&gt;&lt;Item&gt;&lt;ID&gt;2406&lt;/ID&gt;&lt;UID&gt;{C963240F-64F8-4DBA-BC63-593221D07E69}&lt;/UID&gt;&lt;Title&gt;Overview of parametric survival analysis for health-economic applications&lt;/Title&gt;&lt;Template&gt;Journal Article&lt;/Template&gt;&lt;Star&gt;0&lt;/Star&gt;&lt;Tag&gt;0&lt;/Tag&gt;&lt;Author&gt;Ishak, K J; Kreif, N; Benedict, A; Muszbek, N&lt;/Author&gt;&lt;Year&gt;2013&lt;/Year&gt;&lt;Details&gt;&lt;_accessed&gt;64358552&lt;/_accessed&gt;&lt;_accession_num&gt;23673905&lt;/_accession_num&gt;&lt;_author_adr&gt;United BioSource Corporation, 185 Dorval Avenue, Suite 500, Dorval, QC, H9S 5J9,  Canada. Jack.ishak@unitedbiosource.com&lt;/_author_adr&gt;&lt;_collection_scope&gt;SCI;SCIE;SSCI&lt;/_collection_scope&gt;&lt;_created&gt;64299972&lt;/_created&gt;&lt;_date&gt;2013-08-01&lt;/_date&gt;&lt;_date_display&gt;2013 Aug&lt;/_date_display&gt;&lt;_db_updated&gt;PubMed&lt;/_db_updated&gt;&lt;_doi&gt;10.1007/s40273-013-0064-3&lt;/_doi&gt;&lt;_impact_factor&gt;   4.558&lt;/_impact_factor&gt;&lt;_isbn&gt;1179-2027 (Electronic); 1170-7690 (Linking)&lt;/_isbn&gt;&lt;_issue&gt;8&lt;/_issue&gt;&lt;_journal&gt;Pharmacoeconomics&lt;/_journal&gt;&lt;_language&gt;eng&lt;/_language&gt;&lt;_modified&gt;64630791&lt;/_modified&gt;&lt;_pages&gt;663-75&lt;/_pages&gt;&lt;_subject_headings&gt;Antineoplastic Agents/economics/therapeutic use; Carcinoma, Hepatocellular/drug therapy/mortality; Humans; Liver Neoplasms/drug therapy/mortality; *Models, Economic; Randomized Controlled Trials as Topic; *Survival Analysis&lt;/_subject_headings&gt;&lt;_tertiary_title&gt;PharmacoEconomics&lt;/_tertiary_title&gt;&lt;_type_work&gt;Journal Article; Research Support, Non-U.S. Gov&amp;apos;t; Review&lt;/_type_work&gt;&lt;_url&gt;http://www.ncbi.nlm.nih.gov/entrez/query.fcgi?cmd=Retrieve&amp;amp;db=pubmed&amp;amp;dopt=Abstract&amp;amp;list_uids=23673905&amp;amp;query_hl=1&lt;/_url&gt;&lt;_volume&gt;31&lt;/_volume&gt;&lt;_social_category&gt;医学(3)&lt;/_social_category&gt;&lt;/Details&gt;&lt;Extra&gt;&lt;DBUID&gt;{F96A950B-833F-4880-A151-76DA2D6A2879}&lt;/DBUID&gt;&lt;/Extra&gt;&lt;/Item&gt;&lt;/References&gt;&lt;/Group&gt;&lt;/Citation&gt;_x000a_"/>
    <w:docVar w:name="NE.Ref{B0F83F5C-3E70-4E4C-8E04-63AABED0B430}" w:val=" ADDIN NE.Ref.{B0F83F5C-3E70-4E4C-8E04-63AABED0B430}&lt;Citation&gt;&lt;Group&gt;&lt;References&gt;&lt;Item&gt;&lt;ID&gt;5021&lt;/ID&gt;&lt;UID&gt;{FC01DC97-7D4C-4C9D-9151-12C0AE958C20}&lt;/UID&gt;&lt;Title&gt;National Institute for Health and Care Excellence. Regorafenib for previously treated metastatic colorectal cancer [ID4002]. https://www.nice.org.uk/guidance(Accessed Feb 2, 2024).&lt;/Title&gt;&lt;Template&gt;Web Page&lt;/Template&gt;&lt;Star&gt;0&lt;/Star&gt;&lt;Tag&gt;0&lt;/Tag&gt;&lt;Author/&gt;&lt;Year&gt;0&lt;/Year&gt;&lt;Details&gt;&lt;_accessed&gt;65330793&lt;/_accessed&gt;&lt;_created&gt;65329711&lt;/_created&gt;&lt;_modified&gt;65329715&lt;/_modified&gt;&lt;/Details&gt;&lt;Extra&gt;&lt;DBUID&gt;{F96A950B-833F-4880-A151-76DA2D6A2879}&lt;/DBUID&gt;&lt;/Extra&gt;&lt;/Item&gt;&lt;/References&gt;&lt;/Group&gt;&lt;/Citation&gt;_x000a_"/>
    <w:docVar w:name="NE.Ref{B1936AA9-FC93-4C7B-99BA-E535E7BFE142}" w:val=" ADDIN NE.Ref.{B1936AA9-FC93-4C7B-99BA-E535E7BFE142}&lt;Citation&gt;&lt;Group&gt;&lt;References&gt;&lt;Item&gt;&lt;ID&gt;2959&lt;/ID&gt;&lt;UID&gt;{A121706D-048D-4DF0-B282-79B7209EBB30}&lt;/UID&gt;&lt;Title&gt;A systematic review and network meta-analysis of first-line immune checkpoint  inhibitor combination therapies in patients with advanced non-squamous non-small  cell lung cancer&lt;/Title&gt;&lt;Template&gt;Journal Article&lt;/Template&gt;&lt;Star&gt;0&lt;/Star&gt;&lt;Tag&gt;0&lt;/Tag&gt;&lt;Author&gt;Shao, T; Zhao, M; Liang, L; Tang, W&lt;/Author&gt;&lt;Year&gt;2022&lt;/Year&gt;&lt;Details&gt;&lt;_accession_num&gt;36389713&lt;/_accession_num&gt;&lt;_author_adr&gt;Center for Pharmacoeconomics and Outcomes Research, China Pharmaceutical  University, Nanjing, China.; Center for Pharmacoeconomics and Outcomes Research, China Pharmaceutical  University, Nanjing, China.; Center for Pharmacoeconomics and Outcomes Research, China Pharmaceutical  University, Nanjing, China.; Center for Pharmacoeconomics and Outcomes Research, China Pharmaceutical  University, Nanjing, China.; Department of Public Affairs Management, School of International Pharmaceutical  Business, China Pharmaceutical University, Nanjing, China.&lt;/_author_adr&gt;&lt;_collection_scope&gt;SCIE&lt;/_collection_scope&gt;&lt;_created&gt;64739504&lt;/_created&gt;&lt;_date&gt;2022-01-20&lt;/_date&gt;&lt;_date_display&gt;2022&lt;/_date_display&gt;&lt;_db_updated&gt;PubMed&lt;/_db_updated&gt;&lt;_doi&gt;10.3389/fimmu.2022.948597&lt;/_doi&gt;&lt;_impact_factor&gt;   8.786&lt;/_impact_factor&gt;&lt;_isbn&gt;1664-3224 (Electronic); 1664-3224 (Linking)&lt;/_isbn&gt;&lt;_journal&gt;Front Immunol&lt;/_journal&gt;&lt;_keywords&gt;Royston-Parmar model; immune checkpoint inhibitor combination therapies; network meta-analysis; non-small cell lung cancer; non-squamous; restricted mean survival time&lt;/_keywords&gt;&lt;_language&gt;eng&lt;/_language&gt;&lt;_modified&gt;64740725&lt;/_modified&gt;&lt;_ori_publication&gt;Copyright (c) 2022 Shao, Zhao, Liang and Tang.&lt;/_ori_publication&gt;&lt;_pages&gt;948597&lt;/_pages&gt;&lt;_social_category&gt;医学(2)&lt;/_social_category&gt;&lt;_subject_headings&gt;United States; Humans; *Carcinoma, Non-Small-Cell Lung/metabolism; Immune Checkpoint Inhibitors/therapeutic use; B7-H1 Antigen/metabolism; Nivolumab/therapeutic use; *Lung Neoplasms/metabolism; Network Meta-Analysis; Bevacizumab/therapeutic use; *Antineoplastic Agents, Immunological/therapeutic use; Antineoplastic Combined Chemotherapy Protocols/therapeutic use&lt;/_subject_headings&gt;&lt;_tertiary_title&gt;Frontiers in immunology&lt;/_tertiary_title&gt;&lt;_type_work&gt;Meta-Analysis; Research Support, Non-U.S. Gov&amp;apos;t; Systematic Review&lt;/_type_work&gt;&lt;_url&gt;http://www.ncbi.nlm.nih.gov/entrez/query.fcgi?cmd=Retrieve&amp;amp;db=pubmed&amp;amp;dopt=Abstract&amp;amp;list_uids=36389713&amp;amp;query_hl=1&lt;/_url&gt;&lt;_volume&gt;13&lt;/_volume&gt;&lt;/Details&gt;&lt;Extra&gt;&lt;DBUID&gt;{F96A950B-833F-4880-A151-76DA2D6A2879}&lt;/DBUID&gt;&lt;/Extra&gt;&lt;/Item&gt;&lt;/References&gt;&lt;/Group&gt;&lt;Group&gt;&lt;References&gt;&lt;Item&gt;&lt;ID&gt;2960&lt;/ID&gt;&lt;UID&gt;{F9A1F613-DD81-420F-BD70-FB490A21D04F}&lt;/UID&gt;&lt;Title&gt;Identifying optimal PD-1/PD-L1 inhibitors in first-line treatment of patients  with advanced squamous non-small cell lung cancer in China: Updated systematic  review and network meta-analysis&lt;/Title&gt;&lt;Template&gt;Journal Article&lt;/Template&gt;&lt;Star&gt;0&lt;/Star&gt;&lt;Tag&gt;0&lt;/Tag&gt;&lt;Author&gt;Zhao, M; Shao, T; Ren, Y; Zhou, C; Tang, W&lt;/Author&gt;&lt;Year&gt;2022&lt;/Year&gt;&lt;Details&gt;&lt;_accession_num&gt;36249794&lt;/_accession_num&gt;&lt;_author_adr&gt;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Shanghai Pulmonary Hospital, Tongji University, Shanghai, China.; Department of Pharmacoeconomics, School of International Pharmaceutical Business,  China Pharmaceutical University, Nanjing, China.; Center for Pharmacoeconomics and Outcomes Research, China Pharmaceutical  University, Nanjing, China.&lt;/_author_adr&gt;&lt;_collection_scope&gt;SCIE&lt;/_collection_scope&gt;&lt;_created&gt;64739504&lt;/_created&gt;&lt;_date&gt;2022-01-20&lt;/_date&gt;&lt;_date_display&gt;2022&lt;/_date_display&gt;&lt;_db_updated&gt;PubMed&lt;/_db_updated&gt;&lt;_doi&gt;10.3389/fphar.2022.910656&lt;/_doi&gt;&lt;_impact_factor&gt;   5.988&lt;/_impact_factor&gt;&lt;_isbn&gt;1663-9812 (Print); 1663-9812 (Electronic); 1663-9812 (Linking)&lt;/_isbn&gt;&lt;_journal&gt;Front Pharmacol&lt;/_journal&gt;&lt;_keywords&gt;NMA; PD-1/PD-L1 inhibitors; first-line; non-proportional hazard models; squamous non-small cell lung cancer&lt;/_keywords&gt;&lt;_language&gt;eng&lt;/_language&gt;&lt;_modified&gt;64740725&lt;/_modified&gt;&lt;_ori_publication&gt;Copyright (c) 2022 Zhao, Shao, Ren, Zhou and Tang.&lt;/_ori_publication&gt;&lt;_pages&gt;910656&lt;/_pages&gt;&lt;_social_category&gt;医学(2)&lt;/_social_category&gt;&lt;_tertiary_title&gt;Frontiers in pharmacology&lt;/_tertiary_title&gt;&lt;_type_work&gt;Systematic Review&lt;/_type_work&gt;&lt;_url&gt;http://www.ncbi.nlm.nih.gov/entrez/query.fcgi?cmd=Retrieve&amp;amp;db=pubmed&amp;amp;dopt=Abstract&amp;amp;list_uids=36249794&amp;amp;query_hl=1&lt;/_url&gt;&lt;_volume&gt;13&lt;/_volume&gt;&lt;/Details&gt;&lt;Extra&gt;&lt;DBUID&gt;{F96A950B-833F-4880-A151-76DA2D6A2879}&lt;/DBUID&gt;&lt;/Extra&gt;&lt;/Item&gt;&lt;/References&gt;&lt;/Group&gt;&lt;Group&gt;&lt;References&gt;&lt;Item&gt;&lt;ID&gt;2961&lt;/ID&gt;&lt;UID&gt;{A093E0A4-3048-4087-8CA0-2684D4705352}&lt;/UID&gt;&lt;Title&gt;Interpretability of Cancer Clinical Trial Results Using Restricted Mean Survival  Time as an Alternative to the Hazard Ratio&lt;/Title&gt;&lt;Template&gt;Journal Article&lt;/Template&gt;&lt;Star&gt;0&lt;/Star&gt;&lt;Tag&gt;0&lt;/Tag&gt;&lt;Author&gt;Pak, K; Uno, H; Kim, D H; Tian, L; Kane, R C; Takeuchi, M; Fu, H; Claggett, B; Wei, L J&lt;/Author&gt;&lt;Year&gt;2017&lt;/Year&gt;&lt;Details&gt;&lt;_accession_num&gt;28975263&lt;/_accession_num&gt;&lt;_author_adr&gt;Department of Clinical Medicine (Biostatistics), Kitasato University School of  Pharmacy, 5-9-1 Shirokane, Minato-ku, Tokyo 108-0072, Japan; Division of Population Sciences, Department of Medical Oncology, Dana Farber  Cancer Institute, Boston, Massachusetts; Division of Pharmacoepidemiology and Pharmacoeconomics, Department of Medicine,  Brigham and Women&amp;apos;s Hospital, Boston, Massachusetts; Division of Gerontology, Department of Medicine, Beth Israel Deaconess Medical  Center, Boston, Massachusetts; Department of Health Research and Policy, Stanford University School of Medicine,  Palo Alto, California; Hematology Oncology OPinions, Nokomis, Florida; Department of Clinical Medicine (Biostatistics), Kitasato University School of  Pharmacy, 5-9-1 Shirokane, Minato-ku, Tokyo 108-0072, Japan; Eli Lilly and Company, Indianapolis, Indiana; Division of Cardiovascular Medicine, Brigham and Women&amp;apos;s Hospital, Harvard  Medical School, Boston, Massachusetts; Department of Biostatistics, Harvard T. H. Chan School of Public Health, Boston,  Massachusetts&lt;/_author_adr&gt;&lt;_collection_scope&gt;SCIE&lt;/_collection_scope&gt;&lt;_created&gt;64739503&lt;/_created&gt;&lt;_date&gt;2017-12-01&lt;/_date&gt;&lt;_date_display&gt;2017 Dec 1&lt;/_date_display&gt;&lt;_db_updated&gt;PubMed&lt;/_db_updated&gt;&lt;_doi&gt;10.1001/jamaoncol.2017.2797&lt;/_doi&gt;&lt;_impact_factor&gt;  33.006&lt;/_impact_factor&gt;&lt;_isbn&gt;2374-2445 (Electronic); 2374-2437 (Print); 2374-2437 (Linking)&lt;/_isbn&gt;&lt;_issue&gt;12&lt;/_issue&gt;&lt;_journal&gt;JAMA Oncol&lt;/_journal&gt;&lt;_language&gt;eng&lt;/_language&gt;&lt;_modified&gt;64740725&lt;/_modified&gt;&lt;_pages&gt;1692-1696&lt;/_pages&gt;&lt;_social_category&gt;医学(1)&lt;/_social_category&gt;&lt;_subject_headings&gt;Docetaxel/therapeutic use; Endpoint Determination; Humans; Immunotherapy/*methods; Lung Neoplasms/*drug therapy; Neoplasms/*drug therapy; Nivolumab/therapeutic use; Proportional Hazards Models; Randomized Controlled Trials as Topic/*methods; Research Design; Survival Analysis; Treatment Outcome&lt;/_subject_headings&gt;&lt;_tertiary_title&gt;JAMA oncology&lt;/_tertiary_title&gt;&lt;_type_work&gt;Comparative Study; Journal Article; Research Support, N.I.H., Extramural&lt;/_type_work&gt;&lt;_url&gt;http://www.ncbi.nlm.nih.gov/entrez/query.fcgi?cmd=Retrieve&amp;amp;db=pubmed&amp;amp;dopt=Abstract&amp;amp;list_uids=28975263&amp;amp;query_hl=1&lt;/_url&gt;&lt;_volume&gt;3&lt;/_volume&gt;&lt;/Details&gt;&lt;Extra&gt;&lt;DBUID&gt;{F96A950B-833F-4880-A151-76DA2D6A2879}&lt;/DBUID&gt;&lt;/Extra&gt;&lt;/Item&gt;&lt;/References&gt;&lt;/Group&gt;&lt;Group&gt;&lt;References&gt;&lt;Item&gt;&lt;ID&gt;2962&lt;/ID&gt;&lt;UID&gt;{B672FBEC-6BF3-46E3-B11F-4B0DD5A27467}&lt;/UID&gt;&lt;Title&gt;Restricted mean survival time: an alternative to the hazard ratio for the design  and analysis of randomized trials with a time-to-event outcome&lt;/Title&gt;&lt;Template&gt;Journal Article&lt;/Template&gt;&lt;Star&gt;0&lt;/Star&gt;&lt;Tag&gt;0&lt;/Tag&gt;&lt;Author&gt;Royston, P; Parmar, M K&lt;/Author&gt;&lt;Year&gt;2013&lt;/Year&gt;&lt;Details&gt;&lt;_accession_num&gt;24314264&lt;/_accession_num&gt;&lt;_author_adr&gt;MRC Clinical Trials Unit at UCL, Aviation House, 125 Kingsway, London WC2B 6NH,  UK. j.royston@ucl.ac.uk.&lt;/_author_adr&gt;&lt;_collection_scope&gt;SCIE&lt;/_collection_scope&gt;&lt;_created&gt;64739503&lt;/_created&gt;&lt;_date&gt;2013-12-07&lt;/_date&gt;&lt;_date_display&gt;2013 Dec 7&lt;/_date_display&gt;&lt;_db_updated&gt;PubMed&lt;/_db_updated&gt;&lt;_doi&gt;10.1186/1471-2288-13-152&lt;/_doi&gt;&lt;_impact_factor&gt;   4.612&lt;/_impact_factor&gt;&lt;_isbn&gt;1471-2288 (Electronic); 1471-2288 (Linking)&lt;/_isbn&gt;&lt;_journal&gt;BMC Med Res Methodol&lt;/_journal&gt;&lt;_language&gt;eng&lt;/_language&gt;&lt;_modified&gt;64740725&lt;/_modified&gt;&lt;_pages&gt;152&lt;/_pages&gt;&lt;_social_category&gt;医学(3)&lt;/_social_category&gt;&lt;_subject_headings&gt;*Algorithms; Humans; *Models, Statistical; Outcome Assessment, Health Care/methods/*statistics &amp;amp; numerical data; *Randomized Controlled Trials as Topic; Research Design/*statistics &amp;amp; numerical data; Survival Analysis; Time Factors&lt;/_subject_headings&gt;&lt;_tertiary_title&gt;BMC medical research methodology&lt;/_tertiary_title&gt;&lt;_type_work&gt;Journal Article&lt;/_type_work&gt;&lt;_url&gt;http://www.ncbi.nlm.nih.gov/entrez/query.fcgi?cmd=Retrieve&amp;amp;db=pubmed&amp;amp;dopt=Abstract&amp;amp;list_uids=24314264&amp;amp;query_hl=1&lt;/_url&gt;&lt;_volume&gt;13&lt;/_volume&gt;&lt;/Details&gt;&lt;Extra&gt;&lt;DBUID&gt;{F96A950B-833F-4880-A151-76DA2D6A2879}&lt;/DBUID&gt;&lt;/Extra&gt;&lt;/Item&gt;&lt;/References&gt;&lt;/Group&gt;&lt;/Citation&gt;_x000a_"/>
    <w:docVar w:name="NE.Ref{B2A96BF6-31F6-4A1D-8E2C-9FA6E05612CE}" w:val=" ADDIN NE.Ref.{B2A96BF6-31F6-4A1D-8E2C-9FA6E05612CE}&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Citation&gt;_x000a_"/>
    <w:docVar w:name="NE.Ref{B37E3555-D4B5-40D5-B990-35671D06402D}" w:val=" ADDIN NE.Ref.{B37E3555-D4B5-40D5-B990-35671D06402D}&lt;Citation&gt;&lt;Group&gt;&lt;References&gt;&lt;Item&gt;&lt;ID&gt;4702&lt;/ID&gt;&lt;UID&gt;{2E72E0E8-94E8-4A80-821D-EB5CAB6FC7AA}&lt;/UID&gt;&lt;Title&gt;Health-Related Quality of Life Analysis in Metastatic Colorectal Cancer Patients  Treated by Second-Line Chemotherapy, Associated With Either Cetuximab or  Bevacizumab: The PRODIGE 18 Randomized Phase II Study&lt;/Title&gt;&lt;Template&gt;Journal Article&lt;/Template&gt;&lt;Star&gt;0&lt;/Star&gt;&lt;Tag&gt;0&lt;/Tag&gt;&lt;Author&gt;Bertaut, A; Touchefeu, Y; Blanc, J; Bouché, O; François, E; Conroy, T; Artru, P; Adenis, A; Gobbo, J; Borg, C; Ghiringhelli, F; Bennouna, J&lt;/Author&gt;&lt;Year&gt;2022&lt;/Year&gt;&lt;Details&gt;&lt;_accession_num&gt;34838460&lt;/_accession_num&gt;&lt;_author_adr&gt;Methodology and Biostatistics Unit, Georges-Francois Leclerc Cancer Center,  Dijon, France. Electronic address: abertaut@cgfl.fr.; Department of Hepatogastroenterology, Digestive Oncology, Nantes Universitary  Hospital, Nantes, France.; Methodology and Biostatistics Unit, Georges-Francois Leclerc Cancer Center,  Dijon, France.; Universitary hospital Robert Debré, Reims, France.; Department of Medical Oncology, Antoine-Lacassagne Cancer Center, Nice, France.; Lorraine cancer center, Vandoeuvre-Lès Nancy, France.; Hospital Jean Mermoz, Lyon, France.; Department of Medical Oncology, Montpellier cancer center, Montpellier, France.; Department of Medical Oncology, Georges-Francois Leclerc Cancer Center, Dijon,  France.; Department of Medical Oncology, Universitary hospital of Besançon, Besançon,  France.; Department of Medical Oncology, Georges-Francois Leclerc Cancer Center, Dijon,  France.; Medical Oncology Department, Hopital Foch, 40 rue Worth, 92150, Suresnes, france.&lt;/_author_adr&gt;&lt;_date_display&gt;2022 Jun&lt;/_date_display&gt;&lt;_date&gt;2022-06-01&lt;/_date&gt;&lt;_doi&gt;10.1016/j.clcc.2021.09.001&lt;/_doi&gt;&lt;_isbn&gt;1938-0674 (Electronic); 1533-0028 (Linking)&lt;/_isbn&gt;&lt;_issue&gt;2&lt;/_issue&gt;&lt;_journal&gt;Clin Colorectal Cancer&lt;/_journal&gt;&lt;_keywords&gt;Bevacizumab; Cetuximab; Health-related quality of life; Metastatic colorectal cancer; PRODIGE18; Second line treatment; Treatment selection&lt;/_keywords&gt;&lt;_language&gt;eng&lt;/_language&gt;&lt;_ori_publication&gt;Copyright © 2021. Published by Elsevier Inc.&lt;/_ori_publication&gt;&lt;_pages&gt;e49-e61&lt;/_pages&gt;&lt;_subject_headings&gt;Antineoplastic Combined Chemotherapy Protocols/adverse effects; Bevacizumab; Cetuximab; *Colonic Neoplasms/drug therapy; *Colorectal Neoplasms/pathology; Diarrhea/chemically induced; Humans; Quality of Life; *Rectal Neoplasms/drug therapy&lt;/_subject_headings&gt;&lt;_tertiary_title&gt;Clinical colorectal cancer&lt;/_tertiary_title&gt;&lt;_type_work&gt;Clinical Trial, Phase II; Journal Article; Randomized Controlled Trial&lt;/_type_work&gt;&lt;_url&gt;http://www.ncbi.nlm.nih.gov/entrez/query.fcgi?cmd=Retrieve&amp;amp;db=pubmed&amp;amp;dopt=Abstract&amp;amp;list_uids=34838460&amp;amp;query_hl=1&lt;/_url&gt;&lt;_volume&gt;21&lt;/_volume&gt;&lt;_created&gt;65020956&lt;/_created&gt;&lt;_modified&gt;65020956&lt;/_modified&gt;&lt;_impact_factor&gt;   4.035&lt;/_impact_factor&gt;&lt;_social_category&gt;医学(2)&lt;/_social_category&gt;&lt;_collection_scope&gt;SCIE&lt;/_collection_scope&gt;&lt;/Details&gt;&lt;Extra&gt;&lt;DBUID&gt;{F96A950B-833F-4880-A151-76DA2D6A2879}&lt;/DBUID&gt;&lt;/Extra&gt;&lt;/Item&gt;&lt;/References&gt;&lt;/Group&gt;&lt;/Citation&gt;_x000a_"/>
    <w:docVar w:name="NE.Ref{B3A23F63-2E80-4596-AEF0-07022927BFD1}" w:val=" ADDIN NE.Ref.{B3A23F63-2E80-4596-AEF0-07022927BFD1}&lt;Citation&gt;&lt;Group&gt;&lt;References&gt;&lt;Item&gt;&lt;ID&gt;5040&lt;/ID&gt;&lt;UID&gt;{717BD1CF-CD3B-48EC-B523-80C0C3A00305}&lt;/UID&gt;&lt;Title&gt;Health state utilities for metastatic breast cancer&lt;/Title&gt;&lt;Template&gt;Journal Article&lt;/Template&gt;&lt;Star&gt;0&lt;/Star&gt;&lt;Tag&gt;0&lt;/Tag&gt;&lt;Author&gt;Lloyd, A; Nafees, B; Narewska, J; Dewilde, S; Watkins, J&lt;/Author&gt;&lt;Year&gt;2006&lt;/Year&gt;&lt;Details&gt;&lt;_accession_num&gt;16967055&lt;/_accession_num&gt;&lt;_author_adr&gt;United BioSource Corporation, 20 Bloomsbury Square, London WC1A 2NS, UK.  andrew.lloyd@unitedbiosource.com&lt;/_author_adr&gt;&lt;_date_display&gt;2006 Sep 18&lt;/_date_display&gt;&lt;_date&gt;2006-09-18&lt;/_date&gt;&lt;_doi&gt;10.1038/sj.bjc.6603326&lt;/_doi&gt;&lt;_isbn&gt;0007-0920 (Print); 1532-1827 (Electronic); 0007-0920 (Linking)&lt;/_isbn&gt;&lt;_issue&gt;6&lt;/_issue&gt;&lt;_journal&gt;Br J Cancer&lt;/_journal&gt;&lt;_language&gt;eng&lt;/_language&gt;&lt;_pages&gt;683-90&lt;/_pages&gt;&lt;_subject_headings&gt;Adult; Age Factors; *Attitude to Health; Breast Neoplasms/drug therapy/epidemiology/*psychology; Disease Progression; Female; *Health Status; Humans; Male; Pilot Projects; *Quality of Life; Recurrence; Sex Factors; *Sickness Impact Profile; United Kingdom/epidemiology&lt;/_subject_headings&gt;&lt;_tertiary_title&gt;British journal of cancer&lt;/_tertiary_title&gt;&lt;_type_work&gt;Comparative Study; Journal Article&lt;/_type_work&gt;&lt;_url&gt;http://www.ncbi.nlm.nih.gov/entrez/query.fcgi?cmd=Retrieve&amp;amp;db=pubmed&amp;amp;dopt=Abstract&amp;amp;list_uids=16967055&amp;amp;query_hl=1&lt;/_url&gt;&lt;_volume&gt;95&lt;/_volume&gt;&lt;_created&gt;65329740&lt;/_created&gt;&lt;_modified&gt;65329740&lt;/_modified&gt;&lt;_impact_factor&gt;   8.800&lt;/_impact_factor&gt;&lt;_social_category&gt;肿瘤学(2)&lt;/_social_category&gt;&lt;_collection_scope&gt;SCIE&lt;/_collection_scope&gt;&lt;_accessed&gt;65330884&lt;/_accessed&gt;&lt;/Details&gt;&lt;Extra&gt;&lt;DBUID&gt;{F96A950B-833F-4880-A151-76DA2D6A2879}&lt;/DBUID&gt;&lt;/Extra&gt;&lt;/Item&gt;&lt;/References&gt;&lt;/Group&gt;&lt;/Citation&gt;_x000a_"/>
    <w:docVar w:name="NE.Ref{B3B6EB9B-B60D-4C09-AC50-C25C41B36391}" w:val=" ADDIN NE.Ref.{B3B6EB9B-B60D-4C09-AC50-C25C41B36391}&lt;Citation&gt;&lt;Group&gt;&lt;References&gt;&lt;Item&gt;&lt;ID&gt;4698&lt;/ID&gt;&lt;UID&gt;{7CF88AA0-B19C-43B4-BB09-A72FEC3CE20D}&lt;/UID&gt;&lt;Title&gt;Traditional Chinese Medicine Combined With Chemotherapy and Cetuximab or  Bevacizumab for Metastatic Colorectal Cancer: A Randomized, Double-Blind,  Placebo-Controlled Clinical Trial&lt;/Title&gt;&lt;Template&gt;Journal Article&lt;/Template&gt;&lt;Star&gt;0&lt;/Star&gt;&lt;Tag&gt;0&lt;/Tag&gt;&lt;Author&gt;Liu, N; Wu, C; Jia, R; Cai, G; Wang, Y; Zhou, L; Ji, Q; Sui, H; Zeng, P; Xiao, H; Liu, H; Huo, J; Feng, Y; Deng, W; Li, Q&lt;/Author&gt;&lt;Year&gt;2020&lt;/Year&gt;&lt;Details&gt;&lt;_accession_num&gt;32372960&lt;/_accession_num&gt;&lt;_author_adr&gt;Department of Medical Oncology, Shuguang Hospital, Shanghai University of  Traditional Chinese Medicine, Shanghai, China.; Academy of Integrative Medicine, Shanghai University of Traditional Chinese  Medicine, Shanghai, China.; Department of Medical Oncology, Shuguang Hospital, Shanghai University of  Traditional Chinese Medicine, Shanghai, China.; Academy of Integrative Medicine, Shanghai University of Traditional Chinese  Medicine, Shanghai, China.; Department of Medical Oncology, Shuguang Hospital, Shanghai University of  Traditional Chinese Medicine, Shanghai, China.; Academy of Integrative Medicine, Shanghai University of Traditional Chinese  Medicine, Shanghai, China.; Department of Colorectal Cancer Surgery, Fudan University Shanghai Cancer Center,  Shanghai, China.; Department of Medical Oncology, Shuguang Hospital, Shanghai University of  Traditional Chinese Medicine, Shanghai, China.; Department of Medical Oncology, Shuguang Hospital, Shanghai University of  Traditional Chinese Medicine, Shanghai, China.; Department of Medical Oncology, Shuguang Hospital, Shanghai University of  Traditional Chinese Medicine, Shanghai, China.; Department of Medical Oncology, Shuguang Hospital, Shanghai University of  Traditional Chinese Medicine, Shanghai, China.; Cancer Research Institute, Hunan Academy of Traditional Chinese Medicine,  Changsha, China.; Department of Oncology, Hospital Affiliated to Shaanxi University of Chinese  Medicine, Xianyang, China.; Department of Integrated Chinese and Western Medicine, Henan Provincial Cancer  Hospital, Affiliated Tumor Hospital of Zhengzhou University, Zhengzhou, China.; Department of Oncology, Affiliated Hospital of Integrated Traditional Chinese and  Western Medicine, Nanjing University of Chinese Medicine, Nanjing, China.; Department of Medical Oncology, Shuguang Hospital, Shanghai University of  Traditional Chinese Medicine, Shanghai, China.; Department of Medical Oncology, Shuguang Hospital, Shanghai University of  Traditional Chinese Medicine, Shanghai, China.; Department of Medical Oncology, Shuguang Hospital, Shanghai University of  Traditional Chinese Medicine, Shanghai, China.; Academy of Integrative Medicine, Shanghai University of Traditional Chinese  Medicine, Shanghai, China.&lt;/_author_adr&gt;&lt;_date_display&gt;2020&lt;/_date_display&gt;&lt;_date&gt;2020-01-20&lt;/_date&gt;&lt;_doi&gt;10.3389/fphar.2020.00478&lt;/_doi&gt;&lt;_isbn&gt;1663-9812 (Print); 1663-9812 (Electronic); 1663-9812 (Linking)&lt;/_isbn&gt;&lt;_journal&gt;Front Pharmacol&lt;/_journal&gt;&lt;_keywords&gt;cetuximab (CET) or bevacizumab (BV); metastatic colorectal cancer; progression-free survival; quality of life; traditional Chinese medicine&lt;/_keywords&gt;&lt;_language&gt;eng&lt;/_language&gt;&lt;_ori_publication&gt;Copyright © 2020 Liu, Wu, Jia, Cai, Wang, Zhou, Ji, Sui, Zeng, Xiao, Liu, Huo, _x000d__x000a_      Feng, Deng and Li.&lt;/_ori_publication&gt;&lt;_pages&gt;478&lt;/_pages&gt;&lt;_tertiary_title&gt;Frontiers in pharmacology&lt;/_tertiary_title&gt;&lt;_type_work&gt;Journal Article&lt;/_type_work&gt;&lt;_url&gt;http://www.ncbi.nlm.nih.gov/entrez/query.fcgi?cmd=Retrieve&amp;amp;db=pubmed&amp;amp;dopt=Abstract&amp;amp;list_uids=32372960&amp;amp;query_hl=1&lt;/_url&gt;&lt;_volume&gt;11&lt;/_volume&gt;&lt;_created&gt;65020956&lt;/_created&gt;&lt;_modified&gt;65021554&lt;/_modified&gt;&lt;_impact_factor&gt;   5.988&lt;/_impact_factor&gt;&lt;_social_category&gt;医学(2)&lt;/_social_category&gt;&lt;_collection_scope&gt;SCIE&lt;/_collection_scope&gt;&lt;_accessed&gt;65021554&lt;/_accessed&gt;&lt;/Details&gt;&lt;Extra&gt;&lt;DBUID&gt;{F96A950B-833F-4880-A151-76DA2D6A2879}&lt;/DBUID&gt;&lt;/Extra&gt;&lt;/Item&gt;&lt;/References&gt;&lt;/Group&gt;&lt;/Citation&gt;_x000a_"/>
    <w:docVar w:name="NE.Ref{B58B0D7F-4565-421A-A390-17D6475A8EE8}" w:val=" ADDIN NE.Ref.{B58B0D7F-4565-421A-A390-17D6475A8EE8}&lt;Citation&gt;&lt;Group&gt;&lt;References&gt;&lt;Item&gt;&lt;ID&gt;5020&lt;/ID&gt;&lt;UID&gt;{6B7A55AC-506D-4096-87B9-1BE06A0F4403}&lt;/UID&gt;&lt;Title&gt;Centers for Medicare &amp;amp; Medicaid Services. https://www.cms.gov/Medicare/Medicare-Fee-for-Service-Payment,Accessed Feb 1, 2024&lt;/Title&gt;&lt;Template&gt;Web Page&lt;/Template&gt;&lt;Star&gt;0&lt;/Star&gt;&lt;Tag&gt;0&lt;/Tag&gt;&lt;Author/&gt;&lt;Year&gt;0&lt;/Year&gt;&lt;Details&gt;&lt;_accessed&gt;65330790&lt;/_accessed&gt;&lt;_created&gt;65329708&lt;/_created&gt;&lt;_modified&gt;65329708&lt;/_modified&gt;&lt;/Details&gt;&lt;Extra&gt;&lt;DBUID&gt;{F96A950B-833F-4880-A151-76DA2D6A2879}&lt;/DBUID&gt;&lt;/Extra&gt;&lt;/Item&gt;&lt;/References&gt;&lt;/Group&gt;&lt;/Citation&gt;_x000a_"/>
    <w:docVar w:name="NE.Ref{B70225AF-62DF-4472-9FA9-564EC0AD6C66}" w:val=" ADDIN NE.Ref.{B70225AF-62DF-4472-9FA9-564EC0AD6C66}&lt;Citation&gt;&lt;Group&gt;&lt;References&gt;&lt;Item&gt;&lt;ID&gt;4717&lt;/ID&gt;&lt;UID&gt;{B4B608CE-C1DE-41F9-8945-8FD4A7F31D72}&lt;/UID&gt;&lt;Title&gt;Health-related quality of life in patients with advanced colorectal cancer  treated with cetuximab: overall and KRAS-specific results of the NCIC CTG and  AGITG CO.17 Trial&lt;/Title&gt;&lt;Template&gt;Journal Article&lt;/Template&gt;&lt;Star&gt;0&lt;/Star&gt;&lt;Tag&gt;0&lt;/Tag&gt;&lt;Author&gt;Au, H J; Karapetis, C S; O&amp;apos;Callaghan, C J; Tu, D; Moore, M J; Zalcberg, J R; Kennecke, H; Shapiro, J D; Koski, S; Pavlakis, N; Charpentier, D; Wyld, D; Jefford, M; Knight, G J; Magoski, N M; Brundage, M D; Jonker, D J&lt;/Author&gt;&lt;Year&gt;2009&lt;/Year&gt;&lt;Details&gt;&lt;_accession_num&gt;19273701&lt;/_accession_num&gt;&lt;_author_adr&gt;Cross Cancer Institute, Edmonton, Alberta, Canada. heathera@cancerboard.ab.ca&lt;/_author_adr&gt;&lt;_date_display&gt;2009 Apr 10&lt;/_date_display&gt;&lt;_date&gt;2009-04-10&lt;/_date&gt;&lt;_doi&gt;10.1200/JCO.2008.19.6048&lt;/_doi&gt;&lt;_isbn&gt;1527-7755 (Electronic); 0732-183X (Linking)&lt;/_isbn&gt;&lt;_issue&gt;11&lt;/_issue&gt;&lt;_journal&gt;J Clin Oncol&lt;/_journal&gt;&lt;_language&gt;eng&lt;/_language&gt;&lt;_pages&gt;1822-8&lt;/_pages&gt;&lt;_subject_headings&gt;Antibodies, Monoclonal/*therapeutic use; Antibodies, Monoclonal, Humanized; Antineoplastic Agents/*therapeutic use; Cetuximab; Colorectal Neoplasms/*drug therapy/*genetics; Humans; Middle Aged; Mutation; Proto-Oncogene Proteins/*genetics; Proto-Oncogene Proteins p21(ras); *Quality of Life; Treatment Outcome; ras Proteins/*genetics&lt;/_subject_headings&gt;&lt;_tertiary_title&gt;Journal of clinical oncology : official journal of the American Society of _x000d__x000a_      Clinical Oncology&lt;/_tertiary_title&gt;&lt;_type_work&gt;Journal Article; Randomized Controlled Trial; Research Support, Non-U.S. Gov&amp;apos;t&lt;/_type_work&gt;&lt;_url&gt;http://www.ncbi.nlm.nih.gov/entrez/query.fcgi?cmd=Retrieve&amp;amp;db=pubmed&amp;amp;dopt=Abstract&amp;amp;list_uids=19273701&amp;amp;query_hl=1&lt;/_url&gt;&lt;_volume&gt;27&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B77F265E-55E9-4D25-B14F-C677FED6E618}" w:val=" ADDIN NE.Ref.{B77F265E-55E9-4D25-B14F-C677FED6E618}&lt;Citation&gt;&lt;Group&gt;&lt;References&gt;&lt;Item&gt;&lt;ID&gt;3003&lt;/ID&gt;&lt;UID&gt;{085AB25D-819B-4098-9200-CE648549D759}&lt;/UID&gt;&lt;Title&gt;Ensartinib vs Crizotinib for Patients With Anaplastic Lymphoma Kinase-Positive Non-Small Cell Lung Cancer: A Randomized Clinical Trial&lt;/Title&gt;&lt;Template&gt;Journal Article&lt;/Template&gt;&lt;Star&gt;0&lt;/Star&gt;&lt;Tag&gt;0&lt;/Tag&gt;&lt;Author&gt;Horn, L; Wang, Z; Wu, G; Poddubskaya, E; Mok, T; Reck, M; Wakelee, H; Chiappori, A A; Lee, D H; Breder, V; Orlov, S; Cicin, I; Cheng, Y; Liu, Y; Fan, Y; Whisenant, J G; Zhou, Y; Oertel, V; Harrow, K; Liang, C; Mao, L; Selvaggi, G; Wu, Y L&lt;/Author&gt;&lt;Year&gt;2021&lt;/Year&gt;&lt;Details&gt;&lt;_accessed&gt;64632481&lt;/_accessed&gt;&lt;_accession_num&gt;34473194&lt;/_accession_num&gt;&lt;_author_adr&gt;Division of Hematology and Oncology, Department of Medicine, Vanderbilt-Ingram Cancer Center, Nashville, Tennessee.; Now with Global Clinical Head for Lung Cancer and Lung Cancer Strategy, AstraZeneca, Nashville, Tennessee.; Department of Thoracic Medical Oncology, Peking University Cancer Hospital and Institute, Beijing, China.; Cancer Center, Union Hospital, Tongji Medical College, Huazhong University of Science and Technology, Wuhan, China.; Clinical Center for Oncology, I. M. Sechenov First Moscow State Medical University (Sechenov University), Moscow, Russia.; Clinical Center VitaMed, Moscow, Russia.; Department of Clinical Oncology, State Key Laboratory of Translational Oncology,  The Chinese University of Hong Kong, Hong Kong, China.; Lung Clinic, Airway Research Center North, German Center for Lung Research, Grosshansdorf, Germany.; Department of Medicine, Division of Oncology and Stanford Cancer Institute, Stanford University, Stanford, California.; Thoracic Oncology Program, Moffitt Cancer Center, Tampa, Florida.; Department of Oncology, University of Ulsan College of Medicine, Asan Medical Center, Seoul, South Korea.; Department of Chemotherapy No. 17, N. N. Blokhin Russian Cancer Research Center,  Moscow, Russia.; Department of Biochemistry, Pavlov First Saint Petersburg State Medical University, St Petersburg, Russia.; Department of Medical Oncology, Faculty of Medicine, Trakya University, Edirne, Turkey.; Department of Thoracic Oncology, Jilin Cancer Hospital, Changchun, China.; Department of Medical Oncology, The First Hospital of China Medical University, Shenyang, Liaoning, China.; Thoracic Tumor Center, Zhejiang Cancer Hospital, Hangzhou, China.; Division of Hematology and Oncology, Department of Medicine, Vanderbilt-Ingram Cancer Center, Nashville, Tennessee.; Biometrics, Xcovery Holdings Inc, Palm Beach Gardens, Florida.; Clinical Operations, Xcovery Holdings Inc, Palm Beach Gardens, Florida.; Clinical Operations, Xcovery Holdings Inc, Palm Beach Gardens, Florida.; Now with EQRx, Cambridge, Massachusetts.; Clinical Science, Xcovery Holdings Inc, Palm Beach Gardens, Florida.; Clinical Development, Xcovery Holdings Inc, Palm Beach Gardens, Florida.; Now with Sino Biopharmaceutical Ltd, Beijing, China.; Clinical Development, Xcovery Holdings Inc, Palm Beach Gardens, Florida.; Guangdong Lung Cancer Institute, Guangdong Provincial People&amp;apos;s Hospital and Guangdong Academy of Medical Sciences, Guangzhou, China.&lt;/_author_adr&gt;&lt;_collection_scope&gt;SCIE&lt;/_collection_scope&gt;&lt;_created&gt;64630949&lt;/_created&gt;&lt;_date&gt;2021-11-01&lt;/_date&gt;&lt;_date_display&gt;2021 Nov 1&lt;/_date_display&gt;&lt;_db_updated&gt;PubMed&lt;/_db_updated&gt;&lt;_doi&gt;10.1001/jamaoncol.2021.3523&lt;/_doi&gt;&lt;_impact_factor&gt;  33.006&lt;/_impact_factor&gt;&lt;_isbn&gt;2374-2445 (Electronic); 2374-2437 (Linking)&lt;/_isbn&gt;&lt;_issue&gt;11&lt;/_issue&gt;&lt;_journal&gt;JAMA Oncol&lt;/_journal&gt;&lt;_language&gt;eng&lt;/_language&gt;&lt;_modified&gt;64740730&lt;/_modified&gt;&lt;_pages&gt;1617-1625&lt;/_pages&gt;&lt;_social_category&gt;医学(1)&lt;/_social_category&gt;&lt;_subject_headings&gt;Adolescent; Adult; Anaplastic Lymphoma Kinase; *Carcinoma, Non-Small-Cell Lung/pathology; Crizotinib/adverse effects; Humans; *Lung Neoplasms/pathology; Male; Middle Aged; Piperazines; Protein Kinase Inhibitors/adverse effects; Pyridazines&lt;/_subject_headings&gt;&lt;_tertiary_title&gt;JAMA oncology&lt;/_tertiary_title&gt;&lt;_type_work&gt;Journal Article; Multicenter Study; Randomized Controlled Trial; Research Support, Non-U.S. Gov&amp;apos;t&lt;/_type_work&gt;&lt;_url&gt;http://www.ncbi.nlm.nih.gov/entrez/query.fcgi?cmd=Retrieve&amp;amp;db=pubmed&amp;amp;dopt=Abstract&amp;amp;list_uids=34473194&amp;amp;query_hl=1&lt;/_url&gt;&lt;_volume&gt;7&lt;/_volume&gt;&lt;/Details&gt;&lt;Extra&gt;&lt;DBUID&gt;{F96A950B-833F-4880-A151-76DA2D6A2879}&lt;/DBUID&gt;&lt;/Extra&gt;&lt;/Item&gt;&lt;/References&gt;&lt;/Group&gt;&lt;/Citation&gt;_x000a_"/>
    <w:docVar w:name="NE.Ref{B7AB98B2-BA2A-4EF0-92B8-DF3616A18E14}" w:val=" ADDIN NE.Ref.{B7AB98B2-BA2A-4EF0-92B8-DF3616A18E14}&lt;Citation&gt;&lt;Group&gt;&lt;References&gt;&lt;Item&gt;&lt;ID&gt;46230&lt;/ID&gt;&lt;UID&gt;{95361737-E32C-492A-A577-8C42173F82FC}&lt;/UID&gt;&lt;Title&gt;Final efficacy and safety data, and exploratory molecular profiling from the  phase III ALUR study of alectinib versus chemotherapy in crizotinib-pretreated  ALK-positive non-small-cell lung cancer&lt;/Title&gt;&lt;Template&gt;Journal Article&lt;/Template&gt;&lt;Star&gt;0&lt;/Star&gt;&lt;Tag&gt;0&lt;/Tag&gt;&lt;Author&gt;Wolf, J; Helland, A; Oh, I J; Migliorino, M R; Dziadziuszko, R; Wrona, A; de Castro, J; Mazieres, J; Griesinger, F; Chlistalla, M; Cardona, A; Ruf, T; Trunzer, K; Smoljanovic, V; Novello, S&lt;/Author&gt;&lt;Year&gt;2022&lt;/Year&gt;&lt;Details&gt;&lt;_accession_num&gt;35042152&lt;/_accession_num&gt;&lt;_author_adr&gt;Department I of Internal Medicine, Center for Integrated Oncology, University  Hospital Cologne, Cologne, Germany.; Department of Cancer Genetics and Department of Oncology, Institute for Cancer  Research, Oslo University Hospital, University of Oslo, Oslo, Norway.; Department of Internal Medicine, Chonnam National University Medical School,  Hwasun-gun Jeollanam-do, Republic of Korea.; Pulmonary Oncology Unit, Azienda Ospedaliera San Camillo Forlanini Hospital,  Rome, Italy.; Department of Oncology and Radiotherapy, Medical University of Gdansk, Gdansk,  Poland.; Department of Oncology and Radiotherapy, Medical University of Gdansk, Gdansk,  Poland.; Department of Medical Oncology, La Paz University Hospital, IdiPAZ, Madrid,  Spain.; Department of Pneumology, Toulouse University Hospital, Paul Sabatier University,  Toulouse, France.; Department of Hematology and Oncology, Pius Hospital, University Medicine  Oldenburg, Oldenburg, Germany.; F. Hoffmann-La Roche Ltd., Basel, Switzerland.; F. Hoffmann-La Roche Ltd., Basel, Switzerland.; F. Hoffmann-La Roche Ltd., Basel, Switzerland.; F. Hoffmann-La Roche Ltd., Basel, Switzerland.; F. Hoffmann-La Roche Ltd., Basel, Switzerland.; Department of Oncology, University of Turin, Orbassano, Italy. Electronic  address: silvia.novello@unito.it.&lt;/_author_adr&gt;&lt;_date_display&gt;2022 Feb&lt;/_date_display&gt;&lt;_date&gt;2022-02-01&lt;/_date&gt;&lt;_doi&gt;10.1016/j.esmoop.2021.100333&lt;/_doi&gt;&lt;_isbn&gt;2059-7029 (Electronic); 2059-7029 (Linking)&lt;/_isbn&gt;&lt;_issue&gt;1&lt;/_issue&gt;&lt;_journal&gt;ESMO Open&lt;/_journal&gt;&lt;_keywords&gt;ALK-positive NSCLC; ALUR; TP53; alectinib; chemotherapy&lt;/_keywords&gt;&lt;_language&gt;eng&lt;/_language&gt;&lt;_ori_publication&gt;Copyright (c) 2021 The Authors. Published by Elsevier Ltd.. All rights reserved.&lt;/_ori_publication&gt;&lt;_pages&gt;100333&lt;/_pages&gt;&lt;_subject_headings&gt;Anaplastic Lymphoma Kinase/genetics; Carbazoles; *Carcinoma, Non-Small-Cell Lung/drug therapy/genetics/pathology; Crizotinib/adverse effects; Humans; *Lung Neoplasms/drug therapy/genetics/pathology; Piperidines&lt;/_subject_headings&gt;&lt;_tertiary_title&gt;ESMO open&lt;/_tertiary_title&gt;&lt;_type_work&gt;Journal Article; Randomized Controlled Trial; Research Support, Non-U.S. Gov&amp;apos;t&lt;/_type_work&gt;&lt;_url&gt;http://www.ncbi.nlm.nih.gov/entrez/query.fcgi?cmd=Retrieve&amp;amp;db=pubmed&amp;amp;dopt=Abstract&amp;amp;list_uids=35042152&amp;amp;query_hl=1&lt;/_url&gt;&lt;_volume&gt;7&lt;/_volume&gt;&lt;_created&gt;64688902&lt;/_created&gt;&lt;_modified&gt;64688902&lt;/_modified&gt;&lt;_db_updated&gt;PubMed&lt;/_db_updated&gt;&lt;_impact_factor&gt;   6.540&lt;/_impact_factor&gt;&lt;/Details&gt;&lt;Extra&gt;&lt;DBUID&gt;{F96A950B-833F-4880-A151-76DA2D6A2879}&lt;/DBUID&gt;&lt;/Extra&gt;&lt;/Item&gt;&lt;/References&gt;&lt;/Group&gt;&lt;/Citation&gt;_x000a_"/>
    <w:docVar w:name="NE.Ref{B7C762CE-F202-47EC-869D-221C9D4BB9DB}" w:val=" ADDIN NE.Ref.{B7C762CE-F202-47EC-869D-221C9D4BB9DB}&lt;Citation&gt;&lt;Group&gt;&lt;References&gt;&lt;Item&gt;&lt;ID&gt;4729&lt;/ID&gt;&lt;UID&gt;{92BE5759-43F8-45A9-B9D1-198D6F6872B1}&lt;/UID&gt;&lt;Title&gt;General Methods for Monitoring Convergence of Iterative Simulations&lt;/Title&gt;&lt;Template&gt;Journal Article&lt;/Template&gt;&lt;Star&gt;0&lt;/Star&gt;&lt;Tag&gt;0&lt;/Tag&gt;&lt;Author&gt;Brooks, Stephen P; Gelman, Andrew&lt;/Author&gt;&lt;Year&gt;1998&lt;/Year&gt;&lt;Details&gt;&lt;_alternate_title&gt;Journal of Computational and Graphical StatisticsJournal of Computational and Graphical Statistics&lt;/_alternate_title&gt;&lt;_date_display&gt;1998_x000d__x000a_1998/12/01&lt;/_date_display&gt;&lt;_date&gt;1998-12-01&lt;/_date&gt;&lt;_doi&gt;10.1080/10618600.1998.10474787&lt;/_doi&gt;&lt;_isbn&gt;1061-8600&lt;/_isbn&gt;&lt;_issue&gt;4&lt;/_issue&gt;&lt;_journal&gt;Journal of Computational and Graphical Statistics&lt;/_journal&gt;&lt;_ori_publication&gt;Taylor &amp;amp; Francis&lt;/_ori_publication&gt;&lt;_pages&gt;434-455&lt;/_pages&gt;&lt;_url&gt;https://www.tandfonline.com/doi/abs/10.1080/10618600.1998.10474787&lt;/_url&gt;&lt;_volume&gt;7&lt;/_volume&gt;&lt;_created&gt;65021555&lt;/_created&gt;&lt;_modified&gt;65021555&lt;/_modified&gt;&lt;_impact_factor&gt;   1.884&lt;/_impact_factor&gt;&lt;_social_category&gt;数学(3)&lt;/_social_category&gt;&lt;_collection_scope&gt;SCIE&lt;/_collection_scope&gt;&lt;/Details&gt;&lt;Extra&gt;&lt;DBUID&gt;{F96A950B-833F-4880-A151-76DA2D6A2879}&lt;/DBUID&gt;&lt;/Extra&gt;&lt;/Item&gt;&lt;/References&gt;&lt;/Group&gt;&lt;/Citation&gt;_x000a_"/>
    <w:docVar w:name="NE.Ref{B7F20408-9E53-4539-B87C-8F8CE20AAE3D}" w:val=" ADDIN NE.Ref.{B7F20408-9E53-4539-B87C-8F8CE20AAE3D}&lt;Citation&gt;&lt;Group&gt;&lt;References&gt;&lt;Item&gt;&lt;ID&gt;4874&lt;/ID&gt;&lt;UID&gt;{A3E1D3DF-793C-4AD6-9F59-E218EC1CCBA4}&lt;/UID&gt;&lt;Title&gt;Current Challenges of Cancer Anti-angiogenic Therapy and the Promise of  Nanotherapeutics&lt;/Title&gt;&lt;Template&gt;Journal Article&lt;/Template&gt;&lt;Star&gt;0&lt;/Star&gt;&lt;Tag&gt;0&lt;/Tag&gt;&lt;Author&gt;Abdalla, AME; Xiao, L; Ullah, M W; Yu, M; Ouyang, C; Yang, G&lt;/Author&gt;&lt;Year&gt;2018&lt;/Year&gt;&lt;Details&gt;&lt;_accession_num&gt;29290825&lt;/_accession_num&gt;&lt;_author_adr&gt;Department of Biomedical Engineering, College of Life Science and Technology,  Huazhong University of Science and Technology, Wuhan 430074, China.; Department of Biochemistry, College of Applied Science, University of Bahri,  Khartoum 1660/11111, Sudan.; Department of Biomedical Engineering, College of Life Science and Technology,  Huazhong University of Science and Technology, Wuhan 430074, China.; National Engineering Research Centre for Nano-Medicine, Huazhong University of  Science and Technology, Wuhan 430074, China.; Department of Biomedical Engineering, College of Life Science and Technology,  Huazhong University of Science and Technology, Wuhan 430074, China.; National Engineering Research Centre for Nano-Medicine, Huazhong University of  Science and Technology, Wuhan 430074, China.; Department of Vascular Surgery, General Hospital of Ningxia Medical University,  Yinchuan, Ningxia 750004, China.; Department of Vascular Surgery, Fuwai Hospital, Beijing 100037, China.; Department of Biomedical Engineering, College of Life Science and Technology,  Huazhong University of Science and Technology, Wuhan 430074, China.; National Engineering Research Centre for Nano-Medicine, Huazhong University of  Science and Technology, Wuhan 430074, China.&lt;/_author_adr&gt;&lt;_date_display&gt;2018&lt;/_date_display&gt;&lt;_date&gt;2018-01-20&lt;/_date&gt;&lt;_doi&gt;10.7150/thno.21674&lt;/_doi&gt;&lt;_isbn&gt;1838-7640 (Electronic); 1838-7640 (Linking)&lt;/_isbn&gt;&lt;_issue&gt;2&lt;/_issue&gt;&lt;_journal&gt;Theranostics&lt;/_journal&gt;&lt;_keywords&gt;Cancer; anti-angiogenic agents; biomarkers; drug resistance; metastasis.; nanotherapeutics; tumor microenvironment; tumor vessels&lt;/_keywords&gt;&lt;_language&gt;eng&lt;/_language&gt;&lt;_pages&gt;533-548&lt;/_pages&gt;&lt;_subject_headings&gt;Angiogenesis Inhibitors/*pharmacology/*therapeutic use; Animals; Antineoplastic Agents/*pharmacology/*therapeutic use; Drug Delivery Systems/methods; Humans; Nanoparticles/*administration &amp;amp; dosage; Neoplasms/*drug therapy; Neovascularization, Pathologic/*drug therapy&lt;/_subject_headings&gt;&lt;_tertiary_title&gt;Theranostics&lt;/_tertiary_title&gt;&lt;_type_work&gt;Journal Article; Research Support, Non-U.S. Gov&amp;apos;t; Review&lt;/_type_work&gt;&lt;_url&gt;http://www.ncbi.nlm.nih.gov/entrez/query.fcgi?cmd=Retrieve&amp;amp;db=pubmed&amp;amp;dopt=Abstract&amp;amp;list_uids=29290825&amp;amp;query_hl=1&lt;/_url&gt;&lt;_volume&gt;8&lt;/_volume&gt;&lt;_created&gt;65089356&lt;/_created&gt;&lt;_modified&gt;65089356&lt;/_modified&gt;&lt;_impact_factor&gt;  11.600&lt;/_impact_factor&gt;&lt;_social_category&gt;医学(1)&lt;/_social_category&gt;&lt;_collection_scope&gt;SCIE&lt;/_collection_scope&gt;&lt;/Details&gt;&lt;Extra&gt;&lt;DBUID&gt;{F96A950B-833F-4880-A151-76DA2D6A2879}&lt;/DBUID&gt;&lt;/Extra&gt;&lt;/Item&gt;&lt;/References&gt;&lt;/Group&gt;&lt;Group&gt;&lt;References&gt;&lt;Item&gt;&lt;ID&gt;4875&lt;/ID&gt;&lt;UID&gt;{80A2005A-A79F-4E9D-9424-AF2777200822}&lt;/UID&gt;&lt;Title&gt;Tumor angiogenesis: causes, consequences, challenges and opportunities&lt;/Title&gt;&lt;Template&gt;Journal Article&lt;/Template&gt;&lt;Star&gt;0&lt;/Star&gt;&lt;Tag&gt;0&lt;/Tag&gt;&lt;Author&gt;Lugano, R; Ramachandran, M; Dimberg, A&lt;/Author&gt;&lt;Year&gt;2020&lt;/Year&gt;&lt;Details&gt;&lt;_accession_num&gt;31690961&lt;/_accession_num&gt;&lt;_author_adr&gt;The Rudbeck Laboratory, Department of Immunology, Genetics and Pathology, Uppsala  University, 75185, Uppsala, Sweden.; The Rudbeck Laboratory, Department of Immunology, Genetics and Pathology, Uppsala  University, 75185, Uppsala, Sweden.; The Rudbeck Laboratory, Department of Immunology, Genetics and Pathology, Uppsala  University, 75185, Uppsala, Sweden. Anna.Dimberg@igp.uu.se.&lt;/_author_adr&gt;&lt;_date_display&gt;2020 May&lt;/_date_display&gt;&lt;_date&gt;2020-05-01&lt;/_date&gt;&lt;_doi&gt;10.1007/s00018-019-03351-7&lt;/_doi&gt;&lt;_isbn&gt;1420-9071 (Electronic); 1420-682X (Print); 1420-682X (Linking)&lt;/_isbn&gt;&lt;_issue&gt;9&lt;/_issue&gt;&lt;_journal&gt;Cell Mol Life Sci&lt;/_journal&gt;&lt;_keywords&gt;Angiogenesis; Anti-angiogenic therapy; Cancer; Endothelial; VEGF; Vascular targeting&lt;/_keywords&gt;&lt;_language&gt;eng&lt;/_language&gt;&lt;_pages&gt;1745-1770&lt;/_pages&gt;&lt;_subject_headings&gt;Angiogenesis Inhibitors/*therapeutic use; Animals; Humans; Neoplasms/blood supply/drug therapy/*pathology; Neovascularization, Pathologic/drug therapy/*pathology; Signal Transduction&lt;/_subject_headings&gt;&lt;_tertiary_title&gt;Cellular and molecular life sciences : CMLS&lt;/_tertiary_title&gt;&lt;_type_work&gt;Journal Article; Review&lt;/_type_work&gt;&lt;_url&gt;http://www.ncbi.nlm.nih.gov/entrez/query.fcgi?cmd=Retrieve&amp;amp;db=pubmed&amp;amp;dopt=Abstract&amp;amp;list_uids=31690961&amp;amp;query_hl=1&lt;/_url&gt;&lt;_volume&gt;77&lt;/_volume&gt;&lt;_created&gt;65089356&lt;/_created&gt;&lt;_modified&gt;65089356&lt;/_modified&gt;&lt;_impact_factor&gt;   9.207&lt;/_impact_factor&gt;&lt;_social_category&gt;生物学(2)&lt;/_social_category&gt;&lt;_collection_scope&gt;SCIE&lt;/_collection_scope&gt;&lt;/Details&gt;&lt;Extra&gt;&lt;DBUID&gt;{F96A950B-833F-4880-A151-76DA2D6A2879}&lt;/DBUID&gt;&lt;/Extra&gt;&lt;/Item&gt;&lt;/References&gt;&lt;/Group&gt;&lt;/Citation&gt;_x000a_"/>
    <w:docVar w:name="NE.Ref{B985AE4B-F1D0-402C-886A-E7237C65A8AD}" w:val=" ADDIN NE.Ref.{B985AE4B-F1D0-402C-886A-E7237C65A8AD}&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32&lt;/ID&gt;&lt;UID&gt;{AC85D677-102F-4D7C-8CEF-8512683D25B2}&lt;/UID&gt;&lt;Title&gt;Clinical and economic outcomes of treatment sequences for intermediate- to  poor-risk advanced renal cell carcinoma&lt;/Title&gt;&lt;Template&gt;Journal Article&lt;/Template&gt;&lt;Star&gt;0&lt;/Star&gt;&lt;Tag&gt;0&lt;/Tag&gt;&lt;Author&gt;Ambavane, A; Yang, S; Atkins, M B; Rao, S; Shah, A; Regan, M M; McDermott, D F; Michaelson, M D&lt;/Author&gt;&lt;Year&gt;2020&lt;/Year&gt;&lt;Details&gt;&lt;_accession_num&gt;31992108&lt;/_accession_num&gt;&lt;_author_adr&gt;Evidence Synthesis, Modeling, &amp;amp; Communications, Evidera, Inc., Bethesda, MD  20814, USA.; Health Economics Outcomes Research, Bristol-Myers Squibb, Princeton, NJ 08540,  USA.; Department of Internal Medicine - Medical Oncology, Georgetown-Lombardi  Comprehensive Cancer Center, Washington, DC 20007-2113, USA.; Health Economics Outcomes Research, Bristol-Myers Squibb, Princeton, NJ 08540,  USA.; Evidence Synthesis, Modeling, &amp;amp; Communications, Evidera, Inc., Waltham, MA 20814,  USA.; Division of Biostatistics, Dana-Farber Cancer Institute, Harvard Medical School,  Boston, MA 02215, USA.; Department of Medicine, Beth Israel Deaconess Medical Center, Dana-Farber/Harvard  Cancer Center, Boston, MA 02215, USA.; Massachusetts General Hospital Cancer Center, Boston, MA 02214, USA.&lt;/_author_adr&gt;&lt;_date_display&gt;2020 Jan&lt;/_date_display&gt;&lt;_date&gt;2020-01-01&lt;/_date&gt;&lt;_doi&gt;10.2217/imt-2019-0199&lt;/_doi&gt;&lt;_isbn&gt;1750-7448 (Electronic); 1750-743X (Linking)&lt;/_isbn&gt;&lt;_issue&gt;1&lt;/_issue&gt;&lt;_journal&gt;Immunotherapy&lt;/_journal&gt;&lt;_keywords&gt;cost–effectiveness; immuno-oncology therapy; renal cell carcinoma; survival; treatment sequences; treatment-free interval&lt;/_keywords&gt;&lt;_language&gt;eng&lt;/_language&gt;&lt;_pages&gt;37-51&lt;/_pages&gt;&lt;_subject_headings&gt;Antineoplastic Agents, Immunological/*therapeutic use; Antineoplastic Protocols; Carcinoma, Renal Cell/*drug therapy/economics/mortality; *Computer Simulation; Cost-Benefit Analysis; Drug Therapy, Combination; Humans; Ipilimumab/*therapeutic use; Kidney Neoplasms/*drug therapy/economics/mortality; Models, Economic; Neoplasm Staging; Nivolumab/*therapeutic use; Quality-Adjusted Life Years; Survival Analysis; Treatment Outcome&lt;/_subject_headings&gt;&lt;_tertiary_title&gt;Immunotherapy&lt;/_tertiary_title&gt;&lt;_type_work&gt;Clinical Trial, Phase II; Journal Article; Research Support, Non-U.S. Gov&amp;apos;t&lt;/_type_work&gt;&lt;_url&gt;http://www.ncbi.nlm.nih.gov/entrez/query.fcgi?cmd=Retrieve&amp;amp;db=pubmed&amp;amp;dopt=Abstract&amp;amp;list_uids=31992108&amp;amp;query_hl=1&lt;/_url&gt;&lt;_volume&gt;12&lt;/_volume&gt;&lt;_created&gt;65329740&lt;/_created&gt;&lt;_modified&gt;65329740&lt;/_modified&gt;&lt;_impact_factor&gt;   2.800&lt;/_impact_factor&gt;&lt;_social_category&gt;免疫学(4)&lt;/_social_category&gt;&lt;_collection_scope&gt;SCIE&lt;/_collection_scope&gt;&lt;_accessed&gt;65330823&lt;/_accessed&gt;&lt;/Details&gt;&lt;Extra&gt;&lt;DBUID&gt;{F96A950B-833F-4880-A151-76DA2D6A2879}&lt;/DBUID&gt;&lt;/Extra&gt;&lt;/Item&gt;&lt;/References&gt;&lt;/Group&gt;&lt;/Citation&gt;_x000a_"/>
    <w:docVar w:name="NE.Ref{BB30DFC8-78A5-4F3E-BF00-37A67B0DDBD4}" w:val=" ADDIN NE.Ref.{BB30DFC8-78A5-4F3E-BF00-37A67B0DDBD4}&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Citation&gt;_x000a_"/>
    <w:docVar w:name="NE.Ref{BE0E56F3-66A6-4CF2-9C10-5FE98E3F27C6}" w:val=" ADDIN NE.Ref.{BE0E56F3-66A6-4CF2-9C10-5FE98E3F27C6}&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BEC57381-FC92-4A1C-8F45-F50F2CC7DAE7}" w:val=" ADDIN NE.Ref.{BEC57381-FC92-4A1C-8F45-F50F2CC7DAE7}&lt;Citation&gt;&lt;Group&gt;&lt;References&gt;&lt;Item&gt;&lt;ID&gt;3017&lt;/ID&gt;&lt;UID&gt;{B7E83D5C-E74F-4890-A8D5-C43325E06427}&lt;/UID&gt;&lt;Title&gt;319O ALTA-3: A randomized trial of brigatinib (BRG) vs alectinib (ALC) in crizotinib (CRZ)-refractory advanced ALK+ NSCLC&lt;/Title&gt;&lt;Template&gt;Journal Article&lt;/Template&gt;&lt;Star&gt;0&lt;/Star&gt;&lt;Tag&gt;0&lt;/Tag&gt;&lt;Author&gt;Yang, J C-H.; Liu, G; Lu, S; He, J; Burotto, M; Vincent, S; Yin, J; Ma, X; Popat, S&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6&lt;/_doi&gt;&lt;_impact_factor&gt;  51.769&lt;/_impact_factor&gt;&lt;_isbn&gt;0923-7534&lt;/_isbn&gt;&lt;_journal&gt;Annals of Oncology&lt;/_journal&gt;&lt;_modified&gt;64740730&lt;/_modified&gt;&lt;_pages&gt;S1564&lt;/_pages&gt;&lt;_social_category&gt;医学(1)&lt;/_social_category&gt;&lt;_url&gt;https://www.sciencedirect.com/science/article/pii/S0923753422045471&lt;/_url&gt;&lt;_volume&gt;33&lt;/_volume&gt;&lt;/Details&gt;&lt;Extra&gt;&lt;DBUID&gt;{F96A950B-833F-4880-A151-76DA2D6A2879}&lt;/DBUID&gt;&lt;/Extra&gt;&lt;/Item&gt;&lt;/References&gt;&lt;/Group&gt;&lt;Group&gt;&lt;References&gt;&lt;Item&gt;&lt;ID&gt;3013&lt;/ID&gt;&lt;UID&gt;{DDF77562-F5F9-4F91-93AD-71B2DFC51B31}&lt;/UID&gt;&lt;Title&gt;320MO Envonalkib vs crizotinib in treatment-naïve advanced ALK-positive NSCLC: A randomized, multicenter, phase III trial&lt;/Title&gt;&lt;Template&gt;Journal Article&lt;/Template&gt;&lt;Star&gt;0&lt;/Star&gt;&lt;Tag&gt;0&lt;/Tag&gt;&lt;Author&gt;Zhang, L; Fang, W; Min, J; Yang, N; Yu, Q; Cheng, Y; Zhao, Y; Li, M; Chen, H; Ren, S; Zhou, J; Zhuang, W; Qin, X; Cao, L; Yu, Y; Zhang, J; He, J; Feng, J; Yu, H&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7&lt;/_doi&gt;&lt;_impact_factor&gt;  51.769&lt;/_impact_factor&gt;&lt;_isbn&gt;0923-7534&lt;/_isbn&gt;&lt;_journal&gt;Annals of Oncology&lt;/_journal&gt;&lt;_modified&gt;64740730&lt;/_modified&gt;&lt;_pages&gt;S1564-S1565&lt;/_pages&gt;&lt;_social_category&gt;医学(1)&lt;/_social_category&gt;&lt;_url&gt;https://www.sciencedirect.com/science/article/pii/S0923753422045483&lt;/_url&gt;&lt;_volume&gt;33&lt;/_volume&gt;&lt;/Details&gt;&lt;Extra&gt;&lt;DBUID&gt;{F96A950B-833F-4880-A151-76DA2D6A2879}&lt;/DBUID&gt;&lt;/Extra&gt;&lt;/Item&gt;&lt;/References&gt;&lt;/Group&gt;&lt;/Citation&gt;_x000a_"/>
    <w:docVar w:name="NE.Ref{BFA80EFA-DD20-4331-A848-6DF58BE46F00}" w:val=" ADDIN NE.Ref.{BFA80EFA-DD20-4331-A848-6DF58BE46F00}&lt;Citation&gt;&lt;Group&gt;&lt;References&gt;&lt;Item&gt;&lt;ID&gt;5034&lt;/ID&gt;&lt;UID&gt;{9D487E77-5EA1-4406-A362-455311C023D4}&lt;/UID&gt;&lt;Title&gt;Fruquintinib versus placebo in patients with refractory metastatic colorectal  cancer (FRESCO-2): an international, multicentre, randomised, double-blind, phase  3 study&lt;/Title&gt;&lt;Template&gt;Journal Article&lt;/Template&gt;&lt;Star&gt;0&lt;/Star&gt;&lt;Tag&gt;0&lt;/Tag&gt;&lt;Author&gt;Dasari, A; Lonardi, S; Garcia-Carbonero, R; Elez, E; Yoshino, T; Sobrero, A; Yao, J; García-Alfonso, P; Kocsis, J; Cubillo, Gracian A; Sartore-Bianchi, A; Satoh, T; Randrian, V; Tomasek, J; Chong, G; Paulson, A S; Masuishi, T; Jones, J; Csőszi, T; Cremolini, C; Ghiringhelli, F; Shergill, A; Hochster, H S; Krauss, J; Bassam, A; Ducreux, M; Elme, A; Faugeras, L; Kasper, S; Van Cutsem, E; Arnold, D; Nanda, S; Yang, Z; Schelman, W R; Kania, M; Tabernero, J; Eng, C&lt;/Author&gt;&lt;Year&gt;2023&lt;/Year&gt;&lt;Details&gt;&lt;_accession_num&gt;37331369&lt;/_accession_num&gt;&lt;_author_adr&gt;Department of Gastrointestinal Medical Oncology, University of Texas MD Anderson  Cancer Center, Houston, TX, USA. Electronic address: adasari@mdanderson.org.; Medical Oncology Unit 1, Veneto Institute of Oncology IOV-IRCCS Padua, Padua,  Italy.; Oncology Department, Hospital Universitario 12 de Octubre, lmas12, UCM, Madrid,  Spain.; Vall d&amp;apos;Hebron Barcelona Hospital Campus, Vall d&amp;apos;Hebron Institute of Oncology,  Universitat Autònoma de Barcelona, Barcelona, Spain.; Department of Gastroenterology and Gastrointestinal Oncology, National Cancer  Center Hospital East, Kashiwa, Japan.; Department of Medical Oncology, Azienda Ospedaliera San Martino, Genoa, Italy.; Department of Gastrointestinal Medical Oncology, University of Texas MD Anderson  Cancer Center, Houston, TX, USA.; Medical Oncology Service, Hospital General Universitario Gregorio Marañón,  Instituto de Investigación Sanitaria Gregorio Marañón (IiSGM), Universidad  Complutense, Madrid, Spain.; Department of Oncoradiology, Bács -Kiskun Megyei Oktatókórház, Kecskemét,  Hungary.; Medical Oncology, Hospital Universitario HM Sanchinarro Centro Integral  Oncológico Clara Campal, Madrid, Spain.; Grande Ospedale Metropolitano Niguarda, Milan, Italy; Department of Oncology and  Hemato-Oncology, Università degli Studi di Milano, Milan, Italy.; Palliative and Supportive Care Center, Osaka University Hospital, Osaka, Japan.; Department of Hepato-Gastroenterology, CHU Poitiers, Université de Poitiers,  Poitiers, France.; Department of Complex Oncology Care, Masaryk Memorial Cancer Institute, Brno,  Czech Republic.; Olivia Newton-John Cancer Wellness &amp;amp; Research Centre, Austin Hospital, Melbourne,  VIC, Australia.; Texas Oncology-Baylor Charles A Sammons Cancer Center, US Oncology Research,  Dallas, TX, USA.; Department of Clinical Oncology, Aichi Cancer Center Hospital, Aichi, Japan.; Division of Hematology and Medical Oncology, Mayo Clinic Cancer Center,  Jacksonville, FL, USA.; Hetényi Géza Kórház, Onkológiai Központ, Szolnok, Hungary.; Department of Translational Research and New Technologies in Medicine and  Surgery, University of Pisa, Pisa, Italy.; Department of Medical Oncology, Centre Georges François Leclerc, Dijon, France.; University of Chicago, Biological Sciences Division, Chicago, IL, USA.; Rutgers Cancer Institute of New Jersey, New Brunswick, NJ, USA.; Department of Medicine, University of Michigan, Ann Arbor, MI, USA.; Békés Megyei Központi Kórház, Pándy Kálmán Tagkórház, Megyei Onkológiai Központ,  Gyula, Hungary.; Gustave Roussy Cancer Center, Inserm U1279 Tumors Cell Dynamics, Université Paris  Saclay, Villejuif, France.; Oncology and Haematology Clinic, North Estonia Medical Centre, Tallinn, Estonia.; Department of Oncology, CHU UCL Namur, Site Godinne, Yvoir, Belgium.; Department of Medical Oncology, West German Cancer Center, University Hospital  Essen, Essen, Germany.; University Hospitals Gasthuisberg, Leuven and KU Leuven, Leuven, Belgium.; Asklepios Tumorzentrum Hamburg, Department of Oncology and Hematology, AK Altona,  Hamburg, Germany.; HUTCHMED International Corporation, Florham Park, NJ, USA.; HUTCHMED International Corporation, Florham Park, NJ, USA.; HUTCHMED International Corporation, Florham Park, NJ, USA.; HUTCHMED International Corporation, Florham Park, NJ, USA.; Vall d&amp;apos;Hebron Barcelona Hospital Campus, Vall d&amp;apos;Hebron Institute of Oncology  (VHIO), IOB-Quiron, Barcelona, Spain.; Division Hematology and Oncology, Vanderbilt-Ingram Cancer Center, Nashville, TN,  USA.&lt;/_author_adr&gt;&lt;_date_display&gt;2023 Jul 1&lt;/_date_display&gt;&lt;_date&gt;2023-07-01&lt;/_date&gt;&lt;_doi&gt;10.1016/S0140-6736(23)00772-9&lt;/_doi&gt;&lt;_isbn&gt;1474-547X (Electronic); 0140-6736 (Linking)&lt;/_isbn&gt;&lt;_issue&gt;10395&lt;/_issue&gt;&lt;_journal&gt;Lancet&lt;/_journal&gt;&lt;_language&gt;eng&lt;/_language&gt;&lt;_ori_publication&gt;Copyright © 2023 Elsevier Ltd. All rights reserved.&lt;/_ori_publication&gt;&lt;_pages&gt;41-53&lt;/_pages&gt;&lt;_subject_headings&gt;Humans; Trifluridine/adverse effects; Vascular Endothelial Growth Factor A; Quality of Life; *Colorectal Neoplasms; *Colonic Neoplasms; *Rectal Neoplasms/drug therapy; Double-Blind Method; Antineoplastic Combined Chemotherapy Protocols/adverse effects&lt;/_subject_headings&gt;&lt;_tertiary_title&gt;Lancet (London, England)&lt;/_tertiary_title&gt;&lt;_type_work&gt;Clinical Trial, Phase III; Journal Article; Multicenter Study; Randomized Controlled Trial&lt;/_type_work&gt;&lt;_url&gt;http://www.ncbi.nlm.nih.gov/entrez/query.fcgi?cmd=Retrieve&amp;amp;db=pubmed&amp;amp;dopt=Abstract&amp;amp;list_uids=37331369&amp;amp;query_hl=1&lt;/_url&gt;&lt;_volume&gt;402&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Group&gt;&lt;References&gt;&lt;Item&gt;&lt;ID&gt;5036&lt;/ID&gt;&lt;UID&gt;{F2CA6EA4-05F3-414C-BD41-AACD34657658}&lt;/UID&gt;&lt;Title&gt;Regorafenib plus best supportive care versus placebo plus best supportive care in  Asian patients with previously treated metastatic colorectal cancer (CONCUR): a  randomised, double-blind, placebo-controlled, phase 3 trial&lt;/Title&gt;&lt;Template&gt;Journal Article&lt;/Template&gt;&lt;Star&gt;0&lt;/Star&gt;&lt;Tag&gt;0&lt;/Tag&gt;&lt;Author&gt;Li, J; Qin, S; Xu, R; Yau, T C; Ma, B; Pan, H; Xu, J; Bai, Y; Chi, Y; Wang, L; Yeh, K H; Bi, F; Cheng, Y; &amp;quot;Le AT&amp;quot;; Lin, J K; Liu, T; Ma, D; Kappeler, C; Kalmus, J; Kim, T W&lt;/Author&gt;&lt;Year&gt;2015&lt;/Year&gt;&lt;Details&gt;&lt;_accession_num&gt;25981818&lt;/_accession_num&gt;&lt;_author_adr&gt;Department of Medical Oncology, Fudan University Shanghai Cancer Center, and  Department of Oncology, Shanghai Medical College, Fudan University, Shanghai,  China.; Department of Medical Oncology, Chinese People&amp;apos;s Liberation Army Cancer Center of  Nanjing Bayi Hospital, Nanjing, China.; Department of Medical Oncology, Sun Yat-Sen University Cancer Center,  Collaborative Innovation Center for Cancer Medicine, Guangzhou, China.; Department of Medicine, University of Hong Kong, Queen Mary Hospital, Hong Kong,  China.; Department of Clinical Oncology, Prince of Wales Hospital, Chinese University of  Hong Kong, Hong Kong, China.; Medical Oncology, Sir Run Run Shaw Hospital Medical School, Zhejiang University,  Hangzhou, China.; Beijing 307 People&amp;apos;s Liberation Army Hospital Cancer Centre, Beijing, China.; Third Affiliated Hospital of Harbin Medical University, Harbin, China.; Department of Medical Oncology, Cancer Hospital, Chinese Academy of Medical  Sciences, Beijing, China.; Comprehensive Cancer Center, Shanghai First People&amp;apos;s Hospital, Shanghai Jiaotong  University, Shanghai, China.; Department of Oncology, National Taiwan University Hospital, Taipei, Taiwan.; Department of Medical Oncology, West China Hospital, Sichuan University, Chengdu,  China.; Jilin Provincial Tumor Hospital, Changchun, China.; Department of Oncology, Cho Ray Hospital, Ho Chi Minh City, Vietnam.; Department of Surgery, Taipei Veterans General Hospital, National Yang-Ming  University, Taipei, Taiwan.; Department of Medical Oncology, Zhong Shan Hospital, Fudan University, Shanghai,  China.; Department of Medical Oncology, Guangdong General Hospital, Guangzhou, Guangdong,  China.; Bayer Pharma AG, Berlin, Germany.; Bayer Pharma AG, Berlin, Germany.; Department of Oncology, Asan Medical Center, University of Ulsan College of  Medicine, Songpa-gu, South Korea. Electronic address: twkimmd@amc.seoul.kr.&lt;/_author_adr&gt;&lt;_date_display&gt;2015 Jun&lt;/_date_display&gt;&lt;_date&gt;2015-06-01&lt;/_date&gt;&lt;_doi&gt;10.1016/S1470-2045(15)70156-7&lt;/_doi&gt;&lt;_isbn&gt;1474-5488 (Electronic); 1470-2045 (Linking)&lt;/_isbn&gt;&lt;_issue&gt;6&lt;/_issue&gt;&lt;_journal&gt;Lancet Oncol&lt;/_journal&gt;&lt;_language&gt;eng&lt;/_language&gt;&lt;_ori_publication&gt;Copyright © 2015 Elsevier Ltd. All rights reserved.&lt;/_ori_publication&gt;&lt;_pages&gt;619-29&lt;/_pages&gt;&lt;_subject_headings&gt;Aged; Antineoplastic Combined Chemotherapy Protocols/*administration &amp;amp; dosage; Asian People; Colorectal Neoplasms/*drug therapy/epidemiology/pathology; Disease-Free Survival; Double-Blind Method; Female; Humans; Kaplan-Meier Estimate; Male; Middle Aged; Neoplasm Metastasis; Phenylurea Compounds/*administration &amp;amp; dosage/adverse effects; Pyridines/*administration &amp;amp; dosage/adverse effects; Treatment Outcom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25981818&amp;amp;query_hl=1&lt;/_url&gt;&lt;_volume&gt;16&lt;/_volume&gt;&lt;_created&gt;65329740&lt;/_created&gt;&lt;_modified&gt;65329740&lt;/_modified&gt;&lt;_impact_factor&gt;  51.100&lt;/_impact_factor&gt;&lt;_social_category&gt;肿瘤学(1)&lt;/_social_category&gt;&lt;_collection_scope&gt;SCIE&lt;/_collection_scope&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Group&gt;&lt;References&gt;&lt;Item&gt;&lt;ID&gt;5038&lt;/ID&gt;&lt;UID&gt;{E1AFF1CE-834F-47CD-AB65-9B4E05D6B565}&lt;/UID&gt;&lt;Title&gt;Effect of Fruquintinib vs Placebo on Overall Survival in Patients With Previously  Treated Metastatic Colorectal Cancer: The FRESCO Randomized Clinical Trial&lt;/Title&gt;&lt;Template&gt;Journal Article&lt;/Template&gt;&lt;Star&gt;0&lt;/Star&gt;&lt;Tag&gt;0&lt;/Tag&gt;&lt;Author&gt;Li, J; Qin, S; Xu, R H; Shen, L; Xu, J; Bai, Y; Yang, L; Deng, Y; Chen, Z D; Zhong, H; Pan, H; Guo, W; Shu, Y; Yuan, Y; Zhou, J; Xu, N; Liu, T; Ma, D; Wu, C; Cheng, Y; Chen, D; Li, W; Sun, S; Yu, Z; Cao, P; Chen, H; Wang, J; Wang, S; Wang, H; Fan, S; Hua, Y; Su, W&lt;/Author&gt;&lt;Year&gt;2018&lt;/Year&gt;&lt;Details&gt;&lt;_accession_num&gt;29946728&lt;/_accession_num&gt;&lt;_author_adr&gt;Department of Medical Oncology, Tongji University Shanghai East Hospital,  Shanghai, China.; Department of Medical Oncology, Shanghai Medical College, Fudan University  Shanghai Cancer Center, Shanghai, China.; Department of Medical Oncology, Nanjing Chinese Medicine University-Affiliated  Bayi Hospital, Nanjing, China.; Department of Medical Oncology, Sun Yat-sen University Cancer Center, State Key  Laboratory of Oncology in South China, Guangzhou, China.; Collaborative Innovation Center for Cancer Medicine, Guangzhou, China.; Department of Medical Oncology, Beijing University Cancer Center, Beijing, China.; Department of Medical Oncology, 307th Hospital of Chinese People&amp;apos;s Liberation  Army, The Affiliated Hospital of Military Medical Sciences, Beijing, China.; Department of Medical Oncology, Harbin Medical University Cancer Hospital,  Harbin, China.; Department of Medical Oncology, Nantong Cancer Hospital, Nantong, China.; Department of Medical Oncology, The Sixth Affiliated Hospital of Sun Yat-sen  University, Guangzhou, China.; Department of Medical Oncology, The Second Hospital of Anhui Medical University,  Hefei, China.; Department of Medical Oncology, Zhejiang Cancer Hospital, Hangzhou, China.; Department of Medical Oncology, Sir RunRun Shaw Hospital, College of Medicine,  Zhejiang University, Hangzhou, China.; Department of Medical Oncology, Shanghai Medical College, Fudan University  Shanghai Cancer Center, Shanghai, China.; Department of Medical Oncology, Jiangsu Provincial Hospital, Nanjing, China.; Department of Medical Oncology, The Second Affiliated Hospital of Zhejiang  University School of Medicine, Hangzhou, China.; Department of Medical Oncology, Peking Union Medical College Hospital, Beijing,  China.; Department of Medical Oncology, The First Affiliated Hospital of Zhejiang  University School of Medicine, Hangzhou, China.; Department of Medical Oncology, Fudan University Zhongshan Hospital, Shanghai  Medical College, Shanghai, China.; Department of Medical Oncology, Guangdong General Hospital, Guangzhou, China.; Department of Medical Oncology, The First People&amp;apos;s Hospital of Changzhou,  Changzhou, China.; Department of Medical Oncology, Jilin Province Cancer Hospital, Changchun, China.; Department of Medical Oncology, Shanghai Jiaotong University Affiliated First  People&amp;apos;s Hospital, Shanghai, China.; Department of Medical Oncology, The First Hospital of Jilin University,  Changchun, China.; Department of Medical Oncology, Xuzhou Central Hospital, Xuzhou, China.; Department of Medical Oncology, The Affiliated Hospital of Medical College  Qingdao University, Qingdao, China.; Department of Medical Oncology, The Third Xiangya Hospital of Central South  University, Changsha, China.; Department of Medical Oncology, Liuzhou Worker&amp;apos;s Hospital, Liuzhou, China.; Department of Medical Oncology, Shanghai Changzheng Hospital, The Second Military  Medical University, Shanghai, China.; Department of Medical Oncology, Peking University Shenzhen Hospital, Beijing  University, Shenzhen, China.; Department of Medical Oncology, The Affiliated Hospital of Xuzhou Medical  College, Xuzhou Medical College, Xuzhou, China.; Hutchison MediPharma Ltd, Shanghai, China.; Hutchison MediPharma Ltd, Shanghai, China.; Hutchison MediPharma Ltd, Shanghai, China.&lt;/_author_adr&gt;&lt;_date_display&gt;2018 Jun 26&lt;/_date_display&gt;&lt;_date&gt;2018-06-26&lt;/_date&gt;&lt;_doi&gt;10.1001/jama.2018.7855&lt;/_doi&gt;&lt;_isbn&gt;1538-3598 (Electronic); 0098-7484 (Print); 0098-7484 (Linking)&lt;/_isbn&gt;&lt;_issue&gt;24&lt;/_issue&gt;&lt;_journal&gt;JAMA&lt;/_journal&gt;&lt;_language&gt;eng&lt;/_language&gt;&lt;_pages&gt;2486-2496&lt;/_pages&gt;&lt;_subject_headings&gt;Adult; Aged; Aged, 80 and over; Antineoplastic Combined Chemotherapy Protocols/adverse effects/*therapeutic use; Benzofurans/*administration &amp;amp; dosage/adverse effects; China; Colorectal Neoplasms/*drug therapy/mortality/pathology/therapy; Combined Modality Therapy; Double-Blind Method; Female; Humans; Intention to Treat Analysis; Male; Middle Aged; Quinazolines/*administration &amp;amp; dosage/adverse effects; Survival Analysis; Vascular Endothelial Growth Factor A/*antagonists &amp;amp; inhibitors; Young Adult&lt;/_subject_headings&gt;&lt;_tertiary_title&gt;JAMA&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946728&amp;amp;query_hl=1&lt;/_url&gt;&lt;_volume&gt;319&lt;/_volume&gt;&lt;_created&gt;65329740&lt;/_created&gt;&lt;_modified&gt;65329740&lt;/_modified&gt;&lt;_impact_factor&gt; 120.700&lt;/_impact_factor&gt;&lt;_social_category&gt;医学：内科(1)&lt;/_social_category&gt;&lt;_collection_scope&gt;SCIE&lt;/_collection_scope&gt;&lt;_accessed&gt;65330873&lt;/_accessed&gt;&lt;/Details&gt;&lt;Extra&gt;&lt;DBUID&gt;{F96A950B-833F-4880-A151-76DA2D6A2879}&lt;/DBUID&gt;&lt;/Extra&gt;&lt;/Item&gt;&lt;/References&gt;&lt;/Group&gt;&lt;/Citation&gt;_x000a_"/>
    <w:docVar w:name="NE.Ref{BFAEC037-DEAA-478F-B6D7-EFA3D458C0B7}" w:val=" ADDIN NE.Ref.{BFAEC037-DEAA-478F-B6D7-EFA3D458C0B7}&lt;Citation&gt;&lt;Group&gt;&lt;References&gt;&lt;Item&gt;&lt;ID&gt;2966&lt;/ID&gt;&lt;UID&gt;{5378D739-8B23-48C1-B132-B277DC383F02}&lt;/UID&gt;&lt;Title&gt;A Bayesian network meta-analysis regarding the comparative efficacy of  therapeutics for ALK-positive, brain metastatic non-small cell lung cancer&lt;/Title&gt;&lt;Template&gt;Journal Article&lt;/Template&gt;&lt;Star&gt;0&lt;/Star&gt;&lt;Tag&gt;0&lt;/Tag&gt;&lt;Author&gt;Zhao, B; Han, Y; Wang, Y; Wang, Y; Wang, Y; Xing, H; Dai, C; Wang, Y; Wang, H; Ma, W&lt;/Author&gt;&lt;Year&gt;2021&lt;/Year&gt;&lt;Details&gt;&lt;_accession_num&gt;34626769&lt;/_accession_num&gt;&lt;_author_adr&gt;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State Key Laboratory of Complex Severe and Rare Diseases, Peking Union Medical  College Hospital, Chinese Academy of Medical Science and Peking Union Medical  College, Beijing, PR China; Department of Thoracic Surgery, Peking Union Medical  College Hospital, Peking Union Medical College and Chinese Academy of Medical  Sciences, Beijing, PR China.;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Department of Neurosurgery, Beijing Tongren Hospital, Capital Medical University,  Beijing, PR China.;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Electronic address: ywang@pumch.cn.; State Key Laboratory of Complex Severe and Rare Diseases, Peking Union Medical  College Hospital, Chinese Academy of Medical Science and Peking Union Medical  College, Beijing, PR China; Department of Respiratory Medicine, Peking Union  Medical College Hospital, Chinese Academy of Medical Sciences and Peking Union  Medical College, Beijing, PR China. Electronic address: wanghanping78@163.com.; Departments of Neurosurgery, Peking Union Medical College Hospital, Chinese  Academy of Medical Sciences and Peking Union Medical College, Beijing, PR China;  State Key Laboratory of Complex Severe and Rare Diseases, Peking Union Medical  College Hospital, Chinese Academy of Medical Science and Peking Union Medical  College, Beijing, PR China; China Pituitary Disease Registry Center, Chinese  Pituitary Adenoma Cooperative Group, Beijing, PR China; China Alliance of Rare  Diseases, Beijing, PR China. Electronic address: mawb2001@hotmail.com.&lt;/_author_adr&gt;&lt;_collection_scope&gt;SCIE&lt;/_collection_scope&gt;&lt;_created&gt;64739508&lt;/_created&gt;&lt;_date&gt;2021-12-01&lt;/_date&gt;&lt;_date_display&gt;2021 Dec&lt;/_date_display&gt;&lt;_db_updated&gt;PubMed&lt;/_db_updated&gt;&lt;_doi&gt;10.1016/j.phrs.2021.105931&lt;/_doi&gt;&lt;_impact_factor&gt;  10.334&lt;/_impact_factor&gt;&lt;_isbn&gt;1096-1186 (Electronic); 1043-6618 (Linking)&lt;/_isbn&gt;&lt;_journal&gt;Pharmacol Res&lt;/_journal&gt;&lt;_keywords&gt;ALK-positive; Brain metastasis; NSCLC; Network meta-analysis&lt;/_keywords&gt;&lt;_language&gt;eng&lt;/_language&gt;&lt;_modified&gt;64740725&lt;/_modified&gt;&lt;_ori_publication&gt;Copyright (c) 2021. Published by Elsevier Ltd.&lt;/_ori_publication&gt;&lt;_pages&gt;105931&lt;/_pages&gt;&lt;_social_category&gt;医学(2)&lt;/_social_category&gt;&lt;_subject_headings&gt;Anaplastic Lymphoma Kinase/*antagonists &amp;amp; inhibitors; Antineoplastic Agents/*therapeutic use; Bayes Theorem; Brain Neoplasms/*drug therapy/mortality/secondary; Carcinoma, Non-Small-Cell Lung/*drug therapy/mortality/pathology; Humans; Lung Neoplasms/*drug therapy/mortality/pathology; Network Meta-Analysis; Protein Kinase Inhibitors/*therapeutic use; Randomized Controlled Trials as Topic; Treatment Outcome&lt;/_subject_headings&gt;&lt;_tertiary_title&gt;Pharmacological research&lt;/_tertiary_title&gt;&lt;_type_work&gt;Comparative Study; Journal Article; Meta-Analysis; Research Support, Non-U.S. Gov&amp;apos;t; Systematic Review&lt;/_type_work&gt;&lt;_url&gt;http://www.ncbi.nlm.nih.gov/entrez/query.fcgi?cmd=Retrieve&amp;amp;db=pubmed&amp;amp;dopt=Abstract&amp;amp;list_uids=34626769&amp;amp;query_hl=1&lt;/_url&gt;&lt;_volume&gt;174&lt;/_volume&gt;&lt;/Details&gt;&lt;Extra&gt;&lt;DBUID&gt;{F96A950B-833F-4880-A151-76DA2D6A2879}&lt;/DBUID&gt;&lt;/Extra&gt;&lt;/Item&gt;&lt;/References&gt;&lt;/Group&gt;&lt;/Citation&gt;_x000a_"/>
    <w:docVar w:name="NE.Ref{C0C2E06E-EB06-4D5F-9D06-0D899BFF2B8D}" w:val=" ADDIN NE.Ref.{C0C2E06E-EB06-4D5F-9D06-0D899BFF2B8D}&lt;Citation&gt;&lt;Group&gt;&lt;References&gt;&lt;Item&gt;&lt;ID&gt;4755&lt;/ID&gt;&lt;UID&gt;{50BE8C5E-355D-48CB-BBE4-50A639F42CFD}&lt;/UID&gt;&lt;Title&gt;Analysis and interpretation of health-related quality-of-life data from clinical  trials: basic approach of The National Cancer Institute of Canada Clinical Trials  Group&lt;/Title&gt;&lt;Template&gt;Journal Article&lt;/Template&gt;&lt;Star&gt;0&lt;/Star&gt;&lt;Tag&gt;0&lt;/Tag&gt;&lt;Author&gt;Osoba, D; Bezjak, A; Brundage, M; Zee, B; Tu, D; Pater, J&lt;/Author&gt;&lt;Year&gt;2005&lt;/Year&gt;&lt;Details&gt;&lt;_accession_num&gt;15661554&lt;/_accession_num&gt;&lt;_author_adr&gt;QOL Consulting, 4939 Edendale Court, West Vancouver, Canada BC V7W 3H7.  david_osoba@telus.net&lt;/_author_adr&gt;&lt;_date_display&gt;2005 Jan&lt;/_date_display&gt;&lt;_date&gt;2005-01-01&lt;/_date&gt;&lt;_doi&gt;10.1016/j.ejca.2004.10.017&lt;/_doi&gt;&lt;_isbn&gt;0959-8049 (Print); 0959-8049 (Linking)&lt;/_isbn&gt;&lt;_issue&gt;2&lt;/_issue&gt;&lt;_journal&gt;Eur J Cancer&lt;/_journal&gt;&lt;_language&gt;eng&lt;/_language&gt;&lt;_pages&gt;280-7&lt;/_pages&gt;&lt;_subject_headings&gt;Canada; Clinical Trials as Topic/*statistics &amp;amp; numerical data; Data Collection/methods; Data Interpretation, Statistical; Health Status; Humans; Neoplasms/psychology/*therapy; *Quality of Life&lt;/_subject_headings&gt;&lt;_tertiary_title&gt;European journal of cancer (Oxford, England : 1990)&lt;/_tertiary_title&gt;&lt;_type_work&gt;Journal Article&lt;/_type_work&gt;&lt;_url&gt;http://www.ncbi.nlm.nih.gov/entrez/query.fcgi?cmd=Retrieve&amp;amp;db=pubmed&amp;amp;dopt=Abstract&amp;amp;list_uids=15661554&amp;amp;query_hl=1&lt;/_url&gt;&lt;_volume&gt;41&lt;/_volume&gt;&lt;_created&gt;65021590&lt;/_created&gt;&lt;_modified&gt;65021590&lt;/_modified&gt;&lt;_impact_factor&gt;  10.002&lt;/_impact_factor&gt;&lt;_social_category&gt;医学(1)&lt;/_social_category&gt;&lt;_collection_scope&gt;SCIE&lt;/_collection_scope&gt;&lt;/Details&gt;&lt;Extra&gt;&lt;DBUID&gt;{F96A950B-833F-4880-A151-76DA2D6A2879}&lt;/DBUID&gt;&lt;/Extra&gt;&lt;/Item&gt;&lt;/References&gt;&lt;/Group&gt;&lt;Group&gt;&lt;References&gt;&lt;Item&gt;&lt;ID&gt;4756&lt;/ID&gt;&lt;UID&gt;{B3728650-A37D-41B8-B68F-AE653CCCE2CB}&lt;/UID&gt;&lt;Title&gt;Quality of life assessment in clinical trials--guidelines and a checklist for  protocol writers: the U.K. Medical Research Council experience. MRC Cancer Trials  Office&lt;/Title&gt;&lt;Template&gt;Journal Article&lt;/Template&gt;&lt;Star&gt;0&lt;/Star&gt;&lt;Tag&gt;0&lt;/Tag&gt;&lt;Author&gt;Fayers, P M; Hopwood, P; Harvey, A; Girling, D J; Machin, D; Stephens, R&lt;/Author&gt;&lt;Year&gt;1997&lt;/Year&gt;&lt;Details&gt;&lt;_accession_num&gt;9071894&lt;/_accession_num&gt;&lt;_author_adr&gt;CRC Psychological Medicine Group, Christie Hospital NHS Trust, Withington,  Manchester, U.K.&lt;/_author_adr&gt;&lt;_date_display&gt;1997 Jan&lt;/_date_display&gt;&lt;_date&gt;1997-01-01&lt;/_date&gt;&lt;_doi&gt;10.1016/s0959-8049(96)00412-1&lt;/_doi&gt;&lt;_isbn&gt;0959-8049 (Print); 0959-8049 (Linking)&lt;/_isbn&gt;&lt;_issue&gt;1&lt;/_issue&gt;&lt;_journal&gt;Eur J Cancer&lt;/_journal&gt;&lt;_language&gt;eng&lt;/_language&gt;&lt;_pages&gt;20-8&lt;/_pages&gt;&lt;_subject_headings&gt;*Clinical Protocols; Humans; Neoplasms/*therapy; Patient Compliance; *Quality of Life; Randomized Controlled Trials as Topic/*methods; Research Design; Surveys and Questionnaires; Treatment Outcome; United Kingdom; Writing&lt;/_subject_headings&gt;&lt;_tertiary_title&gt;European journal of cancer (Oxford, England : 1990)&lt;/_tertiary_title&gt;&lt;_type_work&gt;Journal Article&lt;/_type_work&gt;&lt;_url&gt;http://www.ncbi.nlm.nih.gov/entrez/query.fcgi?cmd=Retrieve&amp;amp;db=pubmed&amp;amp;dopt=Abstract&amp;amp;list_uids=9071894&amp;amp;query_hl=1&lt;/_url&gt;&lt;_volume&gt;33&lt;/_volume&gt;&lt;_created&gt;65021590&lt;/_created&gt;&lt;_modified&gt;65021590&lt;/_modified&gt;&lt;_impact_factor&gt;  10.002&lt;/_impact_factor&gt;&lt;_social_category&gt;医学(1)&lt;/_social_category&gt;&lt;_collection_scope&gt;SCIE&lt;/_collection_scope&gt;&lt;/Details&gt;&lt;Extra&gt;&lt;DBUID&gt;{F96A950B-833F-4880-A151-76DA2D6A2879}&lt;/DBUID&gt;&lt;/Extra&gt;&lt;/Item&gt;&lt;/References&gt;&lt;/Group&gt;&lt;Group&gt;&lt;References&gt;&lt;Item&gt;&lt;ID&gt;4757&lt;/ID&gt;&lt;UID&gt;{9E50232E-F86D-4DC3-93C7-3583F720776C}&lt;/UID&gt;&lt;Title&gt;Missing quality of life data in cancer clinical trials: serious problems and  challenges&lt;/Title&gt;&lt;Template&gt;Journal Article&lt;/Template&gt;&lt;Star&gt;0&lt;/Star&gt;&lt;Tag&gt;0&lt;/Tag&gt;&lt;Author&gt;Bernhard, J; Cella, D F; Coates, A S; Fallowfield, L; Ganz, P A; Moinpour, C M; Mosconi, P; Osoba, D; Simes, J; Hürny, C&lt;/Author&gt;&lt;Year&gt;1998&lt;/Year&gt;&lt;Details&gt;&lt;_accession_num&gt;9549801&lt;/_accession_num&gt;&lt;_author_adr&gt;SIAK Coordinating Center, Bern, Switzerland. jbernhard@sakk.ch&lt;/_author_adr&gt;&lt;_date_display&gt;1998 Mar 15-Apr 15&lt;/_date_display&gt;&lt;_date&gt;1998-03-15&lt;/_date&gt;&lt;_doi&gt;10.1002/(sici)1097-0258(19980315/15)17:5/7&amp;lt;517::aid-sim799&amp;gt;3.0.co;2-s&lt;/_doi&gt;&lt;_isbn&gt;0277-6715 (Print); 0277-6715 (Linking)&lt;/_isbn&gt;&lt;_issue&gt;5-7&lt;/_issue&gt;&lt;_journal&gt;Stat Med&lt;/_journal&gt;&lt;_language&gt;eng&lt;/_language&gt;&lt;_pages&gt;517-32&lt;/_pages&gt;&lt;_subject_headings&gt;Bias; Clinical Trials as Topic/*methods; Data Collection/methods; Humans; Neoplasms/drug therapy/*psychology; *Quality of Life; Research Design&lt;/_subject_headings&gt;&lt;_tertiary_title&gt;Statistics in medicine&lt;/_tertiary_title&gt;&lt;_type_work&gt;Journal Article; Research Support, Non-U.S. Gov&amp;apos;t; Review&lt;/_type_work&gt;&lt;_url&gt;http://www.ncbi.nlm.nih.gov/entrez/query.fcgi?cmd=Retrieve&amp;amp;db=pubmed&amp;amp;dopt=Abstract&amp;amp;list_uids=9549801&amp;amp;query_hl=1&lt;/_url&gt;&lt;_volume&gt;17&lt;/_volume&gt;&lt;_created&gt;65021590&lt;/_created&gt;&lt;_modified&gt;65021590&lt;/_modified&gt;&lt;_impact_factor&gt;   2.497&lt;/_impact_factor&gt;&lt;_social_category&gt;医学(3)&lt;/_social_category&gt;&lt;_collection_scope&gt;SCIE&lt;/_collection_scope&gt;&lt;/Details&gt;&lt;Extra&gt;&lt;DBUID&gt;{F96A950B-833F-4880-A151-76DA2D6A2879}&lt;/DBUID&gt;&lt;/Extra&gt;&lt;/Item&gt;&lt;/References&gt;&lt;/Group&gt;&lt;/Citation&gt;_x000a_"/>
    <w:docVar w:name="NE.Ref{C222E705-BF14-4581-B1CC-7CDA1B1D06BE}" w:val=" ADDIN NE.Ref.{C222E705-BF14-4581-B1CC-7CDA1B1D06BE}&lt;Citation&gt;&lt;Group&gt;&lt;References&gt;&lt;Item&gt;&lt;ID&gt;4731&lt;/ID&gt;&lt;UID&gt;{028DB229-A25B-4456-BF96-132CEDC1DC93}&lt;/UID&gt;&lt;Title&gt;The Cochrane Collaboration&amp;apos;s tool for assessing risk of bias in randomised  trials&lt;/Title&gt;&lt;Template&gt;Journal Article&lt;/Template&gt;&lt;Star&gt;0&lt;/Star&gt;&lt;Tag&gt;0&lt;/Tag&gt;&lt;Author&gt;Higgins, J P; Altman, D G; Gøtzsche, P C; Jüni, P; Moher, D; Oxman, A D; Savovic, J; Schulz, K F; Weeks, L; Sterne, J A&lt;/Author&gt;&lt;Year&gt;2011&lt;/Year&gt;&lt;Details&gt;&lt;_accession_num&gt;22008217&lt;/_accession_num&gt;&lt;_author_adr&gt;MRC Biostatistics Unit, Institute of Public Health, Cambridge CB2 0SR, UK.  julian.higgins@mrc-bsu.cam.ac.uk&lt;/_author_adr&gt;&lt;_date_display&gt;2011 Oct 18&lt;/_date_display&gt;&lt;_date&gt;2011-10-18&lt;/_date&gt;&lt;_doi&gt;10.1136/bmj.d5928&lt;/_doi&gt;&lt;_isbn&gt;1756-1833 (Electronic); 0959-8138 (Print); 0959-8138 (Linking)&lt;/_isbn&gt;&lt;_journal&gt;BMJ&lt;/_journal&gt;&lt;_language&gt;eng&lt;/_language&gt;&lt;_pages&gt;d5928&lt;/_pages&gt;&lt;_subject_headings&gt;Bias; Humans; Randomized Controlled Trials as Topic/*standards; Research Design; Risk Assessment&lt;/_subject_headings&gt;&lt;_tertiary_title&gt;BMJ (Clinical research ed.)&lt;/_tertiary_title&gt;&lt;_type_work&gt;Journal Article; Research Support, Non-U.S. Gov&amp;apos;t&lt;/_type_work&gt;&lt;_url&gt;http://www.ncbi.nlm.nih.gov/entrez/query.fcgi?cmd=Retrieve&amp;amp;db=pubmed&amp;amp;dopt=Abstract&amp;amp;list_uids=22008217&amp;amp;query_hl=1&lt;/_url&gt;&lt;_volume&gt;343&lt;/_volume&gt;&lt;_created&gt;65021590&lt;/_created&gt;&lt;_modified&gt;65021590&lt;/_modified&gt;&lt;_impact_factor&gt;  93.333&lt;/_impact_factor&gt;&lt;_collection_scope&gt;SCIE&lt;/_collection_scope&gt;&lt;/Details&gt;&lt;Extra&gt;&lt;DBUID&gt;{F96A950B-833F-4880-A151-76DA2D6A2879}&lt;/DBUID&gt;&lt;/Extra&gt;&lt;/Item&gt;&lt;/References&gt;&lt;/Group&gt;&lt;/Citation&gt;_x000a_"/>
    <w:docVar w:name="NE.Ref{C275AD1F-C973-473B-8BFC-18C1380ACDC6}" w:val=" ADDIN NE.Ref.{C275AD1F-C973-473B-8BFC-18C1380ACDC6}&lt;Citation&gt;&lt;Group&gt;&lt;References&gt;&lt;Item&gt;&lt;ID&gt;4739&lt;/ID&gt;&lt;UID&gt;{DDC70CA1-DA3E-4EAB-A172-EAB82592FF80}&lt;/UID&gt;&lt;Title&gt;Fruquintinib versus placebo in patients with refractory metastatic colorectal  cancer (FRESCO-2): an international, multicentre, randomised, double-blind, phase  3 study&lt;/Title&gt;&lt;Template&gt;Journal Article&lt;/Template&gt;&lt;Star&gt;0&lt;/Star&gt;&lt;Tag&gt;0&lt;/Tag&gt;&lt;Author&gt;Dasari, A; Lonardi, S; Garcia-Carbonero, R; Elez, E; Yoshino, T; Sobrero, A; Yao, J; García-Alfonso, P; Kocsis, J; Cubillo, Gracian A; Sartore-Bianchi, A; Satoh, T; Randrian, V; Tomasek, J; Chong, G; Paulson, A S; Masuishi, T; Jones, J; Csőszi, T; Cremolini, C; Ghiringhelli, F; Shergill, A; Hochster, H S; Krauss, J; Bassam, A; Ducreux, M; Elme, A; Faugeras, L; Kasper, S; Van Cutsem, E; Arnold, D; Nanda, S; Yang, Z; Schelman, W R; Kania, M; Tabernero, J; Eng, C&lt;/Author&gt;&lt;Year&gt;2023&lt;/Year&gt;&lt;Details&gt;&lt;_accession_num&gt;37331369&lt;/_accession_num&gt;&lt;_author_adr&gt;Department of Gastrointestinal Medical Oncology, University of Texas MD Anderson  Cancer Center, Houston, TX, USA. Electronic address: adasari@mdanderson.org.; Medical Oncology Unit 1, Veneto Institute of Oncology IOV-IRCCS Padua, Padua,  Italy.; Oncology Department, Hospital Universitario 12 de Octubre, lmas12, UCM, Madrid,  Spain.; Vall d&amp;apos;Hebron Barcelona Hospital Campus, Vall d&amp;apos;Hebron Institute of Oncology,  Universitat Autònoma de Barcelona, Barcelona, Spain.; Department of Gastroenterology and Gastrointestinal Oncology, National Cancer  Center Hospital East, Kashiwa, Japan.; Department of Medical Oncology, Azienda Ospedaliera San Martino, Genoa, Italy.; Department of Gastrointestinal Medical Oncology, University of Texas MD Anderson  Cancer Center, Houston, TX, USA.; Medical Oncology Service, Hospital General Universitario Gregorio Marañón,  Instituto de Investigación Sanitaria Gregorio Marañón (IiSGM), Universidad  Complutense, Madrid, Spain.; Department of Oncoradiology, Bács -Kiskun Megyei Oktatókórház, Kecskemét,  Hungary.; Medical Oncology, Hospital Universitario HM Sanchinarro Centro Integral  Oncológico Clara Campal, Madrid, Spain.; Grande Ospedale Metropolitano Niguarda, Milan, Italy; Department of Oncology and  Hemato-Oncology, Università degli Studi di Milano, Milan, Italy.; Palliative and Supportive Care Center, Osaka University Hospital, Osaka, Japan.; Department of Hepato-Gastroenterology, CHU Poitiers, Université de Poitiers,  Poitiers, France.; Department of Complex Oncology Care, Masaryk Memorial Cancer Institute, Brno,  Czech Republic.; Olivia Newton-John Cancer Wellness &amp;amp; Research Centre, Austin Hospital, Melbourne,  VIC, Australia.; Texas Oncology-Baylor Charles A Sammons Cancer Center, US Oncology Research,  Dallas, TX, USA.; Department of Clinical Oncology, Aichi Cancer Center Hospital, Aichi, Japan.; Division of Hematology and Medical Oncology, Mayo Clinic Cancer Center,  Jacksonville, FL, USA.; Hetényi Géza Kórház, Onkológiai Központ, Szolnok, Hungary.; Department of Translational Research and New Technologies in Medicine and  Surgery, University of Pisa, Pisa, Italy.; Department of Medical Oncology, Centre Georges François Leclerc, Dijon, France.; University of Chicago, Biological Sciences Division, Chicago, IL, USA.; Rutgers Cancer Institute of New Jersey, New Brunswick, NJ, USA.; Department of Medicine, University of Michigan, Ann Arbor, MI, USA.; Békés Megyei Központi Kórház, Pándy Kálmán Tagkórház, Megyei Onkológiai Központ,  Gyula, Hungary.; Gustave Roussy Cancer Center, Inserm U1279 Tumors Cell Dynamics, Université Paris  Saclay, Villejuif, France.; Oncology and Haematology Clinic, North Estonia Medical Centre, Tallinn, Estonia.; Department of Oncology, CHU UCL Namur, Site Godinne, Yvoir, Belgium.; Department of Medical Oncology, West German Cancer Center, University Hospital  Essen, Essen, Germany.; University Hospitals Gasthuisberg, Leuven and KU Leuven, Leuven, Belgium.; Asklepios Tumorzentrum Hamburg, Department of Oncology and Hematology, AK Altona,  Hamburg, Germany.; HUTCHMED International Corporation, Florham Park, NJ, USA.; HUTCHMED International Corporation, Florham Park, NJ, USA.; HUTCHMED International Corporation, Florham Park, NJ, USA.; HUTCHMED International Corporation, Florham Park, NJ, USA.; Vall d&amp;apos;Hebron Barcelona Hospital Campus, Vall d&amp;apos;Hebron Institute of Oncology  (VHIO), IOB-Quiron, Barcelona, Spain.; Division Hematology and Oncology, Vanderbilt-Ingram Cancer Center, Nashville, TN,  USA.&lt;/_author_adr&gt;&lt;_date_display&gt;2023 Jul 1&lt;/_date_display&gt;&lt;_date&gt;2023-07-01&lt;/_date&gt;&lt;_doi&gt;10.1016/S0140-6736(23)00772-9&lt;/_doi&gt;&lt;_isbn&gt;1474-547X (Electronic); 0140-6736 (Linking)&lt;/_isbn&gt;&lt;_issue&gt;10395&lt;/_issue&gt;&lt;_journal&gt;Lancet&lt;/_journal&gt;&lt;_language&gt;eng&lt;/_language&gt;&lt;_ori_publication&gt;Copyright © 2023 Elsevier Ltd. All rights reserved.&lt;/_ori_publication&gt;&lt;_pages&gt;41-53&lt;/_pages&gt;&lt;_subject_headings&gt;Humans; Trifluridine/adverse effects; Vascular Endothelial Growth Factor A; Quality of Life; *Colorectal Neoplasms; *Colonic Neoplasms; *Rectal Neoplasms/drug therapy; Double-Blind Method; Antineoplastic Combined Chemotherapy Protocols/adverse effects&lt;/_subject_headings&gt;&lt;_tertiary_title&gt;Lancet (London, England)&lt;/_tertiary_title&gt;&lt;_type_work&gt;Clinical Trial, Phase III; Journal Article; Multicenter Study; Randomized Controlled Trial&lt;/_type_work&gt;&lt;_url&gt;http://www.ncbi.nlm.nih.gov/entrez/query.fcgi?cmd=Retrieve&amp;amp;db=pubmed&amp;amp;dopt=Abstract&amp;amp;list_uids=37331369&amp;amp;query_hl=1&lt;/_url&gt;&lt;_volume&gt;402&lt;/_volume&gt;&lt;_created&gt;65021590&lt;/_created&gt;&lt;_modified&gt;65021590&lt;/_modified&gt;&lt;_impact_factor&gt; 202.731&lt;/_impact_factor&gt;&lt;_social_category&gt;医学(1)&lt;/_social_category&gt;&lt;_collection_scope&gt;SCIE&lt;/_collection_scope&gt;&lt;/Details&gt;&lt;Extra&gt;&lt;DBUID&gt;{F96A950B-833F-4880-A151-76DA2D6A2879}&lt;/DBUID&gt;&lt;/Extra&gt;&lt;/Item&gt;&lt;/References&gt;&lt;/Group&gt;&lt;/Citation&gt;_x000a_"/>
    <w:docVar w:name="NE.Ref{C32C5BFD-EA6A-452C-9385-AF5844689656}" w:val=" ADDIN NE.Ref.{C32C5BFD-EA6A-452C-9385-AF5844689656}&lt;Citation&gt;&lt;Group&gt;&lt;References&gt;&lt;Item&gt;&lt;ID&gt;4698&lt;/ID&gt;&lt;UID&gt;{7CF88AA0-B19C-43B4-BB09-A72FEC3CE20D}&lt;/UID&gt;&lt;Title&gt;Traditional Chinese Medicine Combined With Chemotherapy and Cetuximab or  Bevacizumab for Metastatic Colorectal Cancer: A Randomized, Double-Blind,  Placebo-Controlled Clinical Trial&lt;/Title&gt;&lt;Template&gt;Journal Article&lt;/Template&gt;&lt;Star&gt;0&lt;/Star&gt;&lt;Tag&gt;0&lt;/Tag&gt;&lt;Author&gt;Liu, N; Wu, C; Jia, R; Cai, G; Wang, Y; Zhou, L; Ji, Q; Sui, H; Zeng, P; Xiao, H; Liu, H; Huo, J; Feng, Y; Deng, W; Li, Q&lt;/Author&gt;&lt;Year&gt;2020&lt;/Year&gt;&lt;Details&gt;&lt;_accession_num&gt;32372960&lt;/_accession_num&gt;&lt;_author_adr&gt;Department of Medical Oncology, Shuguang Hospital, Shanghai University of  Traditional Chinese Medicine, Shanghai, China.; Academy of Integrative Medicine, Shanghai University of Traditional Chinese  Medicine, Shanghai, China.; Department of Medical Oncology, Shuguang Hospital, Shanghai University of  Traditional Chinese Medicine, Shanghai, China.; Academy of Integrative Medicine, Shanghai University of Traditional Chinese  Medicine, Shanghai, China.; Department of Medical Oncology, Shuguang Hospital, Shanghai University of  Traditional Chinese Medicine, Shanghai, China.; Academy of Integrative Medicine, Shanghai University of Traditional Chinese  Medicine, Shanghai, China.; Department of Colorectal Cancer Surgery, Fudan University Shanghai Cancer Center,  Shanghai, China.; Department of Medical Oncology, Shuguang Hospital, Shanghai University of  Traditional Chinese Medicine, Shanghai, China.; Department of Medical Oncology, Shuguang Hospital, Shanghai University of  Traditional Chinese Medicine, Shanghai, China.; Department of Medical Oncology, Shuguang Hospital, Shanghai University of  Traditional Chinese Medicine, Shanghai, China.; Department of Medical Oncology, Shuguang Hospital, Shanghai University of  Traditional Chinese Medicine, Shanghai, China.; Cancer Research Institute, Hunan Academy of Traditional Chinese Medicine,  Changsha, China.; Department of Oncology, Hospital Affiliated to Shaanxi University of Chinese  Medicine, Xianyang, China.; Department of Integrated Chinese and Western Medicine, Henan Provincial Cancer  Hospital, Affiliated Tumor Hospital of Zhengzhou University, Zhengzhou, China.; Department of Oncology, Affiliated Hospital of Integrated Traditional Chinese and  Western Medicine, Nanjing University of Chinese Medicine, Nanjing, China.; Department of Medical Oncology, Shuguang Hospital, Shanghai University of  Traditional Chinese Medicine, Shanghai, China.; Department of Medical Oncology, Shuguang Hospital, Shanghai University of  Traditional Chinese Medicine, Shanghai, China.; Department of Medical Oncology, Shuguang Hospital, Shanghai University of  Traditional Chinese Medicine, Shanghai, China.; Academy of Integrative Medicine, Shanghai University of Traditional Chinese  Medicine, Shanghai, China.&lt;/_author_adr&gt;&lt;_date_display&gt;2020&lt;/_date_display&gt;&lt;_date&gt;2020-01-20&lt;/_date&gt;&lt;_doi&gt;10.3389/fphar.2020.00478&lt;/_doi&gt;&lt;_isbn&gt;1663-9812 (Print); 1663-9812 (Electronic); 1663-9812 (Linking)&lt;/_isbn&gt;&lt;_journal&gt;Front Pharmacol&lt;/_journal&gt;&lt;_keywords&gt;cetuximab (CET) or bevacizumab (BV); metastatic colorectal cancer; progression-free survival; quality of life; traditional Chinese medicine&lt;/_keywords&gt;&lt;_language&gt;eng&lt;/_language&gt;&lt;_ori_publication&gt;Copyright © 2020 Liu, Wu, Jia, Cai, Wang, Zhou, Ji, Sui, Zeng, Xiao, Liu, Huo, _x000d__x000a_      Feng, Deng and Li.&lt;/_ori_publication&gt;&lt;_pages&gt;478&lt;/_pages&gt;&lt;_tertiary_title&gt;Frontiers in pharmacology&lt;/_tertiary_title&gt;&lt;_type_work&gt;Journal Article&lt;/_type_work&gt;&lt;_url&gt;http://www.ncbi.nlm.nih.gov/entrez/query.fcgi?cmd=Retrieve&amp;amp;db=pubmed&amp;amp;dopt=Abstract&amp;amp;list_uids=32372960&amp;amp;query_hl=1&lt;/_url&gt;&lt;_volume&gt;11&lt;/_volume&gt;&lt;_created&gt;65020956&lt;/_created&gt;&lt;_modified&gt;65021554&lt;/_modified&gt;&lt;_impact_factor&gt;   5.988&lt;/_impact_factor&gt;&lt;_social_category&gt;医学(2)&lt;/_social_category&gt;&lt;_collection_scope&gt;SCIE&lt;/_collection_scope&gt;&lt;_accessed&gt;65021554&lt;/_accessed&gt;&lt;/Details&gt;&lt;Extra&gt;&lt;DBUID&gt;{F96A950B-833F-4880-A151-76DA2D6A2879}&lt;/DBUID&gt;&lt;/Extra&gt;&lt;/Item&gt;&lt;/References&gt;&lt;/Group&gt;&lt;Group&gt;&lt;References&gt;&lt;Item&gt;&lt;ID&gt;4709&lt;/ID&gt;&lt;UID&gt;{56D0A462-A796-49E0-B0D6-139C95356E63}&lt;/UID&gt;&lt;Title&gt;Health-related quality of life in patients with metastatic colorectal cancer,  association with systemic inflammatory response and RAS and BRAF mutation status&lt;/Title&gt;&lt;Template&gt;Journal Article&lt;/Template&gt;&lt;Star&gt;0&lt;/Star&gt;&lt;Tag&gt;0&lt;/Tag&gt;&lt;Author&gt;Thomsen, M; Guren, M G; Skovlund, E; Glimelius, B; Hjermstad, M J; Johansen, J S; Kure, E; Sorbye, H; Pfeiffer, P; Christoffersen, T; Guren, T K; Tveit, K M&lt;/Author&gt;&lt;Year&gt;2017&lt;/Year&gt;&lt;Details&gt;&lt;_accession_num&gt;28595137&lt;/_accession_num&gt;&lt;_author_adr&gt;Department of Oncology, Oslo University Hospital, Oslo, Norway; Institute of  Clinical Medicine, University of Oslo, Oslo, Norway. Electronic address:  uxthmg@ous-hf.no.; Department of Oncology, Oslo University Hospital, Oslo, Norway; K.G. Jebsen  Colorectal Cancer Research Centre, Oslo University Hospital, Oslo, Norway.; Department of Public Health and Nursing, NTNU, Trondheim, Norway; Mental and  Physical Health, Norwegian Institute of Public Health, Oslo, Norway.; Department of Immunology, Genetics and Pathology, Uppsala University, Uppsala,  Sweden.; Regional Advisory Unit for Palliative Care, Department of Oncology, Oslo  University Hospital, Oslo, Norway; European Palliative Care Research Centre,  Department of Cancer Research and Molecular Medicine, Faculty of Medicine,  Norwegian University of Science and Technology, Trondheim, Norway.; Department of Oncology, Herlev and Gentofte Hospital, Copenhagen University  Hospital, Herlev, Denmark.; Department of Cancer Genetics, Institute for Cancer Research, Oslo University  Hospital, Oslo, Norway.; Department of Oncology, Haukeland University Hospital, and Clinical Science,  University of Bergen, Bergen, Norway.; Department of Oncology, Odense University Hospital, Institute of Clinical  Research, University of Southern Denmark, Odense, Denmark.; Department of Pharmacology, Institute of Clinical Medicine, Faculty of Medicine,  University of Oslo, Oslo, Norway.; Department of Oncology, Oslo University Hospital, Oslo, Norway; K.G. Jebsen  Colorectal Cancer Research Centre, Oslo University Hospital, Oslo, Norway.; Department of Oncology, Oslo University Hospital, Oslo, Norway; Institute of  Clinical Medicine, University of Oslo, Oslo, Norway; K.G. Jebsen Colorectal  Cancer Research Centre, Oslo University Hospital, Oslo, Norway.&lt;/_author_adr&gt;&lt;_date_display&gt;2017 Aug&lt;/_date_display&gt;&lt;_date&gt;2017-08-01&lt;/_date&gt;&lt;_doi&gt;10.1016/j.ejca.2017.04.026&lt;/_doi&gt;&lt;_isbn&gt;1879-0852 (Electronic); 0959-8049 (Linking)&lt;/_isbn&gt;&lt;_journal&gt;Eur J Cancer&lt;/_journal&gt;&lt;_keywords&gt;Chemotherapy; HRQoL; Inflammation; RAS and BRAF mutation status; mCRC&lt;/_keywords&gt;&lt;_language&gt;eng&lt;/_language&gt;&lt;_ori_publication&gt;Copyright © 2017 Elsevier Ltd. All rights reserved.&lt;/_ori_publication&gt;&lt;_pages&gt;26-35&lt;/_pages&gt;&lt;_subject_headings&gt;Adult; Aged; Antineoplastic Combined Chemotherapy Protocols/*therapeutic use; Biomarkers, Tumor/analysis; C-Reactive Protein/analysis; Cetuximab/administration &amp;amp; dosage; Cisplatin/administration &amp;amp; dosage; Colorectal Neoplasms/*drug therapy/genetics/pathology; Female; GTP Phosphohydrolases/*genetics; *Health Status; Humans; Inflammation/genetics/pathology; Male; Membrane Proteins/*genetics; Middle Aged; Mutation; Proto-Oncogene Proteins B-raf/*genetics; Proto-Oncogene Proteins p21(ras)/*genetics; *Quality of Life&lt;/_subject_headings&gt;&lt;_tertiary_title&gt;European journal of cancer (Oxford, England : 1990)&lt;/_tertiary_title&gt;&lt;_type_work&gt;Clinical Trial, Phase III; Journal Article; Randomized Controlled Trial; Research Support, Non-U.S. Gov&amp;apos;t&lt;/_type_work&gt;&lt;_url&gt;http://www.ncbi.nlm.nih.gov/entrez/query.fcgi?cmd=Retrieve&amp;amp;db=pubmed&amp;amp;dopt=Abstract&amp;amp;list_uids=28595137&amp;amp;query_hl=1&lt;/_url&gt;&lt;_volume&gt;81&lt;/_volume&gt;&lt;_created&gt;65020956&lt;/_created&gt;&lt;_modified&gt;65020956&lt;/_modified&gt;&lt;_impact_factor&gt;  10.002&lt;/_impact_factor&gt;&lt;_social_category&gt;医学(1)&lt;/_social_category&gt;&lt;_collection_scope&gt;SCIE&lt;/_collection_scope&gt;&lt;/Details&gt;&lt;Extra&gt;&lt;DBUID&gt;{F96A950B-833F-4880-A151-76DA2D6A2879}&lt;/DBUID&gt;&lt;/Extra&gt;&lt;/Item&gt;&lt;/References&gt;&lt;/Group&gt;&lt;Group&gt;&lt;References&gt;&lt;Item&gt;&lt;ID&gt;4693&lt;/ID&gt;&lt;UID&gt;{F9D175A2-FE90-4E73-A434-3DA13FBBE032}&lt;/UID&gt;&lt;Title&gt;Panitumumab and irinotecan versus irinotecan alone for patients with KRAS  wild-type, fluorouracil-resistant advanced colorectal cancer (PICCOLO): a  prospectively stratified randomised trial&lt;/Title&gt;&lt;Template&gt;Journal Article&lt;/Template&gt;&lt;Star&gt;0&lt;/Star&gt;&lt;Tag&gt;0&lt;/Tag&gt;&lt;Author&gt;Seymour, M T; Brown, S R; Middleton, G; Maughan, T; Richman, S; Gwyther, S; Lowe, C; Seligmann, J F; Wadsley, J; Maisey, N; Chau, I; Hill, M; Dawson, L; Falk, S; O&amp;apos;Callaghan, A; Benstead, K; Chambers, P; Oliver, A; Marshall, H; Napp, V; Quirke, P&lt;/Author&gt;&lt;Year&gt;2013&lt;/Year&gt;&lt;Details&gt;&lt;_accession_num&gt;23725851&lt;/_accession_num&gt;&lt;_author_adr&gt;Cancer Medicine and Pathology, University of Leeds, Leeds, UK.  m.seymour@ncrn.org.uk&lt;/_author_adr&gt;&lt;_date_display&gt;2013 Jul&lt;/_date_display&gt;&lt;_date&gt;2013-07-01&lt;/_date&gt;&lt;_doi&gt;10.1016/S1470-2045(13)70163-3&lt;/_doi&gt;&lt;_isbn&gt;1474-5488 (Electronic); 1470-2045 (Print); 1470-2045 (Linking)&lt;/_isbn&gt;&lt;_issue&gt;8&lt;/_issue&gt;&lt;_journal&gt;Lancet Oncol&lt;/_journal&gt;&lt;_language&gt;eng&lt;/_language&gt;&lt;_ori_publication&gt;Copyright © 2013 Elsevier Ltd. All rights reserved.&lt;/_ori_publication&gt;&lt;_pages&gt;749-59&lt;/_pages&gt;&lt;_subject_headings&gt;Aged; Antibodies, Monoclonal/administration &amp;amp; dosage; Antimetabolites, Antineoplastic/*therapeutic use; Antineoplastic Agents/administration &amp;amp; dosage/adverse effects/*therapeutic use; Antineoplastic Combined Chemotherapy Protocols/adverse effects/*therapeutic use; Camptothecin/administration &amp;amp; dosage/adverse effects/*analogs &amp;amp; _x000d__x000a_      derivatives/therapeutic use; Chi-Square Distribution; Colorectal Neoplasms/*drug therapy/enzymology/genetics/mortality/pathology; DNA Mutational Analysis; Disease-Free Survival; Drug Administration Schedule; Drug Resistance, Neoplasm/*genetics; ErbB Receptors/antagonists &amp;amp; inhibitors/metabolism; Female; Fluorouracil/*therapeutic use; Humans; Irinotecan; Male; Middle Aged; Mutation; Panitumumab; Proportional Hazards Models; Prospective Studies; Proto-Oncogene Proteins/*genetics; Proto-Oncogene Proteins p21(ras); Time Factors; Treatment Outcome; United Kingdom; ras Proteins/*genetics&lt;/_subject_headings&gt;&lt;_tertiary_title&gt;The Lancet. Oncology&lt;/_tertiary_title&gt;&lt;_type_work&gt;Comparative Study; Journal Article; Multicenter Study; Randomized Controlled Trial; Research Support, Non-U.S. Gov&amp;apos;t&lt;/_type_work&gt;&lt;_url&gt;http://www.ncbi.nlm.nih.gov/entrez/query.fcgi?cmd=Retrieve&amp;amp;db=pubmed&amp;amp;dopt=Abstract&amp;amp;list_uids=23725851&amp;amp;query_hl=1&lt;/_url&gt;&lt;_volume&gt;14&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Group&gt;&lt;References&gt;&lt;Item&gt;&lt;ID&gt;4713&lt;/ID&gt;&lt;UID&gt;{0871A122-C944-4D87-83C0-BFA3F45CC4A3}&lt;/UID&gt;&lt;Title&gt;Randomized phase II study of capecitabine with or without oxaliplatin as  first-line treatment for elderly or fragile patients with metastatic colorectal  cancer: a prospective, multicenter trial of the Korean Cancer Study Group  CO06-01&lt;/Title&gt;&lt;Template&gt;Journal Article&lt;/Template&gt;&lt;Star&gt;0&lt;/Star&gt;&lt;Tag&gt;0&lt;/Tag&gt;&lt;Author&gt;Hong, Y S; Jung, K H; Kim, H J; Kim, K P; Kim, S Y; Lee, J L; Shim, B Y; Zang, D Y; Kim, J H; Ahn, J B; Park, Y S; Kim, T W&lt;/Author&gt;&lt;Year&gt;2013&lt;/Year&gt;&lt;Details&gt;&lt;_accession_num&gt;22868243&lt;/_accession_num&gt;&lt;_author_adr&gt;*Center for Colorectal Cancer, Research Institute and Hospital, National Cancer  Center, Goyang †Department of Clinical Epidemiology and Biostatistics ‡Department  of Oncology, Asan Medical Center, University of Ulsan College of Medicine, Seoul  §Department of Internal Medicine, St. Vincent&amp;apos;s Hospital, Catholic University  College of Medicine, Suwon ∥Department of Internal Medicine, Hallym University  Medical Center, Hallym University College of Medicine, Anyang ¶Department of  Internal Medicine, Division of Hematology and Medical Oncology, Seoul National  University Bundang Hospital, Seoul National University College of Medicine,  Seongnam #Department of Internal Medicine, Cancer Metastasis Research Center,  Yonsei Cancer Center, Yonsei University College of Medicine **Department of  Internal Medicine, Samsung Medical Center, Division of Hematology-Oncology,  Sungkyunkwan University School of Medicine, Seoul, Korea.&lt;/_author_adr&gt;&lt;_date_display&gt;2013 Dec&lt;/_date_display&gt;&lt;_date&gt;2013-12-01&lt;/_date&gt;&lt;_doi&gt;10.1097/COC.0b013e31825d52d5&lt;/_doi&gt;&lt;_isbn&gt;1537-453X (Electronic); 0277-3732 (Linking)&lt;/_isbn&gt;&lt;_issue&gt;6&lt;/_issue&gt;&lt;_journal&gt;Am J Clin Oncol&lt;/_journal&gt;&lt;_language&gt;eng&lt;/_language&gt;&lt;_pages&gt;565-71&lt;/_pages&gt;&lt;_subject_headings&gt;Aged; Aged, 80 and over; Antineoplastic Combined Chemotherapy Protocols/*therapeutic use; Asian People; Capecitabine; Colorectal Neoplasms/*drug therapy/*pathology; Deoxycytidine/administration &amp;amp; dosage/adverse effects/*analogs &amp;amp; _x000d__x000a_      derivatives/therapeutic use; Disease-Free Survival; Drug Administration Schedule; Female; Fluorouracil/administration &amp;amp; dosage/adverse effects/*analogs &amp;amp; _x000d__x000a_      derivatives/therapeutic use; Humans; Male; Organoplatinum Compounds/administration &amp;amp; dosage/adverse effects/*therapeutic use; Oxaliplatin; Prospective Studies; Quality of Life; Treatment Outcome&lt;/_subject_headings&gt;&lt;_tertiary_title&gt;American journal of clinical oncology&lt;/_tertiary_title&gt;&lt;_type_work&gt;Clinical Trial, Phase II; Journal Article; Multicenter Study; Randomized Controlled Trial; Research Support, Non-U.S. Gov&amp;apos;t&lt;/_type_work&gt;&lt;_url&gt;http://www.ncbi.nlm.nih.gov/entrez/query.fcgi?cmd=Retrieve&amp;amp;db=pubmed&amp;amp;dopt=Abstract&amp;amp;list_uids=22868243&amp;amp;query_hl=1&lt;/_url&gt;&lt;_volume&gt;36&lt;/_volume&gt;&lt;_created&gt;65020956&lt;/_created&gt;&lt;_modified&gt;65020956&lt;/_modified&gt;&lt;_impact_factor&gt;   2.787&lt;/_impact_factor&gt;&lt;_social_category&gt;医学(4)&lt;/_social_category&gt;&lt;_collection_scope&gt;SCIE&lt;/_collection_scope&gt;&lt;/Details&gt;&lt;Extra&gt;&lt;DBUID&gt;{F96A950B-833F-4880-A151-76DA2D6A2879}&lt;/DBUID&gt;&lt;/Extra&gt;&lt;/Item&gt;&lt;/References&gt;&lt;/Group&gt;&lt;/Citation&gt;_x000a_"/>
    <w:docVar w:name="NE.Ref{C3D9AD6C-3A46-452B-B1BE-BDD4C9CA23AB}" w:val=" ADDIN NE.Ref.{C3D9AD6C-3A46-452B-B1BE-BDD4C9CA23AB}&lt;Citation&gt;&lt;Group&gt;&lt;References&gt;&lt;Item&gt;&lt;ID&gt;4701&lt;/ID&gt;&lt;UID&gt;{80800FC8-CB3E-45EB-A70C-F0B62D689719}&lt;/UID&gt;&lt;Title&gt;Quality of life with encorafenib plus cetuximab with or without binimetinib  treatment in patients with BRAF V600E-mutant metastatic colorectal cancer:  patient-reported outcomes from BEACON CRC&lt;/Title&gt;&lt;Template&gt;Journal Article&lt;/Template&gt;&lt;Star&gt;0&lt;/Star&gt;&lt;Tag&gt;0&lt;/Tag&gt;&lt;Author&gt;Kopetz, S; Grothey, A; Van Cutsem, E; Yaeger, R; Wasan, H; Yoshino, T; Desai, J; Ciardiello, F; Loupakis, F; Hong, Y S; Steeghs, N; Guren, T K; Arkenau, H T; Garcia-Alfonso, P; Belani, A; Zhang, X; Tabernero, J&lt;/Author&gt;&lt;Year&gt;2022&lt;/Year&gt;&lt;Details&gt;&lt;_accession_num&gt;35653981&lt;/_accession_num&gt;&lt;_author_adr&gt;University of Texas MD Anderson Cancer Center, Houston, USA. Electronic address:  skopetz@mdanderson.org.; West Cancer Center and Research Institute, OneOncology, Germantown, USA.; University Hospitals Gasthuisberg Leuven and KU Leuven, Leuven, Belgium.; Memorial Sloan-Kettering Cancer Center, New York, USA.; Hammersmith Hospital, Department of Cancer Medicine, London, UK.; National Cancer Center Hospital East, Kashiwa, Japan.; Royal Melbourne Hospital and Peter MacCallum Cancer Centre, Walter and Aliza Hall  Institute, Parkville, Australia.; University of Campania, Naples, Italy.; Istituto Oncologico del Veneto IRCCS, Padova, Italy.; Asan Medical Center, University of Ulsan College of Medicine, Seoul, Korea.; Netherlands Cancer Institute, Amsterdam, The Netherlands.; Oslo University Hospital, Department of Oncology, Oslo, Norway.; Sarah Cannon Research Institute, University College of London, London, UK.; Gregorio Marañón Hospital, Madrid, Spain.; Pfizer Inc, New York, USA.; Pfizer Inc, New York, USA.; Vall d&amp;apos;Hebron Hospital Campus, Vall d&amp;apos;Hebron Institute of Oncology (VHIO),  IOB-Quiron, UVic-UCC, Barcelona, Spain.&lt;/_author_adr&gt;&lt;_date_display&gt;2022 Jun&lt;/_date_display&gt;&lt;_date&gt;2022-06-01&lt;/_date&gt;&lt;_doi&gt;10.1016/j.esmoop.2022.100477&lt;/_doi&gt;&lt;_isbn&gt;2059-7029 (Electronic); 2059-7029 (Linking)&lt;/_isbn&gt;&lt;_issue&gt;3&lt;/_issue&gt;&lt;_journal&gt;ESMO Open&lt;/_journal&gt;&lt;_keywords&gt;BEACON CRC; cetuximab; colorectal cancer; encorafenib; patient-reported outcomes; quality of life&lt;/_keywords&gt;&lt;_language&gt;eng&lt;/_language&gt;&lt;_ori_publication&gt;Copyright © 2022 The Pfizer, The Author(s). Published by Elsevier Ltd.. All _x000d__x000a_      rights reserved.&lt;/_ori_publication&gt;&lt;_pages&gt;100477&lt;/_pages&gt;&lt;_subject_headings&gt;*Antineoplastic Agents/therapeutic use; Antineoplastic Combined Chemotherapy Protocols/therapeutic use; Benzimidazoles; Carbamates; Cetuximab/therapeutic use; *Colorectal Neoplasms/drug therapy/genetics; Humans; Mutation; Patient Reported Outcome Measures; *Proto-Oncogene Proteins B-raf/genetics; Quality of Life; Sulfonamides&lt;/_subject_headings&gt;&lt;_tertiary_title&gt;ESMO open&lt;/_tertiary_title&gt;&lt;_type_work&gt;Clinical Trial, Phase III; Journal Article; Randomized Controlled Trial; Research Support, N.I.H., Extramural; Research Support, Non-U.S. Gov&amp;apos;t&lt;/_type_work&gt;&lt;_url&gt;http://www.ncbi.nlm.nih.gov/entrez/query.fcgi?cmd=Retrieve&amp;amp;db=pubmed&amp;amp;dopt=Abstract&amp;amp;list_uids=35653981&amp;amp;query_hl=1&lt;/_url&gt;&lt;_volume&gt;7&lt;/_volume&gt;&lt;_created&gt;65020956&lt;/_created&gt;&lt;_modified&gt;65020956&lt;/_modified&gt;&lt;_impact_factor&gt;   6.883&lt;/_impact_factor&gt;&lt;_social_category&gt;医学(3)&lt;/_social_category&gt;&lt;_collection_scope&gt;SCIE&lt;/_collection_scope&gt;&lt;/Details&gt;&lt;Extra&gt;&lt;DBUID&gt;{F96A950B-833F-4880-A151-76DA2D6A2879}&lt;/DBUID&gt;&lt;/Extra&gt;&lt;/Item&gt;&lt;/References&gt;&lt;/Group&gt;&lt;/Citation&gt;_x000a_"/>
    <w:docVar w:name="NE.Ref{C42665D7-C868-488F-B1A1-148F4BD0F80F}" w:val=" ADDIN NE.Ref.{C42665D7-C868-488F-B1A1-148F4BD0F80F}&lt;Citation&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C546C4BC-887D-4974-8D5A-3A413D197BCD}" w:val=" ADDIN NE.Ref.{C546C4BC-887D-4974-8D5A-3A413D197BCD}&lt;Citation&gt;&lt;Group&gt;&lt;References&gt;&lt;Item&gt;&lt;ID&gt;5050&lt;/ID&gt;&lt;UID&gt;{12CFE959-BA0C-4B0F-9FC7-BC274E9B194E}&lt;/UID&gt;&lt;Title&gt;Cost-Effectiveness of Cemiplimab Versus Standard of Care in the United States for  First-Line Treatment of Advanced Non-small Cell Lung Cancer With Programmed  Death-Ligand 1 Expression ≥50&lt;/Title&gt;&lt;Template&gt;Journal Article&lt;/Template&gt;&lt;Star&gt;0&lt;/Star&gt;&lt;Tag&gt;0&lt;/Tag&gt;&lt;Author&gt;Kuznik, A; Smare, C; Chen, C I; Venkatachalam, M; Keeping, S; Atsou, K; Xu, Y; Wilson, F; Guyot, P; Chan, K; Glowienka, E; Konidaris, G&lt;/Author&gt;&lt;Year&gt;2022&lt;/Year&gt;&lt;Details&gt;&lt;_accession_num&gt;35094793&lt;/_accession_num&gt;&lt;_author_adr&gt;Regeneron Pharmaceuticals, Inc., Tarrytown, NY, USA. Electronic address:  andreas.kuznik@regeneron.com.; Precision HEOR, London, England, UK.; Regeneron Pharmaceuticals, Inc., Tarrytown, NY, USA.; Precision HEOR, London, England, UK.; Precision HEOR, Vancouver, BC, Canada.; Sanofi, Chilly-Mazarin, France.; Regeneron Pharmaceuticals, Inc., Tarrytown, NY, USA.; Precision HEOR, Vancouver, BC, Canada.; Sanofi, Chilly-Mazarin, France.; Precision HEOR, Vancouver, BC, Canada.; Precision HEOR, Boston, MA, USA.; Sanofi, Reading, England, UK.&lt;/_author_adr&gt;&lt;_date_display&gt;2022 Feb&lt;/_date_display&gt;&lt;_date&gt;2022-02-01&lt;/_date&gt;&lt;_doi&gt;10.1016/j.jval.2021.08.009&lt;/_doi&gt;&lt;_isbn&gt;1524-4733 (Electronic); 1098-3015 (Linking)&lt;/_isbn&gt;&lt;_issue&gt;2&lt;/_issue&gt;&lt;_journal&gt;Value Health&lt;/_journal&gt;&lt;_keywords&gt;advanced non-small cell lung cancer; cemiplimab; comparative efficacy; cost-effectiveness; programmed death-ligand 1&lt;/_keywords&gt;&lt;_language&gt;eng&lt;/_language&gt;&lt;_ori_publication&gt;Copyright © 2021 ISPOR–The International Society for Pharmacoeconomics and _x000d__x000a_      Outcomes Research, Inc. Published by Elsevier Inc. All rights reserved.&lt;/_ori_publication&gt;&lt;_pages&gt;203-214&lt;/_pages&gt;&lt;_subject_headings&gt;Antibodies, Monoclonal, Humanized/*economics/*therapeutic use; Antineoplastic Agents, Immunological/economics/therapeutic use; Antineoplastic Combined Chemotherapy Protocols/economics/therapeutic use; B7-H1 Antigen/*metabolism; Carcinoma, Non-Small-Cell Lung/*drug therapy/mortality; Cost-Benefit Analysis; Humans; Lung Neoplasms/*drug therapy/mortality; Middle Aged; Progression-Free Survival; Quality-Adjusted Life Years; Standard of Care/economics; Survival Rate; United States&lt;/_subject_headings&gt;&lt;_tertiary_title&gt;Value in health : the journal of the International Society for Pharmacoeconomics _x000d__x000a_      and Outcomes Research&lt;/_tertiary_title&gt;&lt;_type_work&gt;Journal Article; Research Support, Non-U.S. Gov&amp;apos;t&lt;/_type_work&gt;&lt;_url&gt;http://www.ncbi.nlm.nih.gov/entrez/query.fcgi?cmd=Retrieve&amp;amp;db=pubmed&amp;amp;dopt=Abstract&amp;amp;list_uids=35094793&amp;amp;query_hl=1&lt;/_url&gt;&lt;_volume&gt;25&lt;/_volume&gt;&lt;_created&gt;65330571&lt;/_created&gt;&lt;_modified&gt;65330571&lt;/_modified&gt;&lt;_impact_factor&gt;   4.500&lt;/_impact_factor&gt;&lt;_social_category&gt;经济学(2) &amp;amp; 卫生保健与服务(2) &amp;amp; 卫生政策与服务(2)&lt;/_social_category&gt;&lt;_collection_scope&gt;SSCI;SCIE&lt;/_collection_scope&gt;&lt;_accessed&gt;65331145&lt;/_accessed&gt;&lt;/Details&gt;&lt;Extra&gt;&lt;DBUID&gt;{F96A950B-833F-4880-A151-76DA2D6A2879}&lt;/DBUID&gt;&lt;/Extra&gt;&lt;/Item&gt;&lt;/References&gt;&lt;/Group&gt;&lt;/Citation&gt;_x000a_"/>
    <w:docVar w:name="NE.Ref{C667A341-3A38-49E9-BB72-0BE42A2F8E6C}" w:val=" ADDIN NE.Ref.{C667A341-3A38-49E9-BB72-0BE42A2F8E6C}&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Citation&gt;_x000a_"/>
    <w:docVar w:name="NE.Ref{C79F8B25-6322-4692-8C84-25C6DC9FBE6E}" w:val=" ADDIN NE.Ref.{C79F8B25-6322-4692-8C84-25C6DC9FBE6E}&lt;Citation&gt;&lt;Group&gt;&lt;References&gt;&lt;Item&gt;&lt;ID&gt;4693&lt;/ID&gt;&lt;UID&gt;{F9D175A2-FE90-4E73-A434-3DA13FBBE032}&lt;/UID&gt;&lt;Title&gt;Panitumumab and irinotecan versus irinotecan alone for patients with KRAS  wild-type, fluorouracil-resistant advanced colorectal cancer (PICCOLO): a  prospectively stratified randomised trial&lt;/Title&gt;&lt;Template&gt;Journal Article&lt;/Template&gt;&lt;Star&gt;0&lt;/Star&gt;&lt;Tag&gt;0&lt;/Tag&gt;&lt;Author&gt;Seymour, M T; Brown, S R; Middleton, G; Maughan, T; Richman, S; Gwyther, S; Lowe, C; Seligmann, J F; Wadsley, J; Maisey, N; Chau, I; Hill, M; Dawson, L; Falk, S; O&amp;apos;Callaghan, A; Benstead, K; Chambers, P; Oliver, A; Marshall, H; Napp, V; Quirke, P&lt;/Author&gt;&lt;Year&gt;2013&lt;/Year&gt;&lt;Details&gt;&lt;_accession_num&gt;23725851&lt;/_accession_num&gt;&lt;_author_adr&gt;Cancer Medicine and Pathology, University of Leeds, Leeds, UK.  m.seymour@ncrn.org.uk&lt;/_author_adr&gt;&lt;_date_display&gt;2013 Jul&lt;/_date_display&gt;&lt;_date&gt;2013-07-01&lt;/_date&gt;&lt;_doi&gt;10.1016/S1470-2045(13)70163-3&lt;/_doi&gt;&lt;_isbn&gt;1474-5488 (Electronic); 1470-2045 (Print); 1470-2045 (Linking)&lt;/_isbn&gt;&lt;_issue&gt;8&lt;/_issue&gt;&lt;_journal&gt;Lancet Oncol&lt;/_journal&gt;&lt;_language&gt;eng&lt;/_language&gt;&lt;_ori_publication&gt;Copyright © 2013 Elsevier Ltd. All rights reserved.&lt;/_ori_publication&gt;&lt;_pages&gt;749-59&lt;/_pages&gt;&lt;_subject_headings&gt;Aged; Antibodies, Monoclonal/administration &amp;amp; dosage; Antimetabolites, Antineoplastic/*therapeutic use; Antineoplastic Agents/administration &amp;amp; dosage/adverse effects/*therapeutic use; Antineoplastic Combined Chemotherapy Protocols/adverse effects/*therapeutic use; Camptothecin/administration &amp;amp; dosage/adverse effects/*analogs &amp;amp; _x000d__x000a_      derivatives/therapeutic use; Chi-Square Distribution; Colorectal Neoplasms/*drug therapy/enzymology/genetics/mortality/pathology; DNA Mutational Analysis; Disease-Free Survival; Drug Administration Schedule; Drug Resistance, Neoplasm/*genetics; ErbB Receptors/antagonists &amp;amp; inhibitors/metabolism; Female; Fluorouracil/*therapeutic use; Humans; Irinotecan; Male; Middle Aged; Mutation; Panitumumab; Proportional Hazards Models; Prospective Studies; Proto-Oncogene Proteins/*genetics; Proto-Oncogene Proteins p21(ras); Time Factors; Treatment Outcome; United Kingdom; ras Proteins/*genetics&lt;/_subject_headings&gt;&lt;_tertiary_title&gt;The Lancet. Oncology&lt;/_tertiary_title&gt;&lt;_type_work&gt;Comparative Study; Journal Article; Multicenter Study; Randomized Controlled Trial; Research Support, Non-U.S. Gov&amp;apos;t&lt;/_type_work&gt;&lt;_url&gt;http://www.ncbi.nlm.nih.gov/entrez/query.fcgi?cmd=Retrieve&amp;amp;db=pubmed&amp;amp;dopt=Abstract&amp;amp;list_uids=23725851&amp;amp;query_hl=1&lt;/_url&gt;&lt;_volume&gt;14&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Citation&gt;_x000a_"/>
    <w:docVar w:name="NE.Ref{C7A4B068-9ECB-46C3-B6F4-8084DB5BE2B8}" w:val=" ADDIN NE.Ref.{C7A4B068-9ECB-46C3-B6F4-8084DB5BE2B8}&lt;Citation&gt;&lt;Group&gt;&lt;References&gt;&lt;Item&gt;&lt;ID&gt;4732&lt;/ID&gt;&lt;UID&gt;{CCFFD82F-D450-4484-841B-E21E711F13F2}&lt;/UID&gt;&lt;Title&gt;Quantifying publication bias in meta-analysis&lt;/Title&gt;&lt;Template&gt;Journal Article&lt;/Template&gt;&lt;Star&gt;0&lt;/Star&gt;&lt;Tag&gt;0&lt;/Tag&gt;&lt;Author&gt;Lin, L; Chu, H&lt;/Author&gt;&lt;Year&gt;2018&lt;/Year&gt;&lt;Details&gt;&lt;_accession_num&gt;29141096&lt;/_accession_num&gt;&lt;_author_adr&gt;Division of Biostatistics, University of Minnesota, Minneapolis 55455, Minnesota,  U.S.A.; Division of Biostatistics, University of Minnesota, Minneapolis 55455, Minnesota,  U.S.A.&lt;/_author_adr&gt;&lt;_date_display&gt;2018 Sep&lt;/_date_display&gt;&lt;_date&gt;2018-09-01&lt;/_date&gt;&lt;_doi&gt;10.1111/biom.12817&lt;/_doi&gt;&lt;_isbn&gt;1541-0420 (Electronic); 0006-341X (Print); 0006-341X (Linking)&lt;/_isbn&gt;&lt;_issue&gt;3&lt;/_issue&gt;&lt;_journal&gt;Biometrics&lt;/_journal&gt;&lt;_keywords&gt;Heterogeneity; Meta-analysis; Publication bias; Skewness; Standardized deviate; Statistical power&lt;/_keywords&gt;&lt;_language&gt;eng&lt;/_language&gt;&lt;_ori_publication&gt;© 2017, The International Biometric Society.&lt;/_ori_publication&gt;&lt;_pages&gt;785-794&lt;/_pages&gt;&lt;_subject_headings&gt;Animals; Computer Simulation; Humans; *Meta-Analysis as Topic; Models, Statistical; Ocular Motility Disorders; Publication Bias/*statistics &amp;amp; numerical data; Reference Standards; Regression Analysis; Sample Size&lt;/_subject_headings&gt;&lt;_tertiary_title&gt;Biometrics&lt;/_tertiary_title&gt;&lt;_type_work&gt;Journal Article; Research Support, N.I.H., Extramural; Research Support, Non-U.S. Gov&amp;apos;t&lt;/_type_work&gt;&lt;_url&gt;http://www.ncbi.nlm.nih.gov/entrez/query.fcgi?cmd=Retrieve&amp;amp;db=pubmed&amp;amp;dopt=Abstract&amp;amp;list_uids=29141096&amp;amp;query_hl=1&lt;/_url&gt;&lt;_volume&gt;74&lt;/_volume&gt;&lt;_created&gt;65021590&lt;/_created&gt;&lt;_modified&gt;65021590&lt;/_modified&gt;&lt;_impact_factor&gt;   1.701&lt;/_impact_factor&gt;&lt;_social_category&gt;数学(2)&lt;/_social_category&gt;&lt;_collection_scope&gt;SCIE&lt;/_collection_scope&gt;&lt;/Details&gt;&lt;Extra&gt;&lt;DBUID&gt;{F96A950B-833F-4880-A151-76DA2D6A2879}&lt;/DBUID&gt;&lt;/Extra&gt;&lt;/Item&gt;&lt;/References&gt;&lt;/Group&gt;&lt;/Citation&gt;_x000a_"/>
    <w:docVar w:name="NE.Ref{C7A75B84-E337-4032-A347-624FA8BA4AEE}" w:val=" ADDIN NE.Ref.{C7A75B84-E337-4032-A347-624FA8BA4AEE}&lt;Citation&gt;&lt;Group&gt;&lt;References&gt;&lt;Item&gt;&lt;ID&gt;5039&lt;/ID&gt;&lt;UID&gt;{0D1282CD-7978-4F3C-81D0-22B208538A75}&lt;/UID&gt;&lt;Title&gt;Cost-effectiveness analysis of 7 treatments in metastatic hormone-sensitive  prostate cancer: a public-payer perspective&lt;/Title&gt;&lt;Template&gt;Journal Article&lt;/Template&gt;&lt;Star&gt;0&lt;/Star&gt;&lt;Tag&gt;0&lt;/Tag&gt;&lt;Author&gt;Yoo, M; Nelson, R E; Haaland, B; Dougherty, M; Cutshall, Z A; Kohli, R; Beckstead, R; Kohli, M&lt;/Author&gt;&lt;Year&gt;2023&lt;/Year&gt;&lt;Details&gt;&lt;_accession_num&gt;37436697&lt;/_accession_num&gt;&lt;_author_adr&gt;Division of Epidemiology, Department of Internal Medicine, University of Utah  (UT) School of Medicine, Salt Lake City, UT, USA.; Division of Epidemiology, Department of Internal Medicine, University of Utah  (UT) School of Medicine, Salt Lake City, UT, USA.; Department of Population Health Sciences, University of UT, Salt Lake City, UT,  USA.; Department of Economics, University of UT, Salt Lake City, UT, USA.; University of UT School of Medicine, Salt Lake City, UT, USA.; Case Western Reserve University, Cleveland, OH, USA.; School of Medicine, University of UT, Salt Lake City, UT, USA.; Division of Oncology-Department of Medicine, University of UT/Huntsman Cancer  Institute, Salt Lake City, UT, USA.&lt;/_author_adr&gt;&lt;_date_display&gt;2023 Nov 8&lt;/_date_display&gt;&lt;_date&gt;2023-11-08&lt;/_date&gt;&lt;_doi&gt;10.1093/jnci/djad135&lt;/_doi&gt;&lt;_isbn&gt;1460-2105 (Electronic); 0027-8874 (Print); 0027-8874 (Linking)&lt;/_isbn&gt;&lt;_issue&gt;11&lt;/_issue&gt;&lt;_journal&gt;J Natl Cancer Inst&lt;/_journal&gt;&lt;_language&gt;eng&lt;/_language&gt;&lt;_ori_publication&gt;© The Author(s) 2023. Published by Oxford University Press. All rights reserved. _x000d__x000a_      For permissions, please email: journals.permissions@oup.com.&lt;/_ori_publication&gt;&lt;_pages&gt;1374-1382&lt;/_pages&gt;&lt;_subject_headings&gt;Male; Humans; *Prostatic Neoplasms/pathology; Docetaxel; Abiraterone Acetate/therapeutic use; Prednisone/therapeutic use; Cost-Effectiveness Analysis; Androgen Antagonists/therapeutic use; Androgens/therapeutic use; Bayes Theorem; Treatment Outcome; *Prostatic Neoplasms, Castration-Resistant/drug therapy&lt;/_subject_headings&gt;&lt;_tertiary_title&gt;Journal of the National Cancer Institute&lt;/_tertiary_title&gt;&lt;_type_work&gt;Journal Article; Meta-Analysis; Research Support, N.I.H., Extramural&lt;/_type_work&gt;&lt;_url&gt;http://www.ncbi.nlm.nih.gov/entrez/query.fcgi?cmd=Retrieve&amp;amp;db=pubmed&amp;amp;dopt=Abstract&amp;amp;list_uids=37436697&amp;amp;query_hl=1&lt;/_url&gt;&lt;_volume&gt;115&lt;/_volume&gt;&lt;_created&gt;65329740&lt;/_created&gt;&lt;_modified&gt;65329740&lt;/_modified&gt;&lt;_impact_factor&gt;  10.300&lt;/_impact_factor&gt;&lt;_social_category&gt;肿瘤学(1)&lt;/_social_category&gt;&lt;_collection_scope&gt;SCIE&lt;/_collection_scope&gt;&lt;_accessed&gt;65330880&lt;/_accessed&gt;&lt;/Details&gt;&lt;Extra&gt;&lt;DBUID&gt;{F96A950B-833F-4880-A151-76DA2D6A2879}&lt;/DBUID&gt;&lt;/Extra&gt;&lt;/Item&gt;&lt;/References&gt;&lt;/Group&gt;&lt;/Citation&gt;_x000a_"/>
    <w:docVar w:name="NE.Ref{C7DB3F0C-4832-42DD-8062-65B58E8E80E6}" w:val=" ADDIN NE.Ref.{C7DB3F0C-4832-42DD-8062-65B58E8E80E6}&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C9460878-91C3-4705-9DA0-2D9087302383}" w:val=" ADDIN NE.Ref.{C9460878-91C3-4705-9DA0-2D9087302383}&lt;Citation&gt;&lt;Group&gt;&lt;References&gt;&lt;Item&gt;&lt;ID&gt;3013&lt;/ID&gt;&lt;UID&gt;{DDF77562-F5F9-4F91-93AD-71B2DFC51B31}&lt;/UID&gt;&lt;Title&gt;320MO Envonalkib vs crizotinib in treatment-naïve advanced ALK-positive NSCLC: A randomized, multicenter, phase III trial&lt;/Title&gt;&lt;Template&gt;Journal Article&lt;/Template&gt;&lt;Star&gt;0&lt;/Star&gt;&lt;Tag&gt;0&lt;/Tag&gt;&lt;Author&gt;Zhang, L; Fang, W; Min, J; Yang, N; Yu, Q; Cheng, Y; Zhao, Y; Li, M; Chen, H; Ren, S; Zhou, J; Zhuang, W; Qin, X; Cao, L; Yu, Y; Zhang, J; He, J; Feng, J; Yu, H&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7&lt;/_doi&gt;&lt;_impact_factor&gt;  51.769&lt;/_impact_factor&gt;&lt;_isbn&gt;0923-7534&lt;/_isbn&gt;&lt;_journal&gt;Annals of Oncology&lt;/_journal&gt;&lt;_modified&gt;64740730&lt;/_modified&gt;&lt;_pages&gt;S1564-S1565&lt;/_pages&gt;&lt;_social_category&gt;医学(1)&lt;/_social_category&gt;&lt;_url&gt;https://www.sciencedirect.com/science/article/pii/S0923753422045483&lt;/_url&gt;&lt;_volume&gt;33&lt;/_volume&gt;&lt;/Details&gt;&lt;Extra&gt;&lt;DBUID&gt;{F96A950B-833F-4880-A151-76DA2D6A2879}&lt;/DBUID&gt;&lt;/Extra&gt;&lt;/Item&gt;&lt;/References&gt;&lt;/Group&gt;&lt;Group&gt;&lt;References&gt;&lt;Item&gt;&lt;ID&gt;3014&lt;/ID&gt;&lt;UID&gt;{B953E457-AB58-4D9C-8873-31B106CEB4E0}&lt;/UID&gt;&lt;Title&gt;Alectinib versus chemotherapy in crizotinib-pretreated anaplastic lymphoma kinase (ALK)-positive non-small-cell lung cancer: results from the phase III ALUR study&lt;/Title&gt;&lt;Template&gt;Journal Article&lt;/Template&gt;&lt;Star&gt;1&lt;/Star&gt;&lt;Tag&gt;0&lt;/Tag&gt;&lt;Author&gt;Novello, S; Mazieres, J; Oh, I J; de Castro, J; Migliorino, M R; Helland, A; Dziadziuszko, R; Griesinger, F; Kotb, A; Zeaiter, A; Cardona, A; Balas, B; Johannsdottir, H K; Das-Gupta, A; Wolf, J&lt;/Author&gt;&lt;Year&gt;2018&lt;/Year&gt;&lt;Details&gt;&lt;_accessed&gt;64631487&lt;/_accessed&gt;&lt;_accession_num&gt;29668860&lt;/_accession_num&gt;&lt;_author_adr&gt;Department of Oncology, University of Turin, Turin, Italy.; Department of Pneumology, Toulouse University Hospital, Paul Sabatier University, Toulouse, France.; Department of Internal Medicine, Chonnam National University Hwasun Hospital, Hwasun-gun Jeollanam-do, Republic of Korea.; Department of Translational Oncology, La Paz University Hospital, Madrid, Spain.; Azienda Ospedaliera San Camillo Forlanini Hospital, Rome, Italy.; Department of Cancer Genetics and Department of Oncology, Institute for Cancer Research, Oslo University Hospital, Oslo, Norway.; Department of Oncology and Radiotherapy, Medical University of Gdansk, Gdansk, Poland.; Department of Hematology and Oncology, Pius Hospital, Medical Campus University of Oldenburg, Oldenburg, Germany.; F. Hoffmann-La Roche Ltd., Basel, Switzerland.; F. Hoffmann-La Roche Ltd., Basel, Switzerland.; F. Hoffmann-La Roche Ltd., Basel, Switzerland.; F. Hoffmann-La Roche Ltd., Basel, Switzerland.; F. Hoffmann-La Roche Ltd., Basel, Switzerland.; F. Hoffmann-La Roche Ltd., Basel, Switzerland.; Department I of Internal Medicine, Center for Integrated Oncology, University Hospital Cologne, Cologne, Germany. Electronic address: juergen.wolf@uk-koeln.de.&lt;/_author_adr&gt;&lt;_collection_scope&gt;SCIE&lt;/_collection_scope&gt;&lt;_created&gt;64630952&lt;/_created&gt;&lt;_date&gt;2018-06-01&lt;/_date&gt;&lt;_date_display&gt;2018 Jun 1&lt;/_date_display&gt;&lt;_db_updated&gt;PubMed&lt;/_db_updated&gt;&lt;_doi&gt;10.1093/annonc/mdy121&lt;/_doi&gt;&lt;_impact_factor&gt;  51.769&lt;/_impact_factor&gt;&lt;_isbn&gt;1569-8041 (Electronic); 0923-7534 (Linking)&lt;/_isbn&gt;&lt;_issue&gt;6&lt;/_issue&gt;&lt;_journal&gt;Ann Oncol&lt;/_journal&gt;&lt;_language&gt;eng&lt;/_language&gt;&lt;_modified&gt;64740730&lt;/_modified&gt;&lt;_pages&gt;1409-1416&lt;/_pages&gt;&lt;_social_category&gt;医学(1)&lt;/_social_category&gt;&lt;_subject_headings&gt;Adenocarcinoma/*drug therapy/secondary; Adult; Aged; Aged, 80 and over; Antineoplastic Combined Chemotherapy Protocols/*therapeutic use; Carbazoles/administration &amp;amp; dosage; Carcinoma, Non-Small-Cell Lung/*drug therapy/pathology; Central Nervous System Neoplasms/*drug therapy/secondary; Crizotinib/administration &amp;amp; dosage; Drug Resistance, Neoplasm/*drug effects; Female; Follow-Up Studies; Humans; Lung Neoplasms/*drug therapy/pathology; Lymphatic Metastasis; Male; Middle Aged; Pemetrexed/administration &amp;amp; dosage; Piperidines/administration &amp;amp; dosage; Prognosis; *Salvage Therapy; Survival Rate&lt;/_subject_headings&gt;&lt;_tertiary_title&gt;Annals of oncology : official journal of the European Society for Medical_x000d__x000a_      Oncology&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668860&amp;amp;query_hl=1 _x000d__x000a_https://www.ncbi.nlm.nih.gov/pmc/articles/PMC6005013/pdf/mdy121.pdf _x000d__x000a_&lt;/_url&gt;&lt;_volume&gt;29&lt;/_volume&gt;&lt;/Details&gt;&lt;Extra&gt;&lt;DBUID&gt;{F96A950B-833F-4880-A151-76DA2D6A2879}&lt;/DBUID&gt;&lt;/Extra&gt;&lt;/Item&gt;&lt;/References&gt;&lt;/Group&gt;&lt;Group&gt;&lt;References&gt;&lt;Item&gt;&lt;ID&gt;2997&lt;/ID&gt;&lt;UID&gt;{F7276F66-05F3-4615-919F-AC3936FC39E7}&lt;/UID&gt;&lt;Title&gt;Alectinib versus Crizotinib in Untreated ALK-Positive Non-Small-Cell Lung Cancer&lt;/Title&gt;&lt;Template&gt;Journal Article&lt;/Template&gt;&lt;Star&gt;0&lt;/Star&gt;&lt;Tag&gt;0&lt;/Tag&gt;&lt;Author&gt;Peters, S; Camidge, D R; Shaw, A T; Gadgeel, S; Ahn, J S; Kim, D W; Ou, S I; Perol, M; Dziadziuszko, R; Rosell, R; Zeaiter, A; Mitry, E; Golding, S; Balas, B; Noe, J; Morcos, P N; Mok, T&lt;/Author&gt;&lt;Year&gt;2017&lt;/Year&gt;&lt;Details&gt;&lt;_accessed&gt;64632453&lt;/_accessed&gt;&lt;_accession_num&gt;28586279&lt;/_accession_num&gt;&lt;_collection_scope&gt;SCIE&lt;/_collection_scope&gt;&lt;_created&gt;64630944&lt;/_created&gt;&lt;_date&gt;2017-08-31&lt;/_date&gt;&lt;_date_display&gt;2017 Aug 31&lt;/_date_display&gt;&lt;_db_updated&gt;PubMed&lt;/_db_updated&gt;&lt;_doi&gt;10.1056/NEJMoa1704795&lt;/_doi&gt;&lt;_impact_factor&gt; 176.079&lt;/_impact_factor&gt;&lt;_isbn&gt;1533-4406 (Electronic); 0028-4793 (Linking)&lt;/_isbn&gt;&lt;_issue&gt;9&lt;/_issue&gt;&lt;_journal&gt;N Engl J Med&lt;/_journal&gt;&lt;_language&gt;eng&lt;/_language&gt;&lt;_modified&gt;64740730&lt;/_modified&gt;&lt;_pages&gt;829-838&lt;/_pages&gt;&lt;_social_category&gt;医学(1)&lt;/_social_category&gt;&lt;_subject_headings&gt;Adult; Aged, 80 and over; Anaplastic Lymphoma Kinase; Animals; Antineoplastic Agents/adverse effects/therapeutic use; Carbazoles/adverse effects/*therapeutic use; Carcinoma, Non-Small-Cell Lung/*drug therapy/mortality; Central Nervous System Neoplasms/drug therapy/*secondary; Crizotinib; Disease-Free Survival; Female; Follow-Up Studies; Humans; Intention to Treat Analysis; Kaplan-Meier Estimate; Lung Neoplasms/*drug therapy/mortality; Male; Middle Aged; Piperidines/adverse effects/*therapeutic use; Protein Kinase Inhibitors/adverse effects/*therapeutic use; Pyrazoles/adverse effects/*therapeutic use; Pyridines/adverse effects/*therapeutic use; Receptor Protein-Tyrosine Kinases/analysis/antagonists &amp;amp; inhibitors; Young Adult&lt;/_subject_headings&gt;&lt;_tertiary_title&gt;The New England journal of medicine&lt;/_tertiary_title&gt;&lt;_type_work&gt;Clinical Trial, Phase III; Comparative Study; Journal Article; Multicenter Study; Randomized Controlled Trial&lt;/_type_work&gt;&lt;_url&gt;http://www.ncbi.nlm.nih.gov/entrez/query.fcgi?cmd=Retrieve&amp;amp;db=pubmed&amp;amp;dopt=Abstract&amp;amp;list_uids=28586279&amp;amp;query_hl=1&lt;/_url&gt;&lt;_volume&gt;377&lt;/_volume&gt;&lt;/Details&gt;&lt;Extra&gt;&lt;DBUID&gt;{F96A950B-833F-4880-A151-76DA2D6A2879}&lt;/DBUID&gt;&lt;/Extra&gt;&lt;/Item&gt;&lt;/References&gt;&lt;/Group&gt;&lt;Group&gt;&lt;References&gt;&lt;Item&gt;&lt;ID&gt;3011&lt;/ID&gt;&lt;UID&gt;{0F926A27-416F-493B-ABFF-43BCA735BF6B}&lt;/UID&gt;&lt;Title&gt;Alectinib versus crizotinib in untreated Asian patients with anaplastic lymphoma  kinase-positive non-small-cell lung cancer (ALESIA): a randomised phase 3 study&lt;/Title&gt;&lt;Template&gt;Journal Article&lt;/Template&gt;&lt;Star&gt;0&lt;/Star&gt;&lt;Tag&gt;0&lt;/Tag&gt;&lt;Author&gt;Zhou, C; Kim, S W; Reungwetwattana, T; Zhou, J; Zhang, Y; He, J; Yang, J J; Cheng, Y; Lee, S H; Bu, L; Xu, T; Yang, L; Wang, C; Liu, T; Morcos, P N; Lu, Y; Zhang, L&lt;/Author&gt;&lt;Year&gt;2019&lt;/Year&gt;&lt;Details&gt;&lt;_accessed&gt;64632481&lt;/_accessed&gt;&lt;_accession_num&gt;30981696&lt;/_accession_num&gt;&lt;_author_adr&gt;Shanghai Pulmonary Hospital, Tongji University School of Medicine, Shanghai, China.; Asan Medical Center, Seoul, South Korea.; Faculty of Medicine Ramathibodi Hospital, Mahidol University, Bangkok, Thailand.; The First Affiliated Hospital of College of Medicine, Zhejiang University, Hangzhou, China.; Zhejiang Cancer Hospital, Hangzhou, China.; The First Affiliated Hospital of College of Medicine, Zhejiang University, Hangzhou, China.; Guangdong General Hospital, Guangzhou, China.; The First Affiliated Hospital of Guangzhou Medical University, Guangzhou, China;  Jilin Cancer Hospital, Changchun, China.; Samsung Medical Center, Sungkyunkwan University School of Medicine, Seoul, South  Korea.; Roche Pharma Development, Shanghai, China.; Roche Pharma Development, Shanghai, China.; Roche Pharma Development, Shanghai, China.; Roche Pharma Development, Shanghai, China.; F Hoffmann-La Roche, Basel, Switzerland.; Roche Innovation Center, New York, NY, USA.; West China Hospital, Sichuan University, Chengdu, China.; Sun Yat-sen University Cancer Center, State Key Laboratory of Oncology in South China, Collaborative Innovation Center for Cancer Medicine, Guangzhou, China. Electronic address: ChinazhangLi6@mail.sysu.edu.cn.&lt;/_author_adr&gt;&lt;_collection_scope&gt;SCIE&lt;/_collection_scope&gt;&lt;_created&gt;64630941&lt;/_created&gt;&lt;_date&gt;2019-05-01&lt;/_date&gt;&lt;_date_display&gt;2019 May&lt;/_date_display&gt;&lt;_db_updated&gt;PubMed&lt;/_db_updated&gt;&lt;_doi&gt;10.1016/S2213-2600(19)30053-0&lt;/_doi&gt;&lt;_impact_factor&gt; 102.642&lt;/_impact_factor&gt;&lt;_isbn&gt;2213-2619 (Electronic); 2213-2600 (Linking)&lt;/_isbn&gt;&lt;_issue&gt;5&lt;/_issue&gt;&lt;_journal&gt;Lancet Respir Med&lt;/_journal&gt;&lt;_language&gt;eng&lt;/_language&gt;&lt;_modified&gt;64740730&lt;/_modified&gt;&lt;_ori_publication&gt;Copyright (c) 2019 Elsevier Ltd. All rights reserved.&lt;/_ori_publication&gt;&lt;_pages&gt;437-446&lt;/_pages&gt;&lt;_social_category&gt;医学(1)&lt;/_social_category&gt;&lt;_subject_headings&gt;Adult; *Anaplastic Lymphoma Kinase; Carbazoles/*therapeutic use; Carcinoma, Non-Small-Cell Lung/*drug therapy; China; Crizotinib/*therapeutic use; Female; Humans; Lung Neoplasms/*drug therapy; Male; Middle Aged; Piperidines/*therapeutic use; Protein Kinase Inhibitors/*therapeutic use; Republic of Korea; Thailand; Treatment Outcome&lt;/_subject_headings&gt;&lt;_tertiary_title&gt;The Lancet. Respiratory medicine&lt;/_tertiary_title&gt;&lt;_type_work&gt;Clinical Trial, Phase III; Comparative Study; Journal Article; Randomized Controlled Trial; Research Support, Non-U.S. Gov&amp;apos;t&lt;/_type_work&gt;&lt;_url&gt;http://www.ncbi.nlm.nih.gov/entrez/query.fcgi?cmd=Retrieve&amp;amp;db=pubmed&amp;amp;dopt=Abstract&amp;amp;list_uids=30981696&amp;amp;query_hl=1&lt;/_url&gt;&lt;_volume&gt;7&lt;/_volume&gt;&lt;/Details&gt;&lt;Extra&gt;&lt;DBUID&gt;{F96A950B-833F-4880-A151-76DA2D6A2879}&lt;/DBUID&gt;&lt;/Extra&gt;&lt;/Item&gt;&lt;/References&gt;&lt;/Group&gt;&lt;Group&gt;&lt;References&gt;&lt;Item&gt;&lt;ID&gt;2986&lt;/ID&gt;&lt;UID&gt;{EAD05C8C-08F1-4D02-BB5B-35E1CE9E2B7B}&lt;/UID&gt;&lt;Title&gt;Brigatinib versus Crizotinib in ALK-Positive Non-Small-Cell Lung Cancer&lt;/Title&gt;&lt;Template&gt;Journal Article&lt;/Template&gt;&lt;Star&gt;0&lt;/Star&gt;&lt;Tag&gt;0&lt;/Tag&gt;&lt;Author&gt;Camidge, D R; Kim, H R; Ahn, M J; Yang, J C; Han, J Y; Lee, J S; Hochmair, M J; Li, J Y; Chang, G C; Lee, K H; Gridelli, C; Delmonte, A; Garcia, Campelo R; Kim, D W; Bearz, A; Griesinger, F; Morabito, A; Felip, E; Califano, R; Ghosh, S; Spira, A; Gettinger, S N; Tiseo, M; Gupta, N; Haney, J; Kerstein, D; Popat, S&lt;/Author&gt;&lt;Year&gt;2018&lt;/Year&gt;&lt;Details&gt;&lt;_accessed&gt;64632453&lt;/_accessed&gt;&lt;_accession_num&gt;30280657&lt;/_accession_num&gt;&lt;_collection_scope&gt;SCIE&lt;/_collection_scope&gt;&lt;_created&gt;64630986&lt;/_created&gt;&lt;_date&gt;2018-11-22&lt;/_date&gt;&lt;_date_display&gt;2018 Nov 22&lt;/_date_display&gt;&lt;_db_updated&gt;PubMed&lt;/_db_updated&gt;&lt;_doi&gt;10.1056/NEJMoa1810171&lt;/_doi&gt;&lt;_impact_factor&gt; 176.079&lt;/_impact_factor&gt;&lt;_isbn&gt;1533-4406 (Electronic); 0028-4793 (Linking)&lt;/_isbn&gt;&lt;_issue&gt;21&lt;/_issue&gt;&lt;_journal&gt;N Engl J Med&lt;/_journal&gt;&lt;_language&gt;eng&lt;/_language&gt;&lt;_modified&gt;64740730&lt;/_modified&gt;&lt;_pages&gt;2027-2039&lt;/_pages&gt;&lt;_social_category&gt;医学(1)&lt;/_social_category&gt;&lt;_subject_headings&gt;Adult; Aged; Aged, 80 and over; Anaplastic Lymphoma Kinase/analysis/*antagonists &amp;amp; inhibitors; Antineoplastic Agents/adverse effects/*therapeutic use; Brain Neoplasms/secondary; Carcinoma, Non-Small-Cell Lung/chemistry/*drug therapy/secondary; Crizotinib/adverse effects/*therapeutic use; Female; Humans; Kaplan-Meier Estimate; Lung Neoplasms/chemistry/*drug therapy/pathology; Male; Middle Aged; Organophosphorus Compounds/adverse effects/*therapeutic use; Progression-Free Survival; Pyrimidines/adverse effects/*therapeutic use&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0280657&amp;amp;query_hl=1&lt;/_url&gt;&lt;_volume&gt;379&lt;/_volume&gt;&lt;/Details&gt;&lt;Extra&gt;&lt;DBUID&gt;{F96A950B-833F-4880-A151-76DA2D6A2879}&lt;/DBUID&gt;&lt;/Extra&gt;&lt;/Item&gt;&lt;/References&gt;&lt;/Group&gt;&lt;Group&gt;&lt;References&gt;&lt;Item&gt;&lt;ID&gt;3003&lt;/ID&gt;&lt;UID&gt;{085AB25D-819B-4098-9200-CE648549D759}&lt;/UID&gt;&lt;Title&gt;Ensartinib vs Crizotinib for Patients With Anaplastic Lymphoma Kinase-Positive Non-Small Cell Lung Cancer: A Randomized Clinical Trial&lt;/Title&gt;&lt;Template&gt;Journal Article&lt;/Template&gt;&lt;Star&gt;0&lt;/Star&gt;&lt;Tag&gt;0&lt;/Tag&gt;&lt;Author&gt;Horn, L; Wang, Z; Wu, G; Poddubskaya, E; Mok, T; Reck, M; Wakelee, H; Chiappori, A A; Lee, D H; Breder, V; Orlov, S; Cicin, I; Cheng, Y; Liu, Y; Fan, Y; Whisenant, J G; Zhou, Y; Oertel, V; Harrow, K; Liang, C; Mao, L; Selvaggi, G; Wu, Y L&lt;/Author&gt;&lt;Year&gt;2021&lt;/Year&gt;&lt;Details&gt;&lt;_accessed&gt;64632481&lt;/_accessed&gt;&lt;_accession_num&gt;34473194&lt;/_accession_num&gt;&lt;_author_adr&gt;Division of Hematology and Oncology, Department of Medicine, Vanderbilt-Ingram Cancer Center, Nashville, Tennessee.; Now with Global Clinical Head for Lung Cancer and Lung Cancer Strategy, AstraZeneca, Nashville, Tennessee.; Department of Thoracic Medical Oncology, Peking University Cancer Hospital and Institute, Beijing, China.; Cancer Center, Union Hospital, Tongji Medical College, Huazhong University of Science and Technology, Wuhan, China.; Clinical Center for Oncology, I. M. Sechenov First Moscow State Medical University (Sechenov University), Moscow, Russia.; Clinical Center VitaMed, Moscow, Russia.; Department of Clinical Oncology, State Key Laboratory of Translational Oncology,  The Chinese University of Hong Kong, Hong Kong, China.; Lung Clinic, Airway Research Center North, German Center for Lung Research, Grosshansdorf, Germany.; Department of Medicine, Division of Oncology and Stanford Cancer Institute, Stanford University, Stanford, California.; Thoracic Oncology Program, Moffitt Cancer Center, Tampa, Florida.; Department of Oncology, University of Ulsan College of Medicine, Asan Medical Center, Seoul, South Korea.; Department of Chemotherapy No. 17, N. N. Blokhin Russian Cancer Research Center,  Moscow, Russia.; Department of Biochemistry, Pavlov First Saint Petersburg State Medical University, St Petersburg, Russia.; Department of Medical Oncology, Faculty of Medicine, Trakya University, Edirne, Turkey.; Department of Thoracic Oncology, Jilin Cancer Hospital, Changchun, China.; Department of Medical Oncology, The First Hospital of China Medical University, Shenyang, Liaoning, China.; Thoracic Tumor Center, Zhejiang Cancer Hospital, Hangzhou, China.; Division of Hematology and Oncology, Department of Medicine, Vanderbilt-Ingram Cancer Center, Nashville, Tennessee.; Biometrics, Xcovery Holdings Inc, Palm Beach Gardens, Florida.; Clinical Operations, Xcovery Holdings Inc, Palm Beach Gardens, Florida.; Clinical Operations, Xcovery Holdings Inc, Palm Beach Gardens, Florida.; Now with EQRx, Cambridge, Massachusetts.; Clinical Science, Xcovery Holdings Inc, Palm Beach Gardens, Florida.; Clinical Development, Xcovery Holdings Inc, Palm Beach Gardens, Florida.; Now with Sino Biopharmaceutical Ltd, Beijing, China.; Clinical Development, Xcovery Holdings Inc, Palm Beach Gardens, Florida.; Guangdong Lung Cancer Institute, Guangdong Provincial People&amp;apos;s Hospital and Guangdong Academy of Medical Sciences, Guangzhou, China.&lt;/_author_adr&gt;&lt;_collection_scope&gt;SCIE&lt;/_collection_scope&gt;&lt;_created&gt;64630949&lt;/_created&gt;&lt;_date&gt;2021-11-01&lt;/_date&gt;&lt;_date_display&gt;2021 Nov 1&lt;/_date_display&gt;&lt;_db_updated&gt;PubMed&lt;/_db_updated&gt;&lt;_doi&gt;10.1001/jamaoncol.2021.3523&lt;/_doi&gt;&lt;_impact_factor&gt;  33.006&lt;/_impact_factor&gt;&lt;_isbn&gt;2374-2445 (Electronic); 2374-2437 (Linking)&lt;/_isbn&gt;&lt;_issue&gt;11&lt;/_issue&gt;&lt;_journal&gt;JAMA Oncol&lt;/_journal&gt;&lt;_language&gt;eng&lt;/_language&gt;&lt;_modified&gt;64740730&lt;/_modified&gt;&lt;_pages&gt;1617-1625&lt;/_pages&gt;&lt;_social_category&gt;医学(1)&lt;/_social_category&gt;&lt;_subject_headings&gt;Adolescent; Adult; Anaplastic Lymphoma Kinase; *Carcinoma, Non-Small-Cell Lung/pathology; Crizotinib/adverse effects; Humans; *Lung Neoplasms/pathology; Male; Middle Aged; Piperazines; Protein Kinase Inhibitors/adverse effects; Pyridazines&lt;/_subject_headings&gt;&lt;_tertiary_title&gt;JAMA oncology&lt;/_tertiary_title&gt;&lt;_type_work&gt;Journal Article; Multicenter Study; Randomized Controlled Trial; Research Support, Non-U.S. Gov&amp;apos;t&lt;/_type_work&gt;&lt;_url&gt;http://www.ncbi.nlm.nih.gov/entrez/query.fcgi?cmd=Retrieve&amp;amp;db=pubmed&amp;amp;dopt=Abstract&amp;amp;list_uids=34473194&amp;amp;query_hl=1&lt;/_url&gt;&lt;_volume&gt;7&lt;/_volume&gt;&lt;/Details&gt;&lt;Extra&gt;&lt;DBUID&gt;{F96A950B-833F-4880-A151-76DA2D6A2879}&lt;/DBUID&gt;&lt;/Extra&gt;&lt;/Item&gt;&lt;/References&gt;&lt;/Group&gt;&lt;Group&gt;&lt;References&gt;&lt;Item&gt;&lt;ID&gt;3006&lt;/ID&gt;&lt;UID&gt;{65B0B5EE-3BB2-4C5C-BFF0-F0667F8A3C9D}&lt;/UID&gt;&lt;Title&gt;First-line ceritinib versus platinum-based chemotherapy in advanced ALK-rearranged non-small-cell lung cancer (ASCEND-4): a randomised, open-label, phase 3 study&lt;/Title&gt;&lt;Template&gt;Journal Article&lt;/Template&gt;&lt;Star&gt;0&lt;/Star&gt;&lt;Tag&gt;0&lt;/Tag&gt;&lt;Author&gt;Soria, J C; Tan, DSW; Chiari, R; Wu, Y L; Paz-Ares, L; Wolf, J; Geater, S L; Orlov, S; Cortinovis, D; Yu, C J; Hochmair, M; Cortot, A B; Tsai, C M; Moro-Sibilot, D; Campelo, R G; McCulloch, T; Sen, P; Dugan, M; Pantano, S; Branle, F; Massacesi, C; de Castro, G Jr&lt;/Author&gt;&lt;Year&gt;2017&lt;/Year&gt;&lt;Details&gt;&lt;_accessed&gt;64631489&lt;/_accessed&gt;&lt;_accession_num&gt;28126333&lt;/_accession_num&gt;&lt;_author_adr&gt;University Paris-Sud, Orsay, France; Institut Gustave Roussy, Villejuif, France.  Electronic address: Jean-Charles.Soria@gustaveroussy.fr.; National Cancer Centre Singapore and Genome Institute of Singapore, Singapore.; Azienda Ospedale Perugia, Perugia, Italy.; Guangdong Lung Cancer Institute, Guangdong General Hospital &amp;amp; Guangdong Academy of Medical Sciences, Guangzhou, China.; University Hospital Virgen del RocioDoce de Octubre, Universidad Complutense &amp;amp; CNIO, Madrid, Spain.; University Hospital Cologne, Cologne, Germany.; Songklanagarind Hospital, Songkla, Thailand.; State Pavlov Medical University, St Petersburg, Russia.; Az. Ospedaliera San Gerardo, Monza, Italy.; National Taiwan University Hospital, Taipei, Taiwan.; Respiratory Oncology Unit, Department of Respiratory and Critical Care Medicine,  Otto-Wagner-Spital, Vienna, Austria.; CHU de LILLE, Lille, France.; Taipei Veterans General Hospital, Taipei, Taiwan.; Hopital Albert Michallon, Grenoble, France.; University Hospital A Coruna, La Coruna, Spain.; Novartis Pharmaceuticals Corporation, East Hanover, NJ, USA.; Novartis Pharmaceuticals Corporation, East Hanover, NJ, USA.; Novartis Pharmaceuticals Corporation, East Hanover, NJ, USA.; Novartis Pharma AG, Basel, Switzerland.; Novartis Pharma AG, Basel, Switzerland.; Novartis Pharma AG, Basel, Switzerland.; Instituto do Cancer do Estado de Sao Paulo, Sao Paulo, Brazil.&lt;/_author_adr&gt;&lt;_collection_scope&gt;SCIE&lt;/_collection_scope&gt;&lt;_created&gt;64630940&lt;/_created&gt;&lt;_date&gt;2017-03-04&lt;/_date&gt;&lt;_date_display&gt;2017 Mar 4&lt;/_date_display&gt;&lt;_db_updated&gt;PubMed&lt;/_db_updated&gt;&lt;_doi&gt;10.1016/S0140-6736(17)30123-X&lt;/_doi&gt;&lt;_impact_factor&gt; 202.731&lt;/_impact_factor&gt;&lt;_isbn&gt;1474-547X (Electronic); 0140-6736 (Linking)&lt;/_isbn&gt;&lt;_issue&gt;10072&lt;/_issue&gt;&lt;_journal&gt;Lancet&lt;/_journal&gt;&lt;_language&gt;eng&lt;/_language&gt;&lt;_modified&gt;64740730&lt;/_modified&gt;&lt;_ori_publication&gt;Copyright (c) 2017 Elsevier Ltd. All rights reserved.&lt;/_ori_publication&gt;&lt;_pages&gt;917-929&lt;/_pages&gt;&lt;_social_category&gt;医学(1)&lt;/_social_category&gt;&lt;_subject_headings&gt;Adult; Aged; Aged, 80 and over; Antineoplastic Agents/*administration &amp;amp; dosage/adverse effects; Antineoplastic Combined Chemotherapy Protocols/therapeutic use; Carboplatin/administration &amp;amp; dosage/adverse effects; Carcinoma, Non-Small-Cell Lung/*drug therapy/mortality; Cisplatin/administration &amp;amp; dosage/adverse effects; Disease-Free Survival; Female; Humans; Kaplan-Meier Estimate; Lung Neoplasms/*drug therapy/mortality; Male; Middle Aged; Pemetrexed/administration &amp;amp; dosage/adverse effects; Pyrimidines/*administration &amp;amp; dosage/adverse effects; Sulfones/*administration &amp;amp; dosage/adverse effects; Treatment Outcome; Young Adult&lt;/_subject_headings&gt;&lt;_tertiary_title&gt;Lancet (London, England)&lt;/_tertiary_title&gt;&lt;_type_work&gt;Clinical Trial, Phase III; Comparative Study; Journal Article; Multicenter Study; Randomized Controlled Trial&lt;/_type_work&gt;&lt;_url&gt;http://www.ncbi.nlm.nih.gov/entrez/query.fcgi?cmd=Retrieve&amp;amp;db=pubmed&amp;amp;dopt=Abstract&amp;amp;list_uids=28126333&amp;amp;query_hl=1&lt;/_url&gt;&lt;_volume&gt;389&lt;/_volume&gt;&lt;/Details&gt;&lt;Extra&gt;&lt;DBUID&gt;{F96A950B-833F-4880-A151-76DA2D6A2879}&lt;/DBUID&gt;&lt;/Extra&gt;&lt;/Item&gt;&lt;/References&gt;&lt;/Group&gt;&lt;Group&gt;&lt;References&gt;&lt;Item&gt;&lt;ID&gt;2994&lt;/ID&gt;&lt;UID&gt;{C5F928ED-3171-4414-BDBA-515DE60795AC}&lt;/UID&gt;&lt;Title&gt;First-Line Lorlatinib or Crizotinib in Advanced ALK-Positive Lung Cancer&lt;/Title&gt;&lt;Template&gt;Journal Article&lt;/Template&gt;&lt;Star&gt;0&lt;/Star&gt;&lt;Tag&gt;0&lt;/Tag&gt;&lt;Author&gt;Shaw, A T; Bauer, T M; de Marinis, F; Felip, E; Goto, Y; Liu, G; Mazieres, J; Kim, D W; Mok, T; Polli, A; Thurm, H; Calella, A M; Peltz, G; Solomon, B J&lt;/Author&gt;&lt;Year&gt;2020&lt;/Year&gt;&lt;Details&gt;&lt;_accessed&gt;64632463&lt;/_accessed&gt;&lt;_accession_num&gt;33207094&lt;/_accession_num&gt;&lt;_collection_scope&gt;SCIE&lt;/_collection_scope&gt;&lt;_created&gt;64630950&lt;/_created&gt;&lt;_date&gt;2020-11-19&lt;/_date&gt;&lt;_date_display&gt;2020 Nov 19&lt;/_date_display&gt;&lt;_db_updated&gt;PubMed&lt;/_db_updated&gt;&lt;_doi&gt;10.1056/NEJMoa2027187&lt;/_doi&gt;&lt;_impact_factor&gt; 176.079&lt;/_impact_factor&gt;&lt;_isbn&gt;1533-4406 (Electronic); 0028-4793 (Linking)&lt;/_isbn&gt;&lt;_issue&gt;21&lt;/_issue&gt;&lt;_journal&gt;N Engl J Med&lt;/_journal&gt;&lt;_language&gt;eng&lt;/_language&gt;&lt;_modified&gt;64740730&lt;/_modified&gt;&lt;_ori_publication&gt;Copyright (c) 2020 Massachusetts Medical Society.&lt;/_ori_publication&gt;&lt;_pages&gt;2018-2029&lt;/_pages&gt;&lt;_social_category&gt;医学(1)&lt;/_social_category&gt;&lt;_subject_headings&gt;Adult; Aged; Aminopyridines; Anaplastic Lymphoma Kinase/*antagonists &amp;amp; inhibitors/genetics; Antineoplastic Agents/adverse effects/*therapeutic use; Carcinoma, Non-Small-Cell Lung/*drug therapy/genetics/mortality; Crizotinib/adverse effects/*therapeutic use; Female; Humans; Hyperlipidemias/chemically induced; Intention to Treat Analysis; Lactams; Lactams, Macrocyclic/adverse effects/*therapeutic use; Lung Neoplasms/*drug therapy/genetics/mortality; Male; Middle Aged; Mutation; Pyrazoles; Survival Analysi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3207094&amp;amp;query_hl=1&lt;/_url&gt;&lt;_volume&gt;383&lt;/_volume&gt;&lt;/Details&gt;&lt;Extra&gt;&lt;DBUID&gt;{F96A950B-833F-4880-A151-76DA2D6A2879}&lt;/DBUID&gt;&lt;/Extra&gt;&lt;/Item&gt;&lt;/References&gt;&lt;/Group&gt;&lt;Group&gt;&lt;References&gt;&lt;Item&gt;&lt;ID&gt;3007&lt;/ID&gt;&lt;UID&gt;{6D47650E-FAC3-40B8-B9DD-9E2492C30979}&lt;/UID&gt;&lt;Title&gt;PROFILE 1029 Study: Crizotinib Outperforms Chemotherapy for Brain Metastases in ORR/Intracranial Lesions&lt;/Title&gt;&lt;Template&gt;Conference Paper&lt;/Template&gt;&lt;Star&gt;0&lt;/Star&gt;&lt;Tag&gt;0&lt;/Tag&gt;&lt;Author&gt;Wu, Yilong&lt;/Author&gt;&lt;Year&gt;2016&lt;/Year&gt;&lt;Details&gt;&lt;_secondary_title&gt;CSCO 2016&lt;/_secondary_title&gt;&lt;_accessed&gt;64740335&lt;/_accessed&gt;&lt;_created&gt;64740335&lt;/_created&gt;&lt;_modified&gt;64740730&lt;/_modified&gt;&lt;/Details&gt;&lt;Extra&gt;&lt;DBUID&gt;{F96A950B-833F-4880-A151-76DA2D6A2879}&lt;/DBUID&gt;&lt;/Extra&gt;&lt;/Item&gt;&lt;/References&gt;&lt;/Group&gt;&lt;/Citation&gt;_x000a_"/>
    <w:docVar w:name="NE.Ref{C9B48513-160F-4173-B73D-27123694C993}" w:val=" ADDIN NE.Ref.{C9B48513-160F-4173-B73D-27123694C993}&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Citation&gt;_x000a_"/>
    <w:docVar w:name="NE.Ref{C9CB6B0E-0938-45AC-B780-70A583DC34C6}" w:val=" ADDIN NE.Ref.{C9CB6B0E-0938-45AC-B780-70A583DC34C6}&lt;Citation&gt;&lt;Group&gt;&lt;References&gt;&lt;Item&gt;&lt;ID&gt;46202&lt;/ID&gt;&lt;UID&gt;{4B64A322-E4EA-4491-BD66-79CF9493DD09}&lt;/UID&gt;&lt;Title&gt;First-line crizotinib versus chemotherapy in ALK-positive lung cancer&lt;/Title&gt;&lt;Template&gt;Journal Article&lt;/Template&gt;&lt;Star&gt;0&lt;/Star&gt;&lt;Tag&gt;0&lt;/Tag&gt;&lt;Author&gt;Solomon, B J; Mok, T; Kim, D W; Wu, Y L; Nakagawa, K; Mekhail, T; Felip, E; Cappuzzo, F; Paolini, J; Usari, T; Iyer, S; Reisman, A; Wilner, K D; Tursi, J; Blackhall, F&lt;/Author&gt;&lt;Year&gt;2014&lt;/Year&gt;&lt;Details&gt;&lt;_accessed&gt;64632481&lt;/_accessed&gt;&lt;_accession_num&gt;25470694&lt;/_accession_num&gt;&lt;_collection_scope&gt;SCIE&lt;/_collection_scope&gt;&lt;_created&gt;64630940&lt;/_created&gt;&lt;_date&gt;2014-12-04&lt;/_date&gt;&lt;_date_display&gt;2014 Dec 4&lt;/_date_display&gt;&lt;_db_updated&gt;PubMed&lt;/_db_updated&gt;&lt;_doi&gt;10.1056/NEJMoa1408440&lt;/_doi&gt;&lt;_impact_factor&gt; 176.079&lt;/_impact_factor&gt;&lt;_isbn&gt;1533-4406 (Electronic); 0028-4793 (Linking)&lt;/_isbn&gt;&lt;_issue&gt;23&lt;/_issue&gt;&lt;_journal&gt;N Engl J Med&lt;/_journal&gt;&lt;_language&gt;eng&lt;/_language&gt;&lt;_modified&gt;64688891&lt;/_modified&gt;&lt;_pages&gt;2167-77&lt;/_pages&gt;&lt;_social_category&gt;医学(1)&lt;/_social_category&gt;&lt;_subject_headings&gt;Adenocarcinoma/drug therapy/mortality; Adult; Aged; Anaplastic Lymphoma Kinase; Antineoplastic Combined Chemotherapy Protocols/adverse effects/*therapeutic use; Carboplatin/administration &amp;amp; dosage; Carcinoma, Non-Small-Cell Lung/*drug therapy/mortality; Cisplatin/administration &amp;amp; dosage; Crizotinib; Disease-Free Survival; Female; Glutamates/administration &amp;amp; dosage; Guanine/administration &amp;amp; dosage/analogs &amp;amp; derivatives; Humans; Kaplan-Meier Estimate; Lung Neoplasms/*drug therapy/mortality; Male; Middle Aged; Pemetrexed; Protein Kinase Inhibitors/adverse effects/*therapeutic use; Pyrazoles/adverse effects/*therapeutic use; Pyridines/adverse effects/*therapeutic use; Receptor Protein-Tyrosine Kinases/*antagonists &amp;amp; inhibitor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5470694&amp;amp;query_hl=1&lt;/_url&gt;&lt;_volume&gt;371&lt;/_volume&gt;&lt;/Details&gt;&lt;Extra&gt;&lt;DBUID&gt;{F96A950B-833F-4880-A151-76DA2D6A2879}&lt;/DBUID&gt;&lt;/Extra&gt;&lt;/Item&gt;&lt;/References&gt;&lt;/Group&gt;&lt;/Citation&gt;_x000a_"/>
    <w:docVar w:name="NE.Ref{CA73DF79-1D03-47D8-8E65-1BAFD61896CE}" w:val=" ADDIN NE.Ref.{CA73DF79-1D03-47D8-8E65-1BAFD61896CE}&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Citation&gt;_x000a_"/>
    <w:docVar w:name="NE.Ref{CAA332E8-666B-4798-B7A2-8D8F3E0B59A3}" w:val=" ADDIN NE.Ref.{CAA332E8-666B-4798-B7A2-8D8F3E0B59A3}&lt;Citation&gt;&lt;Group&gt;&lt;References&gt;&lt;Item&gt;&lt;ID&gt;5021&lt;/ID&gt;&lt;UID&gt;{FC01DC97-7D4C-4C9D-9151-12C0AE958C20}&lt;/UID&gt;&lt;Title&gt;National Institute for Health and Care Excellence. Regorafenib for previously treated metastatic colorectal cancer [ID4002]. https://www.nice.org.uk/guidance(Accessed Feb 2, 2024).&lt;/Title&gt;&lt;Template&gt;Web Page&lt;/Template&gt;&lt;Star&gt;0&lt;/Star&gt;&lt;Tag&gt;0&lt;/Tag&gt;&lt;Author/&gt;&lt;Year&gt;0&lt;/Year&gt;&lt;Details&gt;&lt;_accessed&gt;65330793&lt;/_accessed&gt;&lt;_created&gt;65329711&lt;/_created&gt;&lt;_modified&gt;65329715&lt;/_modified&gt;&lt;/Details&gt;&lt;Extra&gt;&lt;DBUID&gt;{F96A950B-833F-4880-A151-76DA2D6A2879}&lt;/DBUID&gt;&lt;/Extra&gt;&lt;/Item&gt;&lt;/References&gt;&lt;/Group&gt;&lt;Group&gt;&lt;References&gt;&lt;Item&gt;&lt;ID&gt;5041&lt;/ID&gt;&lt;UID&gt;{3154A280-2B61-4C36-BD50-ABC671FE750F}&lt;/UID&gt;&lt;Title&gt;Health state utilities for non small cell lung cancer&lt;/Title&gt;&lt;Template&gt;Journal Article&lt;/Template&gt;&lt;Star&gt;0&lt;/Star&gt;&lt;Tag&gt;0&lt;/Tag&gt;&lt;Author&gt;Nafees, B; Stafford, M; Gavriel, S; Bhalla, S; Watkins, J&lt;/Author&gt;&lt;Year&gt;2008&lt;/Year&gt;&lt;Details&gt;&lt;_accession_num&gt;18939982&lt;/_accession_num&gt;&lt;_author_adr&gt;United BioSource Corporation, UK, 20 Bloomsbury Square, London, WC1A 2NS, UK.  beenish.nafees@unitedbiosource.com&lt;/_author_adr&gt;&lt;_date_display&gt;2008 Oct 21&lt;/_date_display&gt;&lt;_date&gt;2008-10-21&lt;/_date&gt;&lt;_doi&gt;10.1186/1477-7525-6-84&lt;/_doi&gt;&lt;_isbn&gt;1477-7525 (Electronic); 1477-7525 (Linking)&lt;/_isbn&gt;&lt;_journal&gt;Health Qual Life Outcomes&lt;/_journal&gt;&lt;_language&gt;eng&lt;/_language&gt;&lt;_pages&gt;84&lt;/_pages&gt;&lt;_subject_headings&gt;Adult; Antineoplastic Combined Chemotherapy Protocols/*adverse effects/therapeutic use; *Attitude to Health; Breast Neoplasms/drug therapy/pathology; Carcinoma, Non-Small-Cell Lung/*drug therapy/physiopathology/psychology; Clinical Trials, Phase III as Topic; Demography; *Disease Progression; Drug-Related Side Effects and Adverse Reactions/psychology; Female; Humans; Interviews as Topic; Lung Neoplasms/*drug therapy/physiopathology/psychology; Male; Middle Aged; Pilot Projects; Psychometrics/instrumentation/*standards; *Quality of Life; *Sickness Impact Profile; Treatment Outcome; United Kingdom&lt;/_subject_headings&gt;&lt;_tertiary_title&gt;Health and quality of life outcomes&lt;/_tertiary_title&gt;&lt;_type_work&gt;Journal Article; Validation Study&lt;/_type_work&gt;&lt;_url&gt;http://www.ncbi.nlm.nih.gov/entrez/query.fcgi?cmd=Retrieve&amp;amp;db=pubmed&amp;amp;dopt=Abstract&amp;amp;list_uids=18939982&amp;amp;query_hl=1&lt;/_url&gt;&lt;_volume&gt;6&lt;/_volume&gt;&lt;_created&gt;65329740&lt;/_created&gt;&lt;_modified&gt;65329740&lt;/_modified&gt;&lt;_impact_factor&gt;   3.600&lt;/_impact_factor&gt;&lt;_social_category&gt;卫生保健与服务(3) &amp;amp; 卫生政策与服务(2)&lt;/_social_category&gt;&lt;_collection_scope&gt;SSCI;SCIE&lt;/_collection_scope&gt;&lt;_accessed&gt;65330885&lt;/_accessed&gt;&lt;/Details&gt;&lt;Extra&gt;&lt;DBUID&gt;{F96A950B-833F-4880-A151-76DA2D6A2879}&lt;/DBUID&gt;&lt;/Extra&gt;&lt;/Item&gt;&lt;/References&gt;&lt;/Group&gt;&lt;/Citation&gt;_x000a_"/>
    <w:docVar w:name="NE.Ref{CBF438E1-9715-4330-BEC5-D1B252425DA5}" w:val=" ADDIN NE.Ref.{CBF438E1-9715-4330-BEC5-D1B252425DA5}&lt;Citation&gt;&lt;Group&gt;&lt;References&gt;&lt;Item&gt;&lt;ID&gt;4686&lt;/ID&gt;&lt;UID&gt;{F9E4E22B-A236-45B3-8D05-FED785B786D1}&lt;/UID&gt;&lt;Title&gt;The PRISMA extension statement for reporting of systematic reviews incorporating  network meta-analyses of health care interventions: checklist and explanations&lt;/Title&gt;&lt;Template&gt;Journal Article&lt;/Template&gt;&lt;Star&gt;0&lt;/Star&gt;&lt;Tag&gt;0&lt;/Tag&gt;&lt;Author&gt;Hutton, B; Salanti, G; Caldwell, D M; Chaimani, A; Schmid, C H; Cameron, C; Ioannidis, J P; Straus, S; Thorlund, K; Jansen, J P; Mulrow, C; Catalá-López, F; Gøtzsche, P C; Dickersin, K; Boutron, I; Altman, D G; Moher, D&lt;/Author&gt;&lt;Year&gt;2015&lt;/Year&gt;&lt;Details&gt;&lt;_accession_num&gt;26030634&lt;/_accession_num&gt;&lt;_date_display&gt;2015 Jun 2&lt;/_date_display&gt;&lt;_date&gt;2015-06-02&lt;/_date&gt;&lt;_doi&gt;10.7326/M14-2385&lt;/_doi&gt;&lt;_isbn&gt;1539-3704 (Electronic); 0003-4819 (Linking)&lt;/_isbn&gt;&lt;_issue&gt;11&lt;/_issue&gt;&lt;_journal&gt;Ann Intern Med&lt;/_journal&gt;&lt;_language&gt;eng&lt;/_language&gt;&lt;_pages&gt;777-84&lt;/_pages&gt;&lt;_subject_headings&gt;*Checklist; Evidence-Based Medicine/standards; Humans; *Meta-Analysis as Topic; Publishing/*standards; Quality Control; *Review Literature as Topic; Terminology as Topic&lt;/_subject_headings&gt;&lt;_tertiary_title&gt;Annals of internal medicine&lt;/_tertiary_title&gt;&lt;_type_work&gt;Guideline; Journal Article; Research Support, Non-U.S. Gov&amp;apos;t&lt;/_type_work&gt;&lt;_url&gt;http://www.ncbi.nlm.nih.gov/entrez/query.fcgi?cmd=Retrieve&amp;amp;db=pubmed&amp;amp;dopt=Abstract&amp;amp;list_uids=26030634&amp;amp;query_hl=1&lt;/_url&gt;&lt;_volume&gt;162&lt;/_volume&gt;&lt;_created&gt;65020269&lt;/_created&gt;&lt;_modified&gt;65020269&lt;/_modified&gt;&lt;_impact_factor&gt;  51.598&lt;/_impact_factor&gt;&lt;_social_category&gt;医学(1)&lt;/_social_category&gt;&lt;_collection_scope&gt;SCIE&lt;/_collection_scope&gt;&lt;/Details&gt;&lt;Extra&gt;&lt;DBUID&gt;{F96A950B-833F-4880-A151-76DA2D6A2879}&lt;/DBUID&gt;&lt;/Extra&gt;&lt;/Item&gt;&lt;/References&gt;&lt;/Group&gt;&lt;/Citation&gt;_x000a_"/>
    <w:docVar w:name="NE.Ref{CD76BC70-CAC0-4CBA-80E5-97BFC84B7DCB}" w:val=" ADDIN NE.Ref.{CD76BC70-CAC0-4CBA-80E5-97BFC84B7DCB}&lt;Citation&gt;&lt;Group&gt;&lt;References&gt;&lt;Item&gt;&lt;ID&gt;5033&lt;/ID&gt;&lt;UID&gt;{85EF900F-160A-4341-B49B-1EDF60D8C689}&lt;/UID&gt;&lt;Title&gt;Economic Evaluation of Three BRAF + MEK Inhibitors for the Treatment of Advanced  Unresectable Melanoma With BRAF Mutation From a US Payer Perspective&lt;/Title&gt;&lt;Template&gt;Journal Article&lt;/Template&gt;&lt;Star&gt;0&lt;/Star&gt;&lt;Tag&gt;0&lt;/Tag&gt;&lt;Author&gt;Halloush, S; Alkhatib, N S; Almutairi, A R; Calamia, M; Halawah, H; Obeng-Kusi, M; Hoyle, M; Rashdan, O; Koeller, J; Abraham, I&lt;/Author&gt;&lt;Year&gt;2023&lt;/Year&gt;&lt;Details&gt;&lt;_accession_num&gt;36639851&lt;/_accession_num&gt;&lt;_author_adr&gt;Faculty of Pharmacy, Applied Science Private University, Amman, Jordan.; Faculty of Pharmacy, Al-Zaytoonah University of Jordan, Amman, Jordan.; Pi Pharma Intelligence, Amman, Jordan.; Center for Health Outcomes and PharmacoEconomic Research, The University of  Arizona, Tucson, AZ, USA.; Drug Sector, Saudi Food &amp;amp; Drug Authority, Riyadh, Saudi Arabia.; Center for Health Outcomes and PharmacoEconomic Research, The University of  Arizona, Tucson, AZ, USA.; Center for Health Outcomes and PharmacoEconomic Research, The University of  Arizona, Tucson, AZ, USA.; Center for Health Outcomes and PharmacoEconomic Research, The University of  Arizona, Tucson, AZ, USA.; Centre for the Health Economy, Macquarie University, Sydney, NSW, Australia.; College of Pharmacy, Middle East University, Amman, Jordan.; College of Pharmacy, University of Texas at Austin, Austin, TX, USA.; Pharmacotherapy Education &amp;amp; Research Center, UT Health, San Antonio, TX, USA.; Center for Health Outcomes and PharmacoEconomic Research, The University of  Arizona, Tucson, AZ, USA.; Department of Pharmacy Practice &amp;amp; Science, R. Ken Coit College of Pharmacy, The  University of Arizona, Tucson, AZ, USA.&lt;/_author_adr&gt;&lt;_date_display&gt;2023 Sep&lt;/_date_display&gt;&lt;_date&gt;2023-09-01&lt;/_date&gt;&lt;_doi&gt;10.1177/10600280221146878&lt;/_doi&gt;&lt;_isbn&gt;1542-6270 (Electronic); 1060-0280 (Linking)&lt;/_isbn&gt;&lt;_issue&gt;9&lt;/_issue&gt;&lt;_journal&gt;Ann Pharmacother&lt;/_journal&gt;&lt;_keywords&gt;BRAF; MEK; advanced melanoma; cost-effectiveness analysis; cost-utility analysis&lt;/_keywords&gt;&lt;_language&gt;eng&lt;/_language&gt;&lt;_pages&gt;1016-1024&lt;/_pages&gt;&lt;_subject_headings&gt;Humans; Cost-Benefit Analysis; *Proto-Oncogene Proteins B-raf/genetics; *Melanoma/drug therapy/genetics; Mutation; Mitogen-Activated Protein Kinase Kinases/genetics; Quality-Adjusted Life Years&lt;/_subject_headings&gt;&lt;_tertiary_title&gt;The Annals of pharmacotherapy&lt;/_tertiary_title&gt;&lt;_type_work&gt;Journal Article; Randomized Controlled Trial&lt;/_type_work&gt;&lt;_url&gt;http://www.ncbi.nlm.nih.gov/entrez/query.fcgi?cmd=Retrieve&amp;amp;db=pubmed&amp;amp;dopt=Abstract&amp;amp;list_uids=36639851&amp;amp;query_hl=1&lt;/_url&gt;&lt;_volume&gt;57&lt;/_volume&gt;&lt;_created&gt;65329740&lt;/_created&gt;&lt;_modified&gt;65329740&lt;/_modified&gt;&lt;_impact_factor&gt;   2.900&lt;/_impact_factor&gt;&lt;_social_category&gt;药学(4)&lt;/_social_category&gt;&lt;_collection_scope&gt;SCIE&lt;/_collection_scope&gt;&lt;/Details&gt;&lt;Extra&gt;&lt;DBUID&gt;{F96A950B-833F-4880-A151-76DA2D6A2879}&lt;/DBUID&gt;&lt;/Extra&gt;&lt;/Item&gt;&lt;/References&gt;&lt;/Group&gt;&lt;/Citation&gt;_x000a_"/>
    <w:docVar w:name="NE.Ref{CD9C43CC-2F41-47FF-8BF3-771688B3922E}" w:val=" ADDIN NE.Ref.{CD9C43CC-2F41-47FF-8BF3-771688B3922E}&lt;Citation&gt;&lt;Group&gt;&lt;References&gt;&lt;Item&gt;&lt;ID&gt;4907&lt;/ID&gt;&lt;UID&gt;{B2448920-B37A-41C7-BB29-82967D5B11B1}&lt;/UID&gt;&lt;Title&gt;Bevacizumab Maintenance Versus No Maintenance During Chemotherapy-Free Intervals  in Metastatic Colorectal Cancer: A Randomized Phase III Trial (PRODIGE 9)&lt;/Title&gt;&lt;Template&gt;Journal Article&lt;/Template&gt;&lt;Star&gt;0&lt;/Star&gt;&lt;Tag&gt;0&lt;/Tag&gt;&lt;Author&gt;Aparicio, T; Ghiringhelli, F; Boige, V; Le Malicot, K; Taieb, J; Bouché, O; Phelip, J M; François, E; Borel, C; Faroux, R; Dahan, L; Jacquot, S; Genet, D; Khemissa, F; Suc, E; Desseigne, F; Texereau, P; Lepage, C; Bennouna, J&lt;/Author&gt;&lt;Year&gt;2018&lt;/Year&gt;&lt;Details&gt;&lt;_accession_num&gt;29346040&lt;/_accession_num&gt;&lt;_author_adr&gt;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 Thomas Aparicio, Centre Hospitalier Universitaire (CHU) Saint Louis, Assistance  Public Hôpitaux de Paris (APHP), and Université Paris 7, Sorbonne Paris Cité;  Julien Taieb, Hôpital Européen Georges Pompidou, Paris; Francois Ghiringhelli,  Centre Georges-François Leclerc; Karine Le Malicot, Fédération Francophone de  Cancérologie Digestive; Come Lepage, CHU Le Bocage, Institut National de la Santé  et de la Recherche Médicale Unité Mixte de Recherche (UMR) 1231, Dijon; Valérie  Boige, Institut Gustave Roussy, Villejuif; Olivier Bouché, CHU Robert Debré,  Reims; Jean-Marc Phelip, CHU Saint Etienne-Hôpital Nord, Saint Priest en Jarez;  Eric François, Centre Antoine Lacassagne, Nice; Christian Borel, Paul Strauss  Center, Strasbourg; Roger Faroux, Centre Hospitalier (CH) La Roche sur Yon, La  Roche sur Yon; Laetitia Dahan, CHU La Timone, Aix-Marseille-University,  Marseille; Stéphane Jacquot, Centre de Cancérologie du Grand Montpellier,  Montpellier; Dominique Genet, Accompagnement de la Recherche Clinique  Hospitalière (ARCH)/Polyclinique, Limoges; Faiza Khemissa, CH Saint Jean,  Perpignan; Etienne Suc, Clinique Saint Jean du Languedoc, Toulouse; Françoise  Desseigne, Centre Léon Bérard, Lyon; Patrick Texereau, CH Layne, Mont-De-Marsan;  and Jaafar Bennouna, Institut de Cancérologie de l&amp;apos;Ouest, Saint Herblay, France.&lt;/_author_adr&gt;&lt;_date_display&gt;2018 Mar 1&lt;/_date_display&gt;&lt;_date&gt;2018-03-01&lt;/_date&gt;&lt;_doi&gt;10.1200/JCO.2017.75.2931&lt;/_doi&gt;&lt;_isbn&gt;1527-7755 (Electronic); 0732-183X (Linking)&lt;/_isbn&gt;&lt;_issue&gt;7&lt;/_issue&gt;&lt;_journal&gt;J Clin Oncol&lt;/_journal&gt;&lt;_language&gt;eng&lt;/_language&gt;&lt;_pages&gt;674-681&lt;/_pages&gt;&lt;_subject_headings&gt;Aged; Antineoplastic Agents, Immunological/*therapeutic use; Bevacizumab/*therapeutic use; Colorectal Neoplasms/*drug therapy/mortality/pathology; Disease-Free Survival; Female; Humans; Induction Chemotherapy; Male; Middle Aged; Neoplasm Metastasis; Time Factors&lt;/_subject_headings&gt;&lt;_tertiary_title&gt;Journal of clinical oncology : official journal of the American Society of _x000d__x000a_      Clinical Oncology&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346040&amp;amp;query_hl=1&lt;/_url&gt;&lt;_volume&gt;36&lt;/_volume&gt;&lt;_created&gt;65090136&lt;/_created&gt;&lt;_modified&gt;65090136&lt;/_modified&gt;&lt;_impact_factor&gt;  50.717&lt;/_impact_factor&gt;&lt;_social_category&gt;医学(1)&lt;/_social_category&gt;&lt;_collection_scope&gt;SCIE&lt;/_collection_scope&gt;&lt;/Details&gt;&lt;Extra&gt;&lt;DBUID&gt;{F96A950B-833F-4880-A151-76DA2D6A2879}&lt;/DBUID&gt;&lt;/Extra&gt;&lt;/Item&gt;&lt;/References&gt;&lt;/Group&gt;&lt;Group&gt;&lt;References&gt;&lt;Item&gt;&lt;ID&gt;4908&lt;/ID&gt;&lt;UID&gt;{46AE6E68-BBA5-489F-8EC4-403D8EBD2132}&lt;/UID&gt;&lt;Title&gt;S-1 and irinotecan plus bevacizumab versus mFOLFOX6 or CapeOX plus bevacizumab as  first-line treatment in patients with metastatic colorectal cancer (TRICOLORE): a  randomized, open-label, phase III, noninferiority trial&lt;/Title&gt;&lt;Template&gt;Journal Article&lt;/Template&gt;&lt;Star&gt;0&lt;/Star&gt;&lt;Tag&gt;0&lt;/Tag&gt;&lt;Author&gt;Yamada, Y; Denda, T; Gamoh, M; Iwanaga, I; Yuki, S; Shimodaira, H; Nakamura, M; Yamaguchi, T; Ohori, H; Kobayashi, K; Tsuda, M; Kobayashi, Y; Miyamoto, Y; Kotake, M; Shimada, K; Sato, A; Morita, S; Takahashi, S; Komatsu, Y; Ishioka, C&lt;/Author&gt;&lt;Year&gt;2018&lt;/Year&gt;&lt;Details&gt;&lt;_accession_num&gt;29293874&lt;/_accession_num&gt;&lt;_author_adr&gt;Gastrointestinal Medical Oncology Division, National Cancer Center Hospital,  Tokyo, Japan.; Division of Gastroenterology, Chiba Cancer Center, Chiba, Japan.; Department of Medical Oncology, Osaki Citizen Hospital, Miyagi, Japan.; Department of Medical Oncology, Japanese Red Cross Kitami Hospital, Hokkaido,  Japan.; Department of Gastroenterology and Hepatology, Hokkaido University Hospital,  Hokkaido, Japan.; Department of Medical Oncology, Tohoku University Hospital, Miyagi, Japan.; Comprehensive Cancer Center, Aizawa Hospital, Nagano, Japan.; Department of Surgery, Tokyo Metropolitan Cancer and Infectious Diseases Center  Komagome Hospital, Tokyo, Japan.; Clinical Oncology, Japanese Red Cross Ishinomaki Hospital, Miyagi, Japan.; Division of Medical Oncology, Showa University Northern Yokohama Hospital,  Kanagawa, Japan.; Department of Gastroenterological Oncology, Hyogo Cancer Center, Hyogo, Japan.; Department of Internal Medicine, Kushiro Rosai Hospital, Hokkaido, Japan.; Department of Gastroenterological Surgery, Kumamoto University, Kumamoto, Japan.; Department of Surgery, Kouseiren Takaoka Hospital, Toyama, Japan.; Department of Internal Medicine, Showa University Koto Toyosu Hospital, Tokyo,  Japan.; Department of Medical Oncology, Hirosaki University Graduate School of Medicine,  Aomori, Japan.; Department of Biomedical Statistics and Bioinformatics, Kyoto University Graduate  School of Medicine, Kyoto, Japan.; Department of Medical Oncology, Tohoku University Hospital, Miyagi, Japan.; Department of Cancer Chemotherapy, Hokkaido University Hospital Cancer Center,  Hokkaido, Japan. Electronic address: ykomatsu@ac.cyberhome.ne.jp.; Department of Medical Oncology, Tohoku University Hospital, Miyagi, Japan.&lt;/_author_adr&gt;&lt;_date_display&gt;2018 Mar 1&lt;/_date_display&gt;&lt;_date&gt;2018-03-01&lt;/_date&gt;&lt;_doi&gt;10.1093/annonc/mdx816&lt;/_doi&gt;&lt;_isbn&gt;1569-8041 (Electronic); 0923-7534 (Print); 0923-7534 (Linking)&lt;/_isbn&gt;&lt;_issue&gt;3&lt;/_issue&gt;&lt;_journal&gt;Ann Oncol&lt;/_journal&gt;&lt;_language&gt;eng&lt;/_language&gt;&lt;_pages&gt;624-631&lt;/_pages&gt;&lt;_subject_headings&gt;Adenocarcinoma/*drug therapy/mortality; Adult; Aged; Aged, 80 and over; Antineoplastic Combined Chemotherapy Protocols/administration &amp;amp; _x000d__x000a_      dosage/*therapeutic use; Bevacizumab/administration &amp;amp; dosage; Capecitabine/administration &amp;amp; dosage; Colorectal Neoplasms/*drug therapy/mortality; Disease-Free Survival; Drug Combinations; Female; Fluorouracil/administration &amp;amp; dosage; Humans; Irinotecan/administration &amp;amp; dosage; Kaplan-Meier Estimate; Leucovorin/administration &amp;amp; dosage; Male; Middle Aged; Organoplatinum Compounds/administration &amp;amp; dosage; Oxaliplatin/administration &amp;amp; dosage; Oxonic Acid/administration &amp;amp; dosage; Progression-Free Survival; Tegafur/administration &amp;amp; dosage; Young Adult&lt;/_subject_headings&gt;&lt;_tertiary_title&gt;Annals of oncology : official journal of the European Society for Medical _x000d__x000a_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93874&amp;amp;query_hl=1&lt;/_url&gt;&lt;_volume&gt;29&lt;/_volume&gt;&lt;_created&gt;65090136&lt;/_created&gt;&lt;_modified&gt;65090136&lt;/_modified&gt;&lt;_impact_factor&gt;  51.769&lt;/_impact_factor&gt;&lt;_social_category&gt;医学(1)&lt;/_social_category&gt;&lt;_collection_scope&gt;SCIE&lt;/_collection_scope&gt;&lt;/Details&gt;&lt;Extra&gt;&lt;DBUID&gt;{F96A950B-833F-4880-A151-76DA2D6A2879}&lt;/DBUID&gt;&lt;/Extra&gt;&lt;/Item&gt;&lt;/References&gt;&lt;/Group&gt;&lt;Group&gt;&lt;References&gt;&lt;Item&gt;&lt;ID&gt;4910&lt;/ID&gt;&lt;UID&gt;{64BA32CB-8AE1-4A14-B659-88E6A35760A6}&lt;/UID&gt;&lt;Title&gt;Maintenance treatment with capecitabine and bevacizumab in metastatic colorectal  cancer (CAIRO3): a phase 3 randomised controlled trial of the Dutch Colorectal  Cancer Group&lt;/Title&gt;&lt;Template&gt;Journal Article&lt;/Template&gt;&lt;Star&gt;0&lt;/Star&gt;&lt;Tag&gt;0&lt;/Tag&gt;&lt;Author&gt;Simkens, L H; van Tinteren, H; May, A; Ten, Tije AJ; Creemers, G J; Loosveld, O J; de Jongh, F E; Erdkamp, F L; Erjavec, Z; van der Torren, A M; Tol, J; Braun, H J; Nieboer, P; van der Hoeven, J J; Haasjes, J G; Jansen, R L; Wals, J; Cats, A; Derleyn, V A; Honkoop, A H; Mol, L; Punt, C J; Koopman, M&lt;/Author&gt;&lt;Year&gt;2015&lt;/Year&gt;&lt;Details&gt;&lt;_accession_num&gt;25862517&lt;/_accession_num&gt;&lt;_author_adr&gt;Department of Medical Oncology, Academic Medical Center, University of Amsterdam,  Amsterdam, Netherlands.; Department of Biostatistics, The Netherlands Cancer Institute, Amsterdam,  Netherlands.; Julius Centre for Health Sciences and Primary Care, University Medical Centre  Utrecht, Utrecht, Netherlands.; Department of Medical Oncology, Amphia Hospital, Breda, Netherlands; Department  of Medical Oncology, Tergooi Hospital, Blaricum, Netherlands.; Department of Medical Oncology, Catharina Hospital, Eindhoven, Netherlands.; Department of Medical Oncology, Tergooi Hospital, Blaricum, Netherlands.; Department of Medical Oncology, Ikazia Hospital, Rotterdam, Netherlands.; Department of Medical Oncology, Orbis Medical Center, Sittard, Netherlands.; Department of Medical Oncology, Ommelander Hospital Group, Delfzijl, Netherlands.; Department of Medical Oncology, Groene Hart Hospital, Gouda, Netherlands.; Department of Medical Oncology, Radboud University Nijmegen Medical Center,  Nijmegen, Netherlands.; Department of Medical Oncology, Vlietland Hospital, Schiedam, Netherlands.; Department of Medical Oncology, Wilhemina Hospital, Assen, Netherlands.; Department of Medical Oncology, Medical Center Alkmaar, Alkmaar, Netherlands.; Department of Medical Oncology, Bethesda Hospital, Hoogeveen, Netherlands.; Department of Medical Oncology, Maastricht University Medical Center, Maastricht,  Netherlands.; Department of Medical Oncology, Atrium Medical Center, Heerlen, Netherlands.; Department of Gastroenterology and Hepatology, Antoni van Leeuwenhoek Hospital,  Amsterdam, Netherlands.; Department of Medical Oncology, Elkerliek Hospital, Helmond, Netherlands.; Departement of Medical Oncology, Isala Klinieken, Zwolle, Netherlands.; Netherlands Comprehensive Cancer Organisation, Nijmegen, Netherlands.; Department of Medical Oncology, Academic Medical Center, University of Amsterdam,  Amsterdam, Netherlands.; Department of Medical Oncology, University Medical Center Utrecht, Utrecht,  Netherlands. Electronic address: m.koopman-6@umcutrecht.nl.&lt;/_author_adr&gt;&lt;_date_display&gt;2015 May 9&lt;/_date_display&gt;&lt;_date&gt;2015-05-09&lt;/_date&gt;&lt;_doi&gt;10.1016/S0140-6736(14)62004-3&lt;/_doi&gt;&lt;_isbn&gt;1474-547X (Electronic); 0140-6736 (Linking)&lt;/_isbn&gt;&lt;_issue&gt;9980&lt;/_issue&gt;&lt;_journal&gt;Lancet&lt;/_journal&gt;&lt;_language&gt;eng&lt;/_language&gt;&lt;_ori_publication&gt;Copyright © 2015 Elsevier Ltd. All rights reserved.&lt;/_ori_publication&gt;&lt;_pages&gt;1843-52&lt;/_pages&gt;&lt;_subject_headings&gt;Adult; Aged; Aged, 80 and over; Antibodies, Monoclonal, Humanized/administration &amp;amp; dosage/adverse effects; Antineoplastic Combined Chemotherapy Protocols/adverse effects/*therapeutic use; Bevacizumab; Capecitabine; Colorectal Neoplasms/*drug therapy/pathology; Deoxycytidine/administration &amp;amp; dosage/adverse effects/analogs &amp;amp; derivatives; Female; Fluorouracil/administration &amp;amp; dosage/adverse effects/analogs &amp;amp; derivatives; Humans; Kaplan-Meier Estimate; Male; Middle Aged; Neoplasm Metastasis; Neoplasm Staging; Organoplatinum Compounds/administration &amp;amp; dosage/adverse effects; Oxaliplatin; Treatment Outcom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5862517&amp;amp;query_hl=1&lt;/_url&gt;&lt;_volume&gt;385&lt;/_volume&gt;&lt;_created&gt;65090136&lt;/_created&gt;&lt;_modified&gt;65090136&lt;/_modified&gt;&lt;_impact_factor&gt; 202.731&lt;/_impact_factor&gt;&lt;_social_category&gt;医学(1)&lt;/_social_category&gt;&lt;_collection_scope&gt;SCIE&lt;/_collection_scope&gt;&lt;/Details&gt;&lt;Extra&gt;&lt;DBUID&gt;{F96A950B-833F-4880-A151-76DA2D6A2879}&lt;/DBUID&gt;&lt;/Extra&gt;&lt;/Item&gt;&lt;/References&gt;&lt;/Group&gt;&lt;Group&gt;&lt;References&gt;&lt;Item&gt;&lt;ID&gt;4912&lt;/ID&gt;&lt;UID&gt;{C7D40E3A-C3F7-4A39-8E44-ED59CBBF3574}&lt;/UID&gt;&lt;Title&gt;BATON-CRC: A Phase II Randomized Trial Comparing Tivozanib Plus mFOLFOX6 with  Bevacizumab Plus mFOLFOX6 in Stage IV Metastatic Colorectal Cancer&lt;/Title&gt;&lt;Template&gt;Journal Article&lt;/Template&gt;&lt;Star&gt;0&lt;/Star&gt;&lt;Tag&gt;0&lt;/Tag&gt;&lt;Author&gt;Benson, AB Rd; Kiss, I; Bridgewater, J; Eskens, F A; Sasse, C; Vossen, S; Chen, J; Van Sant, C; Ball, H A; Keating, A; Krivoshik, A&lt;/Author&gt;&lt;Year&gt;2016&lt;/Year&gt;&lt;Details&gt;&lt;_accession_num&gt;27401244&lt;/_accession_num&gt;&lt;_author_adr&gt;Robert H. Lurie Comprehensive Cancer Center of Northwestern University, Chicago,  Illinois. a-benson@northwestern.edu.; Masaryk Memorial Cancer Institute, Brno, Czech Republic.; University College London Cancer Institute, London, United Kingdom.; Eramus MC Cancer Institute, Rotterdam, the Netherlands.; Astellas Pharma Global Development, Northbrook, Illinois.; Astellas Pharma Global Development, Northbrook, Illinois.; Astellas Pharma Global Development, Northbrook, Illinois.; Astellas Pharma Global Development, Northbrook, Illinois.; Astellas Pharma Global Development, Northbrook, Illinois.; Astellas Pharma Global Development, Northbrook, Illinois.; Astellas Pharma Global Development, Northbrook, Illinois.&lt;/_author_adr&gt;&lt;_date_display&gt;2016 Oct 15&lt;/_date_display&gt;&lt;_date&gt;2016-10-15&lt;/_date&gt;&lt;_doi&gt;10.1158/1078-0432.CCR-15-3117&lt;/_doi&gt;&lt;_isbn&gt;1557-3265 (Electronic); 1078-0432 (Linking)&lt;/_isbn&gt;&lt;_issue&gt;20&lt;/_issue&gt;&lt;_journal&gt;Clin Cancer Res&lt;/_journal&gt;&lt;_language&gt;eng&lt;/_language&gt;&lt;_ori_publication&gt;©2016 American Association for Cancer Research.&lt;/_ori_publication&gt;&lt;_pages&gt;5058-5067&lt;/_pages&gt;&lt;_subject_headings&gt;Angiogenesis Inhibitors/*therapeutic use; Antineoplastic Combined Chemotherapy Protocols/adverse effects/*therapeutic use; Bevacizumab/adverse effects/*therapeutic use; Biomarkers, Tumor/blood; Colorectal Neoplasms/*drug therapy/pathology; Disease Progression; Disease-Free Survival; Female; Fluorouracil/adverse effects/therapeutic use; Humans; Leucovorin/adverse effects/therapeutic use; Male; Middle Aged; Neuropilin-1/blood; Organoplatinum Compounds/adverse effects/therapeutic use; Phenylurea Compounds/adverse effects/*therapeutic use; Quinolines/adverse effects/*therapeutic use; Receptors, Vascular Endothelial Growth Factor/*antagonists &amp;amp; inhibitors&lt;/_subject_headings&gt;&lt;_tertiary_title&gt;Clinical cancer research : an official journal of the American Association for _x000d__x000a_      Cancer Research&lt;/_tertiary_title&gt;&lt;_type_work&gt;Clinical Trial, Phase II; Comparative Study; Journal Article; Multicenter Study; Randomized Controlled Trial&lt;/_type_work&gt;&lt;_url&gt;http://www.ncbi.nlm.nih.gov/entrez/query.fcgi?cmd=Retrieve&amp;amp;db=pubmed&amp;amp;dopt=Abstract&amp;amp;list_uids=27401244&amp;amp;query_hl=1&lt;/_url&gt;&lt;_volume&gt;22&lt;/_volume&gt;&lt;_created&gt;65090136&lt;/_created&gt;&lt;_modified&gt;65090136&lt;/_modified&gt;&lt;_impact_factor&gt;  13.801&lt;/_impact_factor&gt;&lt;_social_category&gt;医学(1)&lt;/_social_category&gt;&lt;_collection_scope&gt;SCIE&lt;/_collection_scope&gt;&lt;/Details&gt;&lt;Extra&gt;&lt;DBUID&gt;{F96A950B-833F-4880-A151-76DA2D6A2879}&lt;/DBUID&gt;&lt;/Extra&gt;&lt;/Item&gt;&lt;/References&gt;&lt;/Group&gt;&lt;Group&gt;&lt;References&gt;&lt;Item&gt;&lt;ID&gt;4913&lt;/ID&gt;&lt;UID&gt;{E943ACDC-8EA1-43FB-B2E2-96CD045F63C8}&lt;/UID&gt;&lt;Title&gt;Single-agent capecitabine as maintenance therapy after induction of XELOX (or  FOLFOX) in first-line treatment of metastatic colorectal cancer: randomized  clinical trial of efficacy and safety&lt;/Title&gt;&lt;Template&gt;Journal Article&lt;/Template&gt;&lt;Star&gt;0&lt;/Star&gt;&lt;Tag&gt;0&lt;/Tag&gt;&lt;Author&gt;Luo, H Y; Li, Y H; Wang, W; Wang, Z Q; Yuan, X; Ma, D; Wang, F H; Zhang, D S; Lin, D R; Lin, Y C; Jia, J; Hu, X H; Peng, J W; Xu, R H&lt;/Author&gt;&lt;Year&gt;2016&lt;/Year&gt;&lt;Details&gt;&lt;_accession_num&gt;26940686&lt;/_accession_num&gt;&lt;_author_adr&gt;Department of Medical Oncology, Sun Yat-sen University Cancer Center, State Key  Laboratory of Oncology in South China, Collaborative Innovation Center of Cancer  Medicine, Guangzhou.; Department of Medical Oncology, Sun Yat-sen University Cancer Center, State Key  Laboratory of Oncology in South China, Collaborative Innovation Center of Cancer  Medicine, Guangzhou.; Department of Medical Oncology, The First People&amp;apos;s Hospital of Foshan, Guangzhou.; Department of Medical Oncology, Sun Yat-sen University Cancer Center, State Key  Laboratory of Oncology in South China, Collaborative Innovation Center of Cancer  Medicine, Guangzhou.; Department of Medical Oncology, Huizhou Central Hospital, Huizhou.; Department of Medical Oncology, Guangdong General Hospital, Guangzhou.; Department of Medical Oncology, Sun Yat-sen University Cancer Center, State Key  Laboratory of Oncology in South China, Collaborative Innovation Center of Cancer  Medicine, Guangzhou.; Department of Medical Oncology, Sun Yat-sen University Cancer Center, State Key  Laboratory of Oncology in South China, Collaborative Innovation Center of Cancer  Medicine, Guangzhou.; Department of Medical Oncology, Jiangmen Central Hospital, Jiangmen.; Department of Medical Oncology, Cancer Hospital of Shantou University Medical  College, Shantou.; Department of Medical Oncology, Dongguan People&amp;apos;s Hospital, Dongguan.; Department of Medical Oncology, Tumor Hospital of Guangxi Medical University,  Nanning.; Department of Medical Oncology, Zhongshan People&amp;apos;s Hospital, Zhongshan, China.; Department of Medical Oncology, Sun Yat-sen University Cancer Center, State Key  Laboratory of Oncology in South China, Collaborative Innovation Center of Cancer  Medicine, Guangzhou. Electronic address: xurh@sysucc.org.cn.&lt;/_author_adr&gt;&lt;_date_display&gt;2016 Jun&lt;/_date_display&gt;&lt;_date&gt;2016-06-01&lt;/_date&gt;&lt;_doi&gt;10.1093/annonc/mdw101&lt;/_doi&gt;&lt;_isbn&gt;1569-8041 (Electronic); 0923-7534 (Linking)&lt;/_isbn&gt;&lt;_issue&gt;6&lt;/_issue&gt;&lt;_journal&gt;Ann Oncol&lt;/_journal&gt;&lt;_keywords&gt;capecitabine; colorectal cancer; maintenance therapy; metastatic&lt;/_keywords&gt;&lt;_language&gt;eng&lt;/_language&gt;&lt;_ori_publication&gt;© The Author 2016. Published by Oxford University Press on behalf of the European _x000d__x000a_      Society for Medical Oncology. All rights reserved. For permissions, please email: _x000d__x000a_      journals.permissions@oup.com.&lt;/_ori_publication&gt;&lt;_pages&gt;1074-1081&lt;/_pages&gt;&lt;_subject_headings&gt;Adult; Aged; Antibodies, Monoclonal, Humanized/*administration &amp;amp; dosage/adverse effects; Antineoplastic Combined Chemotherapy Protocols/administration &amp;amp; dosage; Bevacizumab/administration &amp;amp; dosage/adverse effects; Capecitabine/*administration &amp;amp; dosage/adverse effects; China/epidemiology; Colorectal Neoplasms/*drug therapy/epidemiology/pathology; Deoxycytidine/administration &amp;amp; dosage/analogs &amp;amp; derivatives; Disease-Free Survival; Drug-Related Side Effects and Adverse Reactions/epidemiology/*physiopathology; Female; Fluorouracil/administration &amp;amp; dosage/analogs &amp;amp; derivatives; Hand-Foot Syndrome/pathology; Humans; Induction Chemotherapy/adverse effects; Kaplan-Meier Estimate; Leucovorin/administration &amp;amp; dosage; Male; Middle Aged; Organoplatinum Compounds/administration &amp;amp; dosage; Oxaloacetates&lt;/_subject_headings&gt;&lt;_tertiary_title&gt;Annals of oncology : official journal of the European Society for Medical _x000d__x000a_      Oncology&lt;/_tertiary_title&gt;&lt;_type_work&gt;Clinical Trial, Phase III; Journal Article; Randomized Controlled Trial&lt;/_type_work&gt;&lt;_url&gt;http://www.ncbi.nlm.nih.gov/entrez/query.fcgi?cmd=Retrieve&amp;amp;db=pubmed&amp;amp;dopt=Abstract&amp;amp;list_uids=26940686&amp;amp;query_hl=1&lt;/_url&gt;&lt;_volume&gt;27&lt;/_volume&gt;&lt;_created&gt;65090136&lt;/_created&gt;&lt;_modified&gt;65090136&lt;/_modified&gt;&lt;_impact_factor&gt;  51.769&lt;/_impact_factor&gt;&lt;_social_category&gt;医学(1)&lt;/_social_category&gt;&lt;_collection_scope&gt;SCIE&lt;/_collection_scope&gt;&lt;/Details&gt;&lt;Extra&gt;&lt;DBUID&gt;{F96A950B-833F-4880-A151-76DA2D6A2879}&lt;/DBUID&gt;&lt;/Extra&gt;&lt;/Item&gt;&lt;/References&gt;&lt;/Group&gt;&lt;Group&gt;&lt;References&gt;&lt;Item&gt;&lt;ID&gt;4916&lt;/ID&gt;&lt;UID&gt;{966F5E82-3449-4EC8-B3C0-42C5647F90D5}&lt;/UID&gt;&lt;Title&gt;Bevacizumab with or without erlotinib as maintenance therapy in patients with  metastatic colorectal cancer (GERCOR DREAM; OPTIMOX3): a randomised, open-label,  phase 3 trial&lt;/Title&gt;&lt;Template&gt;Journal Article&lt;/Template&gt;&lt;Star&gt;0&lt;/Star&gt;&lt;Tag&gt;0&lt;/Tag&gt;&lt;Author&gt;Tournigand, C; Chibaudel, B; Samson, B; Scheithauer, W; Vernerey, D; Mésange, P; Lledo, G; Viret, F; Ramée, J F; Tubiana-Mathieu, N; Dauba, J; Dupuis, O; Rinaldi, Y; Mabro, M; Aucoin, N; Latreille, J; Bonnetain, F; Louvet, C; Larsen, A K; André, T; de Gramont, A&lt;/Author&gt;&lt;Year&gt;2015&lt;/Year&gt;&lt;Details&gt;&lt;_accession_num&gt;26474518&lt;/_accession_num&gt;&lt;_author_adr&gt;Hôpital Henri Mondor, Assistance Publique - Hôpitaux de Paris, Paris-Est Créteil  University, Créteil, France.; Institut Hospitalier Franco-Britannique, Levallois-Perret, France.; Hôpital Charles Lemoyne, Greenfield Park, QC, Canada.; Universitätsklinik für Innere Medizin I, Wien, Austria.; Methodology and Quality of Life Unit, University Hospital of Besançon, Besançon,  France.; Laboratory of Cancer Biology and Therapeutics, Centre de Recherche Saint-Antoine,  Paris, France.; Hôpital Privé Jean Mermoz, Lyon, France.; Institut Paoli Calmettes, Marseille, France.; Centre Catherine de Sienne, Nantes, France.; Centre Hospitalier Universitaire Dupuytren, Limoges, France.; Centre Hospitalier Layné, Mont-de-Marsan, France.; Clinique Victor Hugo, Le Mans, France.; Hôpital Ambroise Paré, Marseille Cedex, France.; Hôpital Foch, Suresnes, France.; Cité de la Santé de Laval, Laval, QC, Canada.; Hôpital Charles Lemoyne, Greenfield Park, QC, Canada.; Methodology and Quality of Life Unit, University Hospital of Besançon, Besançon,  France.; Institut Mutualiste Montsouris, Paris, France.; Laboratory of Cancer Biology and Therapeutics, Centre de Recherche Saint-Antoine,  Paris, France.; Hôpital Saint-Antoine, Assistance Publique - Hôpitaux de Paris, Université Pierre  et Marie Curie, Paris, France.; Institut Hospitalier Franco-Britannique, Levallois-Perret, France. Electronic  address: aimerydegramont@gmail.com.&lt;/_author_adr&gt;&lt;_date_display&gt;2015 Nov&lt;/_date_display&gt;&lt;_date&gt;2015-11-01&lt;/_date&gt;&lt;_doi&gt;10.1016/S1470-2045(15)00216-8&lt;/_doi&gt;&lt;_isbn&gt;1474-5488 (Electronic); 1470-2045 (Linking)&lt;/_isbn&gt;&lt;_issue&gt;15&lt;/_issue&gt;&lt;_journal&gt;Lancet Oncol&lt;/_journal&gt;&lt;_language&gt;eng&lt;/_language&gt;&lt;_ori_publication&gt;Copyright © 2015 Elsevier Ltd. All rights reserved.&lt;/_ori_publication&gt;&lt;_pages&gt;1493-1505&lt;/_pages&gt;&lt;_subject_headings&gt;Aged; Angiogenesis Inhibitors/*administration &amp;amp; dosage; Antineoplastic Agents/*administration &amp;amp; dosage; Bevacizumab/*administration &amp;amp; dosage; Colorectal Neoplasms/*drug therapy/*secondary; Disease-Free Survival; Drug Therapy, Combination; Erlotinib Hydrochloride/*administration &amp;amp; dosage; Female; Humans; *Maintenance Chemotherapy; Male; Middle Aged&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26474518&amp;amp;query_hl=1&lt;/_url&gt;&lt;_volume&gt;16&lt;/_volume&gt;&lt;_created&gt;65090136&lt;/_created&gt;&lt;_modified&gt;65090136&lt;/_modified&gt;&lt;_impact_factor&gt;  54.433&lt;/_impact_factor&gt;&lt;_social_category&gt;医学(1)&lt;/_social_category&gt;&lt;_collection_scope&gt;SCIE&lt;/_collection_scope&gt;&lt;/Details&gt;&lt;Extra&gt;&lt;DBUID&gt;{F96A950B-833F-4880-A151-76DA2D6A2879}&lt;/DBUID&gt;&lt;/Extra&gt;&lt;/Item&gt;&lt;/References&gt;&lt;/Group&gt;&lt;Group&gt;&lt;References&gt;&lt;Item&gt;&lt;ID&gt;4918&lt;/ID&gt;&lt;UID&gt;{573EADAB-42B5-4F4B-AD1D-9E4721FE0DD5}&lt;/UID&gt;&lt;Title&gt;Initial therapy with FOLFOXIRI and bevacizumab for metastatic colorectal cancer&lt;/Title&gt;&lt;Template&gt;Journal Article&lt;/Template&gt;&lt;Star&gt;0&lt;/Star&gt;&lt;Tag&gt;0&lt;/Tag&gt;&lt;Author&gt;Loupakis, F; Cremolini, C; Masi, G; Lonardi, S; Zagonel, V; Salvatore, L; Cortesi, E; Tomasello, G; Ronzoni, M; Spadi, R; Zaniboni, A; Tonini, G; Buonadonna, A; Amoroso, D; Chiara, S; Carlomagno, C; Boni, C; Allegrini, G; Boni, L; Falcone, A&lt;/Author&gt;&lt;Year&gt;2014&lt;/Year&gt;&lt;Details&gt;&lt;_accession_num&gt;25337750&lt;/_accession_num&gt;&lt;_author_adr&gt;From Azienda Ospedaliero-Universitaria Pisana and Università di Pisa, Pisa (F.L.,  C. Cremolini, G.M., L.S., A.F.), Istituto Oncologico Veneto, Istituto di Ricovero  e Cura a Carattere Scientifico (IRCCS), Padua (S.L., V.Z.), Sapienza Università  di Roma (E.C.) and Università Campus Biomedico (G. Tonini), Rome, Azienda  Istituti Ospitalieri, Cremona (G. Tomasello), Ospedale San Raffaele, IRCCS, Milan  (M.R.), Azienda Ospedaliero-Universitaria Città della Salute e della Scienza,  Turin (R.S.), Fondazione Poliambulanza, Brescia (A.Z.), Centro di Riferimento  Oncologico, IRCCS, Aviano (A.B.), Ospedale Versilia, Lido di Camaiore (D.A.),  Ospedale San Martino, IRCCS, Genoa (S.C.), Azienda Ospedaliera Universitaria  Federico II, Naples (C. Carlomagno), Arcispedale Santa Maria Nuova, IRCCS, Reggio  Emilia (C.B.), Ospedale Felice Lotti, Pontedera (G.A.), and Azienda  Ospedaliero-Universitaria Careggi and Istituto Toscano Tumori, Florence (L.B.) -  all in Italy.&lt;/_author_adr&gt;&lt;_date_display&gt;2014 Oct 23&lt;/_date_display&gt;&lt;_date&gt;2014-10-23&lt;/_date&gt;&lt;_doi&gt;10.1056/NEJMoa1403108&lt;/_doi&gt;&lt;_isbn&gt;1533-4406 (Electronic); 0028-4793 (Linking)&lt;/_isbn&gt;&lt;_issue&gt;17&lt;/_issue&gt;&lt;_journal&gt;N Engl J Med&lt;/_journal&gt;&lt;_language&gt;eng&lt;/_language&gt;&lt;_pages&gt;1609-18&lt;/_pages&gt;&lt;_subject_headings&gt;Adult; Aged; Antibodies, Monoclonal, Humanized/*administration &amp;amp; dosage/adverse effects; Antineoplastic Combined Chemotherapy Protocols/adverse effects/*therapeutic use; Bevacizumab; Camptothecin/adverse effects/*analogs &amp;amp; derivatives/therapeutic use; Colorectal Neoplasms/*drug therapy/mortality/pathology; Disease-Free Survival; Female; Fluorouracil/adverse effects/therapeutic use; Follow-Up Studies; Humans; Kaplan-Meier Estimate; Leucovorin/adverse effects/therapeutic use; Liver Neoplasms/drug therapy/secondary; Male; Middle Aged; Neoplasm Metastasis/*drug therapy; Organoplatinum Compounds/adverse effects/therapeutic use&lt;/_subject_headings&gt;&lt;_tertiary_title&gt;The New England journal of medicine&lt;/_tertiary_title&gt;&lt;_type_work&gt;Clinical Trial, Phase III; Journal Article; Multicenter Study; Randomized Controlled Trial; Research Support, Non-U.S. Gov&amp;apos;t&lt;/_type_work&gt;&lt;_url&gt;http://www.ncbi.nlm.nih.gov/entrez/query.fcgi?cmd=Retrieve&amp;amp;db=pubmed&amp;amp;dopt=Abstract&amp;amp;list_uids=25337750&amp;amp;query_hl=1&lt;/_url&gt;&lt;_volume&gt;371&lt;/_volume&gt;&lt;_created&gt;65090136&lt;/_created&gt;&lt;_modified&gt;65090136&lt;/_modified&gt;&lt;_impact_factor&gt; 176.079&lt;/_impact_factor&gt;&lt;_social_category&gt;医学(1)&lt;/_social_category&gt;&lt;_collection_scope&gt;SCIE&lt;/_collection_scope&gt;&lt;/Details&gt;&lt;Extra&gt;&lt;DBUID&gt;{F96A950B-833F-4880-A151-76DA2D6A2879}&lt;/DBUID&gt;&lt;/Extra&gt;&lt;/Item&gt;&lt;/References&gt;&lt;/Group&gt;&lt;Group&gt;&lt;References&gt;&lt;Item&gt;&lt;ID&gt;4886&lt;/ID&gt;&lt;UID&gt;{A4F6F0B4-0709-44F4-96CF-EEA2EEE2D933}&lt;/UID&gt;&lt;Title&gt;FOLFOXIRI Plus Cetuximab or Bevacizumab as First-Line Treatment of  BRAF(V600E)-Mutant Metastatic Colorectal Cancer: The Randomized Phase II FIRE-4.5  (AIO KRK0116) Study&lt;/Title&gt;&lt;Template&gt;Journal Article&lt;/Template&gt;&lt;Star&gt;0&lt;/Star&gt;&lt;Tag&gt;0&lt;/Tag&gt;&lt;Author&gt;Stintzing, S; Heinrich, K; Tougeron, D; Modest, D P; Schwaner, I; Eucker, J; Pihusch, R; Stauch, M; Kaiser, F; Kahl, C; Karthaus, M; Müller, C; Burkart, C; Reinacher-Schick, A; Kasper-Virchow, S; Fischer, Von Weikersthal L; Krammer-Steiner, B; Prager, G W; Taieb, J; Heinemann, V&lt;/Author&gt;&lt;Year&gt;2023&lt;/Year&gt;&lt;Details&gt;&lt;_accession_num&gt;37352476&lt;/_accession_num&gt;&lt;_author_adr&gt;Department of Hematology, Oncology, and Cancer Immunology (CCM),  Charité-Universitaetsmedizin Berlin, Germany.; German Cancer Consortium (DKTK), partner site Berlin, German Cancer Research  Center (DKFZ), Heidelberg, Germany.; Department of Oncology, LMU University Hospital, Munich, Germany.; Department of Hepato-Gastroenterology, Poitiers University Hospital and  University of Poitiers, Poitiers, France.; Department of Hematology, Oncology, and Cancer Immunology (CCM),  Charité-Universitaetsmedizin Berlin, Germany.; Onkologische Schwerpunktpraxis Kurfürstendamm, Berlin, Germany.; Department of Hematology, Oncology, and Cancer Immunology (CBF),  Charité-Universitaetsmedizin Berlin, Germany.; MVZ Praxis Pihusch, Rosenheim, Germany.; Hematology, Oncology/Hemostaseology Kronach, Kronach, Germany.; VK&amp;amp;K Oncology GmbH, Landshut, Germany.; Klinikum Magdeburg gGmbH, Department of Hematology, Oncology and Palliative Care  Magdeburg, Germany.; Department of Internal Medicine, Clinic III-Hematology, Oncology and Palliative  Care, Rostock University Medical Center, Rostock, Germany.; Department of Hematology, Oncology and Palliative Care, München Klinik Harlaching  and Neuperlach, Munich, Germany.; Evang. Kliniken Essen-Mitte, Essen, Germany.; Schwarzwald-Baar Klinikum Villingen-Schwenningen, Germany.; Department of Hematology, Oncology and Palliative Care, St Josef-Hospital,  Ruhr-University Bochum, Bochum, Germany.; West German Cancer Center, Department of Medical Oncology, University Hospital  Essen, Essen, Germany.; Gesundheitszentrum St Marien, Amberg, Germany.; Department of Hematology and Oncology; Klinikum Rostock Südstadt, Rostock,  Germany.; Department of Medicine I, Clinical Division of Oncology, Medical University of  Vienna, Vienna, Austria.; Department of Hepato-Gastroenterology, Poitiers University Hospital and  University of Poitiers, Poitiers, France.; Department of Gastroenterology and GI Oncology, University Paris-Cité, (Paris  Descartes), SIRC CARPEM, Hopital Européen Georges Pompidou, Paris, France.; Department of Oncology, LMU University Hospital, Munich, Germany.; Department of Gastroenterology and GI Oncology, University Paris-Cité, (Paris  Descartes), SIRC CARPEM, Hopital Européen Georges Pompidou, Paris, France.&lt;/_author_adr&gt;&lt;_date_display&gt;2023 Sep 1&lt;/_date_display&gt;&lt;_date&gt;2023-09-01&lt;/_date&gt;&lt;_doi&gt;10.1200/JCO.22.01420&lt;/_doi&gt;&lt;_isbn&gt;1527-7755 (Electronic); 0732-183X (Linking)&lt;/_isbn&gt;&lt;_issue&gt;25&lt;/_issue&gt;&lt;_journal&gt;J Clin Oncol&lt;/_journal&gt;&lt;_language&gt;eng&lt;/_language&gt;&lt;_pages&gt;4143-4153&lt;/_pages&gt;&lt;_subject_headings&gt;Humans; Bevacizumab; Cetuximab; *Colorectal Neoplasms/drug therapy/genetics/pathology; Proto-Oncogene Proteins B-raf/genetics; Prospective Studies; Antineoplastic Combined Chemotherapy Protocols/adverse effects; Camptothecin; Fluorouracil; Leucovorin; *Colonic Neoplasms/drug therapy; *Rectal Neoplasms/drug therapy; Adenosine Triphosphate/therapeutic use&lt;/_subject_headings&gt;&lt;_tertiary_title&gt;Journal of clinical oncology : official journal of the American Society of _x000d__x000a_      Clinical Oncology&lt;/_tertiary_title&gt;&lt;_type_work&gt;Clinical Trial, Phase II; Journal Article; Randomized Controlled Trial; Research Support, Non-U.S. Gov&amp;apos;t&lt;/_type_work&gt;&lt;_url&gt;http://www.ncbi.nlm.nih.gov/entrez/query.fcgi?cmd=Retrieve&amp;amp;db=pubmed&amp;amp;dopt=Abstract&amp;amp;list_uids=37352476&amp;amp;query_hl=1&lt;/_url&gt;&lt;_volume&gt;41&lt;/_volume&gt;&lt;_created&gt;65090136&lt;/_created&gt;&lt;_modified&gt;65090136&lt;/_modified&gt;&lt;_impact_factor&gt;  50.717&lt;/_impact_factor&gt;&lt;_social_category&gt;医学(1)&lt;/_social_category&gt;&lt;_collection_scope&gt;SCIE&lt;/_collection_scope&gt;&lt;/Details&gt;&lt;Extra&gt;&lt;DBUID&gt;{F96A950B-833F-4880-A151-76DA2D6A2879}&lt;/DBUID&gt;&lt;/Extra&gt;&lt;/Item&gt;&lt;/References&gt;&lt;/Group&gt;&lt;Group&gt;&lt;References&gt;&lt;Item&gt;&lt;ID&gt;4923&lt;/ID&gt;&lt;UID&gt;{89241F2A-5DF5-441F-A582-162E68DBEB1C}&lt;/UID&gt;&lt;Title&gt;Randomized phase III study of capecitabine plus oxaliplatin compared with  fluorouracil/folinic acid plus oxaliplatin as first-line therapy for metastatic  colorectal cancer&lt;/Title&gt;&lt;Template&gt;Journal Article&lt;/Template&gt;&lt;Star&gt;0&lt;/Star&gt;&lt;Tag&gt;0&lt;/Tag&gt;&lt;Author&gt;Cassidy, J; Clarke, S; Díaz-Rubio, E; Scheithauer, W; Figer, A; Wong, R; Koski, S; Lichinitser, M; Yang, T S; Rivera, F; Couture, F; Sirzén, F; Saltz, L&lt;/Author&gt;&lt;Year&gt;2008&lt;/Year&gt;&lt;Details&gt;&lt;_accession_num&gt;18421053&lt;/_accession_num&gt;&lt;_author_adr&gt;Glasgow University, Garscube Estate, Switchback Rd, Glasgow, Scotland.  j.cassidy@beatson.gla.ac.uk&lt;/_author_adr&gt;&lt;_date_display&gt;2008 Apr 20&lt;/_date_display&gt;&lt;_date&gt;2008-04-20&lt;/_date&gt;&lt;_doi&gt;10.1200/JCO.2007.14.9898&lt;/_doi&gt;&lt;_isbn&gt;1527-7755 (Electronic); 0732-183X (Linking)&lt;/_isbn&gt;&lt;_issue&gt;12&lt;/_issue&gt;&lt;_journal&gt;J Clin Oncol&lt;/_journal&gt;&lt;_language&gt;eng&lt;/_language&gt;&lt;_pages&gt;2006-12&lt;/_pages&gt;&lt;_subject_headings&gt;Aged; Antineoplastic Combined Chemotherapy Protocols/adverse effects/*therapeutic use; Capecitabine; Colorectal Neoplasms/*drug therapy/pathology; Deoxycytidine/administration &amp;amp; dosage/adverse effects/analogs &amp;amp; derivatives; Disease-Free Survival; Female; Fluorouracil/administration &amp;amp; dosage/adverse effects/analogs &amp;amp; derivatives; Humans; Leucovorin/administration &amp;amp; dosage/adverse effects; Male; Middle Aged; Neoplasm Metastasis; Organoplatinum Compounds/administration &amp;amp; dosage/adverse effects; Oxaliplatin; Survival Rate&lt;/_subject_headings&gt;&lt;_tertiary_title&gt;Journal of clinical oncology : official journal of the American Society of _x000d__x000a_      Clinical Oncology&lt;/_tertiary_title&gt;&lt;_type_work&gt;Clinical Trial, Phase III; Comparative Study; Journal Article; Multicenter Study; Randomized Controlled Trial&lt;/_type_work&gt;&lt;_url&gt;http://www.ncbi.nlm.nih.gov/entrez/query.fcgi?cmd=Retrieve&amp;amp;db=pubmed&amp;amp;dopt=Abstract&amp;amp;list_uids=18421053&amp;amp;query_hl=1&lt;/_url&gt;&lt;_volume&gt;26&lt;/_volume&gt;&lt;_created&gt;65090136&lt;/_created&gt;&lt;_modified&gt;65090136&lt;/_modified&gt;&lt;_impact_factor&gt;  50.717&lt;/_impact_factor&gt;&lt;_social_category&gt;医学(1)&lt;/_social_category&gt;&lt;_collection_scope&gt;SCIE&lt;/_collection_scope&gt;&lt;/Details&gt;&lt;Extra&gt;&lt;DBUID&gt;{F96A950B-833F-4880-A151-76DA2D6A2879}&lt;/DBUID&gt;&lt;/Extra&gt;&lt;/Item&gt;&lt;/References&gt;&lt;/Group&gt;&lt;Group&gt;&lt;References&gt;&lt;Item&gt;&lt;ID&gt;4925&lt;/ID&gt;&lt;UID&gt;{D79CF019-3E9A-4224-AC5D-B39A67125ACC}&lt;/UID&gt;&lt;Title&gt;Chemotherapy (doublet or triplet) plus targeted therapy by RAS status as  conversion therapy in colorectal cancer patients with initially unresectable  liver-only metastases. The UNICANCER PRODIGE-14 randomised clinical trial&lt;/Title&gt;&lt;Template&gt;Journal Article&lt;/Template&gt;&lt;Star&gt;0&lt;/Star&gt;&lt;Tag&gt;0&lt;/Tag&gt;&lt;Author&gt;Ychou, M; Rivoire, M; Thezenas, S; Guimbaud, R; Ghiringhelli, F; Mercier-Blas, A; Mineur, L; Francois, E; Khemissa, F; Chauvenet, M; Kianmanesh, R; Fonck, M; Houyau, P; Aparicio, T; Galais, M P; Audemar, F; Assenat, E; Lopez-Crapez, E; Jouffroy, C; Adenis, A; Adam, R; Bouché, O&lt;/Author&gt;&lt;Year&gt;2022&lt;/Year&gt;&lt;Details&gt;&lt;_accession_num&gt;34992255&lt;/_accession_num&gt;&lt;_author_adr&gt;Department of Digestive Oncology, Institut du Cancer de Montpellier, Montpellier,  France. marc.ychou@icm.unicancer.fr.; Department of Surgical Oncology, Léon Bérard Cancer Center, Lyon, France.; Biometrics Unit, Institut du Cancer de Montpellier, Montpellier, France.; Department of Digestive Oncology - IUCT Rangueil-Larrey, CHU de Toulouse,  Toulouse, France.; Department of Medical Oncology, Centre Georges François Leclerc, Dijon, France.; Department of Medical Oncology, Centre Hospitalier Privé de Saint-Grégoire,  Saint-Grégoire, France.; Department of Digestive Oncology, Institut Sainte Catherine, Avignon, France.; Department of Medical Oncology, Centre Antoine Lacassagne, Nice, France.; Gastroenterology unit, Centre Hospitalier Saint-Jean, Perpignan, France.; Department of Hepato-gastroenterology and Digestive Oncology, Hôpital Lyon Sud,  Lyon, France.; Department of Digestive and Endocrine Surgery, Hôpital Robert Debré, Reims,  France.; Department of Digestive Oncology, Institut Bergonié, Bordeaux, France.; Department of Medical Oncology, Clinique Claude Bernard, Albi, France.; Department of Gastroenterology and Digestive Oncology, Hôpital Saint Louis, APHP,  Paris, France.; Department of Medical Oncology, Centre François Baclesse, Caen, France.; Gastroenterology unit, Centre hospitalier Côte Basque, Bayonne, France.; Department of Digestive Oncology, CHU Saint Eloi, Montpellier, France.; Translational Research Unit, Institut du Cancer de Montpellier, Montpellier,  France and IRCM, Institut de Recherche en Cancérologie de Montpellier, INSERM  U1194, Université de Montpellier, Montpellier, France.; R&amp;amp;D Unicancer, Paris, France.; Department of Digestive Oncology, Institut du Cancer de Montpellier, Montpellier,  France.; Hepatobiliary Centre, Paul Brousse Hospital, AP-HP, Villejuif, France.; Department of Hepatogastroenterology and Digestive Oncology, Hôpital Robert  Debré, Reims, France.&lt;/_author_adr&gt;&lt;_date_display&gt;2022 May&lt;/_date_display&gt;&lt;_date&gt;2022-05-01&lt;/_date&gt;&lt;_doi&gt;10.1038/s41416-021-01644-y&lt;/_doi&gt;&lt;_isbn&gt;1532-1827 (Electronic); 0007-0920 (Print); 0007-0920 (Linking)&lt;/_isbn&gt;&lt;_issue&gt;9&lt;/_issue&gt;&lt;_journal&gt;Br J Cancer&lt;/_journal&gt;&lt;_language&gt;eng&lt;/_language&gt;&lt;_ori_publication&gt;© 2022. The Author(s), under exclusive licence to Springer Nature Limited.&lt;/_ori_publication&gt;&lt;_pages&gt;1264-1270&lt;/_pages&gt;&lt;_subject_headings&gt;Antineoplastic Combined Chemotherapy Protocols/therapeutic use; Bevacizumab/therapeutic use; Camptothecin/therapeutic use; Cetuximab/therapeutic use; *Colorectal Neoplasms/drug therapy/genetics/pathology; Fluorouracil/therapeutic use; Humans; Leucovorin/therapeutic use; *Liver Neoplasms/drug therapy/genetics/secondary; Male; Middle Aged; *Pancreatic Neoplasms/drug therapy&lt;/_subject_headings&gt;&lt;_tertiary_title&gt;British journal of cancer&lt;/_tertiary_title&gt;&lt;_type_work&gt;Clinical Trial, Phase II; Journal Article; Multicenter Study; Randomized Controlled Trial; Research Support, Non-U.S. Gov&amp;apos;t&lt;/_type_work&gt;&lt;_url&gt;http://www.ncbi.nlm.nih.gov/entrez/query.fcgi?cmd=Retrieve&amp;amp;db=pubmed&amp;amp;dopt=Abstract&amp;amp;list_uids=34992255&amp;amp;query_hl=1&lt;/_url&gt;&lt;_volume&gt;126&lt;/_volume&gt;&lt;_created&gt;65090136&lt;/_created&gt;&lt;_modified&gt;65090136&lt;/_modified&gt;&lt;_impact_factor&gt;   9.075&lt;/_impact_factor&gt;&lt;_social_category&gt;医学(1)&lt;/_social_category&gt;&lt;_collection_scope&gt;SCIE&lt;/_collection_scope&gt;&lt;/Details&gt;&lt;Extra&gt;&lt;DBUID&gt;{F96A950B-833F-4880-A151-76DA2D6A2879}&lt;/DBUID&gt;&lt;/Extra&gt;&lt;/Item&gt;&lt;/References&gt;&lt;/Group&gt;&lt;Group&gt;&lt;References&gt;&lt;Item&gt;&lt;ID&gt;4898&lt;/ID&gt;&lt;UID&gt;{64B9A504-9CF5-4770-B392-43AF74550A6F}&lt;/UID&gt;&lt;Title&gt;Primary Tumor Resection Plus Chemotherapy Versus Chemotherapy Alone for  Colorectal Cancer Patients With Asymptomatic, Synchronous Unresectable Metastases  (JCOG1007; iPACS): A Randomized Clinical Trial&lt;/Title&gt;&lt;Template&gt;Journal Article&lt;/Template&gt;&lt;Star&gt;0&lt;/Star&gt;&lt;Tag&gt;0&lt;/Tag&gt;&lt;Author&gt;Kanemitsu, Y; Shitara, K; Mizusawa, J; Hamaguchi, T; Shida, D; Komori, K; Ikeda, S; Ojima, H; Ike, H; Shiomi, A; Watanabe, J; Takii, Y; Yamaguchi, T; Katsumata, K; Ito, M; Okuda, J; Hyakudomi, R; Shimada, Y; Katayama, H; Fukuda, H&lt;/Author&gt;&lt;Year&gt;2021&lt;/Year&gt;&lt;Details&gt;&lt;_accession_num&gt;33560877&lt;/_accession_num&gt;&lt;_author_adr&gt;National Cancer Center Hospital, Tokyo, Japan.; National Cancer Center Hospital East, Kashiwa, Japan.; National Cancer Center Hospital, Tokyo, Japan.; Saitama Medical University International Medical Center, Hidaka, Japan.; National Cancer Center Hospital, Tokyo, Japan.; Aichi Cancer Center Hospital, Nagoya, Japan.; Hiroshima Prefectural Hospital, Hiroshima, Japan.; Gunma Prefectural Cancer Center, Ota, Japan.; Saiseikai Yokohamashi Nanbu Hospital, Yokohama, Japan.; Shizuoka Cancer Center Hospital, Shizuoka, Japan.; Yokohama City University Medical Center, Yokohama, Japan.; Niigata Cancer Center Hospital, Niigata, Japan.; National Hospital Organization Kyoto Medical Center, Kyoto, Japan.; Tokyo Medical University, Tokyo, Japan.; National Cancer Center Hospital East, Kashiwa, Japan.; Osaka Medical College Hospital, Osaka, Japan.; Shimane University Faculty of Medicine, Shimane, Japan.; Kochi Health Sciences Center, Kochi, Japan.; National Cancer Center Hospital, Tokyo, Japan.; National Cancer Center Hospital, Tokyo, Japan.&lt;/_author_adr&gt;&lt;_date_display&gt;2021 Apr 1&lt;/_date_display&gt;&lt;_date&gt;2021-04-01&lt;/_date&gt;&lt;_doi&gt;10.1200/JCO.20.02447&lt;/_doi&gt;&lt;_isbn&gt;1527-7755 (Electronic); 0732-183X (Print); 0732-183X (Linking)&lt;/_isbn&gt;&lt;_issue&gt;10&lt;/_issue&gt;&lt;_journal&gt;J Clin Oncol&lt;/_journal&gt;&lt;_language&gt;eng&lt;/_language&gt;&lt;_pages&gt;1098-1107&lt;/_pages&gt;&lt;_subject_headings&gt;Aged; Anemia/etiology; Antineoplastic Combined Chemotherapy Protocols/adverse effects/*therapeutic use; Bevacizumab/administration &amp;amp; dosage/adverse effects; Colorectal Neoplasms/*drug therapy/pathology/*surgery; Combined Modality Therapy/adverse effects; Female; Follow-Up Studies; Humans; Kaplan-Meier Estimate; Leukopenia/etiology; Male; Middle Aged; Neoplasm Metastasis; Neoplasm Staging; Outcome Assessment, Health Care/methods/*statistics &amp;amp; numerical data&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33560877&amp;amp;query_hl=1&lt;/_url&gt;&lt;_volume&gt;39&lt;/_volume&gt;&lt;_created&gt;65090136&lt;/_created&gt;&lt;_modified&gt;6509013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CE116E46-4D4C-4A19-A54A-80372AA794F6}" w:val=" ADDIN NE.Ref.{CE116E46-4D4C-4A19-A54A-80372AA794F6}&lt;Citation&gt;&lt;Group&gt;&lt;References&gt;&lt;Item&gt;&lt;ID&gt;4697&lt;/ID&gt;&lt;UID&gt;{1969BF53-51EE-443D-B1A5-40AF38B9EDE5}&lt;/UID&gt;&lt;Title&gt;Anlotinib Monotherapy for Refractory Metastatic Colorectal Cancer: A  Double-Blinded, Placebo-Controlled, Randomized Phase III Trial (ALTER0703)&lt;/Title&gt;&lt;Template&gt;Journal Article&lt;/Template&gt;&lt;Star&gt;0&lt;/Star&gt;&lt;Tag&gt;0&lt;/Tag&gt;&lt;Author&gt;Chi, Y; Shu, Y; Ba, Y; Bai, Y; Qin, B; Wang, X; Xiong, J; Xu, N; Zhang, H; Zhou, J; Xu, J; Cheng, Y; Feng, J; Hu, C; Chen, Y; Chen, Z; Wang, J; Dang, C; Wang, J; Wan, Y; Tang, Y; Wang, D; Liu, J; Wu, M; Deng, Y; Li, X; Li, Y; Dong, J; Jiang, D; Li, G; Wu, Q; Li, J; Qi, Y; Sun, Y; Cai, J&lt;/Author&gt;&lt;Year&gt;2021&lt;/Year&gt;&lt;Details&gt;&lt;_accession_num&gt;34105207&lt;/_accession_num&gt;&lt;_author_adr&gt;Department of Medical Oncology, National Cancer Center/National Clinical Research  Center for Cancer/Cancer Hospital, Chinese Academy of Medical Sciences and Peking  Union Medical College, Beijing, People&amp;apos;s Republic of China.; Department of Medical Oncology, Jiangsu Province Hospital, Nanjing, People&amp;apos;s  Republic of China.; Department of Digestive Oncology, Tianjin Medical University Cancer Institute &amp;amp;  Hospital, Tianjin, People&amp;apos;s Republic of China.; Department of Medical Oncology, Harbin Medical University Cancer Hospital,  Harbin, People&amp;apos;s Republic of China.; Department of Gastrointestinal Oncology, Liaoning Cancer Hospital &amp;amp; Institute,  Shenyang, People&amp;apos;s Republic of China.; Department of Chemotherapy, Qilu Hospital of Shandong University, Jinan, People&amp;apos;s  Republic of China.; Department of Medical Oncology, The First Affiliated Hospital of Nanchang  University, Nanchang, People&amp;apos;s Republic of China.; Department of Medical Oncology, The First Affiliated Hospital, Zhejiang  University, Hangzhou, People&amp;apos;s Republic of China.; Department of Medical Oncology, Tangdu Hospital, Air Force Medical University,  Xi&amp;apos;an, People&amp;apos;s Republic of China.; Department of Medical Oncology, Peking Union Medical College Hospital, Beijing,  People&amp;apos;s Republic of China.; Department of Gastrointestinal Oncology, 307 Hospital of PLA, Academy of Military  Medical Sciences, Beijing, People&amp;apos;s Republic of China.; Department of Medical Oncology, Jilin Cancer Hospital, Changchun, People&amp;apos;s  Republic of China.; Department of Medical Oncology, Jiangsu Cancer Hospital, Nanjing, People&amp;apos;s  Republic of China.; Department of Oncology, the Second Xiangya Hospital, Central South University,  Changsha, People&amp;apos;s Republic of China.; Department of Abdominal Oncology, Fujian Cancer Hospital, Fuzhou, People&amp;apos;s  Republic of China.; Department of Oncology, The Second Hospital of Anhui Medical University, Hefei,  People&amp;apos;s Republic of China.; Department of Oncology, Henan Cancer Hospital, Zhengzhou, People&amp;apos;s Republic of  China.; Department of Surgical Oncology, The First Affiliated Hospital of Xi&amp;apos;an Jiaotong  University, Xi&amp;apos;an, People&amp;apos;s Republic of China.; Department of Medical Oncology, Nantong Tumor Hospital, Nantong, People&amp;apos;s  Republic of China.; Department of Medical Oncology, Jiangxi Cancer Hospital, Nanchang, People&amp;apos;s  Republic of China.; Department of Digestive Internal Medicine, The Affiliated Tumor Hospital of  Xinjiang Medical University, Urumqi, People&amp;apos;s Republic of China.; Department of Medical oncology, Chongqing Cancer Hospital, Chongqing, People&amp;apos;s  Republic of China.; Department of Medical Oncology, People&amp;apos;s Hospital of Xinjiang Uygur Autonomous  Region, Urumqi, People&amp;apos;s Republic of China.; Department of integrated Chinese and Western Medicine, Shaanxi Provincial Cancer  Hospital, Xi&amp;apos;an, People&amp;apos;s Republic of China.; Department of Medical Oncology, The Sixth Affiliated Hospital of Sun Yat-sen  University, Guangzhou, People&amp;apos;s Republic of China.; Department of Gastrointestinal Surgery, Gansu Provincial Cancer Hospital,  Lanzhou, People&amp;apos;s Republic of China.; Department of Medical Oncology, Affiliated Tumor Hospital of Guangxi Medical  University, Nanning, People&amp;apos;s Republic of China.; First Department of Medical Oncology, Yunnan Cancer Hospital, Kunming, People&amp;apos;s  Republic of China.; Department of Medical Oncology, Forth Hospital of Hebei Medical University,  Hebei, People&amp;apos;s Republic of China.; Department of Medical Oncology, Liuzhou Worker&amp;apos;s Hospital, Liuzhou, People&amp;apos;s  Republic of China.; Department of Medical Oncology, The First Affiliated Hospital of Bengbu Medical  College, Bengbu, People&amp;apos;s Republic of China.; Department of Medical Oncology, Shanghai East Hospital, Tongji University School  of Medicine, Shanghai, People&amp;apos;s Republic of China.; Department of Medical Oncology, Qinghai Provincial People&amp;apos;s Hospital, Xining,  People&amp;apos;s Republic of China.; Department of Medical Oncology, National Cancer Center/National Clinical Research  Center for Cancer/Cancer Hospital, Chinese Academy of Medical Sciences and Peking  Union Medical College, Beijing, People&amp;apos;s Republic of China.; Department of Hepatobiliary Surgery, National Cancer Center/National Clinical  Research Center for Cancer/Cancer Hospital, Chinese Academy of Medical Sciences  and Peking Union Medical College, Beijing, People&amp;apos;s Republic of China.&lt;/_author_adr&gt;&lt;_date_display&gt;2021 Oct&lt;/_date_display&gt;&lt;_date&gt;2021-10-01&lt;/_date&gt;&lt;_doi&gt;10.1002/onco.13857&lt;/_doi&gt;&lt;_isbn&gt;1549-490X (Electronic); 1083-7159 (Print); 1083-7159 (Linking)&lt;/_isbn&gt;&lt;_issue&gt;10&lt;/_issue&gt;&lt;_journal&gt;Oncologist&lt;/_journal&gt;&lt;_keywords&gt;Adverse events; Anlotinib; Colorectal cancer; Metastatic; Progression-free survival; Survival&lt;/_keywords&gt;&lt;_language&gt;eng&lt;/_language&gt;&lt;_ori_publication&gt;© 2021 AlphaMed Press.&lt;/_ori_publication&gt;&lt;_pages&gt;e1693-e1703&lt;/_pages&gt;&lt;_subject_headings&gt;*Colorectal Neoplasms/drug therapy; Double-Blind Method; Humans; Indoles; Quality of Life; *Quinolines&lt;/_subject_headings&gt;&lt;_tertiary_title&gt;The oncologist&lt;/_tertiary_title&gt;&lt;_type_work&gt;Clinical Trial, Phase III; Journal Article; Multicenter Study; Randomized Controlled Trial; Research Support, Non-U.S. Gov&amp;apos;t&lt;/_type_work&gt;&lt;_url&gt;http://www.ncbi.nlm.nih.gov/entrez/query.fcgi?cmd=Retrieve&amp;amp;db=pubmed&amp;amp;dopt=Abstract&amp;amp;list_uids=34105207&amp;amp;query_hl=1&lt;/_url&gt;&lt;_volume&gt;26&lt;/_volume&gt;&lt;_created&gt;65020956&lt;/_created&gt;&lt;_modified&gt;65020956&lt;/_modified&gt;&lt;_impact_factor&gt;   5.837&lt;/_impact_factor&gt;&lt;_social_category&gt;医学(2)&lt;/_social_category&gt;&lt;_collection_scope&gt;SCIE&lt;/_collection_scope&gt;&lt;/Details&gt;&lt;Extra&gt;&lt;DBUID&gt;{F96A950B-833F-4880-A151-76DA2D6A2879}&lt;/DBUID&gt;&lt;/Extra&gt;&lt;/Item&gt;&lt;/References&gt;&lt;/Group&gt;&lt;/Citation&gt;_x000a_"/>
    <w:docVar w:name="NE.Ref{CF4CB81B-8E38-4682-B4E9-9352FE033400}" w:val=" ADDIN NE.Ref.{CF4CB81B-8E38-4682-B4E9-9352FE033400}&lt;Citation&gt;&lt;Group&gt;&lt;References&gt;&lt;Item&gt;&lt;ID&gt;5021&lt;/ID&gt;&lt;UID&gt;{FC01DC97-7D4C-4C9D-9151-12C0AE958C20}&lt;/UID&gt;&lt;Title&gt;National Institute for Health and Care Excellence. Regorafenib for previously treated metastatic colorectal cancer [ID4002]. https://www.nice.org.uk/guidance(Accessed Feb 2, 2024).&lt;/Title&gt;&lt;Template&gt;Web Page&lt;/Template&gt;&lt;Star&gt;0&lt;/Star&gt;&lt;Tag&gt;0&lt;/Tag&gt;&lt;Author/&gt;&lt;Year&gt;0&lt;/Year&gt;&lt;Details&gt;&lt;_accessed&gt;65330793&lt;/_accessed&gt;&lt;_created&gt;65329711&lt;/_created&gt;&lt;_modified&gt;65329715&lt;/_modified&gt;&lt;/Details&gt;&lt;Extra&gt;&lt;DBUID&gt;{F96A950B-833F-4880-A151-76DA2D6A2879}&lt;/DBUID&gt;&lt;/Extra&gt;&lt;/Item&gt;&lt;/References&gt;&lt;/Group&gt;&lt;Group&gt;&lt;References&gt;&lt;Item&gt;&lt;ID&gt;5041&lt;/ID&gt;&lt;UID&gt;{3154A280-2B61-4C36-BD50-ABC671FE750F}&lt;/UID&gt;&lt;Title&gt;Health state utilities for non small cell lung cancer&lt;/Title&gt;&lt;Template&gt;Journal Article&lt;/Template&gt;&lt;Star&gt;0&lt;/Star&gt;&lt;Tag&gt;0&lt;/Tag&gt;&lt;Author&gt;Nafees, B; Stafford, M; Gavriel, S; Bhalla, S; Watkins, J&lt;/Author&gt;&lt;Year&gt;2008&lt;/Year&gt;&lt;Details&gt;&lt;_accession_num&gt;18939982&lt;/_accession_num&gt;&lt;_author_adr&gt;United BioSource Corporation, UK, 20 Bloomsbury Square, London, WC1A 2NS, UK.  beenish.nafees@unitedbiosource.com&lt;/_author_adr&gt;&lt;_date_display&gt;2008 Oct 21&lt;/_date_display&gt;&lt;_date&gt;2008-10-21&lt;/_date&gt;&lt;_doi&gt;10.1186/1477-7525-6-84&lt;/_doi&gt;&lt;_isbn&gt;1477-7525 (Electronic); 1477-7525 (Linking)&lt;/_isbn&gt;&lt;_journal&gt;Health Qual Life Outcomes&lt;/_journal&gt;&lt;_language&gt;eng&lt;/_language&gt;&lt;_pages&gt;84&lt;/_pages&gt;&lt;_subject_headings&gt;Adult; Antineoplastic Combined Chemotherapy Protocols/*adverse effects/therapeutic use; *Attitude to Health; Breast Neoplasms/drug therapy/pathology; Carcinoma, Non-Small-Cell Lung/*drug therapy/physiopathology/psychology; Clinical Trials, Phase III as Topic; Demography; *Disease Progression; Drug-Related Side Effects and Adverse Reactions/psychology; Female; Humans; Interviews as Topic; Lung Neoplasms/*drug therapy/physiopathology/psychology; Male; Middle Aged; Pilot Projects; Psychometrics/instrumentation/*standards; *Quality of Life; *Sickness Impact Profile; Treatment Outcome; United Kingdom&lt;/_subject_headings&gt;&lt;_tertiary_title&gt;Health and quality of life outcomes&lt;/_tertiary_title&gt;&lt;_type_work&gt;Journal Article; Validation Study&lt;/_type_work&gt;&lt;_url&gt;http://www.ncbi.nlm.nih.gov/entrez/query.fcgi?cmd=Retrieve&amp;amp;db=pubmed&amp;amp;dopt=Abstract&amp;amp;list_uids=18939982&amp;amp;query_hl=1&lt;/_url&gt;&lt;_volume&gt;6&lt;/_volume&gt;&lt;_created&gt;65329740&lt;/_created&gt;&lt;_modified&gt;65329740&lt;/_modified&gt;&lt;_impact_factor&gt;   3.600&lt;/_impact_factor&gt;&lt;_social_category&gt;卫生保健与服务(3) &amp;amp; 卫生政策与服务(2)&lt;/_social_category&gt;&lt;_collection_scope&gt;SSCI;SCIE&lt;/_collection_scope&gt;&lt;_accessed&gt;65330885&lt;/_accessed&gt;&lt;/Details&gt;&lt;Extra&gt;&lt;DBUID&gt;{F96A950B-833F-4880-A151-76DA2D6A2879}&lt;/DBUID&gt;&lt;/Extra&gt;&lt;/Item&gt;&lt;/References&gt;&lt;/Group&gt;&lt;/Citation&gt;_x000a_"/>
    <w:docVar w:name="NE.Ref{CFD40372-3BA5-4CB4-BFBC-6A4456784B47}" w:val=" ADDIN NE.Ref.{CFD40372-3BA5-4CB4-BFBC-6A4456784B47}&lt;Citation&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D1591285-ADF9-4E9E-B761-BE1F59F5A75D}" w:val=" ADDIN NE.Ref.{D1591285-ADF9-4E9E-B761-BE1F59F5A75D}&lt;Citation&gt;&lt;Group&gt;&lt;References&gt;&lt;Item&gt;&lt;ID&gt;2967&lt;/ID&gt;&lt;UID&gt;{7C37AC92-69C3-410C-8211-D1BCFAB954D2}&lt;/UID&gt;&lt;Title&gt;Automated generation of node-splitting models for assessment of inconsistency in  network meta-analysis&lt;/Title&gt;&lt;Template&gt;Journal Article&lt;/Template&gt;&lt;Star&gt;0&lt;/Star&gt;&lt;Tag&gt;0&lt;/Tag&gt;&lt;Author&gt;van Valkenhoef, G; Dias, S; Ades, A E; Welton, N J&lt;/Author&gt;&lt;Year&gt;2016&lt;/Year&gt;&lt;Details&gt;&lt;_accession_num&gt;26461181&lt;/_accession_num&gt;&lt;_author_adr&gt;Department of Epidemiology, University of Groningen, University Medical Center  Groningen, Groningen, The Netherlands.; School of Social and Community Medicine, University of Bristol, Bristol, UK.; School of Social and Community Medicine, University of Bristol, Bristol, UK.; School of Social and Community Medicine, University of Bristol, Bristol, UK.&lt;/_author_adr&gt;&lt;_collection_scope&gt;SCIE&lt;/_collection_scope&gt;&lt;_created&gt;64739508&lt;/_created&gt;&lt;_date&gt;2016-03-01&lt;/_date&gt;&lt;_date_display&gt;2016 Mar&lt;/_date_display&gt;&lt;_db_updated&gt;PubMed&lt;/_db_updated&gt;&lt;_doi&gt;10.1002/jrsm.1167&lt;/_doi&gt;&lt;_impact_factor&gt;   9.308&lt;/_impact_factor&gt;&lt;_isbn&gt;1759-2887 (Electronic); 1759-2879 (Print); 1759-2879 (Linking)&lt;/_isbn&gt;&lt;_issue&gt;1&lt;/_issue&gt;&lt;_journal&gt;Res Synth Methods&lt;/_journal&gt;&lt;_keywords&gt;Bayesian modelling; meta-analysis; mixed treatment comparisons; model generation; network meta-analysis; node splitting&lt;/_keywords&gt;&lt;_language&gt;eng&lt;/_language&gt;&lt;_modified&gt;64740725&lt;/_modified&gt;&lt;_ori_publication&gt;(c) 2015 The Authors Research Synthesis Methods Published by John Wiley &amp;amp; Sons Ltd.&lt;/_ori_publication&gt;&lt;_pages&gt;80-93&lt;/_pages&gt;&lt;_social_category&gt;综合性期刊(2)&lt;/_social_category&gt;&lt;_subject_headings&gt;Algorithms; Automation; Bayes Theorem; *Clinical Trials as Topic; Decision Making; Electronic Data Processing; Humans; Models, Statistical; *Network Meta-Analysis; Programming Languages; Research Design; Statistics as Topic&lt;/_subject_headings&gt;&lt;_tertiary_title&gt;Research synthesis methods&lt;/_tertiary_title&gt;&lt;_type_work&gt;Journal Article&lt;/_type_work&gt;&lt;_url&gt;http://www.ncbi.nlm.nih.gov/entrez/query.fcgi?cmd=Retrieve&amp;amp;db=pubmed&amp;amp;dopt=Abstract&amp;amp;list_uids=26461181&amp;amp;query_hl=1&lt;/_url&gt;&lt;_volume&gt;7&lt;/_volume&gt;&lt;/Details&gt;&lt;Extra&gt;&lt;DBUID&gt;{F96A950B-833F-4880-A151-76DA2D6A2879}&lt;/DBUID&gt;&lt;/Extra&gt;&lt;/Item&gt;&lt;/References&gt;&lt;/Group&gt;&lt;Group&gt;&lt;References&gt;&lt;Item&gt;&lt;ID&gt;2968&lt;/ID&gt;&lt;UID&gt;{293F3FDB-263F-4372-A8E4-7F44E64473B7}&lt;/UID&gt;&lt;Title&gt;Checking consistency in mixed treatment comparison meta-analysis&lt;/Title&gt;&lt;Template&gt;Journal Article&lt;/Template&gt;&lt;Star&gt;0&lt;/Star&gt;&lt;Tag&gt;0&lt;/Tag&gt;&lt;Author&gt;Dias, S; Welton, N J; Caldwell, D M; Ades, A E&lt;/Author&gt;&lt;Year&gt;2010&lt;/Year&gt;&lt;Details&gt;&lt;_accession_num&gt;20213715&lt;/_accession_num&gt;&lt;_author_adr&gt;Academic Unit of Primary Care, Department of Community Based Medicine, University  of Bristol, Cotham House, Cotham Hill, Bristol BS6 6JL, U.K. S.Dias@bristol.ac.uk&lt;/_author_adr&gt;&lt;_collection_scope&gt;SCIE&lt;/_collection_scope&gt;&lt;_created&gt;64739508&lt;/_created&gt;&lt;_date&gt;2010-03-30&lt;/_date&gt;&lt;_date_display&gt;2010 Mar 30&lt;/_date_display&gt;&lt;_db_updated&gt;PubMed&lt;/_db_updated&gt;&lt;_doi&gt;10.1002/sim.3767&lt;/_doi&gt;&lt;_impact_factor&gt;   2.497&lt;/_impact_factor&gt;&lt;_isbn&gt;1097-0258 (Electronic); 0277-6715 (Linking)&lt;/_isbn&gt;&lt;_issue&gt;7-8&lt;/_issue&gt;&lt;_journal&gt;Stat Med&lt;/_journal&gt;&lt;_language&gt;eng&lt;/_language&gt;&lt;_modified&gt;64740725&lt;/_modified&gt;&lt;_pages&gt;932-44&lt;/_pages&gt;&lt;_social_category&gt;医学(3)&lt;/_social_category&gt;&lt;_subject_headings&gt;Angioplasty/statistics &amp;amp; numerical data; *Bayes Theorem; *Biostatistics; Fibrinolytic Agents/therapeutic use; Humans; Markov Chains; *Meta-Analysis as Topic; Monte Carlo Method; Myocardial Infarction/drug therapy/surgery; Randomized Controlled Trials as Topic/*statistics &amp;amp; numerical data; Review Literature as Topic; Smoking Cessation/statistics &amp;amp; numerical data&lt;/_subject_headings&gt;&lt;_tertiary_title&gt;Statistics in medicine&lt;/_tertiary_title&gt;&lt;_type_work&gt;Journal Article; Research Support, Non-U.S. Gov&amp;apos;t&lt;/_type_work&gt;&lt;_url&gt;http://www.ncbi.nlm.nih.gov/entrez/query.fcgi?cmd=Retrieve&amp;amp;db=pubmed&amp;amp;dopt=Abstract&amp;amp;list_uids=20213715&amp;amp;query_hl=1&lt;/_url&gt;&lt;_volume&gt;29&lt;/_volume&gt;&lt;/Details&gt;&lt;Extra&gt;&lt;DBUID&gt;{F96A950B-833F-4880-A151-76DA2D6A2879}&lt;/DBUID&gt;&lt;/Extra&gt;&lt;/Item&gt;&lt;/References&gt;&lt;/Group&gt;&lt;/Citation&gt;_x000a_"/>
    <w:docVar w:name="NE.Ref{D15CB9FC-34E7-4A0B-859A-A4E9CB876A17}" w:val=" ADDIN NE.Ref.{D15CB9FC-34E7-4A0B-859A-A4E9CB876A17}&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Citation&gt;_x000a_"/>
    <w:docVar w:name="NE.Ref{D1F04AFE-11B2-4E47-A81A-B114F5A9CEC0}" w:val=" ADDIN NE.Ref.{D1F04AFE-11B2-4E47-A81A-B114F5A9CEC0}&lt;Citation&gt;&lt;Group&gt;&lt;References&gt;&lt;Item&gt;&lt;ID&gt;4683&lt;/ID&gt;&lt;UID&gt;{55624B70-4DE6-47FF-90BC-11D6320A8813}&lt;/UID&gt;&lt;Title&gt;EuroQol Research Foundation. EQ-5D-3L user guide, version 6.0. December, 2018. https://euroqol.org/publications/user-guides/ (accessed March 22, 2021).&lt;/Title&gt;&lt;Template&gt;Web Page&lt;/Template&gt;&lt;Star&gt;0&lt;/Star&gt;&lt;Tag&gt;0&lt;/Tag&gt;&lt;Author/&gt;&lt;Year&gt;0&lt;/Year&gt;&lt;Details&gt;&lt;_accessed&gt;65020262&lt;/_accessed&gt;&lt;_created&gt;65020262&lt;/_created&gt;&lt;_modified&gt;65020262&lt;/_modified&gt;&lt;/Details&gt;&lt;Extra&gt;&lt;DBUID&gt;{F96A950B-833F-4880-A151-76DA2D6A2879}&lt;/DBUID&gt;&lt;/Extra&gt;&lt;/Item&gt;&lt;/References&gt;&lt;/Group&gt;&lt;/Citation&gt;_x000a_"/>
    <w:docVar w:name="NE.Ref{D259C55B-BC5D-442C-9C81-C59D6D63D091}" w:val=" ADDIN NE.Ref.{D259C55B-BC5D-442C-9C81-C59D6D63D091}&lt;Citation&gt;&lt;Group&gt;&lt;References&gt;&lt;Item&gt;&lt;ID&gt;3017&lt;/ID&gt;&lt;UID&gt;{B7E83D5C-E74F-4890-A8D5-C43325E06427}&lt;/UID&gt;&lt;Title&gt;319O ALTA-3: A randomized trial of brigatinib (BRG) vs alectinib (ALC) in crizotinib (CRZ)-refractory advanced ALK+ NSCLC&lt;/Title&gt;&lt;Template&gt;Journal Article&lt;/Template&gt;&lt;Star&gt;0&lt;/Star&gt;&lt;Tag&gt;0&lt;/Tag&gt;&lt;Author&gt;Yang, J C-H.; Liu, G; Lu, S; He, J; Burotto, M; Vincent, S; Yin, J; Ma, X; Popat, S&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6&lt;/_doi&gt;&lt;_impact_factor&gt;  51.769&lt;/_impact_factor&gt;&lt;_isbn&gt;0923-7534&lt;/_isbn&gt;&lt;_journal&gt;Annals of Oncology&lt;/_journal&gt;&lt;_modified&gt;64740730&lt;/_modified&gt;&lt;_pages&gt;S1564&lt;/_pages&gt;&lt;_social_category&gt;医学(1)&lt;/_social_category&gt;&lt;_url&gt;https://www.sciencedirect.com/science/article/pii/S0923753422045471&lt;/_url&gt;&lt;_volume&gt;33&lt;/_volume&gt;&lt;/Details&gt;&lt;Extra&gt;&lt;DBUID&gt;{F96A950B-833F-4880-A151-76DA2D6A2879}&lt;/DBUID&gt;&lt;/Extra&gt;&lt;/Item&gt;&lt;/References&gt;&lt;/Group&gt;&lt;Group&gt;&lt;References&gt;&lt;Item&gt;&lt;ID&gt;3013&lt;/ID&gt;&lt;UID&gt;{DDF77562-F5F9-4F91-93AD-71B2DFC51B31}&lt;/UID&gt;&lt;Title&gt;320MO Envonalkib vs crizotinib in treatment-naïve advanced ALK-positive NSCLC: A randomized, multicenter, phase III trial&lt;/Title&gt;&lt;Template&gt;Journal Article&lt;/Template&gt;&lt;Star&gt;0&lt;/Star&gt;&lt;Tag&gt;0&lt;/Tag&gt;&lt;Author&gt;Zhang, L; Fang, W; Min, J; Yang, N; Yu, Q; Cheng, Y; Zhao, Y; Li, M; Chen, H; Ren, S; Zhou, J; Zhuang, W; Qin, X; Cao, L; Yu, Y; Zhang, J; He, J; Feng, J; Yu, H&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7&lt;/_doi&gt;&lt;_impact_factor&gt;  51.769&lt;/_impact_factor&gt;&lt;_isbn&gt;0923-7534&lt;/_isbn&gt;&lt;_journal&gt;Annals of Oncology&lt;/_journal&gt;&lt;_modified&gt;64740730&lt;/_modified&gt;&lt;_pages&gt;S1564-S1565&lt;/_pages&gt;&lt;_social_category&gt;医学(1)&lt;/_social_category&gt;&lt;_url&gt;https://www.sciencedirect.com/science/article/pii/S0923753422045483&lt;/_url&gt;&lt;_volume&gt;33&lt;/_volume&gt;&lt;/Details&gt;&lt;Extra&gt;&lt;DBUID&gt;{F96A950B-833F-4880-A151-76DA2D6A2879}&lt;/DBUID&gt;&lt;/Extra&gt;&lt;/Item&gt;&lt;/References&gt;&lt;/Group&gt;&lt;Group&gt;&lt;References&gt;&lt;Item&gt;&lt;ID&gt;3009&lt;/ID&gt;&lt;UID&gt;{AB9961F9-B851-4CA9-A9FA-4B3C72889292}&lt;/UID&gt;&lt;Title&gt;Alectinib versus crizotinib in patients with ALK-positive non-small-cell lung cancer (J-ALEX): an open-label, randomised phase 3 trial&lt;/Title&gt;&lt;Template&gt;Journal Article&lt;/Template&gt;&lt;Star&gt;0&lt;/Star&gt;&lt;Tag&gt;0&lt;/Tag&gt;&lt;Author&gt;Hida, T; Nokihara, H; Kondo, M; Kim, Y H; Azuma, K; Seto, T; Takiguchi, Y; Nishio, M; Yoshioka, H; Imamura, F; Hotta, K; Watanabe, S; Goto, K; Satouchi, M; Kozuki, T; Shukuya, T; Nakagawa, K; Mitsudomi, T; Yamamoto, N; Asakawa, T; Asabe, R; Tanaka, T; Tamura, T&lt;/Author&gt;&lt;Year&gt;2017&lt;/Year&gt;&lt;Details&gt;&lt;_accessed&gt;64631491&lt;/_accessed&gt;&lt;_accession_num&gt;28501140&lt;/_accession_num&gt;&lt;_author_adr&gt;Department of Thoracic Oncology, Aichi Cancer Center, Nagoya, Japan.; Department of Thoracic Oncology, National Cancer Center Hospital, Tokyo, Japan.; Department of Respiratory Medicine, Nagoya University Graduate School of Medicine, Nagoya, Japan.; Department of Respiratory Medicine, Kyoto University, Kyoto, Japan.; Institution Division of Respirology, Neurology, and Rheumatology, Department of Internal Medicine, Kurume University School of Medicine, Kurume, Japan.; Department of Thoracic Oncology, National Kyushu Cancer Center, Fukuoka, Japan.; Department of Medical Oncology, Graduate School of Medicine, Chiba University, Chiba, Japan.; Department of Thoracic Medical Oncology, The Cancer Institute Hospital of Japanese Foundation for Cancer Research, Tokyo, Japan.; Department of Respiratory Medicine, Kurashiki Central Hospital, Kurashiki, Japan.; Department of Thoracic Oncology, Osaka Medical Center for Cancer and Cardiovascular Diseases, Osaka, Japan.; Center for Innovative Clinical Medicine, Okayama University Hospital, Okayama, Japan.; Department of Respiratory Medicine and Infectious Diseases, Niigata University Graduate School of Medical and Dental Sciences, Niigata, Japan.; Department of Thoracic Oncology, National Cancer Center Hospital East, Kashiwa, Japan.; Department of Thoracic Oncology, Hyogo Cancer Center, Akashi, Japan.; Department of Thoracic Oncology and Medicine, Shikoku Cancer Center, Matsuyama, Japan.; Department of Respiratory Medicine, Juntendo University, Tokyo, Japan.; Department of Medical Oncology, Kindai University Faculty of Medicine, Osaka-Sayama, Japan.; Division of Thoracic Surgery, Department of Surgery, Kindai University Faculty of Medicine, Osaka-Sayama, Japan.; Third Department of Internal Medicine, Wakayama Medical University, Wakayama, Japan.; Clinical Science and Strategy Department, Chugai Pharmaceutical, Tokyo, Japan.; Clinical Study Management Department, Chugai Pharmaceutical, Tokyo, Japan.; Clinical Science and Strategy Department, Chugai Pharmaceutical, Tokyo, Japan.; Thoracic Center, St. Luke&amp;apos;s International Hospital, Tokyo, Japan. Electronic address: tamuratomohide@gmail.com.&lt;/_author_adr&gt;&lt;_collection_scope&gt;SCIE&lt;/_collection_scope&gt;&lt;_created&gt;64630955&lt;/_created&gt;&lt;_date&gt;2017-07-01&lt;/_date&gt;&lt;_date_display&gt;2017 Jul 1&lt;/_date_display&gt;&lt;_db_updated&gt;PubMed&lt;/_db_updated&gt;&lt;_doi&gt;10.1016/S0140-6736(17)30565-2&lt;/_doi&gt;&lt;_impact_factor&gt; 202.731&lt;/_impact_factor&gt;&lt;_isbn&gt;1474-547X (Electronic); 0140-6736 (Linking)&lt;/_isbn&gt;&lt;_issue&gt;10089&lt;/_issue&gt;&lt;_journal&gt;Lancet&lt;/_journal&gt;&lt;_language&gt;eng&lt;/_language&gt;&lt;_modified&gt;64740730&lt;/_modified&gt;&lt;_ori_publication&gt;Copyright (c) 2017 Elsevier Ltd. All rights reserved.&lt;/_ori_publication&gt;&lt;_pages&gt;29-39&lt;/_pages&gt;&lt;_social_category&gt;医学(1)&lt;/_social_category&gt;&lt;_subject_headings&gt;Adult; Aged; Aged, 80 and over; Anaplastic Lymphoma Kinase; Antineoplastic Agents/adverse effects/blood/*therapeutic use; Brain Neoplasms/secondary; Carbazoles/adverse effects/blood/*therapeutic use; Carcinoma, Non-Small-Cell Lung/*drug therapy/enzymology/pathology/secondary; Crizotinib; Female; Humans; Kaplan-Meier Estimate; Lung Neoplasms/*drug therapy/enzymology/pathology; Male; Middle Aged; Neoplasm Grading; Piperidines/adverse effects/blood/*therapeutic use; Protein Kinase Inhibitors/adverse effects/blood/therapeutic use; Pyrazoles/adverse effects/blood/*therapeutic use; Pyridines/adverse effects/blood/*therapeutic use; Receptor Protein-Tyrosine Kinases/antagonists &amp;amp; inhibitors/*metabolism; Single-Blind Method&lt;/_subject_headings&gt;&lt;_tertiary_title&gt;Lancet (London, England)&lt;/_tertiary_title&gt;&lt;_type_work&gt;Clinical Trial, Phase III; Comparative Study; Journal Article; Multicenter Study; Randomized Controlled Trial&lt;/_type_work&gt;&lt;_url&gt;http://www.ncbi.nlm.nih.gov/entrez/query.fcgi?cmd=Retrieve&amp;amp;db=pubmed&amp;amp;dopt=Abstract&amp;amp;list_uids=28501140&amp;amp;query_hl=1&lt;/_url&gt;&lt;_volume&gt;390&lt;/_volume&gt;&lt;/Details&gt;&lt;Extra&gt;&lt;DBUID&gt;{F96A950B-833F-4880-A151-76DA2D6A2879}&lt;/DBUID&gt;&lt;/Extra&gt;&lt;/Item&gt;&lt;/References&gt;&lt;/Group&gt;&lt;Group&gt;&lt;References&gt;&lt;Item&gt;&lt;ID&gt;2997&lt;/ID&gt;&lt;UID&gt;{F7276F66-05F3-4615-919F-AC3936FC39E7}&lt;/UID&gt;&lt;Title&gt;Alectinib versus Crizotinib in Untreated ALK-Positive Non-Small-Cell Lung Cancer&lt;/Title&gt;&lt;Template&gt;Journal Article&lt;/Template&gt;&lt;Star&gt;0&lt;/Star&gt;&lt;Tag&gt;0&lt;/Tag&gt;&lt;Author&gt;Peters, S; Camidge, D R; Shaw, A T; Gadgeel, S; Ahn, J S; Kim, D W; Ou, S I; Perol, M; Dziadziuszko, R; Rosell, R; Zeaiter, A; Mitry, E; Golding, S; Balas, B; Noe, J; Morcos, P N; Mok, T&lt;/Author&gt;&lt;Year&gt;2017&lt;/Year&gt;&lt;Details&gt;&lt;_accessed&gt;64632453&lt;/_accessed&gt;&lt;_accession_num&gt;28586279&lt;/_accession_num&gt;&lt;_collection_scope&gt;SCIE&lt;/_collection_scope&gt;&lt;_created&gt;64630944&lt;/_created&gt;&lt;_date&gt;2017-08-31&lt;/_date&gt;&lt;_date_display&gt;2017 Aug 31&lt;/_date_display&gt;&lt;_db_updated&gt;PubMed&lt;/_db_updated&gt;&lt;_doi&gt;10.1056/NEJMoa1704795&lt;/_doi&gt;&lt;_impact_factor&gt; 176.079&lt;/_impact_factor&gt;&lt;_isbn&gt;1533-4406 (Electronic); 0028-4793 (Linking)&lt;/_isbn&gt;&lt;_issue&gt;9&lt;/_issue&gt;&lt;_journal&gt;N Engl J Med&lt;/_journal&gt;&lt;_language&gt;eng&lt;/_language&gt;&lt;_modified&gt;64740730&lt;/_modified&gt;&lt;_pages&gt;829-838&lt;/_pages&gt;&lt;_social_category&gt;医学(1)&lt;/_social_category&gt;&lt;_subject_headings&gt;Adult; Aged, 80 and over; Anaplastic Lymphoma Kinase; Animals; Antineoplastic Agents/adverse effects/therapeutic use; Carbazoles/adverse effects/*therapeutic use; Carcinoma, Non-Small-Cell Lung/*drug therapy/mortality; Central Nervous System Neoplasms/drug therapy/*secondary; Crizotinib; Disease-Free Survival; Female; Follow-Up Studies; Humans; Intention to Treat Analysis; Kaplan-Meier Estimate; Lung Neoplasms/*drug therapy/mortality; Male; Middle Aged; Piperidines/adverse effects/*therapeutic use; Protein Kinase Inhibitors/adverse effects/*therapeutic use; Pyrazoles/adverse effects/*therapeutic use; Pyridines/adverse effects/*therapeutic use; Receptor Protein-Tyrosine Kinases/analysis/antagonists &amp;amp; inhibitors; Young Adult&lt;/_subject_headings&gt;&lt;_tertiary_title&gt;The New England journal of medicine&lt;/_tertiary_title&gt;&lt;_type_work&gt;Clinical Trial, Phase III; Comparative Study; Journal Article; Multicenter Study; Randomized Controlled Trial&lt;/_type_work&gt;&lt;_url&gt;http://www.ncbi.nlm.nih.gov/entrez/query.fcgi?cmd=Retrieve&amp;amp;db=pubmed&amp;amp;dopt=Abstract&amp;amp;list_uids=28586279&amp;amp;query_hl=1&lt;/_url&gt;&lt;_volume&gt;377&lt;/_volume&gt;&lt;/Details&gt;&lt;Extra&gt;&lt;DBUID&gt;{F96A950B-833F-4880-A151-76DA2D6A2879}&lt;/DBUID&gt;&lt;/Extra&gt;&lt;/Item&gt;&lt;/References&gt;&lt;/Group&gt;&lt;Group&gt;&lt;References&gt;&lt;Item&gt;&lt;ID&gt;3011&lt;/ID&gt;&lt;UID&gt;{0F926A27-416F-493B-ABFF-43BCA735BF6B}&lt;/UID&gt;&lt;Title&gt;Alectinib versus crizotinib in untreated Asian patients with anaplastic lymphoma  kinase-positive non-small-cell lung cancer (ALESIA): a randomised phase 3 study&lt;/Title&gt;&lt;Template&gt;Journal Article&lt;/Template&gt;&lt;Star&gt;0&lt;/Star&gt;&lt;Tag&gt;0&lt;/Tag&gt;&lt;Author&gt;Zhou, C; Kim, S W; Reungwetwattana, T; Zhou, J; Zhang, Y; He, J; Yang, J J; Cheng, Y; Lee, S H; Bu, L; Xu, T; Yang, L; Wang, C; Liu, T; Morcos, P N; Lu, Y; Zhang, L&lt;/Author&gt;&lt;Year&gt;2019&lt;/Year&gt;&lt;Details&gt;&lt;_accessed&gt;64632481&lt;/_accessed&gt;&lt;_accession_num&gt;30981696&lt;/_accession_num&gt;&lt;_author_adr&gt;Shanghai Pulmonary Hospital, Tongji University School of Medicine, Shanghai, China.; Asan Medical Center, Seoul, South Korea.; Faculty of Medicine Ramathibodi Hospital, Mahidol University, Bangkok, Thailand.; The First Affiliated Hospital of College of Medicine, Zhejiang University, Hangzhou, China.; Zhejiang Cancer Hospital, Hangzhou, China.; The First Affiliated Hospital of College of Medicine, Zhejiang University, Hangzhou, China.; Guangdong General Hospital, Guangzhou, China.; The First Affiliated Hospital of Guangzhou Medical University, Guangzhou, China;  Jilin Cancer Hospital, Changchun, China.; Samsung Medical Center, Sungkyunkwan University School of Medicine, Seoul, South  Korea.; Roche Pharma Development, Shanghai, China.; Roche Pharma Development, Shanghai, China.; Roche Pharma Development, Shanghai, China.; Roche Pharma Development, Shanghai, China.; F Hoffmann-La Roche, Basel, Switzerland.; Roche Innovation Center, New York, NY, USA.; West China Hospital, Sichuan University, Chengdu, China.; Sun Yat-sen University Cancer Center, State Key Laboratory of Oncology in South China, Collaborative Innovation Center for Cancer Medicine, Guangzhou, China. Electronic address: ChinazhangLi6@mail.sysu.edu.cn.&lt;/_author_adr&gt;&lt;_collection_scope&gt;SCIE&lt;/_collection_scope&gt;&lt;_created&gt;64630941&lt;/_created&gt;&lt;_date&gt;2019-05-01&lt;/_date&gt;&lt;_date_display&gt;2019 May&lt;/_date_display&gt;&lt;_db_updated&gt;PubMed&lt;/_db_updated&gt;&lt;_doi&gt;10.1016/S2213-2600(19)30053-0&lt;/_doi&gt;&lt;_impact_factor&gt; 102.642&lt;/_impact_factor&gt;&lt;_isbn&gt;2213-2619 (Electronic); 2213-2600 (Linking)&lt;/_isbn&gt;&lt;_issue&gt;5&lt;/_issue&gt;&lt;_journal&gt;Lancet Respir Med&lt;/_journal&gt;&lt;_language&gt;eng&lt;/_language&gt;&lt;_modified&gt;64740730&lt;/_modified&gt;&lt;_ori_publication&gt;Copyright (c) 2019 Elsevier Ltd. All rights reserved.&lt;/_ori_publication&gt;&lt;_pages&gt;437-446&lt;/_pages&gt;&lt;_social_category&gt;医学(1)&lt;/_social_category&gt;&lt;_subject_headings&gt;Adult; *Anaplastic Lymphoma Kinase; Carbazoles/*therapeutic use; Carcinoma, Non-Small-Cell Lung/*drug therapy; China; Crizotinib/*therapeutic use; Female; Humans; Lung Neoplasms/*drug therapy; Male; Middle Aged; Piperidines/*therapeutic use; Protein Kinase Inhibitors/*therapeutic use; Republic of Korea; Thailand; Treatment Outcome&lt;/_subject_headings&gt;&lt;_tertiary_title&gt;The Lancet. Respiratory medicine&lt;/_tertiary_title&gt;&lt;_type_work&gt;Clinical Trial, Phase III; Comparative Study; Journal Article; Randomized Controlled Trial; Research Support, Non-U.S. Gov&amp;apos;t&lt;/_type_work&gt;&lt;_url&gt;http://www.ncbi.nlm.nih.gov/entrez/query.fcgi?cmd=Retrieve&amp;amp;db=pubmed&amp;amp;dopt=Abstract&amp;amp;list_uids=30981696&amp;amp;query_hl=1&lt;/_url&gt;&lt;_volume&gt;7&lt;/_volume&gt;&lt;/Details&gt;&lt;Extra&gt;&lt;DBUID&gt;{F96A950B-833F-4880-A151-76DA2D6A2879}&lt;/DBUID&gt;&lt;/Extra&gt;&lt;/Item&gt;&lt;/References&gt;&lt;/Group&gt;&lt;Group&gt;&lt;References&gt;&lt;Item&gt;&lt;ID&gt;2986&lt;/ID&gt;&lt;UID&gt;{EAD05C8C-08F1-4D02-BB5B-35E1CE9E2B7B}&lt;/UID&gt;&lt;Title&gt;Brigatinib versus Crizotinib in ALK-Positive Non-Small-Cell Lung Cancer&lt;/Title&gt;&lt;Template&gt;Journal Article&lt;/Template&gt;&lt;Star&gt;0&lt;/Star&gt;&lt;Tag&gt;0&lt;/Tag&gt;&lt;Author&gt;Camidge, D R; Kim, H R; Ahn, M J; Yang, J C; Han, J Y; Lee, J S; Hochmair, M J; Li, J Y; Chang, G C; Lee, K H; Gridelli, C; Delmonte, A; Garcia, Campelo R; Kim, D W; Bearz, A; Griesinger, F; Morabito, A; Felip, E; Califano, R; Ghosh, S; Spira, A; Gettinger, S N; Tiseo, M; Gupta, N; Haney, J; Kerstein, D; Popat, S&lt;/Author&gt;&lt;Year&gt;2018&lt;/Year&gt;&lt;Details&gt;&lt;_accessed&gt;64632453&lt;/_accessed&gt;&lt;_accession_num&gt;30280657&lt;/_accession_num&gt;&lt;_collection_scope&gt;SCIE&lt;/_collection_scope&gt;&lt;_created&gt;64630986&lt;/_created&gt;&lt;_date&gt;2018-11-22&lt;/_date&gt;&lt;_date_display&gt;2018 Nov 22&lt;/_date_display&gt;&lt;_db_updated&gt;PubMed&lt;/_db_updated&gt;&lt;_doi&gt;10.1056/NEJMoa1810171&lt;/_doi&gt;&lt;_impact_factor&gt; 176.079&lt;/_impact_factor&gt;&lt;_isbn&gt;1533-4406 (Electronic); 0028-4793 (Linking)&lt;/_isbn&gt;&lt;_issue&gt;21&lt;/_issue&gt;&lt;_journal&gt;N Engl J Med&lt;/_journal&gt;&lt;_language&gt;eng&lt;/_language&gt;&lt;_modified&gt;64740730&lt;/_modified&gt;&lt;_pages&gt;2027-2039&lt;/_pages&gt;&lt;_social_category&gt;医学(1)&lt;/_social_category&gt;&lt;_subject_headings&gt;Adult; Aged; Aged, 80 and over; Anaplastic Lymphoma Kinase/analysis/*antagonists &amp;amp; inhibitors; Antineoplastic Agents/adverse effects/*therapeutic use; Brain Neoplasms/secondary; Carcinoma, Non-Small-Cell Lung/chemistry/*drug therapy/secondary; Crizotinib/adverse effects/*therapeutic use; Female; Humans; Kaplan-Meier Estimate; Lung Neoplasms/chemistry/*drug therapy/pathology; Male; Middle Aged; Organophosphorus Compounds/adverse effects/*therapeutic use; Progression-Free Survival; Pyrimidines/adverse effects/*therapeutic use&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0280657&amp;amp;query_hl=1&lt;/_url&gt;&lt;_volume&gt;379&lt;/_volume&gt;&lt;/Details&gt;&lt;Extra&gt;&lt;DBUID&gt;{F96A950B-833F-4880-A151-76DA2D6A2879}&lt;/DBUID&gt;&lt;/Extra&gt;&lt;/Item&gt;&lt;/References&gt;&lt;/Group&gt;&lt;Group&gt;&lt;References&gt;&lt;Item&gt;&lt;ID&gt;3016&lt;/ID&gt;&lt;UID&gt;{B4CEAAA1-F94B-4D26-88B7-DA67ADBFAC6D}&lt;/UID&gt;&lt;Title&gt;Ceritinib versus chemotherapy in patients with ALK-rearranged non-small-cell lung cancer previously given chemotherapy and crizotinib (ASCEND-5): a randomised, controlled, open-label, phase 3 trial&lt;/Title&gt;&lt;Template&gt;Journal Article&lt;/Template&gt;&lt;Star&gt;1&lt;/Star&gt;&lt;Tag&gt;0&lt;/Tag&gt;&lt;Author&gt;Shaw, A T; Kim, T M; Crino, L; Gridelli, C; Kiura, K; Liu, G; Novello, S; Bearz, A; Gautschi, O; Mok, T; Nishio, M; Scagliotti, G; Spigel, D R; Deudon, S; Zheng, C; Pantano, S; Urban, P; Massacesi, C; Viraswami-Appanna, K; Felip, E&lt;/Author&gt;&lt;Year&gt;2017&lt;/Year&gt;&lt;Details&gt;&lt;_accessed&gt;64632463&lt;/_accessed&gt;&lt;_accession_num&gt;28602779&lt;/_accession_num&gt;&lt;_author_adr&gt;Massachusetts General Hospital, Boston, MA, USA. Electronic address: ashaw1@mgh.harvard.edu.; Seoul National University Hospital, Seoul, Korea.; Istituto Scientifico Romagnolo per lo Studio e la Cura dei Tumori, Istituto di Ricovero e Cura a Carattere Scientifico, Meldola, Italy.; SG Moscati Hospital, Citta Ospedaliera, Contrada Amoretta, Avellino, Italy.; Okayama University Hospital, Okayama, Japan.; Princess Margaret Cancer Centre, Toronto, ON, Canada.; University of Torino, Torino, Italy.; Istituto di Ricovero e Cura a Carattere Scientifico-Centro di Riferimento Oncologico, Aviano, Italy.; Cantonal Hospital Lucerne, Lucerne, Switzerland.; State Key Laboratory of South China, Chinese University of Hong Kong, Shatin, China.; Cancer Institute Hospital of Japanese Foundation for Cancer Research, Tokyo, Japan.; University of Torino, Torino, Italy.; Sarah Cannon Research Institute, Nashville, TN, USA.; Novartis, Basel, Switzerland.; Novartis, East Hanover, NJ, USA.; Novartis, Basel, Switzerland.; Novartis, Basel, Switzerland.; Novartis, Basel, Switzerland.; Novartis, East Hanover, NJ, USA.; Vall d&amp;apos;Hebron University Hospital, Barcelona, Spain; Vall d&amp;apos;Hebron Institute of Oncology, Barcelona, Spain.&lt;/_author_adr&gt;&lt;_collection_scope&gt;SCIE&lt;/_collection_scope&gt;&lt;_created&gt;64630954&lt;/_created&gt;&lt;_date&gt;2017-07-01&lt;/_date&gt;&lt;_date_display&gt;2017 Jul&lt;/_date_display&gt;&lt;_db_updated&gt;PubMed&lt;/_db_updated&gt;&lt;_doi&gt;10.1016/S1470-2045(17)30339-X&lt;/_doi&gt;&lt;_impact_factor&gt;  54.433&lt;/_impact_factor&gt;&lt;_isbn&gt;1474-5488 (Electronic); 1470-2045 (Linking)&lt;/_isbn&gt;&lt;_issue&gt;7&lt;/_issue&gt;&lt;_journal&gt;Lancet Oncol&lt;/_journal&gt;&lt;_language&gt;eng&lt;/_language&gt;&lt;_modified&gt;64740730&lt;/_modified&gt;&lt;_ori_publication&gt;Copyright (c) 2017 Elsevier Ltd. All rights reserved.&lt;/_ori_publication&gt;&lt;_pages&gt;874-886&lt;/_pages&gt;&lt;_social_category&gt;医学(1)&lt;/_social_category&gt;&lt;_subject_headings&gt;Adult; Alanine Transaminase/blood; Anaplastic Lymphoma Kinase; Antineoplastic Agents/*therapeutic use; Antineoplastic Combined Chemotherapy Protocols/therapeutic use; Aspartate Aminotransferases/blood; Carcinoma, Non-Small-Cell Lung/*drug therapy/genetics/secondary; Crizotinib; Disease Progression; Disease-Free Survival; Docetaxel; Female; Gene Rearrangement; Humans; Lung Neoplasms/*drug therapy/genetics/pathology; Male; Middle Aged; Neoplasm Staging; Pemetrexed/*therapeutic use; Platinum Compounds/administration &amp;amp; dosage; Pyrazoles/therapeutic use; Pyridines/therapeutic use; Pyrimidines/adverse effects/*therapeutic use; Receptor Protein-Tyrosine Kinases/*genetics; Response Evaluation Criteria in Solid Tumors; Retreatment; Sulfones/adverse effects/*therapeutic use; Taxoids/*therapeutic use; gamma-Glutamyltransferase/blood&lt;/_subject_headings&gt;&lt;_tertiary_title&gt;The Lancet. Oncology&lt;/_tertiary_title&gt;&lt;_type_work&gt;Clinical Trial, Phase III; Comparative Study; Journal Article; Multicenter Study; Randomized Controlled Trial&lt;/_type_work&gt;&lt;_url&gt;http://www.ncbi.nlm.nih.gov/entrez/query.fcgi?cmd=Retrieve&amp;amp;db=pubmed&amp;amp;dopt=Abstract&amp;amp;list_uids=28602779&amp;amp;query_hl=1&lt;/_url&gt;&lt;_volume&gt;18&lt;/_volume&gt;&lt;/Details&gt;&lt;Extra&gt;&lt;DBUID&gt;{F96A950B-833F-4880-A151-76DA2D6A2879}&lt;/DBUID&gt;&lt;/Extra&gt;&lt;/Item&gt;&lt;/References&gt;&lt;/Group&gt;&lt;Group&gt;&lt;References&gt;&lt;Item&gt;&lt;ID&gt;3018&lt;/ID&gt;&lt;UID&gt;{D71F9B2B-4620-4936-AA79-2D51F38A3C1A}&lt;/UID&gt;&lt;Title&gt;Crizotinib versus chemotherapy in advanced ALK-positive lung cancer&lt;/Title&gt;&lt;Template&gt;Journal Article&lt;/Template&gt;&lt;Star&gt;1&lt;/Star&gt;&lt;Tag&gt;0&lt;/Tag&gt;&lt;Author&gt;Shaw, A T; Kim, D W; Nakagawa, K; Seto, T; Crino, L; Ahn, M J; De Pas, T; Besse, B; Solomon, B J; Blackhall, F; Wu, Y L; Thomas, M; O&amp;apos;Byrne, K J; Moro-Sibilot, D; Camidge, D R; Mok, T; Hirsh, V; Riely, G J; Iyer, S; Tassell, V; Polli, A; Wilner, K D; Janne, P A&lt;/Author&gt;&lt;Year&gt;2013&lt;/Year&gt;&lt;Details&gt;&lt;_accessed&gt;64632466&lt;/_accessed&gt;&lt;_accession_num&gt;23724913&lt;/_accession_num&gt;&lt;_author_adr&gt;Massachusetts General Hospital, Boston, MA 02114, USA. ashaw1@partners.org&lt;/_author_adr&gt;&lt;_collection_scope&gt;SCIE&lt;/_collection_scope&gt;&lt;_created&gt;64630997&lt;/_created&gt;&lt;_date&gt;2013-06-20&lt;/_date&gt;&lt;_date_display&gt;2013 Jun 20&lt;/_date_display&gt;&lt;_db_updated&gt;PubMed&lt;/_db_updated&gt;&lt;_doi&gt;10.1056/NEJMoa1214886&lt;/_doi&gt;&lt;_impact_factor&gt; 176.079&lt;/_impact_factor&gt;&lt;_isbn&gt;1533-4406 (Electronic); 0028-4793 (Linking)&lt;/_isbn&gt;&lt;_issue&gt;25&lt;/_issue&gt;&lt;_journal&gt;N Engl J Med&lt;/_journal&gt;&lt;_language&gt;eng&lt;/_language&gt;&lt;_modified&gt;64740730&lt;/_modified&gt;&lt;_pages&gt;2385-94&lt;/_pages&gt;&lt;_social_category&gt;医学(1)&lt;/_social_category&gt;&lt;_subject_headings&gt;Adult; Aged; Aged, 80 and over; Antineoplastic Agents/adverse effects/*therapeutic use; Carcinoma, Non-Small-Cell Lung/*drug therapy/mortality; Crizotinib; Disease-Free Survival; Docetaxel; Female; Glutamates/adverse effects/therapeutic use; Guanine/adverse effects/analogs &amp;amp; derivatives/therapeutic use; Humans; Kaplan-Meier Estimate; Lung Neoplasms/*drug therapy/mortality; Male; Middle Aged; Pemetrexed; Protein Kinase Inhibitors/adverse effects/*therapeutic use; Pyrazoles/adverse effects/*therapeutic use; Pyridines/adverse effects/*therapeutic use; Quality of Life; Taxoids/adverse effects/therapeutic use; Young Adult&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3724913&amp;amp;query_hl=1&lt;/_url&gt;&lt;_volume&gt;368&lt;/_volume&gt;&lt;/Details&gt;&lt;Extra&gt;&lt;DBUID&gt;{F96A950B-833F-4880-A151-76DA2D6A2879}&lt;/DBUID&gt;&lt;/Extra&gt;&lt;/Item&gt;&lt;/References&gt;&lt;/Group&gt;&lt;Group&gt;&lt;References&gt;&lt;Item&gt;&lt;ID&gt;3003&lt;/ID&gt;&lt;UID&gt;{085AB25D-819B-4098-9200-CE648549D759}&lt;/UID&gt;&lt;Title&gt;Ensartinib vs Crizotinib for Patients With Anaplastic Lymphoma Kinase-Positive Non-Small Cell Lung Cancer: A Randomized Clinical Trial&lt;/Title&gt;&lt;Template&gt;Journal Article&lt;/Template&gt;&lt;Star&gt;0&lt;/Star&gt;&lt;Tag&gt;0&lt;/Tag&gt;&lt;Author&gt;Horn, L; Wang, Z; Wu, G; Poddubskaya, E; Mok, T; Reck, M; Wakelee, H; Chiappori, A A; Lee, D H; Breder, V; Orlov, S; Cicin, I; Cheng, Y; Liu, Y; Fan, Y; Whisenant, J G; Zhou, Y; Oertel, V; Harrow, K; Liang, C; Mao, L; Selvaggi, G; Wu, Y L&lt;/Author&gt;&lt;Year&gt;2021&lt;/Year&gt;&lt;Details&gt;&lt;_accessed&gt;64632481&lt;/_accessed&gt;&lt;_accession_num&gt;34473194&lt;/_accession_num&gt;&lt;_author_adr&gt;Division of Hematology and Oncology, Department of Medicine, Vanderbilt-Ingram Cancer Center, Nashville, Tennessee.; Now with Global Clinical Head for Lung Cancer and Lung Cancer Strategy, AstraZeneca, Nashville, Tennessee.; Department of Thoracic Medical Oncology, Peking University Cancer Hospital and Institute, Beijing, China.; Cancer Center, Union Hospital, Tongji Medical College, Huazhong University of Science and Technology, Wuhan, China.; Clinical Center for Oncology, I. M. Sechenov First Moscow State Medical University (Sechenov University), Moscow, Russia.; Clinical Center VitaMed, Moscow, Russia.; Department of Clinical Oncology, State Key Laboratory of Translational Oncology,  The Chinese University of Hong Kong, Hong Kong, China.; Lung Clinic, Airway Research Center North, German Center for Lung Research, Grosshansdorf, Germany.; Department of Medicine, Division of Oncology and Stanford Cancer Institute, Stanford University, Stanford, California.; Thoracic Oncology Program, Moffitt Cancer Center, Tampa, Florida.; Department of Oncology, University of Ulsan College of Medicine, Asan Medical Center, Seoul, South Korea.; Department of Chemotherapy No. 17, N. N. Blokhin Russian Cancer Research Center,  Moscow, Russia.; Department of Biochemistry, Pavlov First Saint Petersburg State Medical University, St Petersburg, Russia.; Department of Medical Oncology, Faculty of Medicine, Trakya University, Edirne, Turkey.; Department of Thoracic Oncology, Jilin Cancer Hospital, Changchun, China.; Department of Medical Oncology, The First Hospital of China Medical University, Shenyang, Liaoning, China.; Thoracic Tumor Center, Zhejiang Cancer Hospital, Hangzhou, China.; Division of Hematology and Oncology, Department of Medicine, Vanderbilt-Ingram Cancer Center, Nashville, Tennessee.; Biometrics, Xcovery Holdings Inc, Palm Beach Gardens, Florida.; Clinical Operations, Xcovery Holdings Inc, Palm Beach Gardens, Florida.; Clinical Operations, Xcovery Holdings Inc, Palm Beach Gardens, Florida.; Now with EQRx, Cambridge, Massachusetts.; Clinical Science, Xcovery Holdings Inc, Palm Beach Gardens, Florida.; Clinical Development, Xcovery Holdings Inc, Palm Beach Gardens, Florida.; Now with Sino Biopharmaceutical Ltd, Beijing, China.; Clinical Development, Xcovery Holdings Inc, Palm Beach Gardens, Florida.; Guangdong Lung Cancer Institute, Guangdong Provincial People&amp;apos;s Hospital and Guangdong Academy of Medical Sciences, Guangzhou, China.&lt;/_author_adr&gt;&lt;_collection_scope&gt;SCIE&lt;/_collection_scope&gt;&lt;_created&gt;64630949&lt;/_created&gt;&lt;_date&gt;2021-11-01&lt;/_date&gt;&lt;_date_display&gt;2021 Nov 1&lt;/_date_display&gt;&lt;_db_updated&gt;PubMed&lt;/_db_updated&gt;&lt;_doi&gt;10.1001/jamaoncol.2021.3523&lt;/_doi&gt;&lt;_impact_factor&gt;  33.006&lt;/_impact_factor&gt;&lt;_isbn&gt;2374-2445 (Electronic); 2374-2437 (Linking)&lt;/_isbn&gt;&lt;_issue&gt;11&lt;/_issue&gt;&lt;_journal&gt;JAMA Oncol&lt;/_journal&gt;&lt;_language&gt;eng&lt;/_language&gt;&lt;_modified&gt;64740730&lt;/_modified&gt;&lt;_pages&gt;1617-1625&lt;/_pages&gt;&lt;_social_category&gt;医学(1)&lt;/_social_category&gt;&lt;_subject_headings&gt;Adolescent; Adult; Anaplastic Lymphoma Kinase; *Carcinoma, Non-Small-Cell Lung/pathology; Crizotinib/adverse effects; Humans; *Lung Neoplasms/pathology; Male; Middle Aged; Piperazines; Protein Kinase Inhibitors/adverse effects; Pyridazines&lt;/_subject_headings&gt;&lt;_tertiary_title&gt;JAMA oncology&lt;/_tertiary_title&gt;&lt;_type_work&gt;Journal Article; Multicenter Study; Randomized Controlled Trial; Research Support, Non-U.S. Gov&amp;apos;t&lt;/_type_work&gt;&lt;_url&gt;http://www.ncbi.nlm.nih.gov/entrez/query.fcgi?cmd=Retrieve&amp;amp;db=pubmed&amp;amp;dopt=Abstract&amp;amp;list_uids=34473194&amp;amp;query_hl=1&lt;/_url&gt;&lt;_volume&gt;7&lt;/_volume&gt;&lt;/Details&gt;&lt;Extra&gt;&lt;DBUID&gt;{F96A950B-833F-4880-A151-76DA2D6A2879}&lt;/DBUID&gt;&lt;/Extra&gt;&lt;/Item&gt;&lt;/References&gt;&lt;/Group&gt;&lt;Group&gt;&lt;References&gt;&lt;Item&gt;&lt;ID&gt;3006&lt;/ID&gt;&lt;UID&gt;{65B0B5EE-3BB2-4C5C-BFF0-F0667F8A3C9D}&lt;/UID&gt;&lt;Title&gt;First-line ceritinib versus platinum-based chemotherapy in advanced ALK-rearranged non-small-cell lung cancer (ASCEND-4): a randomised, open-label, phase 3 study&lt;/Title&gt;&lt;Template&gt;Journal Article&lt;/Template&gt;&lt;Star&gt;0&lt;/Star&gt;&lt;Tag&gt;0&lt;/Tag&gt;&lt;Author&gt;Soria, J C; Tan, DSW; Chiari, R; Wu, Y L; Paz-Ares, L; Wolf, J; Geater, S L; Orlov, S; Cortinovis, D; Yu, C J; Hochmair, M; Cortot, A B; Tsai, C M; Moro-Sibilot, D; Campelo, R G; McCulloch, T; Sen, P; Dugan, M; Pantano, S; Branle, F; Massacesi, C; de Castro, G Jr&lt;/Author&gt;&lt;Year&gt;2017&lt;/Year&gt;&lt;Details&gt;&lt;_accessed&gt;64631489&lt;/_accessed&gt;&lt;_accession_num&gt;28126333&lt;/_accession_num&gt;&lt;_author_adr&gt;University Paris-Sud, Orsay, France; Institut Gustave Roussy, Villejuif, France.  Electronic address: Jean-Charles.Soria@gustaveroussy.fr.; National Cancer Centre Singapore and Genome Institute of Singapore, Singapore.; Azienda Ospedale Perugia, Perugia, Italy.; Guangdong Lung Cancer Institute, Guangdong General Hospital &amp;amp; Guangdong Academy of Medical Sciences, Guangzhou, China.; University Hospital Virgen del RocioDoce de Octubre, Universidad Complutense &amp;amp; CNIO, Madrid, Spain.; University Hospital Cologne, Cologne, Germany.; Songklanagarind Hospital, Songkla, Thailand.; State Pavlov Medical University, St Petersburg, Russia.; Az. Ospedaliera San Gerardo, Monza, Italy.; National Taiwan University Hospital, Taipei, Taiwan.; Respiratory Oncology Unit, Department of Respiratory and Critical Care Medicine,  Otto-Wagner-Spital, Vienna, Austria.; CHU de LILLE, Lille, France.; Taipei Veterans General Hospital, Taipei, Taiwan.; Hopital Albert Michallon, Grenoble, France.; University Hospital A Coruna, La Coruna, Spain.; Novartis Pharmaceuticals Corporation, East Hanover, NJ, USA.; Novartis Pharmaceuticals Corporation, East Hanover, NJ, USA.; Novartis Pharmaceuticals Corporation, East Hanover, NJ, USA.; Novartis Pharma AG, Basel, Switzerland.; Novartis Pharma AG, Basel, Switzerland.; Novartis Pharma AG, Basel, Switzerland.; Instituto do Cancer do Estado de Sao Paulo, Sao Paulo, Brazil.&lt;/_author_adr&gt;&lt;_collection_scope&gt;SCIE&lt;/_collection_scope&gt;&lt;_created&gt;64630940&lt;/_created&gt;&lt;_date&gt;2017-03-04&lt;/_date&gt;&lt;_date_display&gt;2017 Mar 4&lt;/_date_display&gt;&lt;_db_updated&gt;PubMed&lt;/_db_updated&gt;&lt;_doi&gt;10.1016/S0140-6736(17)30123-X&lt;/_doi&gt;&lt;_impact_factor&gt; 202.731&lt;/_impact_factor&gt;&lt;_isbn&gt;1474-547X (Electronic); 0140-6736 (Linking)&lt;/_isbn&gt;&lt;_issue&gt;10072&lt;/_issue&gt;&lt;_journal&gt;Lancet&lt;/_journal&gt;&lt;_language&gt;eng&lt;/_language&gt;&lt;_modified&gt;64740730&lt;/_modified&gt;&lt;_ori_publication&gt;Copyright (c) 2017 Elsevier Ltd. All rights reserved.&lt;/_ori_publication&gt;&lt;_pages&gt;917-929&lt;/_pages&gt;&lt;_social_category&gt;医学(1)&lt;/_social_category&gt;&lt;_subject_headings&gt;Adult; Aged; Aged, 80 and over; Antineoplastic Agents/*administration &amp;amp; dosage/adverse effects; Antineoplastic Combined Chemotherapy Protocols/therapeutic use; Carboplatin/administration &amp;amp; dosage/adverse effects; Carcinoma, Non-Small-Cell Lung/*drug therapy/mortality; Cisplatin/administration &amp;amp; dosage/adverse effects; Disease-Free Survival; Female; Humans; Kaplan-Meier Estimate; Lung Neoplasms/*drug therapy/mortality; Male; Middle Aged; Pemetrexed/administration &amp;amp; dosage/adverse effects; Pyrimidines/*administration &amp;amp; dosage/adverse effects; Sulfones/*administration &amp;amp; dosage/adverse effects; Treatment Outcome; Young Adult&lt;/_subject_headings&gt;&lt;_tertiary_title&gt;Lancet (London, England)&lt;/_tertiary_title&gt;&lt;_type_work&gt;Clinical Trial, Phase III; Comparative Study; Journal Article; Multicenter Study; Randomized Controlled Trial&lt;/_type_work&gt;&lt;_url&gt;http://www.ncbi.nlm.nih.gov/entrez/query.fcgi?cmd=Retrieve&amp;amp;db=pubmed&amp;amp;dopt=Abstract&amp;amp;list_uids=28126333&amp;amp;query_hl=1&lt;/_url&gt;&lt;_volume&gt;389&lt;/_volume&gt;&lt;/Details&gt;&lt;Extra&gt;&lt;DBUID&gt;{F96A950B-833F-4880-A151-76DA2D6A2879}&lt;/DBUID&gt;&lt;/Extra&gt;&lt;/Item&gt;&lt;/References&gt;&lt;/Group&gt;&lt;Group&gt;&lt;References&gt;&lt;Item&gt;&lt;ID&gt;2990&lt;/ID&gt;&lt;UID&gt;{5BBF0F64-3152-44C0-8F01-E88356E42975}&lt;/UID&gt;&lt;Title&gt;First-line crizotinib versus chemotherapy in ALK-positive lung cancer&lt;/Title&gt;&lt;Template&gt;Journal Article&lt;/Template&gt;&lt;Star&gt;0&lt;/Star&gt;&lt;Tag&gt;0&lt;/Tag&gt;&lt;Author&gt;Solomon, B J; Mok, T; Kim, D W; Wu, Y L; Nakagawa, K; Mekhail, T; Felip, E; Cappuzzo, F; Paolini, J; Usari, T; Iyer, S; Reisman, A; Wilner, K D; Tursi, J; Blackhall, F&lt;/Author&gt;&lt;Year&gt;2014&lt;/Year&gt;&lt;Details&gt;&lt;_accessed&gt;64632481&lt;/_accessed&gt;&lt;_accession_num&gt;25470694&lt;/_accession_num&gt;&lt;_collection_scope&gt;SCIE&lt;/_collection_scope&gt;&lt;_created&gt;64630940&lt;/_created&gt;&lt;_date&gt;2014-12-04&lt;/_date&gt;&lt;_date_display&gt;2014 Dec 4&lt;/_date_display&gt;&lt;_db_updated&gt;PubMed&lt;/_db_updated&gt;&lt;_doi&gt;10.1056/NEJMoa1408440&lt;/_doi&gt;&lt;_impact_factor&gt; 176.079&lt;/_impact_factor&gt;&lt;_isbn&gt;1533-4406 (Electronic); 0028-4793 (Linking)&lt;/_isbn&gt;&lt;_issue&gt;23&lt;/_issue&gt;&lt;_journal&gt;N Engl J Med&lt;/_journal&gt;&lt;_language&gt;eng&lt;/_language&gt;&lt;_modified&gt;64740730&lt;/_modified&gt;&lt;_pages&gt;2167-77&lt;/_pages&gt;&lt;_social_category&gt;医学(1)&lt;/_social_category&gt;&lt;_subject_headings&gt;Adenocarcinoma/drug therapy/mortality; Adult; Aged; Anaplastic Lymphoma Kinase; Antineoplastic Combined Chemotherapy Protocols/adverse effects/*therapeutic use; Carboplatin/administration &amp;amp; dosage; Carcinoma, Non-Small-Cell Lung/*drug therapy/mortality; Cisplatin/administration &amp;amp; dosage; Crizotinib; Disease-Free Survival; Female; Glutamates/administration &amp;amp; dosage; Guanine/administration &amp;amp; dosage/analogs &amp;amp; derivatives; Humans; Kaplan-Meier Estimate; Lung Neoplasms/*drug therapy/mortality; Male; Middle Aged; Pemetrexed; Protein Kinase Inhibitors/adverse effects/*therapeutic use; Pyrazoles/adverse effects/*therapeutic use; Pyridines/adverse effects/*therapeutic use; Receptor Protein-Tyrosine Kinases/*antagonists &amp;amp; inhibitor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5470694&amp;amp;query_hl=1&lt;/_url&gt;&lt;_volume&gt;371&lt;/_volume&gt;&lt;/Details&gt;&lt;Extra&gt;&lt;DBUID&gt;{F96A950B-833F-4880-A151-76DA2D6A2879}&lt;/DBUID&gt;&lt;/Extra&gt;&lt;/Item&gt;&lt;/References&gt;&lt;/Group&gt;&lt;Group&gt;&lt;References&gt;&lt;Item&gt;&lt;ID&gt;2994&lt;/ID&gt;&lt;UID&gt;{C5F928ED-3171-4414-BDBA-515DE60795AC}&lt;/UID&gt;&lt;Title&gt;First-Line Lorlatinib or Crizotinib in Advanced ALK-Positive Lung Cancer&lt;/Title&gt;&lt;Template&gt;Journal Article&lt;/Template&gt;&lt;Star&gt;0&lt;/Star&gt;&lt;Tag&gt;0&lt;/Tag&gt;&lt;Author&gt;Shaw, A T; Bauer, T M; de Marinis, F; Felip, E; Goto, Y; Liu, G; Mazieres, J; Kim, D W; Mok, T; Polli, A; Thurm, H; Calella, A M; Peltz, G; Solomon, B J&lt;/Author&gt;&lt;Year&gt;2020&lt;/Year&gt;&lt;Details&gt;&lt;_accessed&gt;64632463&lt;/_accessed&gt;&lt;_accession_num&gt;33207094&lt;/_accession_num&gt;&lt;_collection_scope&gt;SCIE&lt;/_collection_scope&gt;&lt;_created&gt;64630950&lt;/_created&gt;&lt;_date&gt;2020-11-19&lt;/_date&gt;&lt;_date_display&gt;2020 Nov 19&lt;/_date_display&gt;&lt;_db_updated&gt;PubMed&lt;/_db_updated&gt;&lt;_doi&gt;10.1056/NEJMoa2027187&lt;/_doi&gt;&lt;_impact_factor&gt; 176.079&lt;/_impact_factor&gt;&lt;_isbn&gt;1533-4406 (Electronic); 0028-4793 (Linking)&lt;/_isbn&gt;&lt;_issue&gt;21&lt;/_issue&gt;&lt;_journal&gt;N Engl J Med&lt;/_journal&gt;&lt;_language&gt;eng&lt;/_language&gt;&lt;_modified&gt;64740730&lt;/_modified&gt;&lt;_ori_publication&gt;Copyright (c) 2020 Massachusetts Medical Society.&lt;/_ori_publication&gt;&lt;_pages&gt;2018-2029&lt;/_pages&gt;&lt;_social_category&gt;医学(1)&lt;/_social_category&gt;&lt;_subject_headings&gt;Adult; Aged; Aminopyridines; Anaplastic Lymphoma Kinase/*antagonists &amp;amp; inhibitors/genetics; Antineoplastic Agents/adverse effects/*therapeutic use; Carcinoma, Non-Small-Cell Lung/*drug therapy/genetics/mortality; Crizotinib/adverse effects/*therapeutic use; Female; Humans; Hyperlipidemias/chemically induced; Intention to Treat Analysis; Lactams; Lactams, Macrocyclic/adverse effects/*therapeutic use; Lung Neoplasms/*drug therapy/genetics/mortality; Male; Middle Aged; Mutation; Pyrazoles; Survival Analysi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3207094&amp;amp;query_hl=1&lt;/_url&gt;&lt;_volume&gt;383&lt;/_volume&gt;&lt;/Details&gt;&lt;Extra&gt;&lt;DBUID&gt;{F96A950B-833F-4880-A151-76DA2D6A2879}&lt;/DBUID&gt;&lt;/Extra&gt;&lt;/Item&gt;&lt;/References&gt;&lt;/Group&gt;&lt;Group&gt;&lt;References&gt;&lt;Item&gt;&lt;ID&gt;3008&lt;/ID&gt;&lt;UID&gt;{EF14C3F2-1DC5-44B6-ABDE-CABC662238C1}&lt;/UID&gt;&lt;Title&gt;Results of PROFILE 1029, a Phase III Comparison of First-Line Crizotinib versus Chemotherapy in East Asian Patients with ALK-Positive Advanced Non-Small Cell Lung Cancer&lt;/Title&gt;&lt;Template&gt;Journal Article&lt;/Template&gt;&lt;Star&gt;0&lt;/Star&gt;&lt;Tag&gt;0&lt;/Tag&gt;&lt;Author&gt;Wu, Y L; Lu, S; Lu, Y; Zhou, J; Shi, Y K; Sriuranpong, V; Ho, JCM; Ong, C K; Tsai, C M; Chung, C H; Wilner, K D; Tang, Y; Masters, E T; Selaru, P; Mok, T S&lt;/Author&gt;&lt;Year&gt;2018&lt;/Year&gt;&lt;Details&gt;&lt;_accessed&gt;64632481&lt;/_accessed&gt;&lt;_accession_num&gt;29966800&lt;/_accession_num&gt;&lt;_author_adr&gt;Guangdong Lung Cancer Institute, Guangdong General Hospital and Guangdong Academy of Medical Sciences, Guangzhou, People&amp;apos;s Republic of China. Electronic address: syylwu@live.cn.; Department of Shanghai Lung Cancer Center, Shanghai Chest Hospital, Jiao Tong University, Shanghai, People&amp;apos;s Republic of China.; Department of Thoracic Oncology, West China Hospital, Sichuan University, Chengdu, People&amp;apos;s Republic of China.; Respiratory Department, First Affiliated Hospital, School of Medicine, Zhejiang University, Hangzhou, People&amp;apos;s Republic of China.; Department of Medical Oncology, Beijing Key Laboratory of Clinical Study on Anticancer Molecular Targeted Drugs, National Cancer Center/Cancer Hospital, Chinese Academy of Medical Sciences and Peking Union Medical College, Beijing, People&amp;apos;s Republic of China.; Medical Oncology Unit, Department of Medicine, Chulalongkorn University and the King Chulalongkorn Memorial Hospital, Bangkok, Thailand.; Department of Medicine, The University of Hong Kong, Hong Kong, People&amp;apos;s Republic of China.; Department of Respiratory Medicine, Hospital Pulau Pinang, Pulau Pinang, Malaysia.; Department of Oncology, Taipei Veterans General Hospital, Taipei, Taiwan, Republic of China.; Pfizer Oncology, New York, New York.; Pfizer Oncology, La Jolla, California.; Pfizer Oncology, La Jolla, California.; Pfizer Oncology, New York, New York.; Pfizer Oncology, La Jolla, California.; Department of Clinical Oncology, State Laboratory of South China, The Chinese University of Hong Kong, Hong Kong, People&amp;apos;s Republic of China.&lt;/_author_adr&gt;&lt;_collection_scope&gt;SCIE&lt;/_collection_scope&gt;&lt;_created&gt;64630945&lt;/_created&gt;&lt;_date&gt;2018-10-01&lt;/_date&gt;&lt;_date_display&gt;2018 Oct&lt;/_date_display&gt;&lt;_db_updated&gt;PubMed&lt;/_db_updated&gt;&lt;_doi&gt;10.1016/j.jtho.2018.06.012&lt;/_doi&gt;&lt;_impact_factor&gt;  20.121&lt;/_impact_factor&gt;&lt;_isbn&gt;1556-1380 (Electronic); 1556-0864 (Linking)&lt;/_isbn&gt;&lt;_issue&gt;10&lt;/_issue&gt;&lt;_journal&gt;J Thorac Oncol&lt;/_journal&gt;&lt;_keywords&gt;ALK-positive advanced non-small cell lung cancer; chemotherapy; crizotinib; phase III&lt;/_keywords&gt;&lt;_language&gt;eng&lt;/_language&gt;&lt;_modified&gt;64740730&lt;/_modified&gt;&lt;_ori_publication&gt;Copyright (c) 2018 International Association for the Study of Lung Cancer._x000d__x000a_      Published by Elsevier Inc. All rights reserved.&lt;/_ori_publication&gt;&lt;_pages&gt;1539-1548&lt;/_pages&gt;&lt;_social_category&gt;医学(1)&lt;/_social_category&gt;&lt;_subject_headings&gt;Adult; Aged; Antineoplastic Combined Chemotherapy Protocols/pharmacology/*therapeutic use; Asians; Carcinoma, Non-Small-Cell Lung/*drug therapy/pathology; Crizotinib/pharmacology/*therapeutic use; Female; Humans; Lung Neoplasms/*drug therapy/pathology; Male; Middle Aged; Young Adult&lt;/_subject_headings&gt;&lt;_tertiary_title&gt;Journal of thoracic oncology : official publication of the International_x000d__x000a_      Association for the Study of Lung Cancer&lt;/_tertiary_title&gt;&lt;_type_work&gt;Clinical Trial, Phase III; Journal Article; Research Support, Non-U.S. Gov&amp;apos;t&lt;/_type_work&gt;&lt;_url&gt;http://www.ncbi.nlm.nih.gov/entrez/query.fcgi?cmd=Retrieve&amp;amp;db=pubmed&amp;amp;dopt=Abstract&amp;amp;list_uids=29966800&amp;amp;query_hl=1&lt;/_url&gt;&lt;_volume&gt;13&lt;/_volume&gt;&lt;/Details&gt;&lt;Extra&gt;&lt;DBUID&gt;{F96A950B-833F-4880-A151-76DA2D6A2879}&lt;/DBUID&gt;&lt;/Extra&gt;&lt;/Item&gt;&lt;/References&gt;&lt;/Group&gt;&lt;/Citation&gt;_x000a_"/>
    <w:docVar w:name="NE.Ref{D2B89E6E-157C-4D01-A68C-89C0582E4EE7}" w:val=" ADDIN NE.Ref.{D2B89E6E-157C-4D01-A68C-89C0582E4EE7}&lt;Citation&gt;&lt;Group&gt;&lt;References&gt;&lt;Item&gt;&lt;ID&gt;4684&lt;/ID&gt;&lt;UID&gt;{6C9BE4AD-4E15-44A4-B39C-A7398AC27330}&lt;/UID&gt;&lt;Title&gt;Can changes in health related quality of life scores predict survival in stages  III and IV colorectal cancer?&lt;/Title&gt;&lt;Template&gt;Journal Article&lt;/Template&gt;&lt;Star&gt;0&lt;/Star&gt;&lt;Tag&gt;0&lt;/Tag&gt;&lt;Author&gt;Braun, D P; Gupta, D; Grutsch, J F; Staren, E D&lt;/Author&gt;&lt;Year&gt;2011&lt;/Year&gt;&lt;Details&gt;&lt;_accession_num&gt;21812962&lt;/_accession_num&gt;&lt;_author_adr&gt;Office of Clinical Research, Cancer Treatment Centers of America® (CTCA) at  Midwestern Regional Medical Center, 2520 Elisha Ave,, Zion, IL 60099, USA.&lt;/_author_adr&gt;&lt;_date_display&gt;2011 Aug 3&lt;/_date_display&gt;&lt;_date&gt;2011-08-03&lt;/_date&gt;&lt;_doi&gt;10.1186/1477-7525-9-62&lt;/_doi&gt;&lt;_isbn&gt;1477-7525 (Electronic); 1477-7525 (Linking)&lt;/_isbn&gt;&lt;_journal&gt;Health Qual Life Outcomes&lt;/_journal&gt;&lt;_language&gt;eng&lt;/_language&gt;&lt;_pages&gt;62&lt;/_pages&gt;&lt;_subject_headings&gt;Adult; Aged; Aged, 80 and over; Colorectal Neoplasms/*pathology; Female; Humans; Male; Middle Aged; Multivariate Analysis; Neoplasm Staging; Prognosis; *Quality of Life; *Sickness Impact Profile; Survival Analysis; United States; Young Adult&lt;/_subject_headings&gt;&lt;_tertiary_title&gt;Health and quality of life outcomes&lt;/_tertiary_title&gt;&lt;_type_work&gt;Journal Article; Research Support, Non-U.S. Gov&amp;apos;t&lt;/_type_work&gt;&lt;_url&gt;http://www.ncbi.nlm.nih.gov/entrez/query.fcgi?cmd=Retrieve&amp;amp;db=pubmed&amp;amp;dopt=Abstract&amp;amp;list_uids=21812962&amp;amp;query_hl=1&lt;/_url&gt;&lt;_volume&gt;9&lt;/_volume&gt;&lt;_created&gt;65020264&lt;/_created&gt;&lt;_modified&gt;65020264&lt;/_modified&gt;&lt;_impact_factor&gt;   3.077&lt;/_impact_factor&gt;&lt;_social_category&gt;医学(3)&lt;/_social_category&gt;&lt;_collection_scope&gt;SSCI;SCIE&lt;/_collection_scope&gt;&lt;/Details&gt;&lt;Extra&gt;&lt;DBUID&gt;{F96A950B-833F-4880-A151-76DA2D6A2879}&lt;/DBUID&gt;&lt;/Extra&gt;&lt;/Item&gt;&lt;/References&gt;&lt;/Group&gt;&lt;/Citation&gt;_x000a_"/>
    <w:docVar w:name="NE.Ref{D447EE9B-2E84-40BE-8143-DE8BE98ED170}" w:val=" ADDIN NE.Ref.{D447EE9B-2E84-40BE-8143-DE8BE98ED170}&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D4631197-8036-4FE9-9441-4761F229AA93}" w:val=" ADDIN NE.Ref.{D4631197-8036-4FE9-9441-4761F229AA93}&lt;Citation&gt;&lt;Group&gt;&lt;References&gt;&lt;Item&gt;&lt;ID&gt;4703&lt;/ID&gt;&lt;UID&gt;{218992FF-8C1A-436A-BC91-DD7C0FCE88FB}&lt;/UID&gt;&lt;Title&gt;Quality of Life in Vulnerable Older Patients with Metastatic Colorectal Cancer  Receiving Palliative Chemotherapy-The Randomized NORDIC9-Study&lt;/Title&gt;&lt;Template&gt;Journal Article&lt;/Template&gt;&lt;Star&gt;0&lt;/Star&gt;&lt;Tag&gt;0&lt;/Tag&gt;&lt;Author&gt;Liposits, G; Eshøj, H R; Möller, S; Winther, S B; Skuladottir, H; Ryg, J; Hofsli, E; Shah, C H; Poulsen, L Ø; Berglund, Å; Qvortrup, C; Österlund, P; Glimelius, B; Sorbye, H; Pfeiffer, P&lt;/Author&gt;&lt;Year&gt;2021&lt;/Year&gt;&lt;Details&gt;&lt;_accession_num&gt;34073363&lt;/_accession_num&gt;&lt;_author_adr&gt;Department of Oncology, Odense University Hospital, 5000 Odense, Denmark.; Department of Clinical Research, University of Southern Denmark, 5000 Odense,  Denmark.; Academy of Geriatric Cancer Research (AgeCare), 5000 Odense, Denmark.; Quality of Life Research Center, Department of Haematology, Odense University  Hospital, 5000 Odense, Denmark.; Department of Clinical Research, University of Southern Denmark, 5000 Odense,  Denmark.; OPEN-Open Patient Data Explorative Network, Odense University Hospital, 5000  Odense, Denmark.; Department of Oncology, Odense University Hospital, 5000 Odense, Denmark.; Academy of Geriatric Cancer Research (AgeCare), 5000 Odense, Denmark.; Department of Oncology, Regional Hospital West Jutland, 7400 Herning, Denmark.; Department of Clinical Research, University of Southern Denmark, 5000 Odense,  Denmark.; Academy of Geriatric Cancer Research (AgeCare), 5000 Odense, Denmark.; Department of Geriatric Medicine, Odense University Hospital, 5000 Odense,  Denmark.; Department of Oncology, Trondheim University Hospital, 7030 Trondheim, Norway.; Department of Clinical and Molecular Medicine, Norwegian University of Science  and Technology, 7030 Trondheim, Norway.; Theme Cancer, Karolinska University Hospital, 171 76 Stockholm, Sweden.; Department of Oncology, Aalborg University Hospital, 9000 Aalborg, Denmark.; Department of Immunology, Genetics and Pathology, Uppsala University, 751 05  Uppsala, Sweden.; Academy of Geriatric Cancer Research (AgeCare), 5000 Odense, Denmark.; Department of Oncology, Tampere University Hospital and Tampere University, 33100  Tampere, Finland.; Karolinska Institute and Karolinska University Hospital, 171 76 Stockholm,  Sweden.; Department of Oncology, Helsinki University Hospital, 00014 Helsinki, Finland.; Department of Immunology, Genetics and Pathology, Uppsala University, 751 05  Uppsala, Sweden.; Department of Oncology, Haukeland University Hospital, 5021 Bergen, Norway.; Department of Clinical Science, University of Bergen, 5021 Bergen, Norway.; Department of Oncology, Odense University Hospital, 5000 Odense, Denmark.; Department of Clinical Research, University of Southern Denmark, 5000 Odense,  Denmark.; Academy of Geriatric Cancer Research (AgeCare), 5000 Odense, Denmark.&lt;/_author_adr&gt;&lt;_date_display&gt;2021 May 26&lt;/_date_display&gt;&lt;_date&gt;2021-05-26&lt;/_date&gt;&lt;_doi&gt;10.3390/cancers13112604&lt;/_doi&gt;&lt;_isbn&gt;2072-6694 (Print); 2072-6694 (Electronic); 2072-6694 (Linking)&lt;/_isbn&gt;&lt;_issue&gt;11&lt;/_issue&gt;&lt;_journal&gt;Cancers (Basel)&lt;/_journal&gt;&lt;_keywords&gt;EORTC QLQ-C30; chemotherapy; geriatric oncology; metastatic colorectal cancer; older adults; physical functioning; quality of life; vulnerability&lt;/_keywords&gt;&lt;_language&gt;eng&lt;/_language&gt;&lt;_tertiary_title&gt;Cancers&lt;/_tertiary_title&gt;&lt;_type_work&gt;Journal Article&lt;/_type_work&gt;&lt;_url&gt;http://www.ncbi.nlm.nih.gov/entrez/query.fcgi?cmd=Retrieve&amp;amp;db=pubmed&amp;amp;dopt=Abstract&amp;amp;list_uids=34073363&amp;amp;query_hl=1&lt;/_url&gt;&lt;_volume&gt;13&lt;/_volume&gt;&lt;_created&gt;65020956&lt;/_created&gt;&lt;_modified&gt;65020956&lt;/_modified&gt;&lt;_impact_factor&gt;   6.575&lt;/_impact_factor&gt;&lt;_social_category&gt;医学(2)&lt;/_social_category&gt;&lt;_collection_scope&gt;SCIE&lt;/_collection_scope&gt;&lt;/Details&gt;&lt;Extra&gt;&lt;DBUID&gt;{F96A950B-833F-4880-A151-76DA2D6A2879}&lt;/DBUID&gt;&lt;/Extra&gt;&lt;/Item&gt;&lt;/References&gt;&lt;/Group&gt;&lt;/Citation&gt;_x000a_"/>
    <w:docVar w:name="NE.Ref{D4D970D5-6066-44BE-8286-74A4521F8B7E}" w:val=" ADDIN NE.Ref.{D4D970D5-6066-44BE-8286-74A4521F8B7E}&lt;Citation&gt;&lt;Group&gt;&lt;References&gt;&lt;Item&gt;&lt;ID&gt;4715&lt;/ID&gt;&lt;UID&gt;{3C9CECC3-B321-4108-ACFE-C3835A6A2EA1}&lt;/UID&gt;&lt;Title&gt;Single-agent irinotecan or FOLFIRI as second-line chemotherapy for advanced  colorectal cancer; results of a randomised phase II study (DaVINCI) and  meta-analysis [corrected]&lt;/Title&gt;&lt;Template&gt;Journal Article&lt;/Template&gt;&lt;Star&gt;0&lt;/Star&gt;&lt;Tag&gt;0&lt;/Tag&gt;&lt;Author&gt;Clarke, S J; Yip, S; Brown, C; van Hazel, G A; Ransom, D T; Goldstein, D; Jeffrey, G M; Tebbutt, N C; Buck, M; Lowenthal, R M; Boland, A; Gebski, V; Zalcberg, J; Simes, R J&lt;/Author&gt;&lt;Year&gt;2011&lt;/Year&gt;&lt;Details&gt;&lt;_accession_num&gt;21665462&lt;/_accession_num&gt;&lt;_author_adr&gt;Department of Medicine, Concord Hospital, Concord, Sydney, Australia.  stephen.clarke@sydney.edu.au&lt;/_author_adr&gt;&lt;_date_display&gt;2011 Aug&lt;/_date_display&gt;&lt;_date&gt;2011-08-01&lt;/_date&gt;&lt;_doi&gt;10.1016/j.ejca.2011.04.024&lt;/_doi&gt;&lt;_isbn&gt;1879-0852 (Electronic); 0959-8049 (Linking)&lt;/_isbn&gt;&lt;_issue&gt;12&lt;/_issue&gt;&lt;_journal&gt;Eur J Cancer&lt;/_journal&gt;&lt;_language&gt;eng&lt;/_language&gt;&lt;_ori_publication&gt;Copyright © 2011 Elsevier Ltd. All rights reserved.&lt;/_ori_publication&gt;&lt;_pages&gt;1826-36&lt;/_pages&gt;&lt;_subject_headings&gt;Adult; Aged; Aged, 80 and over; Alopecia/chemically induced; Antineoplastic Agents, Phytogenic/therapeutic use; Antineoplastic Combined Chemotherapy Protocols/administration &amp;amp; _x000d__x000a_      dosage/*therapeutic use; Camptothecin/administration &amp;amp; dosage/adverse effects/*analogs &amp;amp; _x000d__x000a_      derivatives/therapeutic use; Chemotherapy, Adjuvant; Colorectal Neoplasms/*drug therapy/*pathology; Diarrhea/chemically induced; Drug Administration Schedule; Female; Fluorouracil/administration &amp;amp; dosage; Humans; Infusions, Intravenous; Injections, Intravenous; Irinotecan; Leucovorin/administration &amp;amp; dosage; Male; Middle Aged; Neoplasm Staging; Research Design; Treatment Outcome&lt;/_subject_headings&gt;&lt;_tertiary_title&gt;European journal of cancer (Oxford, England : 1990)&lt;/_tertiary_title&gt;&lt;_type_work&gt;Clinical Trial, Phase II; Journal Article; Meta-Analysis; Randomized Controlled Trial; Research Support, Non-U.S. Gov&amp;apos;t; Systematic Review&lt;/_type_work&gt;&lt;_url&gt;http://www.ncbi.nlm.nih.gov/entrez/query.fcgi?cmd=Retrieve&amp;amp;db=pubmed&amp;amp;dopt=Abstract&amp;amp;list_uids=21665462&amp;amp;query_hl=1&lt;/_url&gt;&lt;_volume&gt;47&lt;/_volume&gt;&lt;_created&gt;65020956&lt;/_created&gt;&lt;_modified&gt;65020956&lt;/_modified&gt;&lt;_impact_factor&gt;  10.002&lt;/_impact_factor&gt;&lt;_social_category&gt;医学(1)&lt;/_social_category&gt;&lt;_collection_scope&gt;SCIE&lt;/_collection_scope&gt;&lt;/Details&gt;&lt;Extra&gt;&lt;DBUID&gt;{F96A950B-833F-4880-A151-76DA2D6A2879}&lt;/DBUID&gt;&lt;/Extra&gt;&lt;/Item&gt;&lt;/References&gt;&lt;/Group&gt;&lt;/Citation&gt;_x000a_"/>
    <w:docVar w:name="NE.Ref{D591A3D8-DF70-44AC-950C-8DEA67C20347}" w:val=" ADDIN NE.Ref.{D591A3D8-DF70-44AC-950C-8DEA67C20347}&lt;Citation&gt;&lt;Group&gt;&lt;References&gt;&lt;Item&gt;&lt;ID&gt;2946&lt;/ID&gt;&lt;UID&gt;{53D20E6C-F297-4218-8BF2-B4924E9D09F0}&lt;/UID&gt;&lt;Title&gt;Matching-Adjusted Indirect Comparisons of Lorlatinib Versus Chemotherapy for  Patients With Second-Line or Later Anaplastic Lymphoma Kinase-Positive Non-Small  Cell Lung Cancer&lt;/Title&gt;&lt;Template&gt;Journal Article&lt;/Template&gt;&lt;Star&gt;0&lt;/Star&gt;&lt;Tag&gt;0&lt;/Tag&gt;&lt;Author&gt;Smith, S; Albuquerque, De Almeida F; Ines, M; Iadeluca, L; Cooper, M&lt;/Author&gt;&lt;Year&gt;2023&lt;/Year&gt;&lt;Details&gt;&lt;_accession_num&gt;35985941&lt;/_accession_num&gt;&lt;_author_adr&gt;BresMed Health Solutions, Sheffield, England, UK.; Pfizer Portugal, Porto Salvo, Portugal.; Pfizer Portugal, Porto Salvo, Portugal. Electronic address:  monica.ines@pfizer.com.; Pfizer Inc, New York, NY, USA.; BresMed Health Solutions, Sheffield, England, UK.&lt;/_author_adr&gt;&lt;_collection_scope&gt;SSCI;SCIE&lt;/_collection_scope&gt;&lt;_created&gt;64739398&lt;/_created&gt;&lt;_date&gt;2023-01-01&lt;/_date&gt;&lt;_date_display&gt;2023 Jan&lt;/_date_display&gt;&lt;_db_updated&gt;PubMed&lt;/_db_updated&gt;&lt;_doi&gt;10.1016/j.jval.2022.07.002&lt;/_doi&gt;&lt;_impact_factor&gt;   5.101&lt;/_impact_factor&gt;&lt;_isbn&gt;1524-4733 (Electronic); 1098-3015 (Linking)&lt;/_isbn&gt;&lt;_issue&gt;1&lt;/_issue&gt;&lt;_journal&gt;Value Health&lt;/_journal&gt;&lt;_keywords&gt;ALK-positive; chemotherapy; indirect treatment comparison; lorlatinib; non-small cell lung cancer&lt;/_keywords&gt;&lt;_language&gt;eng&lt;/_language&gt;&lt;_modified&gt;64740725&lt;/_modified&gt;&lt;_ori_publication&gt;Copyright (c) 2022. Published by Elsevier Inc.&lt;/_ori_publication&gt;&lt;_pages&gt;64-70&lt;/_pages&gt;&lt;_social_category&gt;医学(2)&lt;/_social_category&gt;&lt;_subject_headings&gt;Humans; *Carcinoma, Non-Small-Cell Lung/drug therapy; Anaplastic Lymphoma Kinase/therapeutic use; Docetaxel/therapeutic use; Pemetrexed/therapeutic use; *Lung Neoplasms/drug therapy; Lactams, Macrocyclic/adverse effects; Protein Kinase Inhibitors/therapeutic use&lt;/_subject_headings&gt;&lt;_tertiary_title&gt;Value in health : the journal of the International Society for Pharmacoeconomics _x000d__x000a_      and Outcomes Research&lt;/_tertiary_title&gt;&lt;_type_work&gt;Journal Article; Systematic Review&lt;/_type_work&gt;&lt;_url&gt;http://www.ncbi.nlm.nih.gov/entrez/query.fcgi?cmd=Retrieve&amp;amp;db=pubmed&amp;amp;dopt=Abstract&amp;amp;list_uids=35985941&amp;amp;query_hl=1&lt;/_url&gt;&lt;_volume&gt;26&lt;/_volume&gt;&lt;/Details&gt;&lt;Extra&gt;&lt;DBUID&gt;{F96A950B-833F-4880-A151-76DA2D6A2879}&lt;/DBUID&gt;&lt;/Extra&gt;&lt;/Item&gt;&lt;/References&gt;&lt;/Group&gt;&lt;/Citation&gt;_x000a_"/>
    <w:docVar w:name="NE.Ref{D7A6B0BD-FB1E-4832-AD52-49CCDEA54B01}" w:val=" ADDIN NE.Ref.{D7A6B0BD-FB1E-4832-AD52-49CCDEA54B01}&lt;Citation&gt;&lt;Group&gt;&lt;References&gt;&lt;Item&gt;&lt;ID&gt;4870&lt;/ID&gt;&lt;UID&gt;{A5475899-051E-48F5-B5EB-0ED67E726851}&lt;/UID&gt;&lt;Title&gt;FOLFOXIRI Plus Bevacizumab as Conversion Therapy for Patients With Initially  Unresectable Metastatic Colorectal Cancer: A Systematic Review and Pooled  Analysis&lt;/Title&gt;&lt;Template&gt;Journal Article&lt;/Template&gt;&lt;Star&gt;0&lt;/Star&gt;&lt;Tag&gt;0&lt;/Tag&gt;&lt;Author&gt;Tomasello, G; Petrelli, F; Ghidini, M; Russo, A; Passalacqua, R; Barni, S&lt;/Author&gt;&lt;Year&gt;2017&lt;/Year&gt;&lt;Details&gt;&lt;_accession_num&gt;28542671&lt;/_accession_num&gt;&lt;_author_adr&gt;Oncology Unit, Oncology Department, Azienda Socio Sanitaria Territoriale Ospedale  di Cremona, Cremona, Italy.; Oncology Unit, Oncology Department, Azienda Socio Sanitaria Territoriale di  Bergamo Ovest, Treviglio (Bergamo), Italy.; Oncology Unit, Oncology Department, Azienda Socio Sanitaria Territoriale Ospedale  di Cremona, Cremona, Italy.; Surgical Oncology Unit, Surgical Department, Azienda Socio Sanitaria Territoriale  di Bergamo Ovest, Treviglio (Bergamo), Italy.; Oncology Unit, Oncology Department, Azienda Socio Sanitaria Territoriale Ospedale  di Cremona, Cremona, Italy.; Oncology Unit, Oncology Department, Azienda Socio Sanitaria Territoriale di  Bergamo Ovest, Treviglio (Bergamo), Italy.&lt;/_author_adr&gt;&lt;_date_display&gt;2017 Jul 13&lt;/_date_display&gt;&lt;_date&gt;2017-07-13&lt;/_date&gt;&lt;_doi&gt;10.1001/jamaoncol.2017.0278&lt;/_doi&gt;&lt;_isbn&gt;2374-2445 (Electronic); 2374-2437 (Print); 2374-2437 (Linking)&lt;/_isbn&gt;&lt;_issue&gt;7&lt;/_issue&gt;&lt;_journal&gt;JAMA Oncol&lt;/_journal&gt;&lt;_language&gt;eng&lt;/_language&gt;&lt;_pages&gt;e170278&lt;/_pages&gt;&lt;_subject_headings&gt;Antineoplastic Combined Chemotherapy Protocols/administration &amp;amp; _x000d__x000a_      dosage/*therapeutic use; Bevacizumab/administration &amp;amp; dosage; Camptothecin/administration &amp;amp; dosage/analogs &amp;amp; derivatives; Colorectal Neoplasms/*pathology; Fluorouracil/administration &amp;amp; dosage; Hepatectomy; Humans; Leucovorin/administration &amp;amp; dosage; Liver Neoplasms/drug therapy/*secondary/surgery; Organoplatinum Compounds/administration &amp;amp; dosage; Survival Analysis; Treatment Outcome&lt;/_subject_headings&gt;&lt;_tertiary_title&gt;JAMA oncology&lt;/_tertiary_title&gt;&lt;_type_work&gt;Journal Article; Meta-Analysis; Review; Systematic Review&lt;/_type_work&gt;&lt;_url&gt;http://www.ncbi.nlm.nih.gov/entrez/query.fcgi?cmd=Retrieve&amp;amp;db=pubmed&amp;amp;dopt=Abstract&amp;amp;list_uids=28542671&amp;amp;query_hl=1&lt;/_url&gt;&lt;_volume&gt;3&lt;/_volume&gt;&lt;_created&gt;65089356&lt;/_created&gt;&lt;_modified&gt;65089356&lt;/_modified&gt;&lt;_impact_factor&gt;  33.006&lt;/_impact_factor&gt;&lt;_social_category&gt;医学(1)&lt;/_social_category&gt;&lt;_collection_scope&gt;SCIE&lt;/_collection_scope&gt;&lt;/Details&gt;&lt;Extra&gt;&lt;DBUID&gt;{F96A950B-833F-4880-A151-76DA2D6A2879}&lt;/DBUID&gt;&lt;/Extra&gt;&lt;/Item&gt;&lt;/References&gt;&lt;/Group&gt;&lt;/Citation&gt;_x000a_"/>
    <w:docVar w:name="NE.Ref{D8234AC7-C34A-4300-BBC4-1BFB3CB5E66F}" w:val=" ADDIN NE.Ref.{D8234AC7-C34A-4300-BBC4-1BFB3CB5E66F}&lt;Citation&gt;&lt;Group&gt;&lt;References&gt;&lt;Item&gt;&lt;ID&gt;4739&lt;/ID&gt;&lt;UID&gt;{DDC70CA1-DA3E-4EAB-A172-EAB82592FF80}&lt;/UID&gt;&lt;Title&gt;Fruquintinib versus placebo in patients with refractory metastatic colorectal  cancer (FRESCO-2): an international, multicentre, randomised, double-blind, phase  3 study&lt;/Title&gt;&lt;Template&gt;Journal Article&lt;/Template&gt;&lt;Star&gt;0&lt;/Star&gt;&lt;Tag&gt;0&lt;/Tag&gt;&lt;Author&gt;Dasari, A; Lonardi, S; Garcia-Carbonero, R; Elez, E; Yoshino, T; Sobrero, A; Yao, J; García-Alfonso, P; Kocsis, J; Cubillo, Gracian A; Sartore-Bianchi, A; Satoh, T; Randrian, V; Tomasek, J; Chong, G; Paulson, A S; Masuishi, T; Jones, J; Csőszi, T; Cremolini, C; Ghiringhelli, F; Shergill, A; Hochster, H S; Krauss, J; Bassam, A; Ducreux, M; Elme, A; Faugeras, L; Kasper, S; Van Cutsem, E; Arnold, D; Nanda, S; Yang, Z; Schelman, W R; Kania, M; Tabernero, J; Eng, C&lt;/Author&gt;&lt;Year&gt;2023&lt;/Year&gt;&lt;Details&gt;&lt;_accession_num&gt;37331369&lt;/_accession_num&gt;&lt;_author_adr&gt;Department of Gastrointestinal Medical Oncology, University of Texas MD Anderson  Cancer Center, Houston, TX, USA. Electronic address: adasari@mdanderson.org.; Medical Oncology Unit 1, Veneto Institute of Oncology IOV-IRCCS Padua, Padua,  Italy.; Oncology Department, Hospital Universitario 12 de Octubre, lmas12, UCM, Madrid,  Spain.; Vall d&amp;apos;Hebron Barcelona Hospital Campus, Vall d&amp;apos;Hebron Institute of Oncology,  Universitat Autònoma de Barcelona, Barcelona, Spain.; Department of Gastroenterology and Gastrointestinal Oncology, National Cancer  Center Hospital East, Kashiwa, Japan.; Department of Medical Oncology, Azienda Ospedaliera San Martino, Genoa, Italy.; Department of Gastrointestinal Medical Oncology, University of Texas MD Anderson  Cancer Center, Houston, TX, USA.; Medical Oncology Service, Hospital General Universitario Gregorio Marañón,  Instituto de Investigación Sanitaria Gregorio Marañón (IiSGM), Universidad  Complutense, Madrid, Spain.; Department of Oncoradiology, Bács -Kiskun Megyei Oktatókórház, Kecskemét,  Hungary.; Medical Oncology, Hospital Universitario HM Sanchinarro Centro Integral  Oncológico Clara Campal, Madrid, Spain.; Grande Ospedale Metropolitano Niguarda, Milan, Italy; Department of Oncology and  Hemato-Oncology, Università degli Studi di Milano, Milan, Italy.; Palliative and Supportive Care Center, Osaka University Hospital, Osaka, Japan.; Department of Hepato-Gastroenterology, CHU Poitiers, Université de Poitiers,  Poitiers, France.; Department of Complex Oncology Care, Masaryk Memorial Cancer Institute, Brno,  Czech Republic.; Olivia Newton-John Cancer Wellness &amp;amp; Research Centre, Austin Hospital, Melbourne,  VIC, Australia.; Texas Oncology-Baylor Charles A Sammons Cancer Center, US Oncology Research,  Dallas, TX, USA.; Department of Clinical Oncology, Aichi Cancer Center Hospital, Aichi, Japan.; Division of Hematology and Medical Oncology, Mayo Clinic Cancer Center,  Jacksonville, FL, USA.; Hetényi Géza Kórház, Onkológiai Központ, Szolnok, Hungary.; Department of Translational Research and New Technologies in Medicine and  Surgery, University of Pisa, Pisa, Italy.; Department of Medical Oncology, Centre Georges François Leclerc, Dijon, France.; University of Chicago, Biological Sciences Division, Chicago, IL, USA.; Rutgers Cancer Institute of New Jersey, New Brunswick, NJ, USA.; Department of Medicine, University of Michigan, Ann Arbor, MI, USA.; Békés Megyei Központi Kórház, Pándy Kálmán Tagkórház, Megyei Onkológiai Központ,  Gyula, Hungary.; Gustave Roussy Cancer Center, Inserm U1279 Tumors Cell Dynamics, Université Paris  Saclay, Villejuif, France.; Oncology and Haematology Clinic, North Estonia Medical Centre, Tallinn, Estonia.; Department of Oncology, CHU UCL Namur, Site Godinne, Yvoir, Belgium.; Department of Medical Oncology, West German Cancer Center, University Hospital  Essen, Essen, Germany.; University Hospitals Gasthuisberg, Leuven and KU Leuven, Leuven, Belgium.; Asklepios Tumorzentrum Hamburg, Department of Oncology and Hematology, AK Altona,  Hamburg, Germany.; HUTCHMED International Corporation, Florham Park, NJ, USA.; HUTCHMED International Corporation, Florham Park, NJ, USA.; HUTCHMED International Corporation, Florham Park, NJ, USA.; HUTCHMED International Corporation, Florham Park, NJ, USA.; Vall d&amp;apos;Hebron Barcelona Hospital Campus, Vall d&amp;apos;Hebron Institute of Oncology  (VHIO), IOB-Quiron, Barcelona, Spain.; Division Hematology and Oncology, Vanderbilt-Ingram Cancer Center, Nashville, TN,  USA.&lt;/_author_adr&gt;&lt;_date_display&gt;2023 Jul 1&lt;/_date_display&gt;&lt;_date&gt;2023-07-01&lt;/_date&gt;&lt;_doi&gt;10.1016/S0140-6736(23)00772-9&lt;/_doi&gt;&lt;_isbn&gt;1474-547X (Electronic); 0140-6736 (Linking)&lt;/_isbn&gt;&lt;_issue&gt;10395&lt;/_issue&gt;&lt;_journal&gt;Lancet&lt;/_journal&gt;&lt;_language&gt;eng&lt;/_language&gt;&lt;_ori_publication&gt;Copyright © 2023 Elsevier Ltd. All rights reserved.&lt;/_ori_publication&gt;&lt;_pages&gt;41-53&lt;/_pages&gt;&lt;_subject_headings&gt;Humans; Trifluridine/adverse effects; Vascular Endothelial Growth Factor A; Quality of Life; *Colorectal Neoplasms; *Colonic Neoplasms; *Rectal Neoplasms/drug therapy; Double-Blind Method; Antineoplastic Combined Chemotherapy Protocols/adverse effects&lt;/_subject_headings&gt;&lt;_tertiary_title&gt;Lancet (London, England)&lt;/_tertiary_title&gt;&lt;_type_work&gt;Clinical Trial, Phase III; Journal Article; Multicenter Study; Randomized Controlled Trial&lt;/_type_work&gt;&lt;_url&gt;http://www.ncbi.nlm.nih.gov/entrez/query.fcgi?cmd=Retrieve&amp;amp;db=pubmed&amp;amp;dopt=Abstract&amp;amp;list_uids=37331369&amp;amp;query_hl=1&lt;/_url&gt;&lt;_volume&gt;402&lt;/_volume&gt;&lt;_created&gt;65021590&lt;/_created&gt;&lt;_modified&gt;65021590&lt;/_modified&gt;&lt;_impact_factor&gt; 202.731&lt;/_impact_factor&gt;&lt;_social_category&gt;医学(1)&lt;/_social_category&gt;&lt;_collection_scope&gt;SCIE&lt;/_collection_scope&gt;&lt;/Details&gt;&lt;Extra&gt;&lt;DBUID&gt;{F96A950B-833F-4880-A151-76DA2D6A2879}&lt;/DBUID&gt;&lt;/Extra&gt;&lt;/Item&gt;&lt;/References&gt;&lt;/Group&gt;&lt;/Citation&gt;_x000a_"/>
    <w:docVar w:name="NE.Ref{D82CA0AF-935C-4453-B0D0-E5D5F218F358}" w:val=" ADDIN NE.Ref.{D82CA0AF-935C-4453-B0D0-E5D5F218F358}&lt;Citation&gt;&lt;Group&gt;&lt;References&gt;&lt;Item&gt;&lt;ID&gt;46196&lt;/ID&gt;&lt;UID&gt;{864B48AE-D9EB-4BFC-80D7-0BF109F95E78}&lt;/UID&gt;&lt;Title&gt;The IASLC Lung Cancer Staging Project: Proposals for Revision of the TNM Stage Groupings in the Forthcoming (Eighth) Edition of the TNM Classification for Lung  Cancer&lt;/Title&gt;&lt;Template&gt;Journal Article&lt;/Template&gt;&lt;Star&gt;0&lt;/Star&gt;&lt;Tag&gt;0&lt;/Tag&gt;&lt;Author&gt;Goldstraw, P; Chansky, K; Crowley, J; Rami-Porta, R; Asamura, H; Eberhardt, W E; Nicholson, A G; Groome, P; Mitchell, A; Bolejack, V&lt;/Author&gt;&lt;Year&gt;2016&lt;/Year&gt;&lt;Details&gt;&lt;_accessed&gt;64073644&lt;/_accessed&gt;&lt;_accession_num&gt;26762738&lt;/_accession_num&gt;&lt;_author_adr&gt;Department of Thoracic Surgery, Royal Brompton and Harefield National Health Service Foundation Trust and Imperial College, London, United Kingdom. Electronic address: p.goldstraw@imperiaL.ac.uk.; Cancer Research and Biostatistics, Seattle, WA, USA.; Cancer Research and Biostatistics, Seattle, WA, USA.; Department of Thoracic Surgery, Hospital Universitari Mutua Terrassa, University  of Barcelona, and CIBERES Lung Cancer Group, Terrassa, Barcelona, Spain.; Division of Thoracic Surgery, Keio University School of Medicine, Tokyo, Japan.; West German Cancer Centre, University Hospital, Ruhrlandklinik, University Duisburg-Essen, Essen, Germany.; Department of Pathology, Royal Brompton and Harefield NHS Foundation Trust and Imperial College, London, United Kingdom.; Queen&amp;apos;s Cancer Research Institute, Kingston, ON, Canada.; Cancer Research and Biostatistics, Seattle, WA, USA.; Cancer Research and Biostatistics, Seattle, WA, USA.&lt;/_author_adr&gt;&lt;_collection_scope&gt;SCI;SCIE&lt;/_collection_scope&gt;&lt;_created&gt;64073630&lt;/_created&gt;&lt;_date&gt;2016-01-01&lt;/_date&gt;&lt;_date_display&gt;2016 Jan&lt;/_date_display&gt;&lt;_db_updated&gt;PubMed&lt;/_db_updated&gt;&lt;_doi&gt;10.1016/j.jtho.2015.09.009&lt;/_doi&gt;&lt;_impact_factor&gt;  20.121&lt;/_impact_factor&gt;&lt;_isbn&gt;1556-1380 (Electronic); 1556-0864 (Linking)&lt;/_isbn&gt;&lt;_issue&gt;1&lt;/_issue&gt;&lt;_journal&gt;J Thorac Oncol&lt;/_journal&gt;&lt;_keywords&gt;Lung cancer; Prognostic factors; Staging&lt;/_keywords&gt;&lt;_language&gt;eng&lt;/_language&gt;&lt;_modified&gt;64688891&lt;/_modified&gt;&lt;_ori_publication&gt;Crown Copyright (c) 2015. Published by Elsevier Inc. All rights reserved.&lt;/_ori_publication&gt;&lt;_pages&gt;39-51&lt;/_pages&gt;&lt;_subject_headings&gt;Humans; Lung Neoplasms/*classification/*pathology; Neoplasm Staging/*standards; Prognosis; SEER Program&lt;/_subject_headings&gt;&lt;_tertiary_title&gt;Journal of thoracic oncology : official publication of the International_x000d__x000a_      Association for the Study of Lung Cancer&lt;/_tertiary_title&gt;&lt;_type_work&gt;Journal Article; Research Support, Non-U.S. Gov&amp;apos;t&lt;/_type_work&gt;&lt;_url&gt;http://www.ncbi.nlm.nih.gov/entrez/query.fcgi?cmd=Retrieve&amp;amp;db=pubmed&amp;amp;dopt=Abstract&amp;amp;list_uids=26762738&amp;amp;query_hl=1&lt;/_url&gt;&lt;_volume&gt;11&lt;/_volume&gt;&lt;_social_category&gt;医学(1)&lt;/_social_category&gt;&lt;/Details&gt;&lt;Extra&gt;&lt;DBUID&gt;{F96A950B-833F-4880-A151-76DA2D6A2879}&lt;/DBUID&gt;&lt;/Extra&gt;&lt;/Item&gt;&lt;/References&gt;&lt;/Group&gt;&lt;/Citation&gt;_x000a_"/>
    <w:docVar w:name="NE.Ref{D9F858D8-A7A0-40EF-8CD8-7EFA79FF6EFB}" w:val=" ADDIN NE.Ref.{D9F858D8-A7A0-40EF-8CD8-7EFA79FF6EFB}&lt;Citation&gt;&lt;Group&gt;&lt;References&gt;&lt;Item&gt;&lt;ID&gt;4740&lt;/ID&gt;&lt;UID&gt;{0DB584F9-905A-4329-87D8-8715811A5EDF}&lt;/UID&gt;&lt;Title&gt;Pembrolizumab in Microsatellite-Instability-High Advanced Colorectal Cancer&lt;/Title&gt;&lt;Template&gt;Journal Article&lt;/Template&gt;&lt;Star&gt;0&lt;/Star&gt;&lt;Tag&gt;0&lt;/Tag&gt;&lt;Author&gt;André, T; Shiu, K K; Kim, T W; Jensen, B V; Jensen, L H; Punt, C; Smith, D; Garcia-Carbonero, R; Benavides, M; Gibbs, P; de la Fouchardiere, C; Rivera, F; Elez, E; Bendell, J; &amp;quot;Le DT&amp;quot;; Yoshino, T; Van Cutsem, E; Yang, P; Farooqui, MZH; Marinello, P; Diaz, LA Jr&lt;/Author&gt;&lt;Year&gt;2020&lt;/Year&gt;&lt;Details&gt;&lt;_accession_num&gt;33264544&lt;/_accession_num&gt;&lt;_author_adr&gt;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 From Sorbonne Université and Hôpital Saint Antoine, Paris (T.A.), Bordeaux  University Hospital, Bordeaux (D.S.), and Léon Bérard Center, Lyon (C.F.) - all  in France; University College Hospital, NHS Foundation Trust, London (K.-K.S.);  Asan Medical Center, University of Ulsan, Seoul, South Korea (T.W.K.); Herlev and  Gentofte Hospital, Herlev (B.V.J.), and University Hospital of Southern Denmark,  Vejle (L.H.J.) - both in Denmark; Amsterdam University Medical Center, University  of Amsterdam, Amsterdam (C.P.); Hospital Universitario 12 de Octubre, Imas12,  Madrid (R.G.-C.), Hospital Regional Universitario, Malaga (M.B.), Hospital  Universitario Marques de Valdecilla, Santander (F.R.), and Vall d&amp;apos;Hebron  Institute of Oncology, Barcelona (E.E.) - all in Spain; Western Health, St.  Albans, VIC, Australia (P.G.); Sarah Cannon Research Institute-Tennessee  Oncology, Nashville (J.B.); Sidney Kimmel Comprehensive Cancer Center at Johns  Hopkins, Baltimore (D.T.L.); National Cancer Center Hospital East, Kashiwa, Japan  (T.Y.); University Hospital Gasthuisberg and KU Leuven, Leuven, Belgium (E.V.C.);  MSD China, Beijing (P.Y.); Merck, Kenilworth, NJ (M.Z.H.F., P.M.); and Memorial  Sloan Kettering Cancer Center, New York (L.A.D.).&lt;/_author_adr&gt;&lt;_date_display&gt;2020 Dec 3&lt;/_date_display&gt;&lt;_date&gt;2020-12-03&lt;/_date&gt;&lt;_doi&gt;10.1056/NEJMoa2017699&lt;/_doi&gt;&lt;_isbn&gt;1533-4406 (Electronic); 0028-4793 (Linking)&lt;/_isbn&gt;&lt;_issue&gt;23&lt;/_issue&gt;&lt;_journal&gt;N Engl J Med&lt;/_journal&gt;&lt;_language&gt;eng&lt;/_language&gt;&lt;_ori_publication&gt;Copyright © 2020 Massachusetts Medical Society.&lt;/_ori_publication&gt;&lt;_pages&gt;2207-2218&lt;/_pages&gt;&lt;_subject_headings&gt;Adult; Aged; Aged, 80 and over; Antibodies, Monoclonal, Humanized/adverse effects/*therapeutic use; Antineoplastic Agents, Immunological/adverse effects/*therapeutic use; Antineoplastic Combined Chemotherapy Protocols/*therapeutic use; Biomarkers, Tumor/genetics; Brain Neoplasms; Colorectal Neoplasms/*drug therapy/genetics/mortality; Female; Fluorouracil/therapeutic use; Humans; Immune Checkpoint Inhibitors/adverse effects/*therapeutic use; Kaplan-Meier Estimate; Male; *Microsatellite Instability; Middle Aged; Mutation; Neoplastic Syndromes, Hereditary; Progression-Free Survival&lt;/_subject_headings&gt;&lt;_tertiary_title&gt;The New England journal of medicine&lt;/_tertiary_title&gt;&lt;_type_work&gt;Comparative Study; Journal Article; Multicenter Study; Randomized Controlled Trial; Research Support, Non-U.S. Gov&amp;apos;t&lt;/_type_work&gt;&lt;_url&gt;http://www.ncbi.nlm.nih.gov/entrez/query.fcgi?cmd=Retrieve&amp;amp;db=pubmed&amp;amp;dopt=Abstract&amp;amp;list_uids=33264544&amp;amp;query_hl=1&lt;/_url&gt;&lt;_volume&gt;383&lt;/_volume&gt;&lt;_created&gt;65021590&lt;/_created&gt;&lt;_modified&gt;65021590&lt;/_modified&gt;&lt;_impact_factor&gt; 176.079&lt;/_impact_factor&gt;&lt;_social_category&gt;医学(1)&lt;/_social_category&gt;&lt;_collection_scope&gt;SCIE&lt;/_collection_scope&gt;&lt;/Details&gt;&lt;Extra&gt;&lt;DBUID&gt;{F96A950B-833F-4880-A151-76DA2D6A2879}&lt;/DBUID&gt;&lt;/Extra&gt;&lt;/Item&gt;&lt;/References&gt;&lt;/Group&gt;&lt;/Citation&gt;_x000a_"/>
    <w:docVar w:name="NE.Ref{DA28E8BD-A95A-4407-8EF3-868FA8E64D27}" w:val=" ADDIN NE.Ref.{DA28E8BD-A95A-4407-8EF3-868FA8E64D27}&lt;Citation&gt;&lt;Group&gt;&lt;References&gt;&lt;Item&gt;&lt;ID&gt;4953&lt;/ID&gt;&lt;UID&gt;{76059439-E523-4B9E-AF96-12855E37F480}&lt;/UID&gt;&lt;Title&gt;NCCN Guidelines. National Comprehensive Cancer Network Guidelines in Oncology. https://www.nccn.org/quidelines/quidelines-detail?category=1&amp;amp;id=1428.(Accessed July 25, 2023)&lt;/Title&gt;&lt;Template&gt;Web Page&lt;/Template&gt;&lt;Star&gt;0&lt;/Star&gt;&lt;Tag&gt;0&lt;/Tag&gt;&lt;Author/&gt;&lt;Year&gt;0&lt;/Year&gt;&lt;Details&gt;&lt;_accessed&gt;65091934&lt;/_accessed&gt;&lt;_created&gt;65091934&lt;/_created&gt;&lt;_modified&gt;65091934&lt;/_modified&gt;&lt;/Details&gt;&lt;Extra&gt;&lt;DBUID&gt;{F96A950B-833F-4880-A151-76DA2D6A2879}&lt;/DBUID&gt;&lt;/Extra&gt;&lt;/Item&gt;&lt;/References&gt;&lt;/Group&gt;&lt;Group&gt;&lt;References&gt;&lt;Item&gt;&lt;ID&gt;4954&lt;/ID&gt;&lt;UID&gt;{5969AB4B-48F9-4118-914F-93D3A4591FC6}&lt;/UID&gt;&lt;Title&gt;NCCN Guidelines. National Comprehensive Cancer Network Guidelines in Oncology. https://www.nccn.org/quidelines/quidelines-detail?category=1&amp;amp;id=1461.(Accessed July 30, 2023)&lt;/Title&gt;&lt;Template&gt;Web Page&lt;/Template&gt;&lt;Star&gt;0&lt;/Star&gt;&lt;Tag&gt;0&lt;/Tag&gt;&lt;Author/&gt;&lt;Year&gt;0&lt;/Year&gt;&lt;Details&gt;&lt;_accessed&gt;65091935&lt;/_accessed&gt;&lt;_created&gt;65091935&lt;/_created&gt;&lt;_modified&gt;65091935&lt;/_modified&gt;&lt;/Details&gt;&lt;Extra&gt;&lt;DBUID&gt;{F96A950B-833F-4880-A151-76DA2D6A2879}&lt;/DBUID&gt;&lt;/Extra&gt;&lt;/Item&gt;&lt;/References&gt;&lt;/Group&gt;&lt;Group&gt;&lt;References&gt;&lt;Item&gt;&lt;ID&gt;4867&lt;/ID&gt;&lt;UID&gt;{813BF604-12E3-40FE-B918-2ED21842BEE0}&lt;/UID&gt;&lt;Title&gt;Impact of patient, primary tumor and metastatic pattern including tumor location  on survival in patients undergoing ablation or resection for colorectal liver  metastases: A population-based national cohort study&lt;/Title&gt;&lt;Template&gt;Journal Article&lt;/Template&gt;&lt;Star&gt;0&lt;/Star&gt;&lt;Tag&gt;0&lt;/Tag&gt;&lt;Author&gt;Scherman, P; Syk, I; Holmberg, E; Naredi, P; Rizell, M&lt;/Author&gt;&lt;Year&gt;2021&lt;/Year&gt;&lt;Details&gt;&lt;_accession_num&gt;32828581&lt;/_accession_num&gt;&lt;_author_adr&gt;Department of Surgery, Institute of Clinical Sciences, University of Gothenburg,  Gothenburg, Sweden; Department of Surgery, Helsingborg Hospital, Helsingborg,  Sweden. Electronic address: peter.scherman@gu.se.; Department of Surgery, Clinical Sciences Malmö, Lund University, Lund, Sweden;  Department of Surgery, Skåne University Hospital, Malmö, Sweden.; Department of Oncology, Institute of Clinical Sciences, University of Gothenburg,  Gothenburg, Sweden.; Department of Surgery, Institute of Clinical Sciences, University of Gothenburg,  Gothenburg, Sweden; Department of Surgery, Sahlgrenska University Hospital,  Gothenburg, Sweden.; Department of Surgery, Institute of Clinical Sciences, University of Gothenburg,  Gothenburg, Sweden; Transplant Institute, Sahlgrenska University Hospital,  Gothenburg, Sweden.&lt;/_author_adr&gt;&lt;_date_display&gt;2021 Feb&lt;/_date_display&gt;&lt;_date&gt;2021-02-01&lt;/_date&gt;&lt;_doi&gt;10.1016/j.ejso.2020.07.030&lt;/_doi&gt;&lt;_isbn&gt;1532-2157 (Electronic); 0748-7983 (Linking)&lt;/_isbn&gt;&lt;_issue&gt;2&lt;/_issue&gt;&lt;_journal&gt;Eur J Surg Oncol&lt;/_journal&gt;&lt;_keywords&gt;Ablation; Colorectal liver metastases; Crlm; Population-based national cohort study; Segmental location; Survival analysis&lt;/_keywords&gt;&lt;_language&gt;eng&lt;/_language&gt;&lt;_ori_publication&gt;Copyright © 2020 The Authors. Published by Elsevier Ltd.. All rights reserved.&lt;/_ori_publication&gt;&lt;_pages&gt;375-383&lt;/_pages&gt;&lt;_subject_headings&gt;Aged; Catheter Ablation/*methods; Colorectal Neoplasms/diagnosis/mortality/*secondary; Female; Hepatectomy/*methods; Humans; Liver Neoplasms/mortality/secondary/*surgery; Male; Middle Aged; Neoplasm Metastasis; *Neoplasm Staging; *Propensity Score; Retrospective Studies; Survival Rate/trends; Sweden/epidemiology&lt;/_subject_headings&gt;&lt;_tertiary_title&gt;European journal of surgical oncology : the journal of the European Society of _x000d__x000a_      Surgical Oncology and the British Association of Surgical Oncology&lt;/_tertiary_title&gt;&lt;_type_work&gt;Journal Article; Multicenter Study; Research Support, Non-U.S. Gov&amp;apos;t&lt;/_type_work&gt;&lt;_url&gt;http://www.ncbi.nlm.nih.gov/entrez/query.fcgi?cmd=Retrieve&amp;amp;db=pubmed&amp;amp;dopt=Abstract&amp;amp;list_uids=32828581&amp;amp;query_hl=1&lt;/_url&gt;&lt;_volume&gt;47&lt;/_volume&gt;&lt;_created&gt;65089356&lt;/_created&gt;&lt;_modified&gt;65089356&lt;/_modified&gt;&lt;_impact_factor&gt;   4.037&lt;/_impact_factor&gt;&lt;_social_category&gt;医学(2)&lt;/_social_category&gt;&lt;_collection_scope&gt;SCIE&lt;/_collection_scope&gt;&lt;/Details&gt;&lt;Extra&gt;&lt;DBUID&gt;{F96A950B-833F-4880-A151-76DA2D6A2879}&lt;/DBUID&gt;&lt;/Extra&gt;&lt;/Item&gt;&lt;/References&gt;&lt;/Group&gt;&lt;/Citation&gt;_x000a_"/>
    <w:docVar w:name="NE.Ref{DA8FCEA1-58D3-4CB0-B32A-8947E6954601}" w:val=" ADDIN NE.Ref.{DA8FCEA1-58D3-4CB0-B32A-8947E6954601}&lt;Citation&gt;&lt;Group&gt;&lt;References&gt;&lt;Item&gt;&lt;ID&gt;4680&lt;/ID&gt;&lt;UID&gt;{476DDC6A-E5A4-4767-957C-90F27199564C}&lt;/UID&gt;&lt;Title&gt;Role of Patient-Reported Outcomes in Clinical Trials in Metastatic Colorectal  Cancer: A Scoping Review&lt;/Title&gt;&lt;Template&gt;Journal Article&lt;/Template&gt;&lt;Star&gt;0&lt;/Star&gt;&lt;Tag&gt;0&lt;/Tag&gt;&lt;Author&gt;Maring, J G; Eijsink, JFH; Tichelaar, F D; Veluwenkamp-Worawutputtapong, P; Postma, M J; Touw, D J; de Groot, JWB&lt;/Author&gt;&lt;Year&gt;2023&lt;/Year&gt;&lt;Details&gt;&lt;_accession_num&gt;36831478&lt;/_accession_num&gt;&lt;_author_adr&gt;Department of Clinical Pharmacy, Isala, NL 8025 AB Zwolle, The Netherlands.; Department of Clinical Pharmacy, Isala, NL 8025 AB Zwolle, The Netherlands.; Department of Clinical Pharmacy and Pharmacology, University Medical Center  Groningen, University of Groningen, NL 9713 GZ Groningen, The Netherlands.; Department of Health Sciences, University Medical Centre Groningen, University of  Groningen, NL 9713 GZ Groningen, The Netherlands.; Department of Clinical Pharmacy, Isala, NL 8025 AB Zwolle, The Netherlands.; Department of Health Sciences, University Medical Centre Groningen, University of  Groningen, NL 9713 GZ Groningen, The Netherlands.; Department of Economics, Econometrics &amp;amp; Finance, Faculty of Economics &amp;amp; Business,  University of Groningen, NL 9713 GZ Groningen, The Netherlands.; Department of Clinical Pharmacy and Pharmacology, University Medical Center  Groningen, University of Groningen, NL 9713 GZ Groningen, The Netherlands.; Department of Pharmaceutical Analysis, Groningen Research Institute of Pharmacy,  University of Groningen, NL 9713 GZ Groningen, The Netherlands.; Isala Oncology Center, Isala, NL 8025 AB Zwolle, The Netherlands.&lt;/_author_adr&gt;&lt;_date_display&gt;2023 Feb 10&lt;/_date_display&gt;&lt;_date&gt;2023-02-10&lt;/_date&gt;&lt;_doi&gt;10.3390/cancers15041135&lt;/_doi&gt;&lt;_isbn&gt;2072-6694 (Print); 2072-6694 (Electronic); 2072-6694 (Linking)&lt;/_isbn&gt;&lt;_issue&gt;4&lt;/_issue&gt;&lt;_journal&gt;Cancers (Basel)&lt;/_journal&gt;&lt;_keywords&gt;PROM; colorectal cancer; mCRC; review&lt;/_keywords&gt;&lt;_language&gt;eng&lt;/_language&gt;&lt;_tertiary_title&gt;Cancers&lt;/_tertiary_title&gt;&lt;_type_work&gt;Journal Article; Review&lt;/_type_work&gt;&lt;_url&gt;http://www.ncbi.nlm.nih.gov/entrez/query.fcgi?cmd=Retrieve&amp;amp;db=pubmed&amp;amp;dopt=Abstract&amp;amp;list_uids=36831478&amp;amp;query_hl=1&lt;/_url&gt;&lt;_volume&gt;15&lt;/_volume&gt;&lt;_created&gt;65020259&lt;/_created&gt;&lt;_modified&gt;65020259&lt;/_modified&gt;&lt;_impact_factor&gt;   6.575&lt;/_impact_factor&gt;&lt;_social_category&gt;医学(2)&lt;/_social_category&gt;&lt;_collection_scope&gt;SCIE&lt;/_collection_scope&gt;&lt;/Details&gt;&lt;Extra&gt;&lt;DBUID&gt;{F96A950B-833F-4880-A151-76DA2D6A2879}&lt;/DBUID&gt;&lt;/Extra&gt;&lt;/Item&gt;&lt;/References&gt;&lt;/Group&gt;&lt;/Citation&gt;_x000a_"/>
    <w:docVar w:name="NE.Ref{DB6D6DDA-9776-4234-9FA5-0D71D1E11550}" w:val=" ADDIN NE.Ref.{DB6D6DDA-9776-4234-9FA5-0D71D1E11550}&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DB81178E-616E-4359-B1B5-5502A057BFE5}" w:val=" ADDIN NE.Ref.{DB81178E-616E-4359-B1B5-5502A057BFE5}&lt;Citation&gt;&lt;Group&gt;&lt;References&gt;&lt;Item&gt;&lt;ID&gt;4688&lt;/ID&gt;&lt;UID&gt;{4DCEF544-8A84-4F18-A033-33A6E3E01F66}&lt;/UID&gt;&lt;Title&gt;Phase III comparison of two irinotecan dosing regimens in second-line therapy of  metastatic colorectal cancer&lt;/Title&gt;&lt;Template&gt;Journal Article&lt;/Template&gt;&lt;Star&gt;0&lt;/Star&gt;&lt;Tag&gt;0&lt;/Tag&gt;&lt;Author&gt;Fuchs, C S; Moore, M R; Harker, G; Villa, L; Rinaldi, D; Hecht, J R&lt;/Author&gt;&lt;Year&gt;2003&lt;/Year&gt;&lt;Details&gt;&lt;_accession_num&gt;12610178&lt;/_accession_num&gt;&lt;_author_adr&gt;Dana-Farber Cancer Institute, Boston, MA 02115, USA.  charles_fuchs@dfci.harvard.edu&lt;/_author_adr&gt;&lt;_date_display&gt;2003 Mar 1&lt;/_date_display&gt;&lt;_date&gt;2003-03-01&lt;/_date&gt;&lt;_doi&gt;10.1200/JCO.2003.08.058&lt;/_doi&gt;&lt;_isbn&gt;0732-183X (Print); 0732-183X (Linking)&lt;/_isbn&gt;&lt;_issue&gt;5&lt;/_issue&gt;&lt;_journal&gt;J Clin Oncol&lt;/_journal&gt;&lt;_language&gt;eng&lt;/_language&gt;&lt;_pages&gt;807-14&lt;/_pages&gt;&lt;_subject_headings&gt;Adenocarcinoma/*drug therapy/mortality/secondary; Aged; Antineoplastic Agents, Phytogenic/*administration &amp;amp; dosage/therapeutic use; Bilirubin/metabolism; Biomarkers, Tumor/analysis; Camptothecin/*administration &amp;amp; dosage/*analogs &amp;amp; derivatives/therapeutic use; Colorectal Neoplasms/*drug therapy/mortality/pathology; Disease Progression; Female; Humans; Irinotecan; Liver Neoplasms/*drug therapy/mortality/secondary; Lung Neoplasms/*drug therapy/mortality/secondary; Male; Prospective Studies; Quality of Life; Salvage Therapy; Survival Rate; *Topoisomerase I Inhibitors; Treatment Outcome&lt;/_subject_headings&gt;&lt;_tertiary_title&gt;Journal of clinical oncology : official journal of the American Society of _x000d__x000a_      Clinical Oncology&lt;/_tertiary_title&gt;&lt;_type_work&gt;Clinical Trial; Clinical Trial, Phase III; Comparative Study; Journal Article; Multicenter Study; Randomized Controlled Trial; Research Support, Non-U.S. Gov&amp;apos;t&lt;/_type_work&gt;&lt;_url&gt;http://www.ncbi.nlm.nih.gov/entrez/query.fcgi?cmd=Retrieve&amp;amp;db=pubmed&amp;amp;dopt=Abstract&amp;amp;list_uids=12610178&amp;amp;query_hl=1&lt;/_url&gt;&lt;_volume&gt;21&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DBB8DE67-F952-4F00-83C4-FEEECCE80559}" w:val=" ADDIN NE.Ref.{DBB8DE67-F952-4F00-83C4-FEEECCE80559}&lt;Citation&gt;&lt;Group&gt;&lt;References&gt;&lt;Item&gt;&lt;ID&gt;5021&lt;/ID&gt;&lt;UID&gt;{FC01DC97-7D4C-4C9D-9151-12C0AE958C20}&lt;/UID&gt;&lt;Title&gt;National Institute for Health and Care Excellence. Regorafenib for previously treated metastatic colorectal cancer [ID4002]. https://www.nice.org.uk/guidance(Accessed Feb 2, 2024).&lt;/Title&gt;&lt;Template&gt;Web Page&lt;/Template&gt;&lt;Star&gt;0&lt;/Star&gt;&lt;Tag&gt;0&lt;/Tag&gt;&lt;Author/&gt;&lt;Year&gt;0&lt;/Year&gt;&lt;Details&gt;&lt;_accessed&gt;65330793&lt;/_accessed&gt;&lt;_created&gt;65329711&lt;/_created&gt;&lt;_modified&gt;65329715&lt;/_modified&gt;&lt;/Details&gt;&lt;Extra&gt;&lt;DBUID&gt;{F96A950B-833F-4880-A151-76DA2D6A2879}&lt;/DBUID&gt;&lt;/Extra&gt;&lt;/Item&gt;&lt;/References&gt;&lt;/Group&gt;&lt;Group&gt;&lt;References&gt;&lt;Item&gt;&lt;ID&gt;5041&lt;/ID&gt;&lt;UID&gt;{3154A280-2B61-4C36-BD50-ABC671FE750F}&lt;/UID&gt;&lt;Title&gt;Health state utilities for non small cell lung cancer&lt;/Title&gt;&lt;Template&gt;Journal Article&lt;/Template&gt;&lt;Star&gt;0&lt;/Star&gt;&lt;Tag&gt;0&lt;/Tag&gt;&lt;Author&gt;Nafees, B; Stafford, M; Gavriel, S; Bhalla, S; Watkins, J&lt;/Author&gt;&lt;Year&gt;2008&lt;/Year&gt;&lt;Details&gt;&lt;_accession_num&gt;18939982&lt;/_accession_num&gt;&lt;_author_adr&gt;United BioSource Corporation, UK, 20 Bloomsbury Square, London, WC1A 2NS, UK.  beenish.nafees@unitedbiosource.com&lt;/_author_adr&gt;&lt;_date_display&gt;2008 Oct 21&lt;/_date_display&gt;&lt;_date&gt;2008-10-21&lt;/_date&gt;&lt;_doi&gt;10.1186/1477-7525-6-84&lt;/_doi&gt;&lt;_isbn&gt;1477-7525 (Electronic); 1477-7525 (Linking)&lt;/_isbn&gt;&lt;_journal&gt;Health Qual Life Outcomes&lt;/_journal&gt;&lt;_language&gt;eng&lt;/_language&gt;&lt;_pages&gt;84&lt;/_pages&gt;&lt;_subject_headings&gt;Adult; Antineoplastic Combined Chemotherapy Protocols/*adverse effects/therapeutic use; *Attitude to Health; Breast Neoplasms/drug therapy/pathology; Carcinoma, Non-Small-Cell Lung/*drug therapy/physiopathology/psychology; Clinical Trials, Phase III as Topic; Demography; *Disease Progression; Drug-Related Side Effects and Adverse Reactions/psychology; Female; Humans; Interviews as Topic; Lung Neoplasms/*drug therapy/physiopathology/psychology; Male; Middle Aged; Pilot Projects; Psychometrics/instrumentation/*standards; *Quality of Life; *Sickness Impact Profile; Treatment Outcome; United Kingdom&lt;/_subject_headings&gt;&lt;_tertiary_title&gt;Health and quality of life outcomes&lt;/_tertiary_title&gt;&lt;_type_work&gt;Journal Article; Validation Study&lt;/_type_work&gt;&lt;_url&gt;http://www.ncbi.nlm.nih.gov/entrez/query.fcgi?cmd=Retrieve&amp;amp;db=pubmed&amp;amp;dopt=Abstract&amp;amp;list_uids=18939982&amp;amp;query_hl=1&lt;/_url&gt;&lt;_volume&gt;6&lt;/_volume&gt;&lt;_created&gt;65329740&lt;/_created&gt;&lt;_modified&gt;65329740&lt;/_modified&gt;&lt;_impact_factor&gt;   3.600&lt;/_impact_factor&gt;&lt;_social_category&gt;卫生保健与服务(3) &amp;amp; 卫生政策与服务(2)&lt;/_social_category&gt;&lt;_collection_scope&gt;SSCI;SCIE&lt;/_collection_scope&gt;&lt;_accessed&gt;65330885&lt;/_accessed&gt;&lt;/Details&gt;&lt;Extra&gt;&lt;DBUID&gt;{F96A950B-833F-4880-A151-76DA2D6A2879}&lt;/DBUID&gt;&lt;/Extra&gt;&lt;/Item&gt;&lt;/References&gt;&lt;/Group&gt;&lt;/Citation&gt;_x000a_"/>
    <w:docVar w:name="NE.Ref{DC228AC9-DFFE-4A56-A40D-BB0B8D1496DA}" w:val=" ADDIN NE.Ref.{DC228AC9-DFFE-4A56-A40D-BB0B8D1496DA}&lt;Citation&gt;&lt;Group&gt;&lt;References&gt;&lt;Item&gt;&lt;ID&gt;5021&lt;/ID&gt;&lt;UID&gt;{FC01DC97-7D4C-4C9D-9151-12C0AE958C20}&lt;/UID&gt;&lt;Title&gt;National Institute for Health and Care Excellence. Regorafenib for previously treated metastatic colorectal cancer [ID4002]. https://www.nice.org.uk/guidance(Accessed Feb 2, 2024).&lt;/Title&gt;&lt;Template&gt;Web Page&lt;/Template&gt;&lt;Star&gt;0&lt;/Star&gt;&lt;Tag&gt;0&lt;/Tag&gt;&lt;Author/&gt;&lt;Year&gt;0&lt;/Year&gt;&lt;Details&gt;&lt;_accessed&gt;65330793&lt;/_accessed&gt;&lt;_created&gt;65329711&lt;/_created&gt;&lt;_modified&gt;65329715&lt;/_modified&gt;&lt;/Details&gt;&lt;Extra&gt;&lt;DBUID&gt;{F96A950B-833F-4880-A151-76DA2D6A2879}&lt;/DBUID&gt;&lt;/Extra&gt;&lt;/Item&gt;&lt;/References&gt;&lt;/Group&gt;&lt;Group&gt;&lt;References&gt;&lt;Item&gt;&lt;ID&gt;5040&lt;/ID&gt;&lt;UID&gt;{717BD1CF-CD3B-48EC-B523-80C0C3A00305}&lt;/UID&gt;&lt;Title&gt;Health state utilities for metastatic breast cancer&lt;/Title&gt;&lt;Template&gt;Journal Article&lt;/Template&gt;&lt;Star&gt;0&lt;/Star&gt;&lt;Tag&gt;0&lt;/Tag&gt;&lt;Author&gt;Lloyd, A; Nafees, B; Narewska, J; Dewilde, S; Watkins, J&lt;/Author&gt;&lt;Year&gt;2006&lt;/Year&gt;&lt;Details&gt;&lt;_accession_num&gt;16967055&lt;/_accession_num&gt;&lt;_author_adr&gt;United BioSource Corporation, 20 Bloomsbury Square, London WC1A 2NS, UK.  andrew.lloyd@unitedbiosource.com&lt;/_author_adr&gt;&lt;_date_display&gt;2006 Sep 18&lt;/_date_display&gt;&lt;_date&gt;2006-09-18&lt;/_date&gt;&lt;_doi&gt;10.1038/sj.bjc.6603326&lt;/_doi&gt;&lt;_isbn&gt;0007-0920 (Print); 1532-1827 (Electronic); 0007-0920 (Linking)&lt;/_isbn&gt;&lt;_issue&gt;6&lt;/_issue&gt;&lt;_journal&gt;Br J Cancer&lt;/_journal&gt;&lt;_language&gt;eng&lt;/_language&gt;&lt;_pages&gt;683-90&lt;/_pages&gt;&lt;_subject_headings&gt;Adult; Age Factors; *Attitude to Health; Breast Neoplasms/drug therapy/epidemiology/*psychology; Disease Progression; Female; *Health Status; Humans; Male; Pilot Projects; *Quality of Life; Recurrence; Sex Factors; *Sickness Impact Profile; United Kingdom/epidemiology&lt;/_subject_headings&gt;&lt;_tertiary_title&gt;British journal of cancer&lt;/_tertiary_title&gt;&lt;_type_work&gt;Comparative Study; Journal Article&lt;/_type_work&gt;&lt;_url&gt;http://www.ncbi.nlm.nih.gov/entrez/query.fcgi?cmd=Retrieve&amp;amp;db=pubmed&amp;amp;dopt=Abstract&amp;amp;list_uids=16967055&amp;amp;query_hl=1&lt;/_url&gt;&lt;_volume&gt;95&lt;/_volume&gt;&lt;_created&gt;65329740&lt;/_created&gt;&lt;_modified&gt;65329740&lt;/_modified&gt;&lt;_impact_factor&gt;   8.800&lt;/_impact_factor&gt;&lt;_social_category&gt;肿瘤学(2)&lt;/_social_category&gt;&lt;_collection_scope&gt;SCIE&lt;/_collection_scope&gt;&lt;_accessed&gt;65330884&lt;/_accessed&gt;&lt;/Details&gt;&lt;Extra&gt;&lt;DBUID&gt;{F96A950B-833F-4880-A151-76DA2D6A2879}&lt;/DBUID&gt;&lt;/Extra&gt;&lt;/Item&gt;&lt;/References&gt;&lt;/Group&gt;&lt;/Citation&gt;_x000a_"/>
    <w:docVar w:name="NE.Ref{DCD6C185-3FD1-4722-8E7A-EC6023FF4AA3}" w:val=" ADDIN NE.Ref.{DCD6C185-3FD1-4722-8E7A-EC6023FF4AA3}&lt;Citation&gt;&lt;Group&gt;&lt;References&gt;&lt;Item&gt;&lt;ID&gt;4704&lt;/ID&gt;&lt;UID&gt;{E5D060E0-105D-42BA-85B8-4491B0823450}&lt;/UID&gt;&lt;Title&gt;Health-related quality of life in patients with microsatellite instability-high  or mismatch repair deficient metastatic colorectal cancer treated with first-line  pembrolizumab versus chemotherapy (KEYNOTE-177): an open-label, randomised, phase  3 trial&lt;/Title&gt;&lt;Template&gt;Journal Article&lt;/Template&gt;&lt;Star&gt;0&lt;/Star&gt;&lt;Tag&gt;0&lt;/Tag&gt;&lt;Author&gt;Andre, T; Amonkar, M; Norquist, J M; Shiu, K K; Kim, T W; Jensen, B V; Jensen, L H; Punt, CJA; Smith, D; Garcia-Carbonero, R; Sevilla, I; De La Fouchardiere, C; Rivera, F; Elez, E; Diaz, LA Jr; Yoshino, T; Van Cutsem, E; Yang, P; Farooqui, M; &amp;quot;Le DT&amp;quot;&lt;/Author&gt;&lt;Year&gt;2021&lt;/Year&gt;&lt;Details&gt;&lt;_accession_num&gt;33812497&lt;/_accession_num&gt;&lt;_author_adr&gt;Sorbonne Université and Hõpital Saint-Antoine, Paris, France. Electronic address:  thierry.andre@aphp.fr.; Merck &amp;amp; Co, Kenilworth, NJ, USA.; Merck &amp;amp; Co, Kenilworth, NJ, USA.; University College Hospital, NHS Foundation Trust, London, UK.; Department of Oncology, Asan Medical Center, University of Ulsan College of  Medicine, Seoul, South Korea.; Herlev og Gentofte Hospital, Herlev, Denmark.; University Hospital of Southern Denmark, Vejle, Denmark.; Amsterdam University Medical Center, University of Amsterdam, Amsterdam,  Netherlands; Julius Center, University Medical Center Utrecht, Utrecht  University, Netherlands.; Hopital Haut Leveque, Pessac, France.; Hospital Universitario 12 de Octubre, Imas12, UCM, Madrid, Spain.; Investigación Clínica y Traslacional en Cáncer, Instituto de Investigaciones  Biomédicas de Málaga, Hospitales Universitarios Regional y Virgen de la Victoria  de Málaga, Malaga, Spain.; Centre Leon Berard, Lyon, France.; Hospital Universitario M de Valdecilla, IDIVAL, Santander, Spain.; Vall d&amp;apos;Hebron Barcelona Hospital Campus, Vall d&amp;apos;Hebron Institute of Oncology,  Universitat Autonoma de Barcelona, Barcelona, Spain.; Memorial Sloan Kettering Cancer Center, New York, NY, USA.; National Cancer Center Hospital East, Kashiwa, Japan.; University Hospitals Gasthuisberg/Leuven and KU Leuven, Leuven, Belgium.; MSD China, Shanghai, China.; Merck &amp;amp; Co, Kenilworth, NJ, USA.; Sidney Kimmel Comprehensive Cancer Center, Johns Hopkins University, Baltimore,  MD, USA.&lt;/_author_adr&gt;&lt;_date_display&gt;2021 May&lt;/_date_display&gt;&lt;_date&gt;2021-05-01&lt;/_date&gt;&lt;_doi&gt;10.1016/S1470-2045(21)00064-4&lt;/_doi&gt;&lt;_isbn&gt;1474-5488 (Electronic); 1470-2045 (Linking)&lt;/_isbn&gt;&lt;_issue&gt;5&lt;/_issue&gt;&lt;_journal&gt;Lancet Oncol&lt;/_journal&gt;&lt;_language&gt;eng&lt;/_language&gt;&lt;_ori_publication&gt;Copyright © 2021 Elsevier Ltd. All rights reserved.&lt;/_ori_publication&gt;&lt;_pages&gt;665-677&lt;/_pages&gt;&lt;_subject_headings&gt;Adult; Aged; Antibodies, Monoclonal, Humanized/*therapeutic use; Brain Neoplasms/*drug therapy/genetics/mortality/psychology; Colorectal Neoplasms/*drug therapy/genetics/mortality/psychology; DNA Mismatch Repair; Female; Humans; Male; *Microsatellite Instability; Middle Aged; Neoplasm Metastasis; Neoplastic Syndromes, Hereditary/*drug therapy/genetics/mortality/psychology; *Quality of Lif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33812497&amp;amp;query_hl=1&lt;/_url&gt;&lt;_volume&gt;22&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Citation&gt;_x000a_"/>
    <w:docVar w:name="NE.Ref{DDB51CD7-4B5C-4FF1-BC40-252AA0095B98}" w:val=" ADDIN NE.Ref.{DDB51CD7-4B5C-4FF1-BC40-252AA0095B98}&lt;Citation&gt;&lt;Group&gt;&lt;References&gt;&lt;Item&gt;&lt;ID&gt;4726&lt;/ID&gt;&lt;UID&gt;{A50213D4-C0E5-4422-9587-12CFDE52F709}&lt;/UID&gt;&lt;Title&gt;Health-related quality of life in patients with RAS wild-type metastatic  colorectal cancer treated with fluorouracil and folinic acid with or without  panitumumab as maintenance therapy: a prespecified secondary analysis of the  PanaMa (AIO KRK 0212) trial&lt;/Title&gt;&lt;Template&gt;Journal Article&lt;/Template&gt;&lt;Star&gt;0&lt;/Star&gt;&lt;Tag&gt;0&lt;/Tag&gt;&lt;Author&gt;Ballhausen, A; Karthaus, M; Fruehauf, S; Graeven, U; Müller, L; König, A O; von Weikersthal, L F; Sommerhäuser, G; Alig, AHS; Goekkurt, E; Meyer-Knees, J W; Kurreck, A; Stahler, A; Held, S; Kasper, S; Heinrich, K; Heinemann, V; Stintzing, S; Trarbach, T; Modest, D P&lt;/Author&gt;&lt;Year&gt;2023&lt;/Year&gt;&lt;Details&gt;&lt;_accession_num&gt;37454537&lt;/_accession_num&gt;&lt;_author_adr&gt;Charité - Universitätsmedizin Berlin, Corporate Member of Freie Universität  Berlin and Humboldt-Universität zu Berlin, Department of Hematology, Oncology,  and Cancer Immunology (CVK/CCM), Berlin, BE, Germany.; Klinikum Neuperlach/Klinikum Harlaching, Department of Hematology, Oncology, and  Palliative Care, Munich, BV, Germany.; Klinik Dr. Hancken GmbH, Department of Hematology, Oncology, and Palliative Care,  Stade, NI, Germany.; Kliniken Maria Hilf GmbH, Department of Hematology, Oncology, and  Gastroenterology, Mönchengladbach, NW, Germany.; Oncological Practice UnterEms, Leer, NI, Germany.; Department of Gastroenterology and Gastrointestinal Oncology, University Medical  Center Göttingen, Göttingen, NI, Germany.; Gesundheitszentrum St. Marien, Amberg, BY, Germany.; Charité - Universitätsmedizin Berlin, Corporate Member of Freie Universität  Berlin and Humboldt-Universität zu Berlin, Department of Hematology, Oncology,  and Cancer Immunology (CVK/CCM), Berlin, BE, Germany.; Charité - Universitätsmedizin Berlin, Corporate Member of Freie Universität  Berlin and Humboldt-Universität zu Berlin, Department of Hematology, Oncology,  and Cancer Immunology (CVK/CCM), Berlin, BE, Germany.; Practice of Hematology and Oncology (HOPE), Hamburg, HH, Germany.; Charité - Universitätsmedizin Berlin, Corporate Member of Freie Universität  Berlin and Humboldt-Universität zu Berlin, Department of Hematology, Oncology,  and Cancer Immunology (CVK/CCM), Berlin, BE, Germany.; Charité - Universitätsmedizin Berlin, Corporate Member of Freie Universität  Berlin and Humboldt-Universität zu Berlin, Department of Hematology, Oncology,  and Cancer Immunology (CVK/CCM), Berlin, BE, Germany.; Charité - Universitätsmedizin Berlin, Corporate Member of Freie Universität  Berlin and Humboldt-Universität zu Berlin, Department of Hematology, Oncology,  and Cancer Immunology (CVK/CCM), Berlin, BE, Germany.; ClinAssess GmbH, Leverkusen, NW, Germany.; West German Cancer Center, Department of Medical Oncology, University Hospital  Essen, Essen, NW, Germany.; University Hospital, LMU Munich, Department of Medicine III, and Comprehensive  Cancer Center Munich, Munich, BY, Germany.; University Hospital, LMU Munich, Department of Medicine III, and Comprehensive  Cancer Center Munich, Munich, BY, Germany; German Cancer Consortium (DKTK),  German Cancer Research Centre (DKFZ), Heidelberg, BW, Germany.; Charité - Universitätsmedizin Berlin, Corporate Member of Freie Universität  Berlin and Humboldt-Universität zu Berlin, Department of Hematology, Oncology,  and Cancer Immunology (CVK/CCM), Berlin, BE, Germany; German Cancer Consortium  (DKTK), German Cancer Research Centre (DKFZ), Heidelberg, BW, Germany.; West German Cancer Center, Department of Medical Oncology, University Hospital  Essen, Essen, NW, Germany; Reha-Zentrum am Meer, Bad Zwischenahn, NI, Germany.; Charité - Universitätsmedizin Berlin, Corporate Member of Freie Universität  Berlin and Humboldt-Universität zu Berlin, Department of Hematology, Oncology,  and Cancer Immunology (CVK/CCM), Berlin, BE, Germany; German Cancer Consortium  (DKTK), German Cancer Research Centre (DKFZ), Heidelberg, BW, Germany. Electronic  address: dominik.modest@charite.de.&lt;/_author_adr&gt;&lt;_date_display&gt;2023 Sep&lt;/_date_display&gt;&lt;_date&gt;2023-09-01&lt;/_date&gt;&lt;_doi&gt;10.1016/j.ejca.2023.112955&lt;/_doi&gt;&lt;_isbn&gt;1879-0852 (Electronic); 0959-8049 (Linking)&lt;/_isbn&gt;&lt;_journal&gt;Eur J Cancer&lt;/_journal&gt;&lt;_keywords&gt;Anti-EGFR therapy; First-line treatment; Health-related quality of life; Metastatic colorectal cancer; Patient-reported outcomes; RAS wild-type&lt;/_keywords&gt;&lt;_language&gt;eng&lt;/_language&gt;&lt;_ori_publication&gt;Copyright © 2023 Elsevier Ltd. All rights reserved.&lt;/_ori_publication&gt;&lt;_pages&gt;112955&lt;/_pages&gt;&lt;_subject_headings&gt;Humans; Panitumumab; Leucovorin/therapeutic use; Quality of Life; *Colorectal Neoplasms/drug therapy/genetics/pathology; Fluorouracil/therapeutic use; *Colonic Neoplasms; *Rectal Neoplasms; Antineoplastic Combined Chemotherapy Protocols/therapeutic use&lt;/_subject_headings&gt;&lt;_tertiary_title&gt;European journal of cancer (Oxford, England : 1990)&lt;/_tertiary_title&gt;&lt;_type_work&gt;Journal Article; Randomized Controlled Trial; Research Support, Non-U.S. Gov&amp;apos;t&lt;/_type_work&gt;&lt;_url&gt;http://www.ncbi.nlm.nih.gov/entrez/query.fcgi?cmd=Retrieve&amp;amp;db=pubmed&amp;amp;dopt=Abstract&amp;amp;list_uids=37454537&amp;amp;query_hl=1&lt;/_url&gt;&lt;_volume&gt;190&lt;/_volume&gt;&lt;_created&gt;65020956&lt;/_created&gt;&lt;_modified&gt;65020956&lt;/_modified&gt;&lt;_impact_factor&gt;  10.002&lt;/_impact_factor&gt;&lt;_social_category&gt;医学(1)&lt;/_social_category&gt;&lt;_collection_scope&gt;SCIE&lt;/_collection_scope&gt;&lt;/Details&gt;&lt;Extra&gt;&lt;DBUID&gt;{F96A950B-833F-4880-A151-76DA2D6A2879}&lt;/DBUID&gt;&lt;/Extra&gt;&lt;/Item&gt;&lt;/References&gt;&lt;/Group&gt;&lt;/Citation&gt;_x000a_"/>
    <w:docVar w:name="NE.Ref{DDFB8F4F-6DCD-4779-BB6C-4D5B34B74546}" w:val=" ADDIN NE.Ref.{DDFB8F4F-6DCD-4779-BB6C-4D5B34B74546}&lt;Citation&gt;&lt;Group&gt;&lt;References&gt;&lt;Item&gt;&lt;ID&gt;4701&lt;/ID&gt;&lt;UID&gt;{80800FC8-CB3E-45EB-A70C-F0B62D689719}&lt;/UID&gt;&lt;Title&gt;Quality of life with encorafenib plus cetuximab with or without binimetinib  treatment in patients with BRAF V600E-mutant metastatic colorectal cancer:  patient-reported outcomes from BEACON CRC&lt;/Title&gt;&lt;Template&gt;Journal Article&lt;/Template&gt;&lt;Star&gt;0&lt;/Star&gt;&lt;Tag&gt;0&lt;/Tag&gt;&lt;Author&gt;Kopetz, S; Grothey, A; Van Cutsem, E; Yaeger, R; Wasan, H; Yoshino, T; Desai, J; Ciardiello, F; Loupakis, F; Hong, Y S; Steeghs, N; Guren, T K; Arkenau, H T; Garcia-Alfonso, P; Belani, A; Zhang, X; Tabernero, J&lt;/Author&gt;&lt;Year&gt;2022&lt;/Year&gt;&lt;Details&gt;&lt;_accession_num&gt;35653981&lt;/_accession_num&gt;&lt;_author_adr&gt;University of Texas MD Anderson Cancer Center, Houston, USA. Electronic address:  skopetz@mdanderson.org.; West Cancer Center and Research Institute, OneOncology, Germantown, USA.; University Hospitals Gasthuisberg Leuven and KU Leuven, Leuven, Belgium.; Memorial Sloan-Kettering Cancer Center, New York, USA.; Hammersmith Hospital, Department of Cancer Medicine, London, UK.; National Cancer Center Hospital East, Kashiwa, Japan.; Royal Melbourne Hospital and Peter MacCallum Cancer Centre, Walter and Aliza Hall  Institute, Parkville, Australia.; University of Campania, Naples, Italy.; Istituto Oncologico del Veneto IRCCS, Padova, Italy.; Asan Medical Center, University of Ulsan College of Medicine, Seoul, Korea.; Netherlands Cancer Institute, Amsterdam, The Netherlands.; Oslo University Hospital, Department of Oncology, Oslo, Norway.; Sarah Cannon Research Institute, University College of London, London, UK.; Gregorio Marañón Hospital, Madrid, Spain.; Pfizer Inc, New York, USA.; Pfizer Inc, New York, USA.; Vall d&amp;apos;Hebron Hospital Campus, Vall d&amp;apos;Hebron Institute of Oncology (VHIO),  IOB-Quiron, UVic-UCC, Barcelona, Spain.&lt;/_author_adr&gt;&lt;_date_display&gt;2022 Jun&lt;/_date_display&gt;&lt;_date&gt;2022-06-01&lt;/_date&gt;&lt;_doi&gt;10.1016/j.esmoop.2022.100477&lt;/_doi&gt;&lt;_isbn&gt;2059-7029 (Electronic); 2059-7029 (Linking)&lt;/_isbn&gt;&lt;_issue&gt;3&lt;/_issue&gt;&lt;_journal&gt;ESMO Open&lt;/_journal&gt;&lt;_keywords&gt;BEACON CRC; cetuximab; colorectal cancer; encorafenib; patient-reported outcomes; quality of life&lt;/_keywords&gt;&lt;_language&gt;eng&lt;/_language&gt;&lt;_ori_publication&gt;Copyright © 2022 The Pfizer, The Author(s). Published by Elsevier Ltd.. All _x000d__x000a_      rights reserved.&lt;/_ori_publication&gt;&lt;_pages&gt;100477&lt;/_pages&gt;&lt;_subject_headings&gt;*Antineoplastic Agents/therapeutic use; Antineoplastic Combined Chemotherapy Protocols/therapeutic use; Benzimidazoles; Carbamates; Cetuximab/therapeutic use; *Colorectal Neoplasms/drug therapy/genetics; Humans; Mutation; Patient Reported Outcome Measures; *Proto-Oncogene Proteins B-raf/genetics; Quality of Life; Sulfonamides&lt;/_subject_headings&gt;&lt;_tertiary_title&gt;ESMO open&lt;/_tertiary_title&gt;&lt;_type_work&gt;Clinical Trial, Phase III; Journal Article; Randomized Controlled Trial; Research Support, N.I.H., Extramural; Research Support, Non-U.S. Gov&amp;apos;t&lt;/_type_work&gt;&lt;_url&gt;http://www.ncbi.nlm.nih.gov/entrez/query.fcgi?cmd=Retrieve&amp;amp;db=pubmed&amp;amp;dopt=Abstract&amp;amp;list_uids=35653981&amp;amp;query_hl=1&lt;/_url&gt;&lt;_volume&gt;7&lt;/_volume&gt;&lt;_created&gt;65020956&lt;/_created&gt;&lt;_modified&gt;65020956&lt;/_modified&gt;&lt;_impact_factor&gt;   6.883&lt;/_impact_factor&gt;&lt;_social_category&gt;医学(3)&lt;/_social_category&gt;&lt;_collection_scope&gt;SCIE&lt;/_collection_scope&gt;&lt;/Details&gt;&lt;Extra&gt;&lt;DBUID&gt;{F96A950B-833F-4880-A151-76DA2D6A2879}&lt;/DBUID&gt;&lt;/Extra&gt;&lt;/Item&gt;&lt;/References&gt;&lt;/Group&gt;&lt;/Citation&gt;_x000a_"/>
    <w:docVar w:name="NE.Ref{DE66471C-5EA6-4238-BE8A-13A4DE4C9DA0}" w:val=" ADDIN NE.Ref.{DE66471C-5EA6-4238-BE8A-13A4DE4C9DA0}&lt;Citation&gt;&lt;Group&gt;&lt;References&gt;&lt;Item&gt;&lt;ID&gt;3011&lt;/ID&gt;&lt;UID&gt;{0F926A27-416F-493B-ABFF-43BCA735BF6B}&lt;/UID&gt;&lt;Title&gt;Alectinib versus crizotinib in untreated Asian patients with anaplastic lymphoma  kinase-positive non-small-cell lung cancer (ALESIA): a randomised phase 3 study&lt;/Title&gt;&lt;Template&gt;Journal Article&lt;/Template&gt;&lt;Star&gt;0&lt;/Star&gt;&lt;Tag&gt;0&lt;/Tag&gt;&lt;Author&gt;Zhou, C; Kim, S W; Reungwetwattana, T; Zhou, J; Zhang, Y; He, J; Yang, J J; Cheng, Y; Lee, S H; Bu, L; Xu, T; Yang, L; Wang, C; Liu, T; Morcos, P N; Lu, Y; Zhang, L&lt;/Author&gt;&lt;Year&gt;2019&lt;/Year&gt;&lt;Details&gt;&lt;_accessed&gt;64632481&lt;/_accessed&gt;&lt;_accession_num&gt;30981696&lt;/_accession_num&gt;&lt;_author_adr&gt;Shanghai Pulmonary Hospital, Tongji University School of Medicine, Shanghai, China.; Asan Medical Center, Seoul, South Korea.; Faculty of Medicine Ramathibodi Hospital, Mahidol University, Bangkok, Thailand.; The First Affiliated Hospital of College of Medicine, Zhejiang University, Hangzhou, China.; Zhejiang Cancer Hospital, Hangzhou, China.; The First Affiliated Hospital of College of Medicine, Zhejiang University, Hangzhou, China.; Guangdong General Hospital, Guangzhou, China.; The First Affiliated Hospital of Guangzhou Medical University, Guangzhou, China;  Jilin Cancer Hospital, Changchun, China.; Samsung Medical Center, Sungkyunkwan University School of Medicine, Seoul, South  Korea.; Roche Pharma Development, Shanghai, China.; Roche Pharma Development, Shanghai, China.; Roche Pharma Development, Shanghai, China.; Roche Pharma Development, Shanghai, China.; F Hoffmann-La Roche, Basel, Switzerland.; Roche Innovation Center, New York, NY, USA.; West China Hospital, Sichuan University, Chengdu, China.; Sun Yat-sen University Cancer Center, State Key Laboratory of Oncology in South China, Collaborative Innovation Center for Cancer Medicine, Guangzhou, China. Electronic address: ChinazhangLi6@mail.sysu.edu.cn.&lt;/_author_adr&gt;&lt;_collection_scope&gt;SCIE&lt;/_collection_scope&gt;&lt;_created&gt;64630941&lt;/_created&gt;&lt;_date&gt;2019-05-01&lt;/_date&gt;&lt;_date_display&gt;2019 May&lt;/_date_display&gt;&lt;_db_updated&gt;PubMed&lt;/_db_updated&gt;&lt;_doi&gt;10.1016/S2213-2600(19)30053-0&lt;/_doi&gt;&lt;_impact_factor&gt; 102.642&lt;/_impact_factor&gt;&lt;_isbn&gt;2213-2619 (Electronic); 2213-2600 (Linking)&lt;/_isbn&gt;&lt;_issue&gt;5&lt;/_issue&gt;&lt;_journal&gt;Lancet Respir Med&lt;/_journal&gt;&lt;_language&gt;eng&lt;/_language&gt;&lt;_modified&gt;64740730&lt;/_modified&gt;&lt;_ori_publication&gt;Copyright (c) 2019 Elsevier Ltd. All rights reserved.&lt;/_ori_publication&gt;&lt;_pages&gt;437-446&lt;/_pages&gt;&lt;_social_category&gt;医学(1)&lt;/_social_category&gt;&lt;_subject_headings&gt;Adult; *Anaplastic Lymphoma Kinase; Carbazoles/*therapeutic use; Carcinoma, Non-Small-Cell Lung/*drug therapy; China; Crizotinib/*therapeutic use; Female; Humans; Lung Neoplasms/*drug therapy; Male; Middle Aged; Piperidines/*therapeutic use; Protein Kinase Inhibitors/*therapeutic use; Republic of Korea; Thailand; Treatment Outcome&lt;/_subject_headings&gt;&lt;_tertiary_title&gt;The Lancet. Respiratory medicine&lt;/_tertiary_title&gt;&lt;_type_work&gt;Clinical Trial, Phase III; Comparative Study; Journal Article; Randomized Controlled Trial; Research Support, Non-U.S. Gov&amp;apos;t&lt;/_type_work&gt;&lt;_url&gt;http://www.ncbi.nlm.nih.gov/entrez/query.fcgi?cmd=Retrieve&amp;amp;db=pubmed&amp;amp;dopt=Abstract&amp;amp;list_uids=30981696&amp;amp;query_hl=1&lt;/_url&gt;&lt;_volume&gt;7&lt;/_volume&gt;&lt;/Details&gt;&lt;Extra&gt;&lt;DBUID&gt;{F96A950B-833F-4880-A151-76DA2D6A2879}&lt;/DBUID&gt;&lt;/Extra&gt;&lt;/Item&gt;&lt;/References&gt;&lt;/Group&gt;&lt;Group&gt;&lt;References&gt;&lt;Item&gt;&lt;ID&gt;3012&lt;/ID&gt;&lt;UID&gt;{E371CB12-8E4A-4C39-9B8B-85DEBB02A151}&lt;/UID&gt;&lt;Title&gt;LBA11 Alectinib (ALC) vs crizotinib (CRZ) in Asian patients (pts) with treatment-naïve advanced ALK+ non-small cell lung cancer (NSCLC): 5-year update from the phase III ALESIA study&lt;/Title&gt;&lt;Template&gt;Journal Article&lt;/Template&gt;&lt;Star&gt;0&lt;/Star&gt;&lt;Tag&gt;0&lt;/Tag&gt;&lt;Author&gt;Zhou, C; Lu, Y; Kim, S-W.; Baisamut Reungwetwattana, T; Zhou, J; Zhang, Y; He, J; Yang, J; Cheng, Y; Lee, S-H.; Chang, J; Fang, J; Liu, Z; Bu, L; Qian, L; Xu, T; Archer, V; Hilton, M; Zhou, M; Zhang, L&lt;/Author&gt;&lt;Year&gt;2022&lt;/Year&gt;&lt;Details&gt;&lt;_alternate_title&gt;Annals of OncologyAbstract Book of the ESMO Asia Congress 2022 2-4 December 2022.&lt;/_alternate_title&gt;&lt;_date_display&gt;2022&lt;/_date_display&gt;&lt;_date&gt;2022-01-01&lt;/_date&gt;&lt;_doi&gt;https://doi.org/10.1016/j.annonc.2022.10.353&lt;/_doi&gt;&lt;_isbn&gt;0923-7534&lt;/_isbn&gt;&lt;_journal&gt;Annals of Oncology&lt;/_journal&gt;&lt;_pages&gt;S1563&lt;/_pages&gt;&lt;_url&gt;https://www.sciencedirect.com/science/article/pii/S0923753422045446&lt;/_url&gt;&lt;_volume&gt;33&lt;/_volume&gt;&lt;_created&gt;64740325&lt;/_created&gt;&lt;_modified&gt;64740730&lt;/_modified&gt;&lt;_impact_factor&gt;  51.769&lt;/_impact_factor&gt;&lt;_social_category&gt;医学(1)&lt;/_social_category&gt;&lt;_collection_scope&gt;SCIE&lt;/_collection_scope&gt;&lt;/Details&gt;&lt;Extra&gt;&lt;DBUID&gt;{F96A950B-833F-4880-A151-76DA2D6A2879}&lt;/DBUID&gt;&lt;/Extra&gt;&lt;/Item&gt;&lt;/References&gt;&lt;/Group&gt;&lt;/Citation&gt;_x000a_"/>
    <w:docVar w:name="NE.Ref{DF00C74A-379E-40BD-9873-895ECBE89D7D}" w:val=" ADDIN NE.Ref.{DF00C74A-379E-40BD-9873-895ECBE89D7D}&lt;Citation&gt;&lt;Group&gt;&lt;References&gt;&lt;Item&gt;&lt;ID&gt;2414&lt;/ID&gt;&lt;UID&gt;{70E6DC85-3DE2-47A1-8950-1E62A05488DB}&lt;/UID&gt;&lt;Title&gt;Tislelizumab Plus Chemotherapy vs Chemotherapy Alone as First-line Treatment for Advanced Squamous Non–Small-Cell Lung Cancer&lt;/Title&gt;&lt;Template&gt;Journal Article&lt;/Template&gt;&lt;Star&gt;0&lt;/Star&gt;&lt;Tag&gt;0&lt;/Tag&gt;&lt;Author&gt;Wang, Jie; Lu, Shun; Yu, Xinmin; Hu, Yanping; Sun, Yuping; Wang, Zhijie; Zhao, Jun; Yu, Yan; Hu, Chunhong; Yang, Kunyu; Feng, Guosheng; Ying, Kejing; Zhuang, Wu; Zhou, Jianying; Wu, Jingxun; Leaw, Shiang Jiin; Zhang, Jing; Lin, Xiao; Liang, Liang; Yang, Nong&lt;/Author&gt;&lt;Year&gt;2021&lt;/Year&gt;&lt;Details&gt;&lt;_accessed&gt;64335835&lt;/_accessed&gt;&lt;_collection_scope&gt;SCIE&lt;/_collection_scope&gt;&lt;_created&gt;64335835&lt;/_created&gt;&lt;_date&gt;63813600&lt;/_date&gt;&lt;_db_updated&gt;CrossRef&lt;/_db_updated&gt;&lt;_doi&gt;10.1001/jamaoncol.2021.0366&lt;/_doi&gt;&lt;_impact_factor&gt;  33.006&lt;/_impact_factor&gt;&lt;_isbn&gt;2374-2437&lt;/_isbn&gt;&lt;_issue&gt;5&lt;/_issue&gt;&lt;_journal&gt;JAMA Oncology&lt;/_journal&gt;&lt;_modified&gt;64630791&lt;/_modified&gt;&lt;_pages&gt;709&lt;/_pages&gt;&lt;_tertiary_title&gt;JAMA Oncol&lt;/_tertiary_title&gt;&lt;_url&gt;https://jamanetwork.com/journals/jamaoncology/fullarticle/2777901_x000d__x000a_https://jamanetwork.com/journals/jamaoncology/articlepdf/2777901/jamaoncology_wang_2021_oi_210004_1636496181.08904.pdf&lt;/_url&gt;&lt;_volume&gt;7&lt;/_volume&gt;&lt;_social_category&gt;医学(1)&lt;/_social_category&gt;&lt;/Details&gt;&lt;Extra&gt;&lt;DBUID&gt;{F96A950B-833F-4880-A151-76DA2D6A2879}&lt;/DBUID&gt;&lt;/Extra&gt;&lt;/Item&gt;&lt;/References&gt;&lt;/Group&gt;&lt;Group&gt;&lt;References&gt;&lt;Item&gt;&lt;ID&gt;2415&lt;/ID&gt;&lt;UID&gt;{D434C099-0827-4A03-8792-AA649B5BBD7A}&lt;/UID&gt;&lt;Title&gt;Updated Analysis From KEYNOTE-189: Pembrolizumab or Placebo Plus Pemetrexed and Platinum for Previously Untreated Metastatic Nonsquamous Non-Small-Cell Lung Cancer&lt;/Title&gt;&lt;Template&gt;Journal Article&lt;/Template&gt;&lt;Star&gt;0&lt;/Star&gt;&lt;Tag&gt;0&lt;/Tag&gt;&lt;Author&gt;Gadgeel, Shirish; Rodríguez-Abreu, Delvys; Speranza, Giovanna; Esteban, Emilio; Felip, Enriqueta; Dómine, Manuel; Hui, Rina; Hochmair, Maximilian J; Clingan, Philip; Powell, Steven F; Cheng, Susanna Yee-Shan; Bischoff, Helge G; Peled, Nir; Grossi, Francesco; Jennens, Ross R; Reck, Martin; Garon, Edward B; Novello, Silvia; Rubio-Viqueira, Belén; Boyer, Michael; Kurata, Takayasu; Gray, Jhanelle E; Yang, Jing; Bas, Tuba; Pietanza, M Catherine; Garassino, Marina C&lt;/Author&gt;&lt;Year&gt;2020&lt;/Year&gt;&lt;Details&gt;&lt;_accessed&gt;64335835&lt;/_accessed&gt;&lt;_collection_scope&gt;SCI;SCIE&lt;/_collection_scope&gt;&lt;_created&gt;64335835&lt;/_created&gt;&lt;_date&gt;63113760&lt;/_date&gt;&lt;_date_display&gt;2020&lt;/_date_display&gt;&lt;_db_updated&gt;PKU Search&lt;/_db_updated&gt;&lt;_doi&gt;10.1200/JCO.19.03136&lt;/_doi&gt;&lt;_impact_factor&gt;  50.717&lt;/_impact_factor&gt;&lt;_isbn&gt;0732-183X&lt;/_isbn&gt;&lt;_issue&gt;14&lt;/_issue&gt;&lt;_journal&gt;Journal of clinical oncology&lt;/_journal&gt;&lt;_keywords&gt;Adult; Aged; Aged, 80 and over; Antibodies, Monoclonal, Humanized - pharmacology; Antibodies, Monoclonal, Humanized - therapeutic use; Antineoplastic Combined Chemotherapy Protocols - pharmacology; Antineoplastic Combined Chemotherapy Protocols - therapeutic use; Carcinoma, Non-Small-Cell Lung - drug therapy; Carcinoma, Non-Small-Cell Lung - mortality; Disease-Free Survival; Female; Humans; Lung Neoplasms - drug therapy; Lung Neoplasms - mortality; Male; Middle Aged; Neoplasm Metastasis; Pemetrexed - pharmacology; Pemetrexed - therapeutic use; Platinum - pharmacology; Platinum - therapeutic use&lt;/_keywords&gt;&lt;_modified&gt;64630791&lt;/_modified&gt;&lt;_number&gt;1&lt;/_number&gt;&lt;_pages&gt;1505-1517&lt;/_pages&gt;&lt;_place_published&gt;United States&lt;/_place_published&gt;&lt;_url&gt;https://go.exlibris.link/qfJqBdzV&lt;/_url&gt;&lt;_volume&gt;38&lt;/_volume&gt;&lt;_social_category&gt;医学(1)&lt;/_social_category&gt;&lt;/Details&gt;&lt;Extra&gt;&lt;DBUID&gt;{F96A950B-833F-4880-A151-76DA2D6A2879}&lt;/DBUID&gt;&lt;/Extra&gt;&lt;/Item&gt;&lt;/References&gt;&lt;/Group&gt;&lt;Group&gt;&lt;References&gt;&lt;Item&gt;&lt;ID&gt;2416&lt;/ID&gt;&lt;UID&gt;{F47FFEB3-4D3D-4BAB-92D4-3F8DADF81E48}&lt;/UID&gt;&lt;Title&gt;Updated Overall Survival Data and Predictive Biomarkers of Sintilimab Plus Pemetrexed and Platinum as First-Line Treatment for Locally Advanced or Metastatic Nonsquamous NSCLC in the Phase 3 ORIENT-11 Study&lt;/Title&gt;&lt;Template&gt;Journal Article&lt;/Template&gt;&lt;Star&gt;0&lt;/Star&gt;&lt;Tag&gt;0&lt;/Tag&gt;&lt;Author&gt;Yang, Yunpeng; Sun, Jiya; Wang, Zhehai; Fang, Jian; Yu, Qitao; Han, Baohui; Cang, Shundong; Chen, Gongyan; Mei, Xiaodong; Yang, Zhixiong; Ma, Rui; Bi, Minghong; Ren, Xiubao; Zhou, Jianying; Li, Baolan; Song, Yong; Feng, Jifeng; Li, Juan; He, Zhiyong; Zhou, Rui; Li, Weimin; Lu, You; Zhou, Hui; Wang, Shuyan; Sun, Luyao; Puig, Oscar; Mancao, Christoph; Peng, Bo; Fang, Wenfeng; Xu, Wei; Zhang, Li&lt;/Author&gt;&lt;Year&gt;2021&lt;/Year&gt;&lt;Details&gt;&lt;_accessed&gt;64335835&lt;/_accessed&gt;&lt;_collection_scope&gt;SCI;SCIE&lt;/_collection_scope&gt;&lt;_created&gt;64335835&lt;/_created&gt;&lt;_db_updated&gt;CrossRef&lt;/_db_updated&gt;&lt;_doi&gt;10.1016/j.jtho.2021.07.015&lt;/_doi&gt;&lt;_impact_factor&gt;  20.121&lt;/_impact_factor&gt;&lt;_isbn&gt;15560864&lt;/_isbn&gt;&lt;_issue&gt;12&lt;/_issue&gt;&lt;_journal&gt;Journal of Thoracic Oncology&lt;/_journal&gt;&lt;_modified&gt;64630791&lt;/_modified&gt;&lt;_pages&gt;2109-2120&lt;/_pages&gt;&lt;_tertiary_title&gt;Journal of Thoracic Oncology&lt;/_tertiary_title&gt;&lt;_url&gt;https://linkinghub.elsevier.com/retrieve/pii/S1556086421023303_x000d__x000a_https://api.elsevier.com/content/article/PII:S1556086421023303?httpAccept=text/xml&lt;/_url&gt;&lt;_volume&gt;16&lt;/_volume&gt;&lt;_social_category&gt;医学(1)&lt;/_social_category&gt;&lt;/Details&gt;&lt;Extra&gt;&lt;DBUID&gt;{F96A950B-833F-4880-A151-76DA2D6A2879}&lt;/DBUID&gt;&lt;/Extra&gt;&lt;/Item&gt;&lt;/References&gt;&lt;/Group&gt;&lt;Group&gt;&lt;References&gt;&lt;Item&gt;&lt;ID&gt;2417&lt;/ID&gt;&lt;UID&gt;{9FCD24A3-B2F2-4C8F-BF0C-B890D7193ED4}&lt;/UID&gt;&lt;Title&gt;Tislelizumab Plus Chemotherapy as First-Line Treatment for Locally Advanced or Metastatic Nonsquamous NSCLC (RATIONALE 304): A Randomized Phase 3 Trial&lt;/Title&gt;&lt;Template&gt;Journal Article&lt;/Template&gt;&lt;Star&gt;0&lt;/Star&gt;&lt;Tag&gt;0&lt;/Tag&gt;&lt;Author&gt;Lu, Shun; Wang, Jie; Yu, Yan; Yu, Xinmin; Hu, Yanping; Ai, Xinghao; Ma, Zhiyong; Li, Xingya; Zhuang, Wu; Liu, Yunpeng; Li, Weidong; Cui, Jiuwei; Wang, Dong; Liao, Wangjun; Zhou, Jianying; Wang, Zhehai; Sun, Yuping; Qiu, Xiusong; Gao, Jie; Bao, Yuanyuan; Liang, Liang; Wang, Mengzhao&lt;/Author&gt;&lt;Year&gt;2021&lt;/Year&gt;&lt;Details&gt;&lt;_accessed&gt;64335835&lt;/_accessed&gt;&lt;_collection_scope&gt;SCI;SCIE&lt;/_collection_scope&gt;&lt;_created&gt;64335835&lt;/_created&gt;&lt;_db_updated&gt;CrossRef&lt;/_db_updated&gt;&lt;_doi&gt;10.1016/j.jtho.2021.05.005&lt;/_doi&gt;&lt;_impact_factor&gt;  20.121&lt;/_impact_factor&gt;&lt;_isbn&gt;15560864&lt;/_isbn&gt;&lt;_issue&gt;9&lt;/_issue&gt;&lt;_journal&gt;Journal of Thoracic Oncology&lt;/_journal&gt;&lt;_modified&gt;64630791&lt;/_modified&gt;&lt;_pages&gt;1512-1522&lt;/_pages&gt;&lt;_tertiary_title&gt;Journal of Thoracic Oncology&lt;/_tertiary_title&gt;&lt;_url&gt;https://linkinghub.elsevier.com/retrieve/pii/S1556086421021766_x000d__x000a_https://api.elsevier.com/content/article/PII:S1556086421021766?httpAccept=text/xml&lt;/_url&gt;&lt;_volume&gt;16&lt;/_volume&gt;&lt;_social_category&gt;医学(1)&lt;/_social_category&gt;&lt;/Details&gt;&lt;Extra&gt;&lt;DBUID&gt;{F96A950B-833F-4880-A151-76DA2D6A2879}&lt;/DBUID&gt;&lt;/Extra&gt;&lt;/Item&gt;&lt;/References&gt;&lt;/Group&gt;&lt;Group&gt;&lt;References&gt;&lt;Item&gt;&lt;ID&gt;2418&lt;/ID&gt;&lt;UID&gt;{AB8D0A8E-456C-4496-81AA-60C1CB674F22}&lt;/UID&gt;&lt;Title&gt;Atezolizumab in Combination With Carboplatin and Nab-Paclitaxel in Advanced Squamous NSCLC (IMpower131): Results From a Randomized Phase III Trial&lt;/Title&gt;&lt;Template&gt;Journal Article&lt;/Template&gt;&lt;Star&gt;0&lt;/Star&gt;&lt;Tag&gt;0&lt;/Tag&gt;&lt;Author&gt;Jotte, Robert; Cappuzzo, Federico; Vynnychenko, Ihor; Stroyakovskiy, Daniil; Rodríguez-Abreu, Delvys; Hussein, Maen; Soo, Ross; Conter, Henry J; Kozuki, Toshiyuki; Huang, Kuan-Chieh; Graupner, Vilma; Sun, Shawn W; Hoang, Tien; Jessop, Helen; McCleland, Mark; Ballinger, Marcus; Sandler, Alan; Socinski, Mark A&lt;/Author&gt;&lt;Year&gt;2020&lt;/Year&gt;&lt;Details&gt;&lt;_accessed&gt;64335835&lt;/_accessed&gt;&lt;_collection_scope&gt;SCI;SCIE&lt;/_collection_scope&gt;&lt;_created&gt;64335835&lt;/_created&gt;&lt;_db_updated&gt;CrossRef&lt;/_db_updated&gt;&lt;_doi&gt;10.1016/j.jtho.2020.03.028&lt;/_doi&gt;&lt;_impact_factor&gt;  20.121&lt;/_impact_factor&gt;&lt;_isbn&gt;15560864&lt;/_isbn&gt;&lt;_issue&gt;8&lt;/_issue&gt;&lt;_journal&gt;Journal of Thoracic Oncology&lt;/_journal&gt;&lt;_modified&gt;64630791&lt;/_modified&gt;&lt;_pages&gt;1351-1360&lt;/_pages&gt;&lt;_tertiary_title&gt;Journal of Thoracic Oncology&lt;/_tertiary_title&gt;&lt;_url&gt;https://linkinghub.elsevier.com/retrieve/pii/S1556086420302926_x000d__x000a_https://api.elsevier.com/content/article/PII:S1556086420302926?httpAccept=text/xml&lt;/_url&gt;&lt;_volume&gt;15&lt;/_volume&gt;&lt;_social_category&gt;医学(1)&lt;/_social_category&gt;&lt;/Details&gt;&lt;Extra&gt;&lt;DBUID&gt;{F96A950B-833F-4880-A151-76DA2D6A2879}&lt;/DBUID&gt;&lt;/Extra&gt;&lt;/Item&gt;&lt;/References&gt;&lt;/Group&gt;&lt;Group&gt;&lt;References&gt;&lt;Item&gt;&lt;ID&gt;2419&lt;/ID&gt;&lt;UID&gt;{2DDE4EEB-3625-44DE-82A6-06BF0BC27801}&lt;/UID&gt;&lt;Title&gt;A Randomized, Placebo-Controlled Trial of Pembrolizumab Plus Chemotherapy in Patients With Metastatic Squamous NSCLC: Protocol-Specified Final Analysis of KEYNOTE-407&lt;/Title&gt;&lt;Template&gt;Journal Article&lt;/Template&gt;&lt;Star&gt;0&lt;/Star&gt;&lt;Tag&gt;0&lt;/Tag&gt;&lt;Author&gt;Paz-Ares, Luis; Vicente, David; Tafreshi, Ali; Robinson, Andrew; Soto Parra, Hector; Mazières, Julien; Hermes, Barbara; Cicin, Irfan; Medgyasszay, Balazs; Rodríguez-Cid, Jerónimo; Okamoto, Isamu; Lee, SungSook; Ramlau, Rodryg; Vladimirov, Vladimir; Cheng, Ying; Deng, Xuan; Zhang, Ying; Bas, Tuba; Piperdi, Bilal; Halmos, Balazs&lt;/Author&gt;&lt;Year&gt;2020&lt;/Year&gt;&lt;Details&gt;&lt;_accessed&gt;64335835&lt;/_accessed&gt;&lt;_collection_scope&gt;SCI;SCIE&lt;/_collection_scope&gt;&lt;_created&gt;64335835&lt;/_created&gt;&lt;_db_updated&gt;CrossRef&lt;/_db_updated&gt;&lt;_doi&gt;10.1016/j.jtho.2020.06.015&lt;/_doi&gt;&lt;_impact_factor&gt;  20.121&lt;/_impact_factor&gt;&lt;_isbn&gt;15560864&lt;/_isbn&gt;&lt;_issue&gt;10&lt;/_issue&gt;&lt;_journal&gt;Journal of Thoracic Oncology&lt;/_journal&gt;&lt;_modified&gt;64630791&lt;/_modified&gt;&lt;_pages&gt;1657-1669&lt;/_pages&gt;&lt;_tertiary_title&gt;Journal of Thoracic Oncology&lt;/_tertiary_title&gt;&lt;_url&gt;https://linkinghub.elsevier.com/retrieve/pii/S1556086420305001_x000d__x000a_https://api.elsevier.com/content/article/PII:S1556086420305001?httpAccept=text/xml&lt;/_url&gt;&lt;_volume&gt;15&lt;/_volume&gt;&lt;_social_category&gt;医学(1)&lt;/_social_category&gt;&lt;/Details&gt;&lt;Extra&gt;&lt;DBUID&gt;{F96A950B-833F-4880-A151-76DA2D6A2879}&lt;/DBUID&gt;&lt;/Extra&gt;&lt;/Item&gt;&lt;/References&gt;&lt;/Group&gt;&lt;Group&gt;&lt;References&gt;&lt;Item&gt;&lt;ID&gt;2420&lt;/ID&gt;&lt;UID&gt;{3325B8D1-BC11-43EF-A20A-22875D59B44B}&lt;/UID&gt;&lt;Title&gt;Sintilimab Plus Platinum and Gemcitabine as First-Line Treatment for Advanced or Metastatic Squamous NSCLC: Results From a Randomized, Double-Blind, Phase 3 Trial (ORIENT-12)&lt;/Title&gt;&lt;Template&gt;Journal Article&lt;/Template&gt;&lt;Star&gt;0&lt;/Star&gt;&lt;Tag&gt;0&lt;/Tag&gt;&lt;Author&gt;Zhou, Caicun; Wu, Lin; Fan, Yun; Wang, Zhehai; Liu, Lianke; Chen, Gongyan; Zhang, Li; Huang, Dingzhi; Cang, Shundong; Yang, Zhixiong; Zhou, Jianying; Zhou, Chengzhi; Li, Baolan; Li, Juan; Fan, Min; Cui, Jiuwei; Li, Yuping; Zhao, Hui; Fang, Jian; Xue, Jianxin; Hu, Chengping; Sun, Ping; Du, Yingying; Zhou, Hui; Wang, Shuyan; Zhang, Wen&lt;/Author&gt;&lt;Year&gt;2021&lt;/Year&gt;&lt;Details&gt;&lt;_accessed&gt;64335835&lt;/_accessed&gt;&lt;_collection_scope&gt;SCI;SCIE&lt;/_collection_scope&gt;&lt;_created&gt;64335835&lt;/_created&gt;&lt;_db_updated&gt;CrossRef&lt;/_db_updated&gt;&lt;_doi&gt;10.1016/j.jtho.2021.04.011&lt;/_doi&gt;&lt;_impact_factor&gt;  20.121&lt;/_impact_factor&gt;&lt;_isbn&gt;15560864&lt;/_isbn&gt;&lt;_issue&gt;9&lt;/_issue&gt;&lt;_journal&gt;Journal of Thoracic Oncology&lt;/_journal&gt;&lt;_modified&gt;64630791&lt;/_modified&gt;&lt;_pages&gt;1501-1511&lt;/_pages&gt;&lt;_tertiary_title&gt;Journal of Thoracic Oncology&lt;/_tertiary_title&gt;&lt;_url&gt;https://linkinghub.elsevier.com/retrieve/pii/S1556086421021286_x000d__x000a_https://api.elsevier.com/content/article/PII:S1556086421021286?httpAccept=text/xml&lt;/_url&gt;&lt;_volume&gt;16&lt;/_volume&gt;&lt;_social_category&gt;医学(1)&lt;/_social_category&gt;&lt;/Details&gt;&lt;Extra&gt;&lt;DBUID&gt;{F96A950B-833F-4880-A151-76DA2D6A2879}&lt;/DBUID&gt;&lt;/Extra&gt;&lt;/Item&gt;&lt;/References&gt;&lt;/Group&gt;&lt;Group&gt;&lt;References&gt;&lt;Item&gt;&lt;ID&gt;2421&lt;/ID&gt;&lt;UID&gt;{C1A3A664-7E4D-4827-A434-35C8F4AAF192}&lt;/UID&gt;&lt;Title&gt;Camrelizumab Plus Carboplatin and Paclitaxel as First-Line Treatment for Advanced Squamous NSCLC (CameL-Sq): A Phase 3 Trial&lt;/Title&gt;&lt;Template&gt;Journal Article&lt;/Template&gt;&lt;Star&gt;0&lt;/Star&gt;&lt;Tag&gt;0&lt;/Tag&gt;&lt;Author&gt;Ren, Shengxiang; Chen, Jianhua; Xu, Xingxiang; Jiang, Tao; Cheng, Ying; Chen, Gongyan; Pan, Yueyin; Fang, Yong; Wang, Qiming; Huang, Yunchao; Yao, Wenxiu; Wang, Rui; Li, Xingya; Zhang, Wei; Zhang, Yanjun; Hu, Sheng; Guo, Renhua; Shi, Jianhua; Wang, Zhiwu; Cao, Peiguo; Wang, Donglin; Fang, Jian; Luo, Hui; Geng, Yi; Xing, Chunyan; Lv, Dongqing; Zhang, Yiping; Yu, Junyan; Cang, Shundong; Yang, Zeyu; Shi, Wei; Zou, Jianjun; Zhou, Caicun&lt;/Author&gt;&lt;Year&gt;2022&lt;/Year&gt;&lt;Details&gt;&lt;_accessed&gt;64335835&lt;/_accessed&gt;&lt;_collection_scope&gt;SCI;SCIE&lt;/_collection_scope&gt;&lt;_created&gt;64335835&lt;/_created&gt;&lt;_db_updated&gt;CrossRef&lt;/_db_updated&gt;&lt;_doi&gt;10.1016/j.jtho.2021.11.018&lt;/_doi&gt;&lt;_impact_factor&gt;  20.121&lt;/_impact_factor&gt;&lt;_isbn&gt;15560864&lt;/_isbn&gt;&lt;_issue&gt;4&lt;/_issue&gt;&lt;_journal&gt;Journal of Thoracic Oncology&lt;/_journal&gt;&lt;_modified&gt;64630791&lt;/_modified&gt;&lt;_pages&gt;544-557&lt;/_pages&gt;&lt;_tertiary_title&gt;Journal of Thoracic Oncology&lt;/_tertiary_title&gt;&lt;_url&gt;https://linkinghub.elsevier.com/retrieve/pii/S155608642103392X_x000d__x000a_https://api.elsevier.com/content/article/PII:S155608642103392X?httpAccept=text/xml&lt;/_url&gt;&lt;_volume&gt;17&lt;/_volume&gt;&lt;_social_category&gt;医学(1)&lt;/_social_category&gt;&lt;/Details&gt;&lt;Extra&gt;&lt;DBUID&gt;{F96A950B-833F-4880-A151-76DA2D6A2879}&lt;/DBUID&gt;&lt;/Extra&gt;&lt;/Item&gt;&lt;/References&gt;&lt;/Group&gt;&lt;Group&gt;&lt;References&gt;&lt;Item&gt;&lt;ID&gt;2422&lt;/ID&gt;&lt;UID&gt;{FE096A0F-8636-48A0-B76B-3E7F2AC5A425}&lt;/UID&gt;&lt;Title&gt;Atezolizumab Plus Chemotherapy for First-Line Treatment of Nonsquamous NSCLC: Results From the Randomized Phase 3 IMpower132 Trial&lt;/Title&gt;&lt;Template&gt;Journal Article&lt;/Template&gt;&lt;Star&gt;0&lt;/Star&gt;&lt;Tag&gt;0&lt;/Tag&gt;&lt;Author&gt;Nishio, Makoto; Barlesi, Fabrice; West, Howard; Ball, Simon; Bordoni, Rodolfo; Cobo, Manuel; Longeras, Pascale Dubray; Goldschmidt, Jerome; Novello, Silvia; Orlandi, Francisco; Sanborn, Rachel E; Szalai, Zsuzsanna; Ursol, Grigoriy; Mendus, Diana; Wang, Lijia; Wen, Xiaohui; McCleland, Mark; Hoang, Tien; Phan, See; Socinski, Mark A&lt;/Author&gt;&lt;Year&gt;2021&lt;/Year&gt;&lt;Details&gt;&lt;_accessed&gt;64335835&lt;/_accessed&gt;&lt;_collection_scope&gt;SCI;SCIE&lt;/_collection_scope&gt;&lt;_created&gt;64335835&lt;/_created&gt;&lt;_db_updated&gt;CrossRef&lt;/_db_updated&gt;&lt;_doi&gt;10.1016/j.jtho.2020.11.025&lt;/_doi&gt;&lt;_impact_factor&gt;  20.121&lt;/_impact_factor&gt;&lt;_isbn&gt;15560864&lt;/_isbn&gt;&lt;_issue&gt;4&lt;/_issue&gt;&lt;_journal&gt;Journal of Thoracic Oncology&lt;/_journal&gt;&lt;_modified&gt;64630791&lt;/_modified&gt;&lt;_pages&gt;653-664&lt;/_pages&gt;&lt;_tertiary_title&gt;Journal of Thoracic Oncology&lt;/_tertiary_title&gt;&lt;_url&gt;https://linkinghub.elsevier.com/retrieve/pii/S155608642031100X_x000d__x000a_https://api.elsevier.com/content/article/PII:S155608642031100X?httpAccept=text/xml&lt;/_url&gt;&lt;_volume&gt;16&lt;/_volume&gt;&lt;_social_category&gt;医学(1)&lt;/_social_category&gt;&lt;/Details&gt;&lt;Extra&gt;&lt;DBUID&gt;{F96A950B-833F-4880-A151-76DA2D6A2879}&lt;/DBUID&gt;&lt;/Extra&gt;&lt;/Item&gt;&lt;/References&gt;&lt;/Group&gt;&lt;Group&gt;&lt;References&gt;&lt;Item&gt;&lt;ID&gt;2423&lt;/ID&gt;&lt;UID&gt;{A9FA364D-32CD-49A2-9651-D54A0D1F91AD}&lt;/UID&gt;&lt;Title&gt;MA13.08 CHOICE-01: A Phase 3 Study of Toripalimab Versus Placebo in Combination With First-Line Chemotherapy for Advanced NSCLC&lt;/Title&gt;&lt;Template&gt;Journal Article&lt;/Template&gt;&lt;Star&gt;0&lt;/Star&gt;&lt;Tag&gt;0&lt;/Tag&gt;&lt;Author&gt;Wang, J; Wang, Z; Wu, L; Li, B; Cheng, Y; Li, X; Wang, X; Han, L; Wu, X; Fan, Y; Yu, Y; Lv, D; Shi, J; Huang, J; Zhou, S; Han, B; Sun, G; Guo, Q; Ji, Y; Zhu, X; Hu, S; Zhang, W; Wang, Q; Jia, Y; Wang, Z; Song, Y; Wu, J; Shi, M; Li, X; Han, Z; Liu, Y; Yu, Z; Liu, A; Wang, X; Zhou, C; Zhong, D; Miao, L; Zhang, Z; Zhao, H; Yang, J; Wang, D; Wang, Y; Li, Q; Zhang, X; Ji, M; Yang, Z; Cui, J; Gao, B; Wang, B; Liu, H; Nie, L; He, M; Jin, S; Gu, W; Shu, Y; Zhou, T; Feng, J; Yang, X; Huang, C; Zhu, B; Yao, Y; Wang, Y; Kang, X; Yao, S; Keegan, P&lt;/Author&gt;&lt;Year&gt;2021&lt;/Year&gt;&lt;Details&gt;&lt;_accessed&gt;64256846&lt;/_accessed&gt;&lt;_collection_scope&gt;SCI;SCIE&lt;/_collection_scope&gt;&lt;_created&gt;64080625&lt;/_created&gt;&lt;_doi&gt;10.1016/j.jtho.2021.08.181&lt;/_doi&gt;&lt;_impact_factor&gt;  20.121&lt;/_impact_factor&gt;&lt;_isbn&gt;1556-0864&lt;/_isbn&gt;&lt;_issue&gt;10, Supplement&lt;/_issue&gt;&lt;_journal&gt;Journal of Thoracic Oncology&lt;/_journal&gt;&lt;_modified&gt;64630791&lt;/_modified&gt;&lt;_pages&gt;S927-S928&lt;/_pages&gt;&lt;_url&gt;https://www.sciencedirect.com/science/article/pii/S1556086421026046&lt;/_url&gt;&lt;_volume&gt;16&lt;/_volume&gt;&lt;_social_category&gt;医学(1)&lt;/_social_category&gt;&lt;/Details&gt;&lt;Extra&gt;&lt;DBUID&gt;{F96A950B-833F-4880-A151-76DA2D6A2879}&lt;/DBUID&gt;&lt;/Extra&gt;&lt;/Item&gt;&lt;/References&gt;&lt;/Group&gt;&lt;Group&gt;&lt;References&gt;&lt;Item&gt;&lt;ID&gt;2424&lt;/ID&gt;&lt;UID&gt;{F6F9DB4D-56A0-4126-8B9A-A7634F11FB7D}&lt;/UID&gt;&lt;Title&gt;Sugemalimab versus placebo, in combination with platinum-based chemotherapy, as first-line treatment of metastatic non-small-cell lung cancer (GEMSTONE-302): interim and final analyses of a double-blind, randomised, phase 3 clinical trial&lt;/Title&gt;&lt;Template&gt;Journal Article&lt;/Template&gt;&lt;Star&gt;0&lt;/Star&gt;&lt;Tag&gt;0&lt;/Tag&gt;&lt;Author&gt;Zhou, Caicun; Wang, Ziping; Sun, Yuping; Cao, Lejie; Ma, Zhiyong; Wu, Rong; Yu, Yan; Yao, Wenxiu; Chang, Jianhua; Chen, Jianhua; Zhuang, Wu; Cui, Jiuwei; Chen, Xueqin; Lu, You; Shen, Hong; Wang, Jingru; Li, Peiqi; Qin, Mengmeng; Lu, Dongmei; Yang, Jason&lt;/Author&gt;&lt;Year&gt;2022&lt;/Year&gt;&lt;Details&gt;&lt;_accessed&gt;64335835&lt;/_accessed&gt;&lt;_created&gt;64335835&lt;/_created&gt;&lt;_db_updated&gt;CrossRef&lt;/_db_updated&gt;&lt;_doi&gt;10.1016/S1470-2045(21)00650-1&lt;/_doi&gt;&lt;_impact_factor&gt;  54.433&lt;/_impact_factor&gt;&lt;_isbn&gt;14702045&lt;/_isbn&gt;&lt;_issue&gt;2&lt;/_issue&gt;&lt;_journal&gt;The Lancet Oncology&lt;/_journal&gt;&lt;_modified&gt;64630791&lt;/_modified&gt;&lt;_pages&gt;220-233&lt;/_pages&gt;&lt;_tertiary_title&gt;The Lancet Oncology&lt;/_tertiary_title&gt;&lt;_url&gt;https://linkinghub.elsevier.com/retrieve/pii/S1470204521006501_x000d__x000a_https://api.elsevier.com/content/article/PII:S1470204521006501?httpAccept=text/xml&lt;/_url&gt;&lt;_volume&gt;23&lt;/_volume&gt;&lt;/Details&gt;&lt;Extra&gt;&lt;DBUID&gt;{F96A950B-833F-4880-A151-76DA2D6A2879}&lt;/DBUID&gt;&lt;/Extra&gt;&lt;/Item&gt;&lt;/References&gt;&lt;/Group&gt;&lt;Group&gt;&lt;References&gt;&lt;Item&gt;&lt;ID&gt;2425&lt;/ID&gt;&lt;UID&gt;{F25CDB59-7FD1-4A9E-9A3C-AB6632AA70B5}&lt;/UID&gt;&lt;Title&gt;Camrelizumab plus carboplatin and pemetrexed versus chemotherapy alone in chemotherapy-naive patients with advanced non-squamous non-small-cell lung cancer (CameL): a randomised, open-label, multicentre, phase 3 trial&lt;/Title&gt;&lt;Template&gt;Journal Article&lt;/Template&gt;&lt;Star&gt;0&lt;/Star&gt;&lt;Tag&gt;0&lt;/Tag&gt;&lt;Author&gt;Zhou, Caicun; Chen, Gongyan; Huang, Yunchao; Zhou, Jianying; Lin, LiZhu; Feng, Jifeng; Wang, Zhehai; Shu, Yongqian; Shi, Jianhua; Hu, Yi; Wang, QiMing; Cheng, Ying; Wu, Fengying; Chen, Jianhua; Lin, Xiaoyan; Wang, Yongsheng; Huang, Jianan; Cui, Jiuwei; Cao, Lejie; Liu, Yunpeng; Zhang, Yiping; Pan, Yueyin; Zhao, Jun; Wang, LiPing; Chang, Jianhua; Chen, Qun; Ren, Xiubao; Zhang, Wei; Fan, Yun; He, Zhiyong; Fang, Jian; Gu, Kangsheng; Dong, XiaoRong; Zhang, Tao; Shi, Wei; Zou, Jianjun&lt;/Author&gt;&lt;Year&gt;2021&lt;/Year&gt;&lt;Details&gt;&lt;_accessed&gt;64335835&lt;/_accessed&gt;&lt;_created&gt;64335835&lt;/_created&gt;&lt;_db_updated&gt;CrossRef&lt;/_db_updated&gt;&lt;_doi&gt;10.1016/S2213-2600(20)30365-9&lt;/_doi&gt;&lt;_impact_factor&gt; 102.642&lt;/_impact_factor&gt;&lt;_isbn&gt;22132600&lt;/_isbn&gt;&lt;_issue&gt;3&lt;/_issue&gt;&lt;_journal&gt;The Lancet Respiratory Medicine&lt;/_journal&gt;&lt;_modified&gt;64630791&lt;/_modified&gt;&lt;_pages&gt;305-314&lt;/_pages&gt;&lt;_tertiary_title&gt;The Lancet Respiratory Medicine&lt;/_tertiary_title&gt;&lt;_url&gt;https://linkinghub.elsevier.com/retrieve/pii/S2213260020303659_x000d__x000a_https://api.elsevier.com/content/article/PII:S2213260020303659?httpAccept=text/xml&lt;/_url&gt;&lt;_volume&gt;9&lt;/_volume&gt;&lt;/Details&gt;&lt;Extra&gt;&lt;DBUID&gt;{F96A950B-833F-4880-A151-76DA2D6A2879}&lt;/DBUID&gt;&lt;/Extra&gt;&lt;/Item&gt;&lt;/References&gt;&lt;/Group&gt;&lt;/Citation&gt;_x000a_"/>
    <w:docVar w:name="NE.Ref{DFDC8D3D-2BE1-46D0-917B-7DA7A9399D7E}" w:val=" ADDIN NE.Ref.{DFDC8D3D-2BE1-46D0-917B-7DA7A9399D7E}&lt;Citation&gt;&lt;Group&gt;&lt;References&gt;&lt;Item&gt;&lt;ID&gt;46197&lt;/ID&gt;&lt;UID&gt;{E111597E-7B08-457B-AEBE-D0E78756A9EF}&lt;/UID&gt;&lt;Title&gt;Ensartinib vs Crizotinib for Patients With Anaplastic Lymphoma Kinase-Positive Non-Small Cell Lung Cancer: A Randomized Clinical Trial&lt;/Title&gt;&lt;Template&gt;Journal Article&lt;/Template&gt;&lt;Star&gt;0&lt;/Star&gt;&lt;Tag&gt;0&lt;/Tag&gt;&lt;Author&gt;Horn, L; Wang, Z; Wu, G; Poddubskaya, E; Mok, T; Reck, M; Wakelee, H; Chiappori, A A; Lee, D H; Breder, V; Orlov, S; Cicin, I; Cheng, Y; Liu, Y; Fan, Y; Whisenant, J G; Zhou, Y; Oertel, V; Harrow, K; Liang, C; Mao, L; Selvaggi, G; Wu, Y L&lt;/Author&gt;&lt;Year&gt;2021&lt;/Year&gt;&lt;Details&gt;&lt;_accessed&gt;64632481&lt;/_accessed&gt;&lt;_accession_num&gt;34473194&lt;/_accession_num&gt;&lt;_author_adr&gt;Division of Hematology and Oncology, Department of Medicine, Vanderbilt-Ingram Cancer Center, Nashville, Tennessee.; Now with Global Clinical Head for Lung Cancer and Lung Cancer Strategy, AstraZeneca, Nashville, Tennessee.; Department of Thoracic Medical Oncology, Peking University Cancer Hospital and Institute, Beijing, China.; Cancer Center, Union Hospital, Tongji Medical College, Huazhong University of Science and Technology, Wuhan, China.; Clinical Center for Oncology, I. M. Sechenov First Moscow State Medical University (Sechenov University), Moscow, Russia.; Clinical Center VitaMed, Moscow, Russia.; Department of Clinical Oncology, State Key Laboratory of Translational Oncology,  The Chinese University of Hong Kong, Hong Kong, China.; Lung Clinic, Airway Research Center North, German Center for Lung Research, Grosshansdorf, Germany.; Department of Medicine, Division of Oncology and Stanford Cancer Institute, Stanford University, Stanford, California.; Thoracic Oncology Program, Moffitt Cancer Center, Tampa, Florida.; Department of Oncology, University of Ulsan College of Medicine, Asan Medical Center, Seoul, South Korea.; Department of Chemotherapy No. 17, N. N. Blokhin Russian Cancer Research Center,  Moscow, Russia.; Department of Biochemistry, Pavlov First Saint Petersburg State Medical University, St Petersburg, Russia.; Department of Medical Oncology, Faculty of Medicine, Trakya University, Edirne, Turkey.; Department of Thoracic Oncology, Jilin Cancer Hospital, Changchun, China.; Department of Medical Oncology, The First Hospital of China Medical University, Shenyang, Liaoning, China.; Thoracic Tumor Center, Zhejiang Cancer Hospital, Hangzhou, China.; Division of Hematology and Oncology, Department of Medicine, Vanderbilt-Ingram Cancer Center, Nashville, Tennessee.; Biometrics, Xcovery Holdings Inc, Palm Beach Gardens, Florida.; Clinical Operations, Xcovery Holdings Inc, Palm Beach Gardens, Florida.; Clinical Operations, Xcovery Holdings Inc, Palm Beach Gardens, Florida.; Now with EQRx, Cambridge, Massachusetts.; Clinical Science, Xcovery Holdings Inc, Palm Beach Gardens, Florida.; Clinical Development, Xcovery Holdings Inc, Palm Beach Gardens, Florida.; Now with Sino Biopharmaceutical Ltd, Beijing, China.; Clinical Development, Xcovery Holdings Inc, Palm Beach Gardens, Florida.; Guangdong Lung Cancer Institute, Guangdong Provincial People&amp;apos;s Hospital and Guangdong Academy of Medical Sciences, Guangzhou, China.&lt;/_author_adr&gt;&lt;_collection_scope&gt;SCIE&lt;/_collection_scope&gt;&lt;_created&gt;64630949&lt;/_created&gt;&lt;_date&gt;2021-11-01&lt;/_date&gt;&lt;_date_display&gt;2021 Nov 1&lt;/_date_display&gt;&lt;_db_updated&gt;PubMed&lt;/_db_updated&gt;&lt;_doi&gt;10.1001/jamaoncol.2021.3523&lt;/_doi&gt;&lt;_impact_factor&gt;  33.006&lt;/_impact_factor&gt;&lt;_isbn&gt;2374-2445 (Electronic); 2374-2437 (Linking)&lt;/_isbn&gt;&lt;_issue&gt;11&lt;/_issue&gt;&lt;_journal&gt;JAMA Oncol&lt;/_journal&gt;&lt;_language&gt;eng&lt;/_language&gt;&lt;_modified&gt;64688891&lt;/_modified&gt;&lt;_pages&gt;1617-1625&lt;/_pages&gt;&lt;_social_category&gt;医学(1)&lt;/_social_category&gt;&lt;_subject_headings&gt;Adolescent; Adult; Anaplastic Lymphoma Kinase; *Carcinoma, Non-Small-Cell Lung/pathology; Crizotinib/adverse effects; Humans; *Lung Neoplasms/pathology; Male; Middle Aged; Piperazines; Protein Kinase Inhibitors/adverse effects; Pyridazines&lt;/_subject_headings&gt;&lt;_tertiary_title&gt;JAMA oncology&lt;/_tertiary_title&gt;&lt;_type_work&gt;Journal Article; Multicenter Study; Randomized Controlled Trial; Research Support, Non-U.S. Gov&amp;apos;t&lt;/_type_work&gt;&lt;_url&gt;http://www.ncbi.nlm.nih.gov/entrez/query.fcgi?cmd=Retrieve&amp;amp;db=pubmed&amp;amp;dopt=Abstract&amp;amp;list_uids=34473194&amp;amp;query_hl=1&lt;/_url&gt;&lt;_volume&gt;7&lt;/_volume&gt;&lt;/Details&gt;&lt;Extra&gt;&lt;DBUID&gt;{F96A950B-833F-4880-A151-76DA2D6A2879}&lt;/DBUID&gt;&lt;/Extra&gt;&lt;/Item&gt;&lt;/References&gt;&lt;/Group&gt;&lt;Group&gt;&lt;References&gt;&lt;Item&gt;&lt;ID&gt;46198&lt;/ID&gt;&lt;UID&gt;{89E0B8BA-E7C2-40E9-81D4-0C4248F08B9F}&lt;/UID&gt;&lt;Title&gt;Ceritinib versus chemotherapy in patients with ALK-rearranged non-small-cell lung cancer previously given chemotherapy and crizotinib (ASCEND-5): a randomised, controlled, open-label, phase 3 trial&lt;/Title&gt;&lt;Template&gt;Journal Article&lt;/Template&gt;&lt;Star&gt;1&lt;/Star&gt;&lt;Tag&gt;0&lt;/Tag&gt;&lt;Author&gt;Shaw, A T; Kim, T M; Crino, L; Gridelli, C; Kiura, K; Liu, G; Novello, S; Bearz, A; Gautschi, O; Mok, T; Nishio, M; Scagliotti, G; Spigel, D R; Deudon, S; Zheng, C; Pantano, S; Urban, P; Massacesi, C; Viraswami-Appanna, K; Felip, E&lt;/Author&gt;&lt;Year&gt;2017&lt;/Year&gt;&lt;Details&gt;&lt;_accessed&gt;64632463&lt;/_accessed&gt;&lt;_accession_num&gt;28602779&lt;/_accession_num&gt;&lt;_author_adr&gt;Massachusetts General Hospital, Boston, MA, USA. Electronic address: ashaw1@mgh.harvard.edu.; Seoul National University Hospital, Seoul, Korea.; Istituto Scientifico Romagnolo per lo Studio e la Cura dei Tumori, Istituto di Ricovero e Cura a Carattere Scientifico, Meldola, Italy.; SG Moscati Hospital, Citta Ospedaliera, Contrada Amoretta, Avellino, Italy.; Okayama University Hospital, Okayama, Japan.; Princess Margaret Cancer Centre, Toronto, ON, Canada.; University of Torino, Torino, Italy.; Istituto di Ricovero e Cura a Carattere Scientifico-Centro di Riferimento Oncologico, Aviano, Italy.; Cantonal Hospital Lucerne, Lucerne, Switzerland.; State Key Laboratory of South China, Chinese University of Hong Kong, Shatin, China.; Cancer Institute Hospital of Japanese Foundation for Cancer Research, Tokyo, Japan.; University of Torino, Torino, Italy.; Sarah Cannon Research Institute, Nashville, TN, USA.; Novartis, Basel, Switzerland.; Novartis, East Hanover, NJ, USA.; Novartis, Basel, Switzerland.; Novartis, Basel, Switzerland.; Novartis, Basel, Switzerland.; Novartis, East Hanover, NJ, USA.; Vall d&amp;apos;Hebron University Hospital, Barcelona, Spain; Vall d&amp;apos;Hebron Institute of Oncology, Barcelona, Spain.&lt;/_author_adr&gt;&lt;_collection_scope&gt;SCIE&lt;/_collection_scope&gt;&lt;_created&gt;64630954&lt;/_created&gt;&lt;_date&gt;2017-07-01&lt;/_date&gt;&lt;_date_display&gt;2017 Jul&lt;/_date_display&gt;&lt;_db_updated&gt;PubMed&lt;/_db_updated&gt;&lt;_doi&gt;10.1016/S1470-2045(17)30339-X&lt;/_doi&gt;&lt;_impact_factor&gt;  54.433&lt;/_impact_factor&gt;&lt;_isbn&gt;1474-5488 (Electronic); 1470-2045 (Linking)&lt;/_isbn&gt;&lt;_issue&gt;7&lt;/_issue&gt;&lt;_journal&gt;Lancet Oncol&lt;/_journal&gt;&lt;_language&gt;eng&lt;/_language&gt;&lt;_modified&gt;64688891&lt;/_modified&gt;&lt;_ori_publication&gt;Copyright (c) 2017 Elsevier Ltd. All rights reserved.&lt;/_ori_publication&gt;&lt;_pages&gt;874-886&lt;/_pages&gt;&lt;_social_category&gt;医学(1)&lt;/_social_category&gt;&lt;_subject_headings&gt;Adult; Alanine Transaminase/blood; Anaplastic Lymphoma Kinase; Antineoplastic Agents/*therapeutic use; Antineoplastic Combined Chemotherapy Protocols/therapeutic use; Aspartate Aminotransferases/blood; Carcinoma, Non-Small-Cell Lung/*drug therapy/genetics/secondary; Crizotinib; Disease Progression; Disease-Free Survival; Docetaxel; Female; Gene Rearrangement; Humans; Lung Neoplasms/*drug therapy/genetics/pathology; Male; Middle Aged; Neoplasm Staging; Pemetrexed/*therapeutic use; Platinum Compounds/administration &amp;amp; dosage; Pyrazoles/therapeutic use; Pyridines/therapeutic use; Pyrimidines/adverse effects/*therapeutic use; Receptor Protein-Tyrosine Kinases/*genetics; Response Evaluation Criteria in Solid Tumors; Retreatment; Sulfones/adverse effects/*therapeutic use; Taxoids/*therapeutic use; gamma-Glutamyltransferase/blood&lt;/_subject_headings&gt;&lt;_tertiary_title&gt;The Lancet. Oncology&lt;/_tertiary_title&gt;&lt;_type_work&gt;Clinical Trial, Phase III; Comparative Study; Journal Article; Multicenter Study; Randomized Controlled Trial&lt;/_type_work&gt;&lt;_url&gt;http://www.ncbi.nlm.nih.gov/entrez/query.fcgi?cmd=Retrieve&amp;amp;db=pubmed&amp;amp;dopt=Abstract&amp;amp;list_uids=28602779&amp;amp;query_hl=1&lt;/_url&gt;&lt;_volume&gt;18&lt;/_volume&gt;&lt;/Details&gt;&lt;Extra&gt;&lt;DBUID&gt;{F96A950B-833F-4880-A151-76DA2D6A2879}&lt;/DBUID&gt;&lt;/Extra&gt;&lt;/Item&gt;&lt;/References&gt;&lt;/Group&gt;&lt;Group&gt;&lt;References&gt;&lt;Item&gt;&lt;ID&gt;46199&lt;/ID&gt;&lt;UID&gt;{08CB0812-A5CC-4A19-9FC4-FEF7AB8B807B}&lt;/UID&gt;&lt;Title&gt;First-Line Lorlatinib or Crizotinib in Advanced ALK-Positive Lung Cancer&lt;/Title&gt;&lt;Template&gt;Journal Article&lt;/Template&gt;&lt;Star&gt;0&lt;/Star&gt;&lt;Tag&gt;0&lt;/Tag&gt;&lt;Author&gt;Shaw, A T; Bauer, T M; de Marinis, F; Felip, E; Goto, Y; Liu, G; Mazieres, J; Kim, D W; Mok, T; Polli, A; Thurm, H; Calella, A M; Peltz, G; Solomon, B J&lt;/Author&gt;&lt;Year&gt;2020&lt;/Year&gt;&lt;Details&gt;&lt;_accessed&gt;64632463&lt;/_accessed&gt;&lt;_accession_num&gt;33207094&lt;/_accession_num&gt;&lt;_collection_scope&gt;SCIE&lt;/_collection_scope&gt;&lt;_created&gt;64630950&lt;/_created&gt;&lt;_date&gt;2020-11-19&lt;/_date&gt;&lt;_date_display&gt;2020 Nov 19&lt;/_date_display&gt;&lt;_db_updated&gt;PubMed&lt;/_db_updated&gt;&lt;_doi&gt;10.1056/NEJMoa2027187&lt;/_doi&gt;&lt;_impact_factor&gt; 176.079&lt;/_impact_factor&gt;&lt;_isbn&gt;1533-4406 (Electronic); 0028-4793 (Linking)&lt;/_isbn&gt;&lt;_issue&gt;21&lt;/_issue&gt;&lt;_journal&gt;N Engl J Med&lt;/_journal&gt;&lt;_language&gt;eng&lt;/_language&gt;&lt;_modified&gt;64688891&lt;/_modified&gt;&lt;_ori_publication&gt;Copyright (c) 2020 Massachusetts Medical Society.&lt;/_ori_publication&gt;&lt;_pages&gt;2018-2029&lt;/_pages&gt;&lt;_social_category&gt;医学(1)&lt;/_social_category&gt;&lt;_subject_headings&gt;Adult; Aged; Aminopyridines; Anaplastic Lymphoma Kinase/*antagonists &amp;amp; inhibitors/genetics; Antineoplastic Agents/adverse effects/*therapeutic use; Carcinoma, Non-Small-Cell Lung/*drug therapy/genetics/mortality; Crizotinib/adverse effects/*therapeutic use; Female; Humans; Hyperlipidemias/chemically induced; Intention to Treat Analysis; Lactams; Lactams, Macrocyclic/adverse effects/*therapeutic use; Lung Neoplasms/*drug therapy/genetics/mortality; Male; Middle Aged; Mutation; Pyrazoles; Survival Analysi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3207094&amp;amp;query_hl=1&lt;/_url&gt;&lt;_volume&gt;383&lt;/_volume&gt;&lt;/Details&gt;&lt;Extra&gt;&lt;DBUID&gt;{F96A950B-833F-4880-A151-76DA2D6A2879}&lt;/DBUID&gt;&lt;/Extra&gt;&lt;/Item&gt;&lt;/References&gt;&lt;/Group&gt;&lt;Group&gt;&lt;References&gt;&lt;Item&gt;&lt;ID&gt;46200&lt;/ID&gt;&lt;UID&gt;{7467B3CC-6C0C-4909-A09F-3D57AEE6FBD9}&lt;/UID&gt;&lt;Title&gt;Brigatinib versus Crizotinib in ALK-Positive Non-Small-Cell Lung Cancer&lt;/Title&gt;&lt;Template&gt;Journal Article&lt;/Template&gt;&lt;Star&gt;0&lt;/Star&gt;&lt;Tag&gt;0&lt;/Tag&gt;&lt;Author&gt;Camidge, D R; Kim, H R; Ahn, M J; Yang, J C; Han, J Y; Lee, J S; Hochmair, M J; Li, J Y; Chang, G C; Lee, K H; Gridelli, C; Delmonte, A; Garcia, Campelo R; Kim, D W; Bearz, A; Griesinger, F; Morabito, A; Felip, E; Califano, R; Ghosh, S; Spira, A; Gettinger, S N; Tiseo, M; Gupta, N; Haney, J; Kerstein, D; Popat, S&lt;/Author&gt;&lt;Year&gt;2018&lt;/Year&gt;&lt;Details&gt;&lt;_accessed&gt;64632453&lt;/_accessed&gt;&lt;_accession_num&gt;30280657&lt;/_accession_num&gt;&lt;_collection_scope&gt;SCIE&lt;/_collection_scope&gt;&lt;_created&gt;64630986&lt;/_created&gt;&lt;_date&gt;2018-11-22&lt;/_date&gt;&lt;_date_display&gt;2018 Nov 22&lt;/_date_display&gt;&lt;_db_updated&gt;PubMed&lt;/_db_updated&gt;&lt;_doi&gt;10.1056/NEJMoa1810171&lt;/_doi&gt;&lt;_impact_factor&gt; 176.079&lt;/_impact_factor&gt;&lt;_isbn&gt;1533-4406 (Electronic); 0028-4793 (Linking)&lt;/_isbn&gt;&lt;_issue&gt;21&lt;/_issue&gt;&lt;_journal&gt;N Engl J Med&lt;/_journal&gt;&lt;_language&gt;eng&lt;/_language&gt;&lt;_modified&gt;64688891&lt;/_modified&gt;&lt;_pages&gt;2027-2039&lt;/_pages&gt;&lt;_social_category&gt;医学(1)&lt;/_social_category&gt;&lt;_subject_headings&gt;Adult; Aged; Aged, 80 and over; Anaplastic Lymphoma Kinase/analysis/*antagonists &amp;amp; inhibitors; Antineoplastic Agents/adverse effects/*therapeutic use; Brain Neoplasms/secondary; Carcinoma, Non-Small-Cell Lung/chemistry/*drug therapy/secondary; Crizotinib/adverse effects/*therapeutic use; Female; Humans; Kaplan-Meier Estimate; Lung Neoplasms/chemistry/*drug therapy/pathology; Male; Middle Aged; Organophosphorus Compounds/adverse effects/*therapeutic use; Progression-Free Survival; Pyrimidines/adverse effects/*therapeutic use&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0280657&amp;amp;query_hl=1&lt;/_url&gt;&lt;_volume&gt;379&lt;/_volume&gt;&lt;/Details&gt;&lt;Extra&gt;&lt;DBUID&gt;{F96A950B-833F-4880-A151-76DA2D6A2879}&lt;/DBUID&gt;&lt;/Extra&gt;&lt;/Item&gt;&lt;/References&gt;&lt;/Group&gt;&lt;Group&gt;&lt;References&gt;&lt;Item&gt;&lt;ID&gt;46201&lt;/ID&gt;&lt;UID&gt;{9E2DD50C-1DCF-457C-B683-FC678251535A}&lt;/UID&gt;&lt;Title&gt;Alectinib versus Crizotinib in Untreated ALK-Positive Non-Small-Cell Lung Cancer&lt;/Title&gt;&lt;Template&gt;Journal Article&lt;/Template&gt;&lt;Star&gt;0&lt;/Star&gt;&lt;Tag&gt;0&lt;/Tag&gt;&lt;Author&gt;Peters, S; Camidge, D R; Shaw, A T; Gadgeel, S; Ahn, J S; Kim, D W; Ou, S I; Perol, M; Dziadziuszko, R; Rosell, R; Zeaiter, A; Mitry, E; Golding, S; Balas, B; Noe, J; Morcos, P N; Mok, T&lt;/Author&gt;&lt;Year&gt;2017&lt;/Year&gt;&lt;Details&gt;&lt;_accessed&gt;64632453&lt;/_accessed&gt;&lt;_accession_num&gt;28586279&lt;/_accession_num&gt;&lt;_collection_scope&gt;SCIE&lt;/_collection_scope&gt;&lt;_created&gt;64630944&lt;/_created&gt;&lt;_date&gt;2017-08-31&lt;/_date&gt;&lt;_date_display&gt;2017 Aug 31&lt;/_date_display&gt;&lt;_db_updated&gt;PubMed&lt;/_db_updated&gt;&lt;_doi&gt;10.1056/NEJMoa1704795&lt;/_doi&gt;&lt;_impact_factor&gt; 176.079&lt;/_impact_factor&gt;&lt;_isbn&gt;1533-4406 (Electronic); 0028-4793 (Linking)&lt;/_isbn&gt;&lt;_issue&gt;9&lt;/_issue&gt;&lt;_journal&gt;N Engl J Med&lt;/_journal&gt;&lt;_language&gt;eng&lt;/_language&gt;&lt;_modified&gt;64688891&lt;/_modified&gt;&lt;_pages&gt;829-838&lt;/_pages&gt;&lt;_social_category&gt;医学(1)&lt;/_social_category&gt;&lt;_subject_headings&gt;Adult; Aged, 80 and over; Anaplastic Lymphoma Kinase; Animals; Antineoplastic Agents/adverse effects/therapeutic use; Carbazoles/adverse effects/*therapeutic use; Carcinoma, Non-Small-Cell Lung/*drug therapy/mortality; Central Nervous System Neoplasms/drug therapy/*secondary; Crizotinib; Disease-Free Survival; Female; Follow-Up Studies; Humans; Intention to Treat Analysis; Kaplan-Meier Estimate; Lung Neoplasms/*drug therapy/mortality; Male; Middle Aged; Piperidines/adverse effects/*therapeutic use; Protein Kinase Inhibitors/adverse effects/*therapeutic use; Pyrazoles/adverse effects/*therapeutic use; Pyridines/adverse effects/*therapeutic use; Receptor Protein-Tyrosine Kinases/analysis/antagonists &amp;amp; inhibitors; Young Adult&lt;/_subject_headings&gt;&lt;_tertiary_title&gt;The New England journal of medicine&lt;/_tertiary_title&gt;&lt;_type_work&gt;Clinical Trial, Phase III; Comparative Study; Journal Article; Multicenter Study; Randomized Controlled Trial&lt;/_type_work&gt;&lt;_url&gt;http://www.ncbi.nlm.nih.gov/entrez/query.fcgi?cmd=Retrieve&amp;amp;db=pubmed&amp;amp;dopt=Abstract&amp;amp;list_uids=28586279&amp;amp;query_hl=1&lt;/_url&gt;&lt;_volume&gt;377&lt;/_volume&gt;&lt;/Details&gt;&lt;Extra&gt;&lt;DBUID&gt;{F96A950B-833F-4880-A151-76DA2D6A2879}&lt;/DBUID&gt;&lt;/Extra&gt;&lt;/Item&gt;&lt;/References&gt;&lt;/Group&gt;&lt;/Citation&gt;_x000a_"/>
    <w:docVar w:name="NE.Ref{E0FB092A-B338-499F-ADA3-C7A67E990582}" w:val=" ADDIN NE.Ref.{E0FB092A-B338-499F-ADA3-C7A67E990582}&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Citation&gt;_x000a_"/>
    <w:docVar w:name="NE.Ref{E1317EE5-AFCD-4EE2-A596-4382D5D813C8}" w:val=" ADDIN NE.Ref.{E1317EE5-AFCD-4EE2-A596-4382D5D813C8}&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Citation&gt;_x000a_"/>
    <w:docVar w:name="NE.Ref{E190B6C4-D2D2-4A43-B1B6-01F00BF8A862}" w:val=" ADDIN NE.Ref.{E190B6C4-D2D2-4A43-B1B6-01F00BF8A862}&lt;Citation&gt;&lt;Group&gt;&lt;References&gt;&lt;Item&gt;&lt;ID&gt;2997&lt;/ID&gt;&lt;UID&gt;{F7276F66-05F3-4615-919F-AC3936FC39E7}&lt;/UID&gt;&lt;Title&gt;Alectinib versus Crizotinib in Untreated ALK-Positive Non-Small-Cell Lung Cancer&lt;/Title&gt;&lt;Template&gt;Journal Article&lt;/Template&gt;&lt;Star&gt;0&lt;/Star&gt;&lt;Tag&gt;0&lt;/Tag&gt;&lt;Author&gt;Peters, S; Camidge, D R; Shaw, A T; Gadgeel, S; Ahn, J S; Kim, D W; Ou, S I; Perol, M; Dziadziuszko, R; Rosell, R; Zeaiter, A; Mitry, E; Golding, S; Balas, B; Noe, J; Morcos, P N; Mok, T&lt;/Author&gt;&lt;Year&gt;2017&lt;/Year&gt;&lt;Details&gt;&lt;_accessed&gt;64632453&lt;/_accessed&gt;&lt;_accession_num&gt;28586279&lt;/_accession_num&gt;&lt;_collection_scope&gt;SCIE&lt;/_collection_scope&gt;&lt;_created&gt;64630944&lt;/_created&gt;&lt;_date&gt;2017-08-31&lt;/_date&gt;&lt;_date_display&gt;2017 Aug 31&lt;/_date_display&gt;&lt;_db_updated&gt;PubMed&lt;/_db_updated&gt;&lt;_doi&gt;10.1056/NEJMoa1704795&lt;/_doi&gt;&lt;_impact_factor&gt; 176.079&lt;/_impact_factor&gt;&lt;_isbn&gt;1533-4406 (Electronic); 0028-4793 (Linking)&lt;/_isbn&gt;&lt;_issue&gt;9&lt;/_issue&gt;&lt;_journal&gt;N Engl J Med&lt;/_journal&gt;&lt;_language&gt;eng&lt;/_language&gt;&lt;_modified&gt;64740730&lt;/_modified&gt;&lt;_pages&gt;829-838&lt;/_pages&gt;&lt;_social_category&gt;医学(1)&lt;/_social_category&gt;&lt;_subject_headings&gt;Adult; Aged, 80 and over; Anaplastic Lymphoma Kinase; Animals; Antineoplastic Agents/adverse effects/therapeutic use; Carbazoles/adverse effects/*therapeutic use; Carcinoma, Non-Small-Cell Lung/*drug therapy/mortality; Central Nervous System Neoplasms/drug therapy/*secondary; Crizotinib; Disease-Free Survival; Female; Follow-Up Studies; Humans; Intention to Treat Analysis; Kaplan-Meier Estimate; Lung Neoplasms/*drug therapy/mortality; Male; Middle Aged; Piperidines/adverse effects/*therapeutic use; Protein Kinase Inhibitors/adverse effects/*therapeutic use; Pyrazoles/adverse effects/*therapeutic use; Pyridines/adverse effects/*therapeutic use; Receptor Protein-Tyrosine Kinases/analysis/antagonists &amp;amp; inhibitors; Young Adult&lt;/_subject_headings&gt;&lt;_tertiary_title&gt;The New England journal of medicine&lt;/_tertiary_title&gt;&lt;_type_work&gt;Clinical Trial, Phase III; Comparative Study; Journal Article; Multicenter Study; Randomized Controlled Trial&lt;/_type_work&gt;&lt;_url&gt;http://www.ncbi.nlm.nih.gov/entrez/query.fcgi?cmd=Retrieve&amp;amp;db=pubmed&amp;amp;dopt=Abstract&amp;amp;list_uids=28586279&amp;amp;query_hl=1&lt;/_url&gt;&lt;_volume&gt;377&lt;/_volume&gt;&lt;/Details&gt;&lt;Extra&gt;&lt;DBUID&gt;{F96A950B-833F-4880-A151-76DA2D6A2879}&lt;/DBUID&gt;&lt;/Extra&gt;&lt;/Item&gt;&lt;/References&gt;&lt;/Group&gt;&lt;Group&gt;&lt;References&gt;&lt;Item&gt;&lt;ID&gt;2998&lt;/ID&gt;&lt;UID&gt;{CC1CCF60-C6D6-48DD-8D8D-36F39A760E1F}&lt;/UID&gt;&lt;Title&gt;Patient-reported outcomes from the randomized phase III ALEX study of alectinib  versus crizotinib in patients with ALK-positive non-small-cell lung cancer&lt;/Title&gt;&lt;Template&gt;Journal Article&lt;/Template&gt;&lt;Star&gt;0&lt;/Star&gt;&lt;Tag&gt;0&lt;/Tag&gt;&lt;Author&gt;Perol, M; Pavlakis, N; Levchenko, E; Platania, M; Oliveira, J; Novello, S; Chiari, R; Moran, T; Mitry, E; Nuesch, E; Liu, T; Balas, B; Konopa, K; Peters, S&lt;/Author&gt;&lt;Year&gt;2019&lt;/Year&gt;&lt;Details&gt;&lt;_accession_num&gt;31654838&lt;/_accession_num&gt;&lt;_author_adr&gt;Department of Medical Oncology, Leon Berard Cancer Center, 69008 Lyon, France.  Electronic address: maurice.perol@lyon.unicancer.fr.; Department of Oncology, Royal North Shore Hospital, St Leonards 2065, New South  Wales, Australia. Electronic address: nick.pavlakis@sydney.edu.au.; Petrov Scientific Research Oncology Institute, St. Petersburg 197758, Russia.  Electronic address: maurice.perol@lyon.unicancer.fr.; Fondazione IRCCS, 20133 Milan, Italy. Electronic address:  marco.platania@istitutotumori.mi.it.; Portuguese Oncology Institute of Porto (IPO Porto), 4200-072 Porto, Portugal.  Electronic address: julio.oliveira@ipoporto.min-saude.pt.; Department of Oncology, University of Turin, 10126 Turin, Italy. Electronic  address: silvia.novello@unito.it.; Hospital of Perugia, Santa Maria della Misericordia, 06129 Perugia, Italy.  Electronic address: ritachiari@libero.it.; Department of Medical Oncology, Catalan Institute of Oncology-Badalona, Hospital  Universitari Germans Trias i Pujol, Universitat Autonoma de Barcelona (UAB),  Badalona Applied Research Group in Oncology (B-ARGO), 08916 Badalona, Barcelona,  Spain. Electronic address: mmoran@iconcologia.net.; F. Hoffmann-La Roche Ltd, 4070 Basel, Switzerland. Electronic address:  e.mitry@me.com.; F. Hoffmann-La Roche Ltd, 4070 Basel, Switzerland. Electronic address:  eveline.nueesch.en1@roche.com.; F. Hoffmann-La Roche Ltd, 4070 Basel, Switzerland. Electronic address:  ting.liu.tl3@roche.com.; F. Hoffmann-La Roche Ltd, 4070 Basel, Switzerland. Electronic address:  bogdana_ioana.balas@roche.com.; Department of Oncology and Radiotherapy, Medical University of Gdansk, 80-001  Gdansk, Poland. Electronic address: konopa@gumed.edu.pl.; Lausanne University Hospital, 1011 Lausanne, Switzerland. Electronic address:  Solange.Peters@chuv.ch.&lt;/_author_adr&gt;&lt;_date_display&gt;2019 Dec&lt;/_date_display&gt;&lt;_date&gt;2019-12-01&lt;/_date&gt;&lt;_doi&gt;10.1016/j.lungcan.2019.10.002&lt;/_doi&gt;&lt;_isbn&gt;1872-8332 (Electronic); 0169-5002 (Linking)&lt;/_isbn&gt;&lt;_journal&gt;Lung Cancer&lt;/_journal&gt;&lt;_keywords&gt;ALK-positive; Alectinib; Crizotinib; NSCLC; Patient-reported outcomes&lt;/_keywords&gt;&lt;_language&gt;eng&lt;/_language&gt;&lt;_ori_publication&gt;Copyright (c) 2019 Elsevier B.V. All rights reserved.&lt;/_ori_publication&gt;&lt;_pages&gt;79-87&lt;/_pages&gt;&lt;_subject_headings&gt;Anaplastic Lymphoma Kinase/antagonists &amp;amp; inhibitors/*biosynthesis/genetics; Antineoplastic Combined Chemotherapy Protocols/*therapeutic use; Carbazoles/administration &amp;amp; dosage; Carcinoma, Non-Small-Cell Lung/*drug therapy/genetics/pathology; Crizotinib/administration &amp;amp; dosage; Female; Humans; Lung Neoplasms/*drug therapy/genetics/pathology; Male; Middle Aged; *Patient Reported Outcome Measures; Piperidines/administration &amp;amp; dosage; Prognosis; Quality of Life; Survival Rate&lt;/_subject_headings&gt;&lt;_tertiary_title&gt;Lung cancer (Amsterdam, Netherlands)&lt;/_tertiary_title&gt;&lt;_type_work&gt;Clinical Trial, Phase III; Journal Article; Multicenter Study; Randomized Controlled Trial; Research Support, Non-U.S. Gov&amp;apos;t&lt;/_type_work&gt;&lt;_url&gt;http://www.ncbi.nlm.nih.gov/entrez/query.fcgi?cmd=Retrieve&amp;amp;db=pubmed&amp;amp;dopt=Abstract&amp;amp;list_uids=31654838&amp;amp;query_hl=1&lt;/_url&gt;&lt;_volume&gt;138&lt;/_volume&gt;&lt;_created&gt;64740329&lt;/_created&gt;&lt;_modified&gt;64740730&lt;/_modified&gt;&lt;_db_updated&gt;PubMed&lt;/_db_updated&gt;&lt;_impact_factor&gt;   6.081&lt;/_impact_factor&gt;&lt;_social_category&gt;医学(2)&lt;/_social_category&gt;&lt;_collection_scope&gt;SCIE&lt;/_collection_scope&gt;&lt;/Details&gt;&lt;Extra&gt;&lt;DBUID&gt;{F96A950B-833F-4880-A151-76DA2D6A2879}&lt;/DBUID&gt;&lt;/Extra&gt;&lt;/Item&gt;&lt;/References&gt;&lt;/Group&gt;&lt;Group&gt;&lt;References&gt;&lt;Item&gt;&lt;ID&gt;2999&lt;/ID&gt;&lt;UID&gt;{8FEB57F0-CC56-4F6C-8617-D4BE9EC2D6B8}&lt;/UID&gt;&lt;Title&gt;Updated Efficacy and Safety Data and Impact of the EML4-ALK Fusion Variant on the Efficacy of Alectinib in Untreated ALK-Positive Advanced Non-Small Cell Lung Cancer in the Global Phase III ALEX Study&lt;/Title&gt;&lt;Template&gt;Journal Article&lt;/Template&gt;&lt;Star&gt;0&lt;/Star&gt;&lt;Tag&gt;0&lt;/Tag&gt;&lt;Author&gt;Camidge, D R; Dziadziuszko, R; Peters, S; Mok, T; Noe, J; Nowicka, M; Gadgeel, S M; Cheema, P; Pavlakis, N; de Marinis, F; Cho, B C; Zhang, L; Moro-Sibilot, D; Liu, T; Bordogna, W; Balas, B; Muller, B; Shaw, A T&lt;/Author&gt;&lt;Year&gt;2019&lt;/Year&gt;&lt;Details&gt;&lt;_accessed&gt;64631483&lt;/_accessed&gt;&lt;_accession_num&gt;30902613&lt;/_accession_num&gt;&lt;_author_adr&gt;Division of Medical Oncology, University of Colorado, Denver, Colorado.; Medical University of Gdansk, Gdansk, Poland.; Lausanne University Hospital, Lausanne, Switzerland.; State Key Laboratory of South China, Chinese University of Hong Kong, Shatin, New Territories, Hong Kong.; F. Hoffmann-La Roche Ltd, Basel, Switzerland.; F. Hoffmann-La Roche Ltd, Basel, Switzerland.; University of Michigan, Ann Arbor, Michigan.; University of Toronto, Sunnybrook Odette Cancer Centre, Toronto, Ontario, Canada.; Royal North Shore Hospital, Sydney University, Sydney, Australia.; European Institute of Oncology, Scientific Institute for Research and Healthcare, Milan, Italy.; Severence Hospital, Seoul, Republic of Korea.; Sun Yet-sen University Cancer Center, Guangdong, People&amp;apos;s Republic of China.; Grenoble University Hospital Center, La Tronche, France.; F. Hoffmann-La Roche Ltd, Basel, Switzerland.; F. Hoffmann-La Roche Ltd, Basel, Switzerland.; F. Hoffmann-La Roche Ltd, Basel, Switzerland.; F. Hoffmann-La Roche Ltd, Basel, Switzerland.; Massachusetts General Hospital Cancer Center, Boston, Massachusetts. Electronic address: Ashaw1@partners.org.&lt;/_author_adr&gt;&lt;_collection_scope&gt;SCIE&lt;/_collection_scope&gt;&lt;_created&gt;64630939&lt;/_created&gt;&lt;_date&gt;2019-07-01&lt;/_date&gt;&lt;_date_display&gt;2019 Jul&lt;/_date_display&gt;&lt;_db_updated&gt;PubMed&lt;/_db_updated&gt;&lt;_doi&gt;10.1016/j.jtho.2019.03.007&lt;/_doi&gt;&lt;_impact_factor&gt;  20.121&lt;/_impact_factor&gt;&lt;_isbn&gt;1556-1380 (Electronic); 1556-0864 (Linking)&lt;/_isbn&gt;&lt;_issue&gt;7&lt;/_issue&gt;&lt;_journal&gt;J Thorac Oncol&lt;/_journal&gt;&lt;_keywords&gt;ALEX; Alectinib; EML4-ALK; NGS; Non-small cell lung cancer&lt;/_keywords&gt;&lt;_language&gt;eng&lt;/_language&gt;&lt;_modified&gt;64740730&lt;/_modified&gt;&lt;_ori_publication&gt;Copyright (c) 2019 International Association for the Study of Lung Cancer._x000d__x000a_      Published by Elsevier Inc. All rights reserved.&lt;/_ori_publication&gt;&lt;_pages&gt;1233-1243&lt;/_pages&gt;&lt;_social_category&gt;医学(1)&lt;/_social_category&gt;&lt;_subject_headings&gt;Adolescent; Adult; Aged; Anaplastic Lymphoma Kinase/genetics/*metabolism; Antineoplastic Combined Chemotherapy Protocols/*therapeutic use; Brain Neoplasms/*drug therapy/genetics/secondary; Carbazoles/administration &amp;amp; dosage; Carcinoma, Non-Small-Cell Lung/*drug therapy/genetics/pathology; Cohort Studies; Crizotinib/administration &amp;amp; dosage; Female; Follow-Up Studies; Humans; Lung Neoplasms/*drug therapy/genetics/pathology; Male; Middle Aged; Oncogene Proteins, Fusion/*genetics; Piperidines/administration &amp;amp; dosage; Prognosis; Survival Rate; Young Adult&lt;/_subject_headings&gt;&lt;_tertiary_title&gt;Journal of thoracic oncology : official publication of the International_x000d__x000a_      Association for the Study of Lung Cancer&lt;/_tertiary_title&gt;&lt;_type_work&gt;Clinical Trial, Phase III; Journal Article; Multicenter Study; Randomized Controlled Trial; Research Support, Non-U.S. Gov&amp;apos;t&lt;/_type_work&gt;&lt;_url&gt;http://www.ncbi.nlm.nih.gov/entrez/query.fcgi?cmd=Retrieve&amp;amp;db=pubmed&amp;amp;dopt=Abstract&amp;amp;list_uids=30902613&amp;amp;query_hl=1&lt;/_url&gt;&lt;_volume&gt;14&lt;/_volume&gt;&lt;/Details&gt;&lt;Extra&gt;&lt;DBUID&gt;{F96A950B-833F-4880-A151-76DA2D6A2879}&lt;/DBUID&gt;&lt;/Extra&gt;&lt;/Item&gt;&lt;/References&gt;&lt;/Group&gt;&lt;Group&gt;&lt;References&gt;&lt;Item&gt;&lt;ID&gt;3000&lt;/ID&gt;&lt;UID&gt;{C732DDB6-7A49-44C6-B870-B9BE1A0D3440}&lt;/UID&gt;&lt;Title&gt;Updated overall survival and final progression-free survival data for patients with treatment-naive advanced ALK-positive non-small-cell lung cancer in the ALEX study&lt;/Title&gt;&lt;Template&gt;Journal Article&lt;/Template&gt;&lt;Star&gt;0&lt;/Star&gt;&lt;Tag&gt;0&lt;/Tag&gt;&lt;Author&gt;Mok, T; Camidge, D R; Gadgeel, S M; Rosell, R; Dziadziuszko, R; Kim, D W; Perol, M; Ou, S I; Ahn, J S; Shaw, A T; Bordogna, W; Smoljanovic, V; Hilton, M; Ruf, T; Noe, J; Peters, S&lt;/Author&gt;&lt;Year&gt;2020&lt;/Year&gt;&lt;Details&gt;&lt;_accessed&gt;64631481&lt;/_accessed&gt;&lt;_accession_num&gt;32418886&lt;/_accession_num&gt;&lt;_author_adr&gt;State Key Laboratory of Translational Oncology, Chinese University of Hong Kong,  Shatin, NT, Hong Kong.; University of Colorado, Denver, USA.; Department of Internal Medicine, Rogel Cancer Center/University of Michigan, Ann  Arbor, USA.; Catalan Institute of Oncology, Barcelona, Spain.; Department of Oncology and Radiotherapy, Medical University of Gdansk, Gdansk, Poland.; Seoul National University Hospital, Seoul, South Korea.; Department of Medical Oncology, Leon Berard Cancer Center, Lyon, France.; Chao Family Comprehensive Cancer Center, University of California, Irvine, USA.; Samsung Medical Center, Sungkyunkwan University School of Medicine, Seoul, South  Korea.; Massachusetts General Hospital, Boston, USA.; F. Hoffmann-La Roche Ltd, Basel, Switzerland.; F. Hoffmann-La Roche Ltd, Basel, Switzerland.; F. Hoffmann-La Roche Ltd, Basel, Switzerland.; F. Hoffmann-La Roche Ltd, Basel, Switzerland.; F. Hoffmann-La Roche Ltd, Basel, Switzerland.; Lausanne University Hospital, Centre Hospitalier Universitaire Vaudois (CHUV), Lausanne, Switzerland. Electronic address: solange.peters@chuv.ch.&lt;/_author_adr&gt;&lt;_collection_scope&gt;SCIE&lt;/_collection_scope&gt;&lt;_created&gt;64630952&lt;/_created&gt;&lt;_date&gt;2020-08-01&lt;/_date&gt;&lt;_date_display&gt;2020 Aug&lt;/_date_display&gt;&lt;_db_updated&gt;PubMed&lt;/_db_updated&gt;&lt;_doi&gt;10.1016/j.annonc.2020.04.478&lt;/_doi&gt;&lt;_impact_factor&gt;  51.769&lt;/_impact_factor&gt;&lt;_isbn&gt;1569-8041 (Electronic); 0923-7534 (Linking)&lt;/_isbn&gt;&lt;_issue&gt;8&lt;/_issue&gt;&lt;_journal&gt;Ann Oncol&lt;/_journal&gt;&lt;_keywords&gt;ALK-positive; alectinib; crizotinib; non-small-cell lung cancer; overall survival; progression-free survival&lt;/_keywords&gt;&lt;_language&gt;eng&lt;/_language&gt;&lt;_modified&gt;64740730&lt;/_modified&gt;&lt;_ori_publication&gt;Copyright (c) 2020 The Authors. Published by Elsevier Ltd.. All rights reserved.&lt;/_ori_publication&gt;&lt;_pages&gt;1056-1064&lt;/_pages&gt;&lt;_social_category&gt;医学(1)&lt;/_social_category&gt;&lt;_subject_headings&gt;Anaplastic Lymphoma Kinase/genetics; *Carcinoma, Non-Small-Cell Lung/drug therapy/genetics; *Crizotinib/therapeutic use; Humans; *Lung Neoplasms/drug therapy/genetics; Progression-Free Survival; Protein Kinase Inhibitors/therapeutic use&lt;/_subject_headings&gt;&lt;_tertiary_title&gt;Annals of oncology : official journal of the European Society for Medical_x000d__x000a_      Oncology&lt;/_tertiary_title&gt;&lt;_type_work&gt;Journal Article; Randomized Controlled Trial; Research Support, Non-U.S. Gov&amp;apos;t&lt;/_type_work&gt;&lt;_url&gt;http://www.ncbi.nlm.nih.gov/entrez/query.fcgi?cmd=Retrieve&amp;amp;db=pubmed&amp;amp;dopt=Abstract&amp;amp;list_uids=32418886&amp;amp;query_hl=1&lt;/_url&gt;&lt;_volume&gt;31&lt;/_volume&gt;&lt;/Details&gt;&lt;Extra&gt;&lt;DBUID&gt;{F96A950B-833F-4880-A151-76DA2D6A2879}&lt;/DBUID&gt;&lt;/Extra&gt;&lt;/Item&gt;&lt;/References&gt;&lt;/Group&gt;&lt;Group&gt;&lt;References&gt;&lt;Item&gt;&lt;ID&gt;3001&lt;/ID&gt;&lt;UID&gt;{7DE096FF-18C8-48EC-AE8A-1FE74D70A8E9}&lt;/UID&gt;&lt;Title&gt;Alectinib versus crizotinib in treatment-naive anaplastic lymphoma  kinase-positive (ALK+) non-small-cell lung cancer: CNS efficacy results from the  ALEX study&lt;/Title&gt;&lt;Template&gt;Journal Article&lt;/Template&gt;&lt;Star&gt;0&lt;/Star&gt;&lt;Tag&gt;0&lt;/Tag&gt;&lt;Author&gt;Gadgeel, S; Peters, S; Mok, T; Shaw, A T; Kim, D W; Ou, S I; Perol, M; Wrona, A; Novello, S; Rosell, R; Zeaiter, A; Liu, T; Nuesch, E; Balas, B; Camidge, D R&lt;/Author&gt;&lt;Year&gt;2018&lt;/Year&gt;&lt;Details&gt;&lt;_accession_num&gt;30215676&lt;/_accession_num&gt;&lt;_author_adr&gt;Division of Hematology &amp;amp; Oncology, Department of Internal Medicine, University of  Michigan, Ann Arbor, USA. Electronic address: sgadgeel@med.umich.edu.; Department of Oncology, Lausanne University Hospital, Lausanne, Switzerland.; Department of Clinical Oncology, State Key Laboratory of South China, Chinese  University of Hong Kong, Shatin, Hong Kong.; Department of Medicine, Massachusetts General Hospital, Boston, USA.; Department of Internal Medicine, Seoul National University Hospital, Seoul, South  Korea.; Irvine School of Medicine, Chao Family Comprehensive Cancer Center, University of  California, Orange, USA.; Department of Medical Oncology, Leon Berard Cancer Center, Lyon, France.; Department of Oncology and Radiotherapy, Medical University of Gdansk, Gdansk,  Poland.; Department of Oncology, University of Turin, Turin, Italy.; Catalan Institute of Oncology, Barcelona, Spain.; F. Hoffmann-La Roche Ltd, Basel, Switzerland.; F. Hoffmann-La Roche Ltd, Basel, Switzerland.; F. Hoffmann-La Roche Ltd, Basel, Switzerland.; F. Hoffmann-La Roche Ltd, Basel, Switzerland.; Division of Medical Oncology, University of Colorado, Aurora, USA.&lt;/_author_adr&gt;&lt;_date_display&gt;2018 Nov 1&lt;/_date_display&gt;&lt;_date&gt;2018-11-01&lt;/_date&gt;&lt;_doi&gt;10.1093/annonc/mdy405&lt;/_doi&gt;&lt;_isbn&gt;1569-8041 (Electronic); 0923-7534 (Print); 0923-7534 (Linking)&lt;/_isbn&gt;&lt;_issue&gt;11&lt;/_issue&gt;&lt;_journal&gt;Ann Oncol&lt;/_journal&gt;&lt;_language&gt;eng&lt;/_language&gt;&lt;_pages&gt;2214-2222&lt;/_pages&gt;&lt;_subject_headings&gt;Adult; Aged; Aged, 80 and over; Anaplastic Lymphoma Kinase/antagonists &amp;amp; inhibitors/*genetics; Brain/diagnostic imaging/drug effects/radiation effects; Brain Neoplasms/diagnostic imaging/genetics/secondary/*therapy; Carbazoles/pharmacology/*therapeutic use; Carcinoma, Non-Small-Cell Lung/diagnostic imaging/genetics/secondary/*therapy; Chemoradiotherapy/methods; Crizotinib/pharmacology/*therapeutic use; Disease Progression; Female; Humans; Lung/diagnostic imaging/drug effects/radiation effects; Lung Neoplasms/diagnostic imaging/genetics/pathology/*therapy; Magnetic Resonance Imaging; Male; Middle Aged; Piperidines/pharmacology/*therapeutic use; Treatment Outcome; Tumor Burden/drug effects/radiation effects; Young Adult&lt;/_subject_headings&gt;&lt;_tertiary_title&gt;Annals of oncology : official journal of the European Society for Medical _x000d__x000a_      Oncology&lt;/_tertiary_title&gt;&lt;_type_work&gt;Clinical Trial, Phase III; Comparative Study; Journal Article; Randomized Controlled Trial; Research Support, Non-U.S. Gov&amp;apos;t&lt;/_type_work&gt;&lt;_url&gt;http://www.ncbi.nlm.nih.gov/entrez/query.fcgi?cmd=Retrieve&amp;amp;db=pubmed&amp;amp;dopt=Abstract&amp;amp;list_uids=30215676&amp;amp;query_hl=1&lt;/_url&gt;&lt;_volume&gt;29&lt;/_volume&gt;&lt;_created&gt;64740330&lt;/_created&gt;&lt;_modified&gt;64740730&lt;/_modified&gt;&lt;_db_updated&gt;PubMed&lt;/_db_updated&gt;&lt;_impact_factor&gt;  51.769&lt;/_impact_factor&gt;&lt;_social_category&gt;医学(1)&lt;/_social_category&gt;&lt;_collection_scope&gt;SCIE&lt;/_collection_scope&gt;&lt;/Details&gt;&lt;Extra&gt;&lt;DBUID&gt;{F96A950B-833F-4880-A151-76DA2D6A2879}&lt;/DBUID&gt;&lt;/Extra&gt;&lt;/Item&gt;&lt;/References&gt;&lt;/Group&gt;&lt;/Citation&gt;_x000a_"/>
    <w:docVar w:name="NE.Ref{E1B32A67-FAEF-461E-B4B7-B176B0AE2FB8}" w:val=" ADDIN NE.Ref.{E1B32A67-FAEF-461E-B4B7-B176B0AE2FB8}&lt;Citation&gt;&lt;Group&gt;&lt;References&gt;&lt;Item&gt;&lt;ID&gt;5041&lt;/ID&gt;&lt;UID&gt;{3154A280-2B61-4C36-BD50-ABC671FE750F}&lt;/UID&gt;&lt;Title&gt;Health state utilities for non small cell lung cancer&lt;/Title&gt;&lt;Template&gt;Journal Article&lt;/Template&gt;&lt;Star&gt;0&lt;/Star&gt;&lt;Tag&gt;0&lt;/Tag&gt;&lt;Author&gt;Nafees, B; Stafford, M; Gavriel, S; Bhalla, S; Watkins, J&lt;/Author&gt;&lt;Year&gt;2008&lt;/Year&gt;&lt;Details&gt;&lt;_accession_num&gt;18939982&lt;/_accession_num&gt;&lt;_author_adr&gt;United BioSource Corporation, UK, 20 Bloomsbury Square, London, WC1A 2NS, UK.  beenish.nafees@unitedbiosource.com&lt;/_author_adr&gt;&lt;_date_display&gt;2008 Oct 21&lt;/_date_display&gt;&lt;_date&gt;2008-10-21&lt;/_date&gt;&lt;_doi&gt;10.1186/1477-7525-6-84&lt;/_doi&gt;&lt;_isbn&gt;1477-7525 (Electronic); 1477-7525 (Linking)&lt;/_isbn&gt;&lt;_journal&gt;Health Qual Life Outcomes&lt;/_journal&gt;&lt;_language&gt;eng&lt;/_language&gt;&lt;_pages&gt;84&lt;/_pages&gt;&lt;_subject_headings&gt;Adult; Antineoplastic Combined Chemotherapy Protocols/*adverse effects/therapeutic use; *Attitude to Health; Breast Neoplasms/drug therapy/pathology; Carcinoma, Non-Small-Cell Lung/*drug therapy/physiopathology/psychology; Clinical Trials, Phase III as Topic; Demography; *Disease Progression; Drug-Related Side Effects and Adverse Reactions/psychology; Female; Humans; Interviews as Topic; Lung Neoplasms/*drug therapy/physiopathology/psychology; Male; Middle Aged; Pilot Projects; Psychometrics/instrumentation/*standards; *Quality of Life; *Sickness Impact Profile; Treatment Outcome; United Kingdom&lt;/_subject_headings&gt;&lt;_tertiary_title&gt;Health and quality of life outcomes&lt;/_tertiary_title&gt;&lt;_type_work&gt;Journal Article; Validation Study&lt;/_type_work&gt;&lt;_url&gt;http://www.ncbi.nlm.nih.gov/entrez/query.fcgi?cmd=Retrieve&amp;amp;db=pubmed&amp;amp;dopt=Abstract&amp;amp;list_uids=18939982&amp;amp;query_hl=1&lt;/_url&gt;&lt;_volume&gt;6&lt;/_volume&gt;&lt;_created&gt;65329740&lt;/_created&gt;&lt;_modified&gt;65329740&lt;/_modified&gt;&lt;_impact_factor&gt;   3.600&lt;/_impact_factor&gt;&lt;_social_category&gt;卫生保健与服务(3) &amp;amp; 卫生政策与服务(2)&lt;/_social_category&gt;&lt;_collection_scope&gt;SSCI;SCIE&lt;/_collection_scope&gt;&lt;_accessed&gt;65330885&lt;/_accessed&gt;&lt;/Details&gt;&lt;Extra&gt;&lt;DBUID&gt;{F96A950B-833F-4880-A151-76DA2D6A2879}&lt;/DBUID&gt;&lt;/Extra&gt;&lt;/Item&gt;&lt;/References&gt;&lt;/Group&gt;&lt;/Citation&gt;_x000a_"/>
    <w:docVar w:name="NE.Ref{E1EE7F56-5AC4-4B4A-8FD5-9D917B1E6F14}" w:val=" ADDIN NE.Ref.{E1EE7F56-5AC4-4B4A-8FD5-9D917B1E6F14}&lt;Citation&gt;&lt;Group&gt;&lt;References&gt;&lt;Item&gt;&lt;ID&gt;4868&lt;/ID&gt;&lt;UID&gt;{53628FD7-5818-48FD-B5A9-FAA7E0166E8E}&lt;/UID&gt;&lt;Title&gt;The Role of Primary Tumor Resection in Colorectal Cancer Patients with  Asymptomatic, Synchronous, Unresectable Metastasis: A Multicenter Randomized  Controlled Trial&lt;/Title&gt;&lt;Template&gt;Journal Article&lt;/Template&gt;&lt;Star&gt;0&lt;/Star&gt;&lt;Tag&gt;0&lt;/Tag&gt;&lt;Author&gt;Park, E J; Baek, J H; Choi, G S; Park, W C; Yu, C S; Kang, S B; Min, B S; Kim, J H; Kim, H R; Lee, B H; Oh, J H; Jeong, S Y; Jung, M; Ahn, J B; Baik, S H&lt;/Author&gt;&lt;Year&gt;2020&lt;/Year&gt;&lt;Details&gt;&lt;_accession_num&gt;32824392&lt;/_accession_num&gt;&lt;_author_adr&gt;Division of Colon and Rectal Surgery, Department of Surgery, Gangnam Severance  Hospital, Yonsei University College of Medicine, Seoul 06273, Korea.; Department of Surgery, Gil Medical Center, Gachon University College of Medicine,  Incheon 21565, Korea.; Colorectal Cancer Center, Kyungpook National University Chilgok Hospital, School  of Medicine, Kyungpook National University, Daegu 41404, Korea.; Department of Surgery, Wonkwang University School of Medicine, Iksan 54538,  Korea.; Department of Colon and Rectal Surgery, Asan Medical Center, University of Ulsan  College of Medicine, Seoul 05505, Korea.; Department of Surgery, Seoul National University Bundang Hospital, Seoul National  University College of Medicine, Seongnam 13620, Korea.; Division of Colon and Rectal Surgery, Department of Surgery, Severance Hospital,  Yonsei University College of Medicine, Seoul 03722, Korea.; Department of Surgery, Yeungnam University College of Medicine, Daegu 42415,  Korea.; Department of Surgery, Chonnam National University Hwasun Hospital and Medical  School, Hwasun 58128, Korea.; Department of Surgery, Hallym University Sacred Heart Hospital, Anyang 14068,  Korea.; Center for Colorectal Cancer, Research Institute and Hospital, National Cancer  Center, Goyang 10408, Korea.; Department of Surgery, Seoul National University College of Medicine, Colorectal  Cancer Center, Seoul National University Cancer Hospital, Seoul 03080, Korea.; Division of Medical Oncology, Department of Internal Medicine, Yonsei Cancer  Center, Yonsei University College of Medicine, Seoul 03722, Korea.; Division of Medical Oncology, Department of Internal Medicine, Yonsei Cancer  Center, Yonsei University College of Medicine, Seoul 03722, Korea.; Division of Colon and Rectal Surgery, Department of Surgery, Gangnam Severance  Hospital, Yonsei University College of Medicine, Seoul 06273, Korea.&lt;/_author_adr&gt;&lt;_date_display&gt;2020 Aug 16&lt;/_date_display&gt;&lt;_date&gt;2020-08-16&lt;/_date&gt;&lt;_doi&gt;10.3390/cancers12082306&lt;/_doi&gt;&lt;_isbn&gt;2072-6694 (Print); 2072-6694 (Electronic); 2072-6694 (Linking)&lt;/_isbn&gt;&lt;_issue&gt;8&lt;/_issue&gt;&lt;_journal&gt;Cancers (Basel)&lt;/_journal&gt;&lt;_keywords&gt;chemotherapy; colorectal neoplasm; neoplasm metastasis; non-curative resection; overall survival; primary tumor resection; synchronous unresectable metastasis&lt;/_keywords&gt;&lt;_language&gt;eng&lt;/_language&gt;&lt;_tertiary_title&gt;Cancers&lt;/_tertiary_title&gt;&lt;_type_work&gt;Journal Article&lt;/_type_work&gt;&lt;_url&gt;http://www.ncbi.nlm.nih.gov/entrez/query.fcgi?cmd=Retrieve&amp;amp;db=pubmed&amp;amp;dopt=Abstract&amp;amp;list_uids=32824392&amp;amp;query_hl=1&lt;/_url&gt;&lt;_volume&gt;12&lt;/_volume&gt;&lt;_created&gt;65089356&lt;/_created&gt;&lt;_modified&gt;65089356&lt;/_modified&gt;&lt;_impact_factor&gt;   6.575&lt;/_impact_factor&gt;&lt;_social_category&gt;医学(2)&lt;/_social_category&gt;&lt;_collection_scope&gt;SCIE&lt;/_collection_scope&gt;&lt;/Details&gt;&lt;Extra&gt;&lt;DBUID&gt;{F96A950B-833F-4880-A151-76DA2D6A2879}&lt;/DBUID&gt;&lt;/Extra&gt;&lt;/Item&gt;&lt;/References&gt;&lt;/Group&gt;&lt;/Citation&gt;_x000a_"/>
    <w:docVar w:name="NE.Ref{E214637B-4B9D-4750-B103-FE243798C236}" w:val=" ADDIN NE.Ref.{E214637B-4B9D-4750-B103-FE243798C236}&lt;Citation&gt;&lt;Group&gt;&lt;References&gt;&lt;Item&gt;&lt;ID&gt;12060&lt;/ID&gt;&lt;UID&gt;{BD5F9BCC-6C7B-4E34-A97B-B8B57E470259}&lt;/UID&gt;&lt;Title&gt;Network meta-analysis of parametric survival curves&lt;/Title&gt;&lt;Template&gt;Journal Article&lt;/Template&gt;&lt;Star&gt;0&lt;/Star&gt;&lt;Tag&gt;0&lt;/Tag&gt;&lt;Author&gt;Ouwens, M J; Philips, Z; Jansen, J P&lt;/Author&gt;&lt;Year&gt;2010&lt;/Year&gt;&lt;Details&gt;&lt;_accession_num&gt;26061470&lt;/_accession_num&gt;&lt;_author_adr&gt;Mapi Values, Netherlands.; Mapi Values, Netherlands.; Mapi Values, U.S.A.. jeroen.jansen@mapivalues.com.&lt;/_author_adr&gt;&lt;_collection_scope&gt;SCIE&lt;/_collection_scope&gt;&lt;_created&gt;64076391&lt;/_created&gt;&lt;_date&gt;2010-07-01&lt;/_date&gt;&lt;_date_display&gt;2010 Jul&lt;/_date_display&gt;&lt;_db_updated&gt;PubMed&lt;/_db_updated&gt;&lt;_doi&gt;10.1002/jrsm.25&lt;/_doi&gt;&lt;_impact_factor&gt;   5.273&lt;/_impact_factor&gt;&lt;_isbn&gt;1759-2879 (Print); 1759-2879 (Linking)&lt;/_isbn&gt;&lt;_issue&gt;3-4&lt;/_issue&gt;&lt;_journal&gt;Res Synth Methods&lt;/_journal&gt;&lt;_keywords&gt;indirect comparisons; network meta-analysis; parametric survival; treatment effect&lt;/_keywords&gt;&lt;_language&gt;eng&lt;/_language&gt;&lt;_modified&gt;64076392&lt;/_modified&gt;&lt;_ori_publication&gt;Copyright (c) 2011 John Wiley &amp;amp; Sons, Ltd.&lt;/_ori_publication&gt;&lt;_pages&gt;258-71&lt;/_pages&gt;&lt;_tertiary_title&gt;Research synthesis methods&lt;/_tertiary_title&gt;&lt;_type_work&gt;Journal Article&lt;/_type_work&gt;&lt;_url&gt;http://www.ncbi.nlm.nih.gov/entrez/query.fcgi?cmd=Retrieve&amp;amp;db=pubmed&amp;amp;dopt=Abstract&amp;amp;list_uids=26061470&amp;amp;query_hl=1&lt;/_url&gt;&lt;_volume&gt;1&lt;/_volume&gt;&lt;/Details&gt;&lt;Extra/&gt;&lt;/Item&gt;&lt;/References&gt;&lt;/Group&gt;&lt;/Citation&gt;_x000a_"/>
    <w:docVar w:name="NE.Ref{E219EE5B-8C28-44BF-A3A9-319DCF148DD9}" w:val=" ADDIN NE.Ref.{E219EE5B-8C28-44BF-A3A9-319DCF148DD9}&lt;Citation&gt;&lt;Group&gt;&lt;References&gt;&lt;Item&gt;&lt;ID&gt;4864&lt;/ID&gt;&lt;UID&gt;{9BD570C4-BC0F-4A13-BD59-91E2677A5997}&lt;/UID&gt;&lt;Title&gt;Colorectal liver metastasis: molecular mechanism and interventional therapy&lt;/Title&gt;&lt;Template&gt;Journal Article&lt;/Template&gt;&lt;Star&gt;0&lt;/Star&gt;&lt;Tag&gt;0&lt;/Tag&gt;&lt;Author&gt;Zhou, H; Liu, Z; Wang, Y; Wen, X; Amador, E H; Yuan, L; Ran, X; Xiong, L; Ran, Y; Chen, W; Wen, Y&lt;/Author&gt;&lt;Year&gt;2022&lt;/Year&gt;&lt;Details&gt;&lt;_accession_num&gt;35246503&lt;/_accession_num&gt;&lt;_author_adr&gt;Department of General Surgery, Second Xiangya Hospital, Central South University,  Changsha, 410011, Hunan Province, China.; Department of General Surgery, Second Xiangya Hospital, Central South University,  Changsha, 410011, Hunan Province, China.; Department of General Surgery, Second Xiangya Hospital, Central South University,  Changsha, 410011, Hunan Province, China.; Department of General Surgery, Second Xiangya Hospital, Central South University,  Changsha, 410011, Hunan Province, China.; Department of Physics, The University of Texas, Arlington, TX, 76019, USA.; Department of General Surgery, Second Xiangya Hospital, Central South University,  Changsha, 410011, Hunan Province, China.; Department of Dermatovenereology, West China Hospital, Sichuan University,  Chengdu, Sichuan Province, China.; Department of General Surgery, Second Xiangya Hospital, Central South University,  Changsha, 410011, Hunan Province, China. lixionghn@csu.edu.cn.; Department of Dermatovenereology, West China Hospital, Sichuan University,  Chengdu, Sichuan Province, China.; Department of Physics, The University of Texas, Arlington, TX, 76019, USA.  weichen@uta.edu.; Medical Technology Research Centre, Chelmsford Campus, Anglia Ruskin University,  Chelmsford, CM1 1SQ, UK. weichen@uta.edu.; Department of General Surgery, Second Xiangya Hospital, Central South University,  Changsha, 410011, Hunan Province, China. wenyu2861@csu.edu.cn.&lt;/_author_adr&gt;&lt;_date_display&gt;2022 Mar 4&lt;/_date_display&gt;&lt;_date&gt;2022-03-04&lt;/_date&gt;&lt;_doi&gt;10.1038/s41392-022-00922-2&lt;/_doi&gt;&lt;_isbn&gt;2059-3635 (Electronic); 2095-9907 (Print); 2059-3635 (Linking)&lt;/_isbn&gt;&lt;_issue&gt;1&lt;/_issue&gt;&lt;_journal&gt;Signal Transduct Target Ther&lt;/_journal&gt;&lt;_language&gt;eng&lt;/_language&gt;&lt;_ori_publication&gt;© 2022. The Author(s).&lt;/_ori_publication&gt;&lt;_pages&gt;70&lt;/_pages&gt;&lt;_subject_headings&gt;*Colorectal Neoplasms/genetics/therapy; Humans; *Liver Neoplasms/genetics/therapy; Tumor Microenvironment/genetics&lt;/_subject_headings&gt;&lt;_tertiary_title&gt;Signal transduction and targeted therapy&lt;/_tertiary_title&gt;&lt;_type_work&gt;Journal Article; Research Support, Non-U.S. Gov&amp;apos;t; Review&lt;/_type_work&gt;&lt;_url&gt;http://www.ncbi.nlm.nih.gov/entrez/query.fcgi?cmd=Retrieve&amp;amp;db=pubmed&amp;amp;dopt=Abstract&amp;amp;list_uids=35246503&amp;amp;query_hl=1&lt;/_url&gt;&lt;_volume&gt;7&lt;/_volume&gt;&lt;_created&gt;65089356&lt;/_created&gt;&lt;_modified&gt;65089356&lt;/_modified&gt;&lt;_impact_factor&gt;  38.104&lt;/_impact_factor&gt;&lt;_social_category&gt;医学(1)&lt;/_social_category&gt;&lt;_collection_scope&gt;CSCD;SCIE&lt;/_collection_scope&gt;&lt;/Details&gt;&lt;Extra&gt;&lt;DBUID&gt;{F96A950B-833F-4880-A151-76DA2D6A2879}&lt;/DBUID&gt;&lt;/Extra&gt;&lt;/Item&gt;&lt;/References&gt;&lt;/Group&gt;&lt;/Citation&gt;_x000a_"/>
    <w:docVar w:name="NE.Ref{E388CE22-31F7-4738-95BB-FEBFF058CDF7}" w:val=" ADDIN NE.Ref.{E388CE22-31F7-4738-95BB-FEBFF058CDF7}&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E4522D9F-7C00-4C0E-A72B-DCD1A4CFE047}" w:val=" ADDIN NE.Ref.{E4522D9F-7C00-4C0E-A72B-DCD1A4CFE047}&lt;Citation&gt;&lt;Group&gt;&lt;References&gt;&lt;Item&gt;&lt;ID&gt;2956&lt;/ID&gt;&lt;UID&gt;{950C1EA2-53FB-4604-9AE3-870C51C8E232}&lt;/UID&gt;&lt;Title&gt;The PRISMA extension statement for reporting of systematic reviews incorporating  network meta-analyses of health care interventions: checklist and explanations&lt;/Title&gt;&lt;Template&gt;Journal Article&lt;/Template&gt;&lt;Star&gt;0&lt;/Star&gt;&lt;Tag&gt;0&lt;/Tag&gt;&lt;Author&gt;Hutton, B; Salanti, G; Caldwell, D M; Chaimani, A; Schmid, C H; Cameron, C; Ioannidis, J P; Straus, S; Thorlund, K; Jansen, J P; Mulrow, C; Catala-Lopez, F; Gotzsche, P C; Dickersin, K; Boutron, I; Altman, D G; Moher, D&lt;/Author&gt;&lt;Year&gt;2015&lt;/Year&gt;&lt;Details&gt;&lt;_accession_num&gt;26030634&lt;/_accession_num&gt;&lt;_collection_scope&gt;SCIE&lt;/_collection_scope&gt;&lt;_created&gt;64739412&lt;/_created&gt;&lt;_date&gt;2015-06-02&lt;/_date&gt;&lt;_date_display&gt;2015 Jun 2&lt;/_date_display&gt;&lt;_db_updated&gt;PubMed&lt;/_db_updated&gt;&lt;_doi&gt;10.7326/M14-2385&lt;/_doi&gt;&lt;_impact_factor&gt;  51.598&lt;/_impact_factor&gt;&lt;_isbn&gt;1539-3704 (Electronic); 0003-4819 (Linking)&lt;/_isbn&gt;&lt;_issue&gt;11&lt;/_issue&gt;&lt;_journal&gt;Ann Intern Med&lt;/_journal&gt;&lt;_language&gt;eng&lt;/_language&gt;&lt;_modified&gt;64740725&lt;/_modified&gt;&lt;_pages&gt;777-84&lt;/_pages&gt;&lt;_social_category&gt;医学(1)&lt;/_social_category&gt;&lt;_subject_headings&gt;*Checklist; Evidence-Based Medicine/standards; Humans; *Meta-Analysis as Topic; Publishing/*standards; Quality Control; *Review Literature as Topic; Terminology as Topic&lt;/_subject_headings&gt;&lt;_tertiary_title&gt;Annals of internal medicine&lt;/_tertiary_title&gt;&lt;_type_work&gt;Guideline; Journal Article; Research Support, Non-U.S. Gov&amp;apos;t&lt;/_type_work&gt;&lt;_url&gt;http://www.ncbi.nlm.nih.gov/entrez/query.fcgi?cmd=Retrieve&amp;amp;db=pubmed&amp;amp;dopt=Abstract&amp;amp;list_uids=26030634&amp;amp;query_hl=1&lt;/_url&gt;&lt;_volume&gt;162&lt;/_volume&gt;&lt;/Details&gt;&lt;Extra&gt;&lt;DBUID&gt;{F96A950B-833F-4880-A151-76DA2D6A2879}&lt;/DBUID&gt;&lt;/Extra&gt;&lt;/Item&gt;&lt;/References&gt;&lt;/Group&gt;&lt;/Citation&gt;_x000a_"/>
    <w:docVar w:name="NE.Ref{E4C15BA6-1E9C-495D-A207-410780B22527}" w:val=" ADDIN NE.Ref.{E4C15BA6-1E9C-495D-A207-410780B22527}&lt;Citation&gt;&lt;Group&gt;&lt;References&gt;&lt;Item&gt;&lt;ID&gt;13420&lt;/ID&gt;&lt;UID&gt;{FB918EC2-BD4A-4F0A-9D96-77B1EDCE2C2D}&lt;/UID&gt;&lt;Title&gt;Generalized Linear Models for Flexible Parametric Modeling of the Hazard Function&lt;/Title&gt;&lt;Template&gt;Journal Article&lt;/Template&gt;&lt;Star&gt;0&lt;/Star&gt;&lt;Tag&gt;0&lt;/Tag&gt;&lt;Author&gt;Kearns, B; Stevenson, M D; Triantafyllopoulos, K; Manca, A&lt;/Author&gt;&lt;Year&gt;2019&lt;/Year&gt;&lt;Details&gt;&lt;_accession_num&gt;31556792&lt;/_accession_num&gt;&lt;_author_adr&gt;The University of Sheffield, Sheffield, UK.; The University of Sheffield, Sheffield, UK.; The University of Sheffield, Sheffield, UK.; The University of Sheffield, Sheffield, UK.; The University of York, York, UK.&lt;/_author_adr&gt;&lt;_collection_scope&gt;SCI;SCIE&lt;/_collection_scope&gt;&lt;_created&gt;64213102&lt;/_created&gt;&lt;_date&gt;2019-10-01&lt;/_date&gt;&lt;_date_display&gt;2019 Oct&lt;/_date_display&gt;&lt;_db_updated&gt;PubMed&lt;/_db_updated&gt;&lt;_doi&gt;10.1177/0272989X19873661&lt;/_doi&gt;&lt;_impact_factor&gt;   2.583&lt;/_impact_factor&gt;&lt;_isbn&gt;1552-681X (Electronic); 0272-989X (Linking)&lt;/_isbn&gt;&lt;_issue&gt;7&lt;/_issue&gt;&lt;_journal&gt;Med Decis Making&lt;/_journal&gt;&lt;_keywords&gt;*dynamic survival models; *fractional polynomials; *frailty models; *generalized additive models; *generalized linear mixed models; *splines; *survival analysis; *time to event&lt;/_keywords&gt;&lt;_language&gt;eng&lt;/_language&gt;&lt;_modified&gt;64213102&lt;/_modified&gt;&lt;_pages&gt;867-878&lt;/_pages&gt;&lt;_subject_headings&gt;Data Interpretation, Statistical; Humans; *Linear Models; *Survival Analysis&lt;/_subject_headings&gt;&lt;_tertiary_title&gt;Medical decision making : an international journal of the Society for Medical_x000d__x000a_      Decision Making&lt;/_tertiary_title&gt;&lt;_type_work&gt;Journal Article; Research Support, Non-U.S. Gov&amp;apos;t&lt;/_type_work&gt;&lt;_url&gt;http://www.ncbi.nlm.nih.gov/entrez/query.fcgi?cmd=Retrieve&amp;amp;db=pubmed&amp;amp;dopt=Abstract&amp;amp;list_uids=31556792&amp;amp;query_hl=1&lt;/_url&gt;&lt;_volume&gt;39&lt;/_volume&gt;&lt;/Details&gt;&lt;Extra&gt;&lt;DBUID&gt;{F96A950B-833F-4880-A151-76DA2D6A2879}&lt;/DBUID&gt;&lt;/Extra&gt;&lt;/Item&gt;&lt;/References&gt;&lt;/Group&gt;&lt;/Citation&gt;_x000a_"/>
    <w:docVar w:name="NE.Ref{E56B7DC9-76B6-4DA0-B345-4C3AB3A6C575}" w:val=" ADDIN NE.Ref.{E56B7DC9-76B6-4DA0-B345-4C3AB3A6C575}&lt;Citation&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Citation&gt;_x000a_"/>
    <w:docVar w:name="NE.Ref{E59A23B6-C52E-4F69-88A3-E7BE760A53ED}" w:val=" ADDIN NE.Ref.{E59A23B6-C52E-4F69-88A3-E7BE760A53ED}&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Citation&gt;_x000a_"/>
    <w:docVar w:name="NE.Ref{E5E35589-E25F-4C5A-BF30-E50F53522D2C}" w:val=" ADDIN NE.Ref.{E5E35589-E25F-4C5A-BF30-E50F53522D2C}&lt;Citation&gt;&lt;Group&gt;&lt;References&gt;&lt;Item&gt;&lt;ID&gt;5040&lt;/ID&gt;&lt;UID&gt;{717BD1CF-CD3B-48EC-B523-80C0C3A00305}&lt;/UID&gt;&lt;Title&gt;Health state utilities for metastatic breast cancer&lt;/Title&gt;&lt;Template&gt;Journal Article&lt;/Template&gt;&lt;Star&gt;0&lt;/Star&gt;&lt;Tag&gt;0&lt;/Tag&gt;&lt;Author&gt;Lloyd, A; Nafees, B; Narewska, J; Dewilde, S; Watkins, J&lt;/Author&gt;&lt;Year&gt;2006&lt;/Year&gt;&lt;Details&gt;&lt;_accession_num&gt;16967055&lt;/_accession_num&gt;&lt;_author_adr&gt;United BioSource Corporation, 20 Bloomsbury Square, London WC1A 2NS, UK.  andrew.lloyd@unitedbiosource.com&lt;/_author_adr&gt;&lt;_date_display&gt;2006 Sep 18&lt;/_date_display&gt;&lt;_date&gt;2006-09-18&lt;/_date&gt;&lt;_doi&gt;10.1038/sj.bjc.6603326&lt;/_doi&gt;&lt;_isbn&gt;0007-0920 (Print); 1532-1827 (Electronic); 0007-0920 (Linking)&lt;/_isbn&gt;&lt;_issue&gt;6&lt;/_issue&gt;&lt;_journal&gt;Br J Cancer&lt;/_journal&gt;&lt;_language&gt;eng&lt;/_language&gt;&lt;_pages&gt;683-90&lt;/_pages&gt;&lt;_subject_headings&gt;Adult; Age Factors; *Attitude to Health; Breast Neoplasms/drug therapy/epidemiology/*psychology; Disease Progression; Female; *Health Status; Humans; Male; Pilot Projects; *Quality of Life; Recurrence; Sex Factors; *Sickness Impact Profile; United Kingdom/epidemiology&lt;/_subject_headings&gt;&lt;_tertiary_title&gt;British journal of cancer&lt;/_tertiary_title&gt;&lt;_type_work&gt;Comparative Study; Journal Article&lt;/_type_work&gt;&lt;_url&gt;http://www.ncbi.nlm.nih.gov/entrez/query.fcgi?cmd=Retrieve&amp;amp;db=pubmed&amp;amp;dopt=Abstract&amp;amp;list_uids=16967055&amp;amp;query_hl=1&lt;/_url&gt;&lt;_volume&gt;95&lt;/_volume&gt;&lt;_created&gt;65329740&lt;/_created&gt;&lt;_modified&gt;65329740&lt;/_modified&gt;&lt;_impact_factor&gt;   8.800&lt;/_impact_factor&gt;&lt;_social_category&gt;肿瘤学(2)&lt;/_social_category&gt;&lt;_collection_scope&gt;SCIE&lt;/_collection_scope&gt;&lt;_accessed&gt;65330884&lt;/_accessed&gt;&lt;/Details&gt;&lt;Extra&gt;&lt;DBUID&gt;{F96A950B-833F-4880-A151-76DA2D6A2879}&lt;/DBUID&gt;&lt;/Extra&gt;&lt;/Item&gt;&lt;/References&gt;&lt;/Group&gt;&lt;/Citation&gt;_x000a_"/>
    <w:docVar w:name="NE.Ref{E60228F1-D074-4C3B-BECA-A7D150F2264D}" w:val=" ADDIN NE.Ref.{E60228F1-D074-4C3B-BECA-A7D150F2264D}&lt;Citation&gt;&lt;Group&gt;&lt;References&gt;&lt;Item&gt;&lt;ID&gt;4674&lt;/ID&gt;&lt;UID&gt;{A95CD8DF-0D87-4C53-8E39-5E8A6AD71B5A}&lt;/UID&gt;&lt;Title&gt;Colorectal cancer statistics, 2023&lt;/Title&gt;&lt;Template&gt;Journal Article&lt;/Template&gt;&lt;Star&gt;0&lt;/Star&gt;&lt;Tag&gt;0&lt;/Tag&gt;&lt;Author&gt;Siegel, R L; Wagle, N S; Cercek, A; Smith, R A; Jemal, A&lt;/Author&gt;&lt;Year&gt;2023&lt;/Year&gt;&lt;Details&gt;&lt;_accession_num&gt;36856579&lt;/_accession_num&gt;&lt;_author_adr&gt;Surveillance and Health Equity Science, American Cancer Society, Atlanta,  Georgia, USA.; Surveillance and Health Equity Science, American Cancer Society, Atlanta,  Georgia, USA.; Department of Medicine, Memorial Sloan Kettering Cancer Center, New York, New  York, USA.; Early Cancer Detection Science, American Cancer Society, Atlanta, Georgia, USA.; Surveillance and Health Equity Science, American Cancer Society, Atlanta,  Georgia, USA.&lt;/_author_adr&gt;&lt;_date_display&gt;2023 May-Jun&lt;/_date_display&gt;&lt;_date&gt;2023-05-01&lt;/_date&gt;&lt;_doi&gt;10.3322/caac.21772&lt;/_doi&gt;&lt;_isbn&gt;1542-4863 (Electronic); 0007-9235 (Linking)&lt;/_isbn&gt;&lt;_issue&gt;3&lt;/_issue&gt;&lt;_journal&gt;CA Cancer J Clin&lt;/_journal&gt;&lt;_keywords&gt;colon and rectum neoplasms; early-onset colorectal cancer; epidemiology; health disparities; screening and early detection&lt;/_keywords&gt;&lt;_language&gt;eng&lt;/_language&gt;&lt;_ori_publication&gt;© 2023 The Authors. CA: A Cancer Journal for Clinicians published by Wiley _x000d__x000a_      Periodicals LLC on behalf of American Cancer Society.&lt;/_ori_publication&gt;&lt;_pages&gt;233-254&lt;/_pages&gt;&lt;_subject_headings&gt;Humans; United States/epidemiology; *Colorectal Neoplasms/diagnosis; *Rectal Neoplasms; Incidence; American Cancer Society&lt;/_subject_headings&gt;&lt;_tertiary_title&gt;CA: a cancer journal for clinicians&lt;/_tertiary_title&gt;&lt;_type_work&gt;Journal Article&lt;/_type_work&gt;&lt;_url&gt;http://www.ncbi.nlm.nih.gov/entrez/query.fcgi?cmd=Retrieve&amp;amp;db=pubmed&amp;amp;dopt=Abstract&amp;amp;list_uids=36856579&amp;amp;query_hl=1&lt;/_url&gt;&lt;_volume&gt;73&lt;/_volume&gt;&lt;_created&gt;65020243&lt;/_created&gt;&lt;_modified&gt;65020243&lt;/_modified&gt;&lt;_impact_factor&gt; 286.130&lt;/_impact_factor&gt;&lt;_social_category&gt;医学(1)&lt;/_social_category&gt;&lt;_collection_scope&gt;SCIE&lt;/_collection_scope&gt;&lt;/Details&gt;&lt;Extra&gt;&lt;DBUID&gt;{F96A950B-833F-4880-A151-76DA2D6A2879}&lt;/DBUID&gt;&lt;/Extra&gt;&lt;/Item&gt;&lt;/References&gt;&lt;/Group&gt;&lt;/Citation&gt;_x000a_"/>
    <w:docVar w:name="NE.Ref{E705F858-7B3C-43CD-90D0-94F7A7DC674E}" w:val=" ADDIN NE.Ref.{E705F858-7B3C-43CD-90D0-94F7A7DC674E}&lt;Citation&gt;&lt;Group&gt;&lt;References&gt;&lt;Item&gt;&lt;ID&gt;46215&lt;/ID&gt;&lt;UID&gt;{BCECF3D5-6732-491B-A9B1-32991614B513}&lt;/UID&gt;&lt;Title&gt;Flexible parametric survival analysis using Stata :beyond the Cox model&lt;/Title&gt;&lt;Template&gt;Book&lt;/Template&gt;&lt;Star&gt;0&lt;/Star&gt;&lt;Tag&gt;0&lt;/Tag&gt;&lt;Author&gt;Lambert, Paul C; Royston, Patrick&lt;/Author&gt;&lt;Year&gt;2011&lt;/Year&gt;&lt;Details&gt;&lt;_accession_num&gt;(OCoLC)ocn707965934&lt;/_accession_num&gt;&lt;_call_num&gt;519.5/460285555 QA276.4 .R69 2011&lt;/_call_num&gt;&lt;_created&gt;64300024&lt;/_created&gt;&lt;_db_updated&gt;Library of Congress&lt;/_db_updated&gt;&lt;_isbn&gt;  2011921921&lt;/_isbn&gt;&lt;_modified&gt;64688891&lt;/_modified&gt;&lt;_pages&gt;347&lt;/_pages&gt;&lt;_place_published&gt;College Station, TX : &lt;/_place_published&gt;&lt;_publisher&gt;Stata Press, &lt;/_publisher&gt;&lt;_subject_headings&gt;Survival analysis (Biometry) ; Statistics ; Data processing; Econometric models&lt;/_subject_headings&gt;&lt;_url&gt;http://www.loc.gov/catdir/enhancements/fy1210/2011921921-b.html&lt;/_url&gt;&lt;/Details&gt;&lt;Extra&gt;&lt;DBUID&gt;{F96A950B-833F-4880-A151-76DA2D6A2879}&lt;/DBUID&gt;&lt;/Extra&gt;&lt;/Item&gt;&lt;/References&gt;&lt;/Group&gt;&lt;/Citation&gt;_x000a_"/>
    <w:docVar w:name="NE.Ref{E76F3417-95C7-4EF0-9721-ED386097D8E8}" w:val=" ADDIN NE.Ref.{E76F3417-95C7-4EF0-9721-ED386097D8E8}&lt;Citation&gt;&lt;Group&gt;&lt;References&gt;&lt;Item&gt;&lt;ID&gt;5029&lt;/ID&gt;&lt;UID&gt;{B49664B4-24D0-4B1A-BA4A-257BBCE0E64E}&lt;/UID&gt;&lt;Title&gt;Cost-Utility of Nivolumab Plus Ipilimumab in First-Line Treatment of Advanced  Melanoma in the United States: An Analysis Using Long-Term Overall Survival Data  from Checkmate 067&lt;/Title&gt;&lt;Template&gt;Journal Article&lt;/Template&gt;&lt;Star&gt;0&lt;/Star&gt;&lt;Tag&gt;0&lt;/Tag&gt;&lt;Author&gt;Baker, T; Johnson, H; Kotapati, S; Moshyk, A; Hamilton, M; Kurt, M; Paly, V F&lt;/Author&gt;&lt;Year&gt;2022&lt;/Year&gt;&lt;Details&gt;&lt;_accession_num&gt;36006606&lt;/_accession_num&gt;&lt;_author_adr&gt;Global Health Economics, Outcomes Research and Epidemiology, ICON plc, ICON  Clinical Research, 4131 Parklake Ave., Suite 600, Raleigh, NC, 27612, USA.  Timothy.Baker@iconplc.com.; Bristol Myers Squibb, Uxbridge, UK.; Bristol Myers Squibb, Princeton, NJ, USA.; Bristol Myers Squibb, Princeton, NJ, USA.; Bristol Myers Squibb, Princeton, NJ, USA.; Bristol Myers Squibb, Princeton, NJ, USA.; Global Health Economics, Outcomes Research and Epidemiology, ICON plc, ICON  Clinical Research, 731Arbor Way, Suite 100, Blue Bell, PA, 19422, USA.&lt;/_author_adr&gt;&lt;_date_display&gt;2022 Sep&lt;/_date_display&gt;&lt;_date&gt;2022-09-01&lt;/_date&gt;&lt;_doi&gt;10.1007/s41669-022-00348-0&lt;/_doi&gt;&lt;_isbn&gt;2509-4254 (Electronic); 2509-4262 (Print); 2509-4262 (Linking)&lt;/_isbn&gt;&lt;_issue&gt;5&lt;/_issue&gt;&lt;_journal&gt;Pharmacoecon Open&lt;/_journal&gt;&lt;_language&gt;eng&lt;/_language&gt;&lt;_ori_publication&gt;© 2022. The Author(s).&lt;/_ori_publication&gt;&lt;_pages&gt;697-710&lt;/_pages&gt;&lt;_tertiary_title&gt;PharmacoEconomics - open&lt;/_tertiary_title&gt;&lt;_type_work&gt;Journal Article&lt;/_type_work&gt;&lt;_url&gt;http://www.ncbi.nlm.nih.gov/entrez/query.fcgi?cmd=Retrieve&amp;amp;db=pubmed&amp;amp;dopt=Abstract&amp;amp;list_uids=36006606&amp;amp;query_hl=1&lt;/_url&gt;&lt;_volume&gt;6&lt;/_volume&gt;&lt;_created&gt;65329740&lt;/_created&gt;&lt;_modified&gt;65329740&lt;/_modified&gt;&lt;_impact_factor&gt;   2.000&lt;/_impact_factor&gt;&lt;_collection_scope&gt;ESCI&lt;/_collection_scope&gt;&lt;_accessed&gt;65330804&lt;/_accessed&gt;&lt;/Details&gt;&lt;Extra&gt;&lt;DBUID&gt;{F96A950B-833F-4880-A151-76DA2D6A2879}&lt;/DBUID&gt;&lt;/Extra&gt;&lt;/Item&gt;&lt;/References&gt;&lt;/Group&gt;&lt;Group&gt;&lt;References&gt;&lt;Item&gt;&lt;ID&gt;5042&lt;/ID&gt;&lt;UID&gt;{A7C8F68F-A080-4EDE-9EDD-97387D8D9042}&lt;/UID&gt;&lt;Title&gt;Societal preference values for advanced melanoma health states in the United  Kingdom and Australia&lt;/Title&gt;&lt;Template&gt;Journal Article&lt;/Template&gt;&lt;Star&gt;0&lt;/Star&gt;&lt;Tag&gt;0&lt;/Tag&gt;&lt;Author&gt;Beusterien, K M; Szabo, S M; Kotapati, S; Mukherjee, J; Hoos, A; Hersey, P; Middleton, M R; Levy, A R&lt;/Author&gt;&lt;Year&gt;2009&lt;/Year&gt;&lt;Details&gt;&lt;_accession_num&gt;19603025&lt;/_accession_num&gt;&lt;_author_adr&gt;Oxford Outcomes Inc., 7315 Wisconsin Ave, 250W, Bethesda, MD 20814, USA.  kathy.beusterien@oxfordoutcomes.com&lt;/_author_adr&gt;&lt;_date_display&gt;2009 Aug 4&lt;/_date_display&gt;&lt;_date&gt;2009-08-04&lt;/_date&gt;&lt;_doi&gt;10.1038/sj.bjc.6605187&lt;/_doi&gt;&lt;_isbn&gt;1532-1827 (Electronic); 0007-0920 (Print); 0007-0920 (Linking)&lt;/_isbn&gt;&lt;_issue&gt;3&lt;/_issue&gt;&lt;_journal&gt;Br J Cancer&lt;/_journal&gt;&lt;_language&gt;eng&lt;/_language&gt;&lt;_pages&gt;387-9&lt;/_pages&gt;&lt;_subject_headings&gt;Adult; Aged; Antineoplastic Agents/adverse effects; Australia; Cross-Sectional Studies; Female; *Health Status; Humans; Male; Melanoma/*drug therapy/pathology; Middle Aged; United Kingdom&lt;/_subject_headings&gt;&lt;_tertiary_title&gt;British journal of cancer&lt;/_tertiary_title&gt;&lt;_type_work&gt;Journal Article; Research Support, Non-U.S. Gov&amp;apos;t&lt;/_type_work&gt;&lt;_url&gt;http://www.ncbi.nlm.nih.gov/entrez/query.fcgi?cmd=Retrieve&amp;amp;db=pubmed&amp;amp;dopt=Abstract&amp;amp;list_uids=19603025&amp;amp;query_hl=1&lt;/_url&gt;&lt;_volume&gt;101&lt;/_volume&gt;&lt;_created&gt;65329740&lt;/_created&gt;&lt;_modified&gt;65329740&lt;/_modified&gt;&lt;_impact_factor&gt;   8.800&lt;/_impact_factor&gt;&lt;_social_category&gt;肿瘤学(2)&lt;/_social_category&gt;&lt;_collection_scope&gt;SCIE&lt;/_collection_scope&gt;&lt;_accessed&gt;65330890&lt;/_accessed&gt;&lt;/Details&gt;&lt;Extra&gt;&lt;DBUID&gt;{F96A950B-833F-4880-A151-76DA2D6A2879}&lt;/DBUID&gt;&lt;/Extra&gt;&lt;/Item&gt;&lt;/References&gt;&lt;/Group&gt;&lt;/Citation&gt;_x000a_"/>
    <w:docVar w:name="NE.Ref{E8218796-A25F-49CB-91C5-DD70651DBA02}" w:val=" ADDIN NE.Ref.{E8218796-A25F-49CB-91C5-DD70651DBA02}&lt;Citation&gt;&lt;Group&gt;&lt;References&gt;&lt;Item&gt;&lt;ID&gt;5021&lt;/ID&gt;&lt;UID&gt;{FC01DC97-7D4C-4C9D-9151-12C0AE958C20}&lt;/UID&gt;&lt;Title&gt;National Institute for Health and Care Excellence. Regorafenib for previously treated metastatic colorectal cancer [ID4002]. https://www.nice.org.uk/guidance(Accessed Feb 2, 2024).&lt;/Title&gt;&lt;Template&gt;Web Page&lt;/Template&gt;&lt;Star&gt;0&lt;/Star&gt;&lt;Tag&gt;0&lt;/Tag&gt;&lt;Author/&gt;&lt;Year&gt;0&lt;/Year&gt;&lt;Details&gt;&lt;_accessed&gt;65330793&lt;/_accessed&gt;&lt;_created&gt;65329711&lt;/_created&gt;&lt;_modified&gt;65329715&lt;/_modified&gt;&lt;/Details&gt;&lt;Extra&gt;&lt;DBUID&gt;{F96A950B-833F-4880-A151-76DA2D6A2879}&lt;/DBUID&gt;&lt;/Extra&gt;&lt;/Item&gt;&lt;/References&gt;&lt;/Group&gt;&lt;/Citation&gt;_x000a_"/>
    <w:docVar w:name="NE.Ref{E98E6C45-FCE0-49B5-879B-AAF5485F2125}" w:val=" ADDIN NE.Ref.{E98E6C45-FCE0-49B5-879B-AAF5485F2125}&lt;Citation&gt;&lt;Group&gt;&lt;References&gt;&lt;Item&gt;&lt;ID&gt;2986&lt;/ID&gt;&lt;UID&gt;{EAD05C8C-08F1-4D02-BB5B-35E1CE9E2B7B}&lt;/UID&gt;&lt;Title&gt;Brigatinib versus Crizotinib in ALK-Positive Non-Small-Cell Lung Cancer&lt;/Title&gt;&lt;Template&gt;Journal Article&lt;/Template&gt;&lt;Star&gt;0&lt;/Star&gt;&lt;Tag&gt;0&lt;/Tag&gt;&lt;Author&gt;Camidge, D R; Kim, H R; Ahn, M J; Yang, J C; Han, J Y; Lee, J S; Hochmair, M J; Li, J Y; Chang, G C; Lee, K H; Gridelli, C; Delmonte, A; Garcia, Campelo R; Kim, D W; Bearz, A; Griesinger, F; Morabito, A; Felip, E; Califano, R; Ghosh, S; Spira, A; Gettinger, S N; Tiseo, M; Gupta, N; Haney, J; Kerstein, D; Popat, S&lt;/Author&gt;&lt;Year&gt;2018&lt;/Year&gt;&lt;Details&gt;&lt;_accessed&gt;64632453&lt;/_accessed&gt;&lt;_accession_num&gt;30280657&lt;/_accession_num&gt;&lt;_collection_scope&gt;SCIE&lt;/_collection_scope&gt;&lt;_created&gt;64630986&lt;/_created&gt;&lt;_date&gt;2018-11-22&lt;/_date&gt;&lt;_date_display&gt;2018 Nov 22&lt;/_date_display&gt;&lt;_db_updated&gt;PubMed&lt;/_db_updated&gt;&lt;_doi&gt;10.1056/NEJMoa1810171&lt;/_doi&gt;&lt;_impact_factor&gt; 176.079&lt;/_impact_factor&gt;&lt;_isbn&gt;1533-4406 (Electronic); 0028-4793 (Linking)&lt;/_isbn&gt;&lt;_issue&gt;21&lt;/_issue&gt;&lt;_journal&gt;N Engl J Med&lt;/_journal&gt;&lt;_language&gt;eng&lt;/_language&gt;&lt;_modified&gt;64740730&lt;/_modified&gt;&lt;_pages&gt;2027-2039&lt;/_pages&gt;&lt;_social_category&gt;医学(1)&lt;/_social_category&gt;&lt;_subject_headings&gt;Adult; Aged; Aged, 80 and over; Anaplastic Lymphoma Kinase/analysis/*antagonists &amp;amp; inhibitors; Antineoplastic Agents/adverse effects/*therapeutic use; Brain Neoplasms/secondary; Carcinoma, Non-Small-Cell Lung/chemistry/*drug therapy/secondary; Crizotinib/adverse effects/*therapeutic use; Female; Humans; Kaplan-Meier Estimate; Lung Neoplasms/chemistry/*drug therapy/pathology; Male; Middle Aged; Organophosphorus Compounds/adverse effects/*therapeutic use; Progression-Free Survival; Pyrimidines/adverse effects/*therapeutic use&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0280657&amp;amp;query_hl=1&lt;/_url&gt;&lt;_volume&gt;379&lt;/_volume&gt;&lt;/Details&gt;&lt;Extra&gt;&lt;DBUID&gt;{F96A950B-833F-4880-A151-76DA2D6A2879}&lt;/DBUID&gt;&lt;/Extra&gt;&lt;/Item&gt;&lt;/References&gt;&lt;/Group&gt;&lt;Group&gt;&lt;References&gt;&lt;Item&gt;&lt;ID&gt;2987&lt;/ID&gt;&lt;UID&gt;{C8EA962A-31DB-4790-A6F3-BC6721523EBF}&lt;/UID&gt;&lt;Title&gt;Health-related quality of life in the randomized phase III trial of brigatinib vs  crizotinib in advanced ALK inhibitor-naive ALK + non-small cell lung cancer  (ALTA-1L)&lt;/Title&gt;&lt;Template&gt;Journal Article&lt;/Template&gt;&lt;Star&gt;0&lt;/Star&gt;&lt;Tag&gt;0&lt;/Tag&gt;&lt;Author&gt;Garcia, Campelo MR; Lin, H M; Zhu, Y; Perol, M; Jahanzeb, M; Popat, S; Zhang, P; Camidge, D R&lt;/Author&gt;&lt;Year&gt;2021&lt;/Year&gt;&lt;Details&gt;&lt;_accession_num&gt;33744781&lt;/_accession_num&gt;&lt;_author_adr&gt;Medical Oncology Service, University Hospital A Coruna (XXIAC-SERGAS), Xubias de  Arriba, 84, 15006, A Coruna, Spain. Electronic address:  MA.Rosario.Garcia.Campelo@sergas.es.; Millennium Pharmaceuticals, Inc, 35 Landsdowne Street, Cambridge, MA, 02139,  USA(3). Electronic address: mark.lin@takeda.com.; Millennium Pharmaceuticals, Inc, 35 Landsdowne Street, Cambridge, MA, 02139,  USA(3). Electronic address: Yanyan.zhu@takeda.com.; Department of Medical Oncology, Centre Leon Berard, 28 Prom. Lea et Napoleon  Bullukian, 69008, Lyon, France. Electronic address:  maurice.perol@lyon.unicancer.fr.; Florida Precision Oncology, a division of 21st Century Oncology, 3651 FAU  Boulevard, Suite 100, Boca Raton, FL, 33431, USA. Electronic address:  mj@fponcology.com.; The Royal Marsden Hospital, 203 Fulham Road, Chelsea, London, SW3 6JJ, United  Kingdom; The Institute of Cancer Research, 123 Old Brompton Road, London, SW7  3RP, United Kingdom. Electronic address: sanjay.popat@rmh.nhs.uk.; Millennium Pharmaceuticals, Inc, 300 Massachusetts Avenue, Cambridge, MA, 02139,  USA(3). Electronic address: Pingkuan.Zhang@takeda.com.; University of Colorado Cancer Center, 1665 Aurora Court, Aurora, CO, 80045, USA.  Electronic address: Ross.Camidge@CUAnschutz.edu.&lt;/_author_adr&gt;&lt;_collection_scope&gt;SCIE&lt;/_collection_scope&gt;&lt;_created&gt;64739405&lt;/_created&gt;&lt;_date&gt;2021-05-01&lt;/_date&gt;&lt;_date_display&gt;2021 May&lt;/_date_display&gt;&lt;_db_updated&gt;PubMed&lt;/_db_updated&gt;&lt;_doi&gt;10.1016/j.lungcan.2021.03.005&lt;/_doi&gt;&lt;_impact_factor&gt;   6.081&lt;/_impact_factor&gt;&lt;_isbn&gt;1872-8332 (Electronic); 0169-5002 (Linking)&lt;/_isbn&gt;&lt;_journal&gt;Lung Cancer&lt;/_journal&gt;&lt;_keywords&gt;Anaplastic lymphoma kinase; Brigatinib; Carcinoma; First-line therapy; Non-small-cell lung; Quality of life&lt;/_keywords&gt;&lt;_language&gt;eng&lt;/_language&gt;&lt;_modified&gt;64740730&lt;/_modified&gt;&lt;_ori_publication&gt;Copyright (c) 2021 The Authors. Published by Elsevier B.V. All rights reserved.&lt;/_ori_publication&gt;&lt;_pages&gt;68-77&lt;/_pages&gt;&lt;_social_category&gt;医学(2)&lt;/_social_category&gt;&lt;_subject_headings&gt;Anaplastic Lymphoma Kinase/genetics; *Carcinoma, Non-Small-Cell Lung/drug therapy; Crizotinib/therapeutic use; Humans; *Lung Neoplasms/drug therapy; Organophosphorus Compounds; Pyrimidines; Quality of Life&lt;/_subject_headings&gt;&lt;_tertiary_title&gt;Lung cancer (Amsterdam, Netherlands)&lt;/_tertiary_title&gt;&lt;_type_work&gt;Clinical Trial, Phase III; Journal Article; Randomized Controlled Trial; Research Support, Non-U.S. Gov&amp;apos;t&lt;/_type_work&gt;&lt;_url&gt;http://www.ncbi.nlm.nih.gov/entrez/query.fcgi?cmd=Retrieve&amp;amp;db=pubmed&amp;amp;dopt=Abstract&amp;amp;list_uids=33744781&amp;amp;query_hl=1&lt;/_url&gt;&lt;_volume&gt;155&lt;/_volume&gt;&lt;/Details&gt;&lt;Extra&gt;&lt;DBUID&gt;{F96A950B-833F-4880-A151-76DA2D6A2879}&lt;/DBUID&gt;&lt;/Extra&gt;&lt;/Item&gt;&lt;/References&gt;&lt;/Group&gt;&lt;Group&gt;&lt;References&gt;&lt;Item&gt;&lt;ID&gt;2988&lt;/ID&gt;&lt;UID&gt;{9F2F36CF-E735-4FFF-B099-6AA811AF83E6}&lt;/UID&gt;&lt;Title&gt;Efficacy and Safety of Brigatinib Compared With Crizotinib in Asian vs. Non-Asian  Patients With Locally Advanced or Metastatic ALK-Inhibitor-Naive ALK+ Non-Small  Cell Lung Cancer: Final Results From the Phase III ALTA-1L Study&lt;/Title&gt;&lt;Template&gt;Journal Article&lt;/Template&gt;&lt;Star&gt;0&lt;/Star&gt;&lt;Tag&gt;0&lt;/Tag&gt;&lt;Author&gt;Ahn, M J; Kim, H R; Yang, JCH; Han, J Y; Li, J Y; Hochmair, M J; Chang, G C; Delmonte, A; Lee, K H; Campelo, R G; Gridelli, C; Spira, A I; Califano, R; Griesinger, F; Ghosh, S; Felip, E; Kim, D W; Liu, Y; Zhang, P; Popat, S; Camidge, D R&lt;/Author&gt;&lt;Year&gt;2022&lt;/Year&gt;&lt;Details&gt;&lt;_accession_num&gt;36038416&lt;/_accession_num&gt;&lt;_author_adr&gt;Division of Hematology-Oncology, Samsung Medical Center, Sungkyunkwan University  School of Medicine, Seoul, South Korea. Electronic address: silkahn@skku.edu.; Division of Medical Oncology, Department of Internal Medicine, Yonsei Cancer  Center, Yonsei University College of Medicine, Seoul, South Korea.; Department of Medical Oncology, National Taiwan University Cancer Center, Taipei,  Taiwan, and Department of Oncology, National Taiwan University Hospital, Taipei,  Taiwan.; Center for Lung Cancer, National Cancer Center, Goyang, South Korea.; Department of Clinical Oncology, Hong Kong United Oncology Centre, Kowloon, Hong  Kong.; Department of Respiratory and Critical Care Medicine, Karl Landsteiner Institute  of Lung Research and Pulmonary Oncology, Klinik Floridsdorf, Vienna, Austria.; School of Medicine, and Institute of Medicine, Chung Shan Medical University,  Division of Pulmonary Medicine, Department of Internal Medicine, Chung Shan  Medical University Hospital, and Division of Chest Medicine, Department of  Internal Medicine, Taichung Veterans General Hospital, Taichung, Taiwan.; Medical Oncology, Istituto Romagnolo per lo Studio dei Tumori &amp;quot;Dino Amadori&amp;quot;  (IRST), IRCCS, Meldola, Italy.; Department of Internal Medicine, Chungbuk National University Hospital, Chungbuk  National University College of Medicine, Cheongju, South Korea.; Medical Oncology Department, Thoracic Tumors Unit, Complejo Hospitalario  Universitario A Coruna, A Coruna, Spain.; Division of Medical Oncology, A.O.S.G. Moscati, Avellino, Italy.; Medical Oncology, Virginia Cancer Specialists and US Oncology Research, Fairfax,  VA.; Department of Medical Oncology, The Christie NHS Foundation Trust, and Division  of Cancer Sciences, The University of Manchester, Manchester, England, UK.; University Department of Internal Medicine-Oncology, Pius-Hospital Oldenburg,  University of Oldenburg, Oldenburg, Germany.; Department of Medical Oncology, Guy&amp;apos;s and St Thomas&amp;apos; NHS Foundation Trust,  London, England, UK.; Medical Oncology Department, Vall d&amp;apos;Hebron University Hospital, Barcelona, Spain.; Department of Internal Medicine, Seoul National University College of Medicine  and Seoul National University Hospital, Seoul, Republic of Korea.; Oncology Statistics, Takeda Development Center Americas, Inc., Lexington, MA.; Clinical Science, Takeda Development Center Americas, Inc., Lexington, MA.; Lung Unit, The Royal Marsden Hospital and The Institute of Cancer Research,  London, England, UK.; Department of Medicine, Division of Medical Oncology, University of Colorado  Cancer Center, Aurora, CO.&lt;/_author_adr&gt;&lt;_collection_scope&gt;SCIE&lt;/_collection_scope&gt;&lt;_created&gt;64739516&lt;/_created&gt;&lt;_date&gt;2022-12-01&lt;/_date&gt;&lt;_date_display&gt;2022 Dec&lt;/_date_display&gt;&lt;_db_updated&gt;PubMed&lt;/_db_updated&gt;&lt;_doi&gt;10.1016/j.cllc.2022.07.008&lt;/_doi&gt;&lt;_impact_factor&gt;   4.840&lt;/_impact_factor&gt;&lt;_isbn&gt;1938-0690 (Electronic); 1525-7304 (Linking)&lt;/_isbn&gt;&lt;_issue&gt;8&lt;/_issue&gt;&lt;_journal&gt;Clin Lung Cancer&lt;/_journal&gt;&lt;_keywords&gt;ALK TKI-naive; Anaplastic lymphoma kinase; Clinical trial; First line; Tyrosine kinase inhibitor&lt;/_keywords&gt;&lt;_language&gt;eng&lt;/_language&gt;&lt;_modified&gt;64740730&lt;/_modified&gt;&lt;_ori_publication&gt;Copyright (c) 2022. Published by Elsevier Inc.&lt;/_ori_publication&gt;&lt;_pages&gt;720-730&lt;/_pages&gt;&lt;_social_category&gt;医学(2)&lt;/_social_category&gt;&lt;_subject_headings&gt;Humans; *Carcinoma, Non-Small-Cell Lung/drug therapy/ethnology; Crizotinib/adverse effects; *Lung Neoplasms/drug therapy/ethnology/pathology; Protein Kinase Inhibitors/therapeutic use; Asian People&lt;/_subject_headings&gt;&lt;_tertiary_title&gt;Clinical lung cancer&lt;/_tertiary_title&gt;&lt;_type_work&gt;Clinical Trial, Phase III; Journal Article; Randomized Controlled Trial; Research Support, Non-U.S. Gov&amp;apos;t&lt;/_type_work&gt;&lt;_url&gt;http://www.ncbi.nlm.nih.gov/entrez/query.fcgi?cmd=Retrieve&amp;amp;db=pubmed&amp;amp;dopt=Abstract&amp;amp;list_uids=36038416&amp;amp;query_hl=1&lt;/_url&gt;&lt;_volume&gt;23&lt;/_volume&gt;&lt;/Details&gt;&lt;Extra&gt;&lt;DBUID&gt;{F96A950B-833F-4880-A151-76DA2D6A2879}&lt;/DBUID&gt;&lt;/Extra&gt;&lt;/Item&gt;&lt;/References&gt;&lt;/Group&gt;&lt;/Citation&gt;_x000a_"/>
    <w:docVar w:name="NE.Ref{E9FAD1E4-AF02-409C-AD53-D61FCF8D4582}" w:val=" ADDIN NE.Ref.{E9FAD1E4-AF02-409C-AD53-D61FCF8D4582}&lt;Citation&gt;&lt;Group&gt;&lt;References&gt;&lt;Item&gt;&lt;ID&gt;4753&lt;/ID&gt;&lt;UID&gt;{74478A34-4435-4E19-8333-A9C85BF51898}&lt;/UID&gt;&lt;Title&gt;Trifluridine/tipiracil+bevacizumab (BEV) vs. fluoropyrimidine-irinotecan+BEV as  second-line therapy for metastatic colorectal cancer: a randomised noninferiority  trial&lt;/Title&gt;&lt;Template&gt;Journal Article&lt;/Template&gt;&lt;Star&gt;0&lt;/Star&gt;&lt;Tag&gt;0&lt;/Tag&gt;&lt;Author&gt;Kuboki, Y; Terazawa, T; Masuishi, T; Nakamura, M; Watanabe, J; Ojima, H; Makiyama, A; Kotaka, M; Hara, H; Kagawa, Y; Sugimoto, N; Kawakami, H; Takashima, A; Kajiwara, T; Oki, E; Sunakawa, Y; Ishihara, S; Taniguchi, H; Nakajima, T E; Morita, S; Shirao, K; Takenaka, N; Ozawa, D; Yoshino, T&lt;/Author&gt;&lt;Year&gt;2023&lt;/Year&gt;&lt;Details&gt;&lt;_accession_num&gt;36871043&lt;/_accession_num&gt;&lt;_author_adr&gt;Department of Experimental Therapeutics, National Cancer Center Hospital East,  Kashiwa, Japan.; Cancer Chemotherapy Center, Osaka Medical and Pharmaceutical University,  Takatsuki, Japan.; Department of Clinical Oncology, Aichi Cancer Center Hospital, Nagoya, Japan.; Aizawa Comprehensive Cancer Center, Aizawa Hospital, Matsumoto, Japan.; Department of Surgery, Gastroenterological Center, Yokohama City University  Medical Center, Yokohama, Japan.; Gastrointestinal Surgery, Gunma Prefectural Cancer Center, Ota, Japan.; Department of Hematology/Oncology, Japan Community Healthcare Organization Kyushu  Hospital, Kitakyushu, Japan.; Cancer Center, Gifu University Hospital, Gifu, Japan.; Gastrointestinal Cancer Center, Sano Hospital, Kobe, Japan.; Department of Gastroenterology, Saitama Cancer Center, Saitama, Japan.; Department of Gastrointestinal Surgery, Kansai Rosai Hospital, Amagasaki, Japan.; Department of Gastroenterological Surgery, Osaka General Medical Center, Osaka,  Japan.; Department of Genetic Oncology, Osaka International Cancer Institute, Osaka,  Japan.; Department of Medical Oncology, Kindai University Hospital, Osakasayama, Japan.; Department of Gastrointestinal Medical Oncology, National Cancer Center Hospital,  Tokyo, Japan.; Department of Gastrointestinal Medical Oncology, National Hospital Organization  Shikoku Cancer Center, Matsuyama, Japan.; Department of Surgery and Science, Graduate School of Medical Sciences, Kyushu  University, Fukuoka, Japan.; Department of Clinical Oncology, St. Marianna University School of Medicine,  Kawasaki, Japan.; Department of Surgical Oncology, Graduate School of Medicine, The University of  Tokyo, Tokyo, Japan.; Department of Clinical Oncology, Aichi Cancer Center Hospital, Nagoya, Japan.; Department of Early Clinical Development, Kyoto University Graduate School of  Medicine, Kyoto, Japan.; Department of Biomedical Statistics and Bioinformatics, Graduate School of  Medicine, Kyoto University, Kyoto, Japan.; Oita University Faculty of Medicine, Oita, Japan.; Clinical Development and Medical Affairs Division, Taiho Pharmaceutical Co.,  Ltd., Tokyo, Japan.; Clinical Development and Medical Affairs Division, Taiho Pharmaceutical Co.,  Ltd., Tokyo, Japan.; Department of Gastroenterology and Gastrointestinal Oncology, National Cancer  Center Hospital East, Kashiwa, Japan. tyoshino@east.ncc.go.jp.&lt;/_author_adr&gt;&lt;_date_display&gt;2023 May&lt;/_date_display&gt;&lt;_date&gt;2023-05-01&lt;/_date&gt;&lt;_doi&gt;10.1038/s41416-023-02212-2&lt;/_doi&gt;&lt;_isbn&gt;1532-1827 (Electronic); 0007-0920 (Print); 0007-0920 (Linking)&lt;/_isbn&gt;&lt;_issue&gt;10&lt;/_issue&gt;&lt;_journal&gt;Br J Cancer&lt;/_journal&gt;&lt;_language&gt;eng&lt;/_language&gt;&lt;_ori_publication&gt;© 2023. The Author(s).&lt;/_ori_publication&gt;&lt;_pages&gt;1897-1905&lt;/_pages&gt;&lt;_subject_headings&gt;Humans; Bevacizumab; *Colorectal Neoplasms/pathology; Irinotecan; Trifluridine/adverse effects; *Frontotemporal Dementia/chemically induced/drug therapy; Thymine/therapeutic use; Pyrrolidines; *Colonic Neoplasms/drug therapy; *Rectal Neoplasms/chemically induced; Drug Combinations; Antineoplastic Combined Chemotherapy Protocols/adverse effects&lt;/_subject_headings&gt;&lt;_tertiary_title&gt;British journal of cancer&lt;/_tertiary_title&gt;&lt;_type_work&gt;Equivalence Trial; Journal Article; Randomized Controlled Trial; Research Support, Non-U.S. Gov&amp;apos;t&lt;/_type_work&gt;&lt;_url&gt;http://www.ncbi.nlm.nih.gov/entrez/query.fcgi?cmd=Retrieve&amp;amp;db=pubmed&amp;amp;dopt=Abstract&amp;amp;list_uids=36871043&amp;amp;query_hl=1&lt;/_url&gt;&lt;_volume&gt;128&lt;/_volume&gt;&lt;_created&gt;65021590&lt;/_created&gt;&lt;_modified&gt;65021590&lt;/_modified&gt;&lt;_impact_factor&gt;   9.075&lt;/_impact_factor&gt;&lt;_social_category&gt;医学(1)&lt;/_social_category&gt;&lt;_collection_scope&gt;SCIE&lt;/_collection_scope&gt;&lt;/Details&gt;&lt;Extra&gt;&lt;DBUID&gt;{F96A950B-833F-4880-A151-76DA2D6A2879}&lt;/DBUID&gt;&lt;/Extra&gt;&lt;/Item&gt;&lt;/References&gt;&lt;/Group&gt;&lt;/Citation&gt;_x000a_"/>
    <w:docVar w:name="NE.Ref{EA02FA61-E706-4DB7-993A-B6B3D6AD6B48}" w:val=" ADDIN NE.Ref.{EA02FA61-E706-4DB7-993A-B6B3D6AD6B48}&lt;Citation&gt;&lt;Group&gt;&lt;References&gt;&lt;Item&gt;&lt;ID&gt;2963&lt;/ID&gt;&lt;UID&gt;{0E7FC8EA-F6BA-4DAF-B4B0-E618D2D78370}&lt;/UID&gt;&lt;Title&gt;Nonproportional Hazards in Network Meta-Analysis: Efficient Strategies for Model  Building and Analysis&lt;/Title&gt;&lt;Template&gt;Journal Article&lt;/Template&gt;&lt;Star&gt;0&lt;/Star&gt;&lt;Tag&gt;0&lt;/Tag&gt;&lt;Author&gt;Wiksten, A; Hawkins, N; Piepho, H P; Gsteiger, S&lt;/Author&gt;&lt;Year&gt;2020&lt;/Year&gt;&lt;Details&gt;&lt;_accession_num&gt;32762994&lt;/_accession_num&gt;&lt;_author_adr&gt;Novartis Pharma AG, Basel, Switzerland.; Institute of Health and Wellbeing, University of Glasgow, Glasgow, Scotland.; Biostatistics Unit, University of Hohenheim, Stuttgart, Germany.; F. Hoffmann-La Roche AG, Basel, Switzerland. Electronic address: sandro.gsteiger@roche.com.&lt;/_author_adr&gt;&lt;_collection_scope&gt;SCIE;SSCI&lt;/_collection_scope&gt;&lt;_created&gt;64299976&lt;/_created&gt;&lt;_date&gt;2020-07-01&lt;/_date&gt;&lt;_date_display&gt;2020 Jul&lt;/_date_display&gt;&lt;_db_updated&gt;PubMed&lt;/_db_updated&gt;&lt;_doi&gt;10.1016/j.jval.2020.03.010&lt;/_doi&gt;&lt;_impact_factor&gt;   5.101&lt;/_impact_factor&gt;&lt;_isbn&gt;1524-4733 (Electronic); 1098-3015 (Linking)&lt;/_isbn&gt;&lt;_issue&gt;7&lt;/_issue&gt;&lt;_journal&gt;Value Health&lt;/_journal&gt;&lt;_keywords&gt;*fractional polynomial models; *network meta-analysis; *nonproportional hazards time-to-event data; *piecewise exponential models&lt;/_keywords&gt;&lt;_language&gt;eng&lt;/_language&gt;&lt;_modified&gt;64740725&lt;/_modified&gt;&lt;_ori_publication&gt;Copyright (c) 2020 ISPOR-The Professional Society for Health Economics and_x000d__x000a_      Outcomes Research. Published by Elsevier Inc. All rights reserved.&lt;/_ori_publication&gt;&lt;_pages&gt;918-927&lt;/_pages&gt;&lt;_social_category&gt;医学(2)&lt;/_social_category&gt;&lt;_subject_headings&gt;Bayes Theorem; *Data Interpretation, Statistical; Humans; Linear Models; *Models, Statistical; *Network Meta-Analysis; Time Factors&lt;/_subject_headings&gt;&lt;_tertiary_title&gt;Value in health : the journal of the International Society for Pharmacoeconomics _x000d__x000a_      and Outcomes Research&lt;/_tertiary_title&gt;&lt;_type_work&gt;Journal Article&lt;/_type_work&gt;&lt;_url&gt;http://www.ncbi.nlm.nih.gov/entrez/query.fcgi?cmd=Retrieve&amp;amp;db=pubmed&amp;amp;dopt=Abstract&amp;amp;list_uids=32762994&amp;amp;query_hl=1&lt;/_url&gt;&lt;_volume&gt;23&lt;/_volume&gt;&lt;/Details&gt;&lt;Extra&gt;&lt;DBUID&gt;{F96A950B-833F-4880-A151-76DA2D6A2879}&lt;/DBUID&gt;&lt;/Extra&gt;&lt;/Item&gt;&lt;/References&gt;&lt;/Group&gt;&lt;/Citation&gt;_x000a_"/>
    <w:docVar w:name="NE.Ref{EA16FED9-D29B-4608-9711-29D2F3A7DECC}" w:val=" ADDIN NE.Ref.{EA16FED9-D29B-4608-9711-29D2F3A7DECC}&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Citation&gt;_x000a_"/>
    <w:docVar w:name="NE.Ref{EADD5B57-B8E7-4201-9E47-8E8DE77D208D}" w:val=" ADDIN NE.Ref.{EADD5B57-B8E7-4201-9E47-8E8DE77D208D}&lt;Citation&gt;&lt;Group&gt;&lt;References&gt;&lt;Item&gt;&lt;ID&gt;5020&lt;/ID&gt;&lt;UID&gt;{6B7A55AC-506D-4096-87B9-1BE06A0F4403}&lt;/UID&gt;&lt;Title&gt;Centers for Medicare &amp;amp; Medicaid Services. https://www.cms.gov/Medicare/Medicare-Fee-for-Service-Payment,Accessed Feb 1, 2024&lt;/Title&gt;&lt;Template&gt;Web Page&lt;/Template&gt;&lt;Star&gt;0&lt;/Star&gt;&lt;Tag&gt;0&lt;/Tag&gt;&lt;Author/&gt;&lt;Year&gt;0&lt;/Year&gt;&lt;Details&gt;&lt;_accessed&gt;65330790&lt;/_accessed&gt;&lt;_created&gt;65329708&lt;/_created&gt;&lt;_modified&gt;65329708&lt;/_modified&gt;&lt;/Details&gt;&lt;Extra&gt;&lt;DBUID&gt;{F96A950B-833F-4880-A151-76DA2D6A2879}&lt;/DBUID&gt;&lt;/Extra&gt;&lt;/Item&gt;&lt;/References&gt;&lt;/Group&gt;&lt;/Citation&gt;_x000a_"/>
    <w:docVar w:name="NE.Ref{EC8E8610-5693-4A68-BAD9-CFE3D4F50EBC}" w:val=" ADDIN NE.Ref.{EC8E8610-5693-4A68-BAD9-CFE3D4F50EBC}&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Citation&gt;_x000a_"/>
    <w:docVar w:name="NE.Ref{ECA2F8CA-B147-4EA9-9362-D6B1645608AF}" w:val=" ADDIN NE.Ref.{ECA2F8CA-B147-4EA9-9362-D6B1645608AF}&lt;Citation&gt;&lt;Group&gt;&lt;References&gt;&lt;Item&gt;&lt;ID&gt;5044&lt;/ID&gt;&lt;UID&gt;{4EB3357F-BA4D-4D5B-A0A9-74C215D12141}&lt;/UID&gt;&lt;Title&gt;TAS-102 with or without bevacizumab in patients with chemorefractory metastatic  colorectal cancer: an investigator-initiated, open-label, randomised, phase 2  trial&lt;/Title&gt;&lt;Template&gt;Journal Article&lt;/Template&gt;&lt;Star&gt;0&lt;/Star&gt;&lt;Tag&gt;0&lt;/Tag&gt;&lt;Author&gt;Pfeiffer, P; Yilmaz, M; Möller, S; Zitnjak, D; Krogh, M; Petersen, L N; Poulsen, L Ø; Winther, S B; Thomsen, K G; Qvortrup, C&lt;/Author&gt;&lt;Year&gt;2020&lt;/Year&gt;&lt;Details&gt;&lt;_accession_num&gt;31999946&lt;/_accession_num&gt;&lt;_author_adr&gt;Department of Oncology, Odense University Hospital, Odense, Denmark; Department  of Clinical Research, University of Southern Denmark, Odense, Denmark. Electronic  address: per.pfeiffer@rsyd.dk.; Department of Oncology, Aalborg University Hospital, Aalborg, Denmark.; Open Patient data Explorative Network, Odense University Hospital, Odense,  Denmark; Department of Clinical Research, University of Southern Denmark, Odense,  Denmark.; Department of Oncology, Hospital of Southern Jutland, Soenderborg, Denmark.; Department of Oncology, Odense University Hospital, Odense, Denmark.; Department of Oncology, Rigshospitalet, Copenhagen, Denmark.; Department of Oncology, Aalborg University Hospital, Aalborg, Denmark.; Department of Oncology, Odense University Hospital, Odense, Denmark.; Department of Oncology, Odense University Hospital, Odense, Denmark.; Department of Oncology, Rigshospitalet, Copenhagen, Denmark.&lt;/_author_adr&gt;&lt;_date_display&gt;2020 Mar&lt;/_date_display&gt;&lt;_date&gt;2020-03-01&lt;/_date&gt;&lt;_doi&gt;10.1016/S1470-2045(19)30827-7&lt;/_doi&gt;&lt;_isbn&gt;1474-5488 (Electronic); 1470-2045 (Linking)&lt;/_isbn&gt;&lt;_issue&gt;3&lt;/_issue&gt;&lt;_journal&gt;Lancet Oncol&lt;/_journal&gt;&lt;_language&gt;eng&lt;/_language&gt;&lt;_ori_publication&gt;Copyright © 2020 Elsevier Ltd. All rights reserved.&lt;/_ori_publication&gt;&lt;_pages&gt;412-420&lt;/_pages&gt;&lt;_subject_headings&gt;Aged; Antineoplastic Combined Chemotherapy Protocols/*therapeutic use; Bevacizumab/administration &amp;amp; dosage; Colorectal Neoplasms/*drug therapy/pathology; Drug Combinations; Drug Resistance, Neoplasm/*drug effects; Female; Follow-Up Studies; Humans; Male; Middle Aged; Neoplasm Metastasis; Neoplasm Recurrence, Local/*drug therapy/pathology; Prognosis; Pyrrolidines/administration &amp;amp; dosage; Salvage Therapy; Survival Rate; Thymine; Trifluridine/administration &amp;amp; dosage; Uracil/administration &amp;amp; dosage/analogs &amp;amp; derivative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999946&amp;amp;query_hl=1&lt;/_url&gt;&lt;_volume&gt;21&lt;/_volume&gt;&lt;_created&gt;65329740&lt;/_created&gt;&lt;_modified&gt;65329740&lt;/_modified&gt;&lt;_impact_factor&gt;  51.100&lt;/_impact_factor&gt;&lt;_social_category&gt;肿瘤学(1)&lt;/_social_category&gt;&lt;_collection_scope&gt;SCIE&lt;/_collection_scope&gt;&lt;_accessed&gt;65330924&lt;/_accessed&gt;&lt;/Details&gt;&lt;Extra&gt;&lt;DBUID&gt;{F96A950B-833F-4880-A151-76DA2D6A2879}&lt;/DBUID&gt;&lt;/Extra&gt;&lt;/Item&gt;&lt;/References&gt;&lt;/Group&gt;&lt;Group&gt;&lt;References&gt;&lt;Item&gt;&lt;ID&gt;5037&lt;/ID&gt;&lt;UID&gt;{8D7879C6-E02F-4BBF-846A-12B18892E34B}&lt;/UID&gt;&lt;Title&gt;Results of a Randomized, Double-Blind, Placebo-Controlled, Phase III Trial of  Trifluridine/Tipiracil (TAS-102) Monotherapy in Asian Patients With Previously  Treated Metastatic Colorectal Cancer: The TERRA Study&lt;/Title&gt;&lt;Template&gt;Journal Article&lt;/Template&gt;&lt;Star&gt;0&lt;/Star&gt;&lt;Tag&gt;0&lt;/Tag&gt;&lt;Author&gt;Xu, J; Kim, T W; Shen, L; Sriuranpong, V; Pan, H; Xu, R; Guo, W; Han, S W; Liu, T; Park, Y S; Shi, C; Bai, Y; Bi, F; Ahn, J B; Qin, S; Li, Q; Wu, C; Ma, D; Lin, D; Li, J&lt;/Author&gt;&lt;Year&gt;2018&lt;/Year&gt;&lt;Details&gt;&lt;_accession_num&gt;29215955&lt;/_accession_num&gt;&lt;_author_adr&gt;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 Jianming Xu, Affiliated Hospital Cancer Centre, Academy of Military Medical  Sciences (The 307 Hospital Cancer Centre of People&amp;apos;s Liberation Army); Lin Shen,  Key Laboratory of Carcinogenesis and Translational Research (Ministry of  Education), Peking University Cancer Hospital and Institute, Beijing; Hongming  Pan, Sir Run Run Shaw Hospital Medical School, Zhejiang University, Hangzhou;  Ruihua Xu, Sun Yat-Sen University Cancer Center, Collaborative Innovation Center  for Cancer Medicine, Guangzhou; Weijian Guo and Jin Li, Fudan University Shanghai  Cancer Center; Tianshu Liu, Zhong Shan Hospital, Fudan University; Qi Li,  Shanghai Jiaotong University affiliated First People&amp;apos;s Hospital; Jin Li, Tongji  University Affiliate Shanghai East Hospital, Shanghai; Chunmei Shi, Fujian  Medical University Union Hospital, Fuzhou; Yuxian Bai, Third Affiliated Hospital  of Harbin Medical University, Harbin; Feng Bi, West China Hospital, Sichuan  University, Chengdu; Shukui Qin, Chinese People&amp;apos;s Liberation Army Cancer Center  of Nanjing Bayi Hospital, Nanjing; Changping Wu, The First People&amp;apos;s Hospital of  Changzhou, Changzhou; Dong Ma, Guangdong General Hospital, Guangzhou, Guangdong,  China; Tae Won Kim, Asan Medical Center, University of Ulsan College of Medicine;  Sae-Won Han, Seoul National University Hospital; Young Suk Park, Samsung Medical  Center, Sungkyunkwan University School of Medicine; Joong Bae Ahn, Cancer  Metastasis Research Center, Yonsei Cancer Center, Yonsei University, College of  Medicine, Seoul, Republic of Korea; Virote Sriuranpong, Chulalongkorn Hospital,  Bangkok, Thailand; and Donghu Lin, Taiho Pharmaceutical, Tokyo, Japan.&lt;/_author_adr&gt;&lt;_date_display&gt;2018 Feb 1&lt;/_date_display&gt;&lt;_date&gt;2018-02-01&lt;/_date&gt;&lt;_doi&gt;10.1200/JCO.2017.74.3245&lt;/_doi&gt;&lt;_isbn&gt;1527-7755 (Electronic); 0732-183X (Linking)&lt;/_isbn&gt;&lt;_issue&gt;4&lt;/_issue&gt;&lt;_journal&gt;J Clin Oncol&lt;/_journal&gt;&lt;_language&gt;eng&lt;/_language&gt;&lt;_pages&gt;350-358&lt;/_pages&gt;&lt;_subject_headings&gt;Adenocarcinoma/*drug therapy/genetics/mortality/secondary; Administration, Oral; Adult; Aged; Aged, 80 and over; Antineoplastic Agents/*administration &amp;amp; dosage/adverse effects; Asia; Colorectal Neoplasms/*drug therapy/genetics/mortality/pathology; Double-Blind Method; Drug Administration Schedule; Drug Combinations; Female; Humans; Male; Middle Aged; Mutation; Progression-Free Survival; Proto-Oncogene Proteins p21(ras)/genetics; Pyrrolidines; Thymine; Time Factors; Trifluridine/*administration &amp;amp; dosage/adverse effects; Uracil/analogs &amp;amp; derivatives; Young Adult&lt;/_subject_headings&gt;&lt;_tertiary_title&gt;Journal of clinical oncology : official journal of the American Society of _x000d__x000a_      Clinical Oncology&lt;/_tertiary_title&gt;&lt;_type_work&gt;Clinical Trial, Phase III; Journal Article; Multicenter Study; Randomized Controlled Trial; Research Support, Non-U.S. Gov&amp;apos;t&lt;/_type_work&gt;&lt;_url&gt;http://www.ncbi.nlm.nih.gov/entrez/query.fcgi?cmd=Retrieve&amp;amp;db=pubmed&amp;amp;dopt=Abstract&amp;amp;list_uids=29215955&amp;amp;query_hl=1&lt;/_url&gt;&lt;_volume&gt;36&lt;/_volume&gt;&lt;_created&gt;65329740&lt;/_created&gt;&lt;_modified&gt;65329740&lt;/_modified&gt;&lt;_impact_factor&gt;  45.300&lt;/_impact_factor&gt;&lt;_social_category&gt;肿瘤学(1)&lt;/_social_category&gt;&lt;_collection_scope&gt;SCIE&lt;/_collection_scope&gt;&lt;/Details&gt;&lt;Extra&gt;&lt;DBUID&gt;{F96A950B-833F-4880-A151-76DA2D6A2879}&lt;/DBUID&gt;&lt;/Extra&gt;&lt;/Item&gt;&lt;/References&gt;&lt;/Group&gt;&lt;/Citation&gt;_x000a_"/>
    <w:docVar w:name="NE.Ref{ECBAD1CE-F436-46BD-A6E4-55EAB4691A12}" w:val=" ADDIN NE.Ref.{ECBAD1CE-F436-46BD-A6E4-55EAB4691A12}&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32&lt;/ID&gt;&lt;UID&gt;{AC85D677-102F-4D7C-8CEF-8512683D25B2}&lt;/UID&gt;&lt;Title&gt;Clinical and economic outcomes of treatment sequences for intermediate- to  poor-risk advanced renal cell carcinoma&lt;/Title&gt;&lt;Template&gt;Journal Article&lt;/Template&gt;&lt;Star&gt;0&lt;/Star&gt;&lt;Tag&gt;0&lt;/Tag&gt;&lt;Author&gt;Ambavane, A; Yang, S; Atkins, M B; Rao, S; Shah, A; Regan, M M; McDermott, D F; Michaelson, M D&lt;/Author&gt;&lt;Year&gt;2020&lt;/Year&gt;&lt;Details&gt;&lt;_accession_num&gt;31992108&lt;/_accession_num&gt;&lt;_author_adr&gt;Evidence Synthesis, Modeling, &amp;amp; Communications, Evidera, Inc., Bethesda, MD  20814, USA.; Health Economics Outcomes Research, Bristol-Myers Squibb, Princeton, NJ 08540,  USA.; Department of Internal Medicine - Medical Oncology, Georgetown-Lombardi  Comprehensive Cancer Center, Washington, DC 20007-2113, USA.; Health Economics Outcomes Research, Bristol-Myers Squibb, Princeton, NJ 08540,  USA.; Evidence Synthesis, Modeling, &amp;amp; Communications, Evidera, Inc., Waltham, MA 20814,  USA.; Division of Biostatistics, Dana-Farber Cancer Institute, Harvard Medical School,  Boston, MA 02215, USA.; Department of Medicine, Beth Israel Deaconess Medical Center, Dana-Farber/Harvard  Cancer Center, Boston, MA 02215, USA.; Massachusetts General Hospital Cancer Center, Boston, MA 02214, USA.&lt;/_author_adr&gt;&lt;_date_display&gt;2020 Jan&lt;/_date_display&gt;&lt;_date&gt;2020-01-01&lt;/_date&gt;&lt;_doi&gt;10.2217/imt-2019-0199&lt;/_doi&gt;&lt;_isbn&gt;1750-7448 (Electronic); 1750-743X (Linking)&lt;/_isbn&gt;&lt;_issue&gt;1&lt;/_issue&gt;&lt;_journal&gt;Immunotherapy&lt;/_journal&gt;&lt;_keywords&gt;cost–effectiveness; immuno-oncology therapy; renal cell carcinoma; survival; treatment sequences; treatment-free interval&lt;/_keywords&gt;&lt;_language&gt;eng&lt;/_language&gt;&lt;_pages&gt;37-51&lt;/_pages&gt;&lt;_subject_headings&gt;Antineoplastic Agents, Immunological/*therapeutic use; Antineoplastic Protocols; Carcinoma, Renal Cell/*drug therapy/economics/mortality; *Computer Simulation; Cost-Benefit Analysis; Drug Therapy, Combination; Humans; Ipilimumab/*therapeutic use; Kidney Neoplasms/*drug therapy/economics/mortality; Models, Economic; Neoplasm Staging; Nivolumab/*therapeutic use; Quality-Adjusted Life Years; Survival Analysis; Treatment Outcome&lt;/_subject_headings&gt;&lt;_tertiary_title&gt;Immunotherapy&lt;/_tertiary_title&gt;&lt;_type_work&gt;Clinical Trial, Phase II; Journal Article; Research Support, Non-U.S. Gov&amp;apos;t&lt;/_type_work&gt;&lt;_url&gt;http://www.ncbi.nlm.nih.gov/entrez/query.fcgi?cmd=Retrieve&amp;amp;db=pubmed&amp;amp;dopt=Abstract&amp;amp;list_uids=31992108&amp;amp;query_hl=1&lt;/_url&gt;&lt;_volume&gt;12&lt;/_volume&gt;&lt;_created&gt;65329740&lt;/_created&gt;&lt;_modified&gt;65329740&lt;/_modified&gt;&lt;_impact_factor&gt;   2.800&lt;/_impact_factor&gt;&lt;_social_category&gt;免疫学(4)&lt;/_social_category&gt;&lt;_collection_scope&gt;SCIE&lt;/_collection_scope&gt;&lt;_accessed&gt;65330823&lt;/_accessed&gt;&lt;/Details&gt;&lt;Extra&gt;&lt;DBUID&gt;{F96A950B-833F-4880-A151-76DA2D6A2879}&lt;/DBUID&gt;&lt;/Extra&gt;&lt;/Item&gt;&lt;/References&gt;&lt;/Group&gt;&lt;/Citation&gt;_x000a_"/>
    <w:docVar w:name="NE.Ref{ED25963B-FD63-4051-9E68-22048D222341}" w:val=" ADDIN NE.Ref.{ED25963B-FD63-4051-9E68-22048D222341}&lt;Citation&gt;&lt;Group&gt;&lt;References&gt;&lt;Item&gt;&lt;ID&gt;4676&lt;/ID&gt;&lt;UID&gt;{929EFD1C-1077-448F-86E6-08D829154D0D}&lt;/UID&gt;&lt;Title&gt;The Role of Maintenance Strategies in Metastatic Colorectal Cancer: A Systematic  Review and Network Meta-analysis of Randomized Clinical Trials&lt;/Title&gt;&lt;Template&gt;Journal Article&lt;/Template&gt;&lt;Star&gt;0&lt;/Star&gt;&lt;Tag&gt;0&lt;/Tag&gt;&lt;Author&gt;Sonbol, M B; Mountjoy, L J; Firwana, B; Liu, A J; Almader-Douglas, D; Mody, K; Hubbard, J; Borad, M; Ahn, D H; Murad, M H; Bekaii-Saab, T&lt;/Author&gt;&lt;Year&gt;2020&lt;/Year&gt;&lt;Details&gt;&lt;_accession_num&gt;31855256&lt;/_accession_num&gt;&lt;_author_adr&gt;Division of Hematology/Oncology, Mayo Clinic, Phoenix, Arizona.; Division of Hematology/Oncology, Mayo Clinic, Phoenix, Arizona.; Heartland Cancer Research NCI Community Oncology Research Program, Missouri  Baptist Medical Center, St Louis.; Division of Hematology/Oncology, Mayo Clinic, Phoenix, Arizona.; Mayo Clinic Libraries, Mayo Clinic, Phoenix, Arizona.; Mayo Clinic Cancer Center, Mayo Clinic, Jacksonville, Florida.; Mayo Clinic Cancer Center, Mayo Clinic, Rochester, Minnesota.; Division of Hematology/Oncology, Mayo Clinic, Phoenix, Arizona.; Division of Hematology/Oncology, Mayo Clinic, Phoenix, Arizona.; Evidence-based Practice Center, Mayo Clinic, Rochester, Minnesota.; Division of Hematology/Oncology, Mayo Clinic, Phoenix, Arizona.&lt;/_author_adr&gt;&lt;_date_display&gt;2020 Mar 1&lt;/_date_display&gt;&lt;_date&gt;2020-03-01&lt;/_date&gt;&lt;_doi&gt;10.1001/jamaoncol.2019.4489&lt;/_doi&gt;&lt;_isbn&gt;2374-2445 (Electronic); 2374-2437 (Print); 2374-2437 (Linking)&lt;/_isbn&gt;&lt;_issue&gt;3&lt;/_issue&gt;&lt;_journal&gt;JAMA Oncol&lt;/_journal&gt;&lt;_language&gt;eng&lt;/_language&gt;&lt;_pages&gt;e194489&lt;/_pages&gt;&lt;_subject_headings&gt;Colorectal Neoplasms/*drug therapy/mortality/pathology; Humans; *Maintenance Chemotherapy; Network Meta-Analysis; Randomized Controlled Trials as Topic&lt;/_subject_headings&gt;&lt;_tertiary_title&gt;JAMA oncology&lt;/_tertiary_title&gt;&lt;_type_work&gt;Journal Article; Meta-Analysis; Systematic Review&lt;/_type_work&gt;&lt;_url&gt;http://www.ncbi.nlm.nih.gov/entrez/query.fcgi?cmd=Retrieve&amp;amp;db=pubmed&amp;amp;dopt=Abstract&amp;amp;list_uids=31855256&amp;amp;query_hl=1&lt;/_url&gt;&lt;_volume&gt;6&lt;/_volume&gt;&lt;_created&gt;65020249&lt;/_created&gt;&lt;_modified&gt;65020249&lt;/_modified&gt;&lt;_impact_factor&gt;  33.006&lt;/_impact_factor&gt;&lt;_social_category&gt;医学(1)&lt;/_social_category&gt;&lt;_collection_scope&gt;SCIE&lt;/_collection_scope&gt;&lt;/Details&gt;&lt;Extra&gt;&lt;DBUID&gt;{F96A950B-833F-4880-A151-76DA2D6A2879}&lt;/DBUID&gt;&lt;/Extra&gt;&lt;/Item&gt;&lt;/References&gt;&lt;/Group&gt;&lt;/Citation&gt;_x000a_"/>
    <w:docVar w:name="NE.Ref{EE8D00F6-7759-4D8A-96D4-0F4ADA6461C9}" w:val=" ADDIN NE.Ref.{EE8D00F6-7759-4D8A-96D4-0F4ADA6461C9}&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Citation&gt;_x000a_"/>
    <w:docVar w:name="NE.Ref{EEB34A14-1E11-493F-A573-4CE934107A92}" w:val=" ADDIN NE.Ref.{EEB34A14-1E11-493F-A573-4CE934107A92}&lt;Citation&gt;&lt;Group&gt;&lt;References&gt;&lt;Item&gt;&lt;ID&gt;4711&lt;/ID&gt;&lt;UID&gt;{72687B9D-9107-485D-894F-38186CB7967F}&lt;/UID&gt;&lt;Title&gt;Quality of life assessment in patients with metastatic colorectal cancer  receiving maintenance therapy after first-line induction treatment: a preplanned  analysis of the phase III AIO KRK 0207 trial&lt;/Title&gt;&lt;Template&gt;Journal Article&lt;/Template&gt;&lt;Star&gt;0&lt;/Star&gt;&lt;Tag&gt;0&lt;/Tag&gt;&lt;Author&gt;Quidde, J; Hegewisch-Becker, S; Graeven, U; Lerchenmüller, C A; Killing, B; Depenbusch, R; Steffens, C C; Lange, T; Dietrich, G; Stoehlmacher, J; Reinacher, A; Tannapfel, A; Trarbach, T; Marschner, N; Schmoll, H J; Hinke, A; Al-Batran, S E; Arnold, D&lt;/Author&gt;&lt;Year&gt;2016&lt;/Year&gt;&lt;Details&gt;&lt;_accession_num&gt;27753609&lt;/_accession_num&gt;&lt;_author_adr&gt;Department of Oncology, Haematology, Bone Marrow Transplantation with Section  Pneumology, University Medical Center Hamburg-Eppendorf, Hamburg j.quidde@uke.de.; HOPE-Practice for Oncology, Hamburg.; Department of Hematology, Oncology and Gastroenterology, Kliniken Maria Hilf  GmbH, Mönchengladbach.; Practice for Oncology, Münster.; Department of Hematology/Oncology, Lahn-Dill-Kliniken, Wetzlar.; Practice for Oncology, Gütersloh.; MVZ Hematology/Oncology, Stade.; Department for Hematology/Oncology, Asklepios Klinikum Weissenfels, Weissenfels.; Department of Gastroenterology/Hematology/Oncology, Klinikum Bietigheim,  Bietigheim-Bissingen.; Institut für Tumorgenetik, Bonn.; Medical Department, Ruhr-University, Bochum.; Institute for Pathology, Ruhr-University, Bochum.; iOMEDICO AG, Freiburg.; iOMEDICO AG, Freiburg.; Department of Hematology and Oncology, University Hospital Halle (Saale), Halle.; Department of Cancer Research, CCRC, Düsseldorf.; UCT University Cancer Center, Krankenhaus Nordwest, Frankfurt, Germany.; Department, Oncology, Instituto CUF de Oncologia (ICO), Lisbon, Portugal.&lt;/_author_adr&gt;&lt;_date_display&gt;2016 Dec&lt;/_date_display&gt;&lt;_date&gt;2016-12-01&lt;/_date&gt;&lt;_doi&gt;10.1093/annonc/mdw425&lt;/_doi&gt;&lt;_isbn&gt;1569-8041 (Electronic); 0923-7534 (Linking)&lt;/_isbn&gt;&lt;_issue&gt;12&lt;/_issue&gt;&lt;_journal&gt;Ann Oncol&lt;/_journal&gt;&lt;_keywords&gt;colorectal cancer; maintenance treatment; quality of life&lt;/_keywords&gt;&lt;_language&gt;eng&lt;/_language&gt;&lt;_ori_publication&gt;© The Author 2016. Published by Oxford University Press on behalf of the European _x000d__x000a_      Society for Medical Oncology. All rights reserved. For permissions, please email: _x000d__x000a_      journals.permissions@oup.com.&lt;/_ori_publication&gt;&lt;_pages&gt;2203-2210&lt;/_pages&gt;&lt;_subject_headings&gt;Adult; Aged; Colorectal Neoplasms/*drug therapy/*epidemiology/pathology; Female; Humans; Male; Middle Aged; Neoplasm Metastasis; *Quality of Life; Surveys and Questionnaires&lt;/_subject_headings&gt;&lt;_tertiary_title&gt;Annals of oncology : official journal of the European Society for Medical _x000d__x000a_      Oncology&lt;/_tertiary_title&gt;&lt;_type_work&gt;Clinical Trial, Phase III; Journal Article; Randomized Controlled Trial; Research Support, Non-U.S. Gov&amp;apos;t&lt;/_type_work&gt;&lt;_url&gt;http://www.ncbi.nlm.nih.gov/entrez/query.fcgi?cmd=Retrieve&amp;amp;db=pubmed&amp;amp;dopt=Abstract&amp;amp;list_uids=27753609&amp;amp;query_hl=1&lt;/_url&gt;&lt;_volume&gt;27&lt;/_volume&gt;&lt;_created&gt;65020956&lt;/_created&gt;&lt;_modified&gt;65020956&lt;/_modified&gt;&lt;_impact_factor&gt;  51.769&lt;/_impact_factor&gt;&lt;_social_category&gt;医学(1)&lt;/_social_category&gt;&lt;_collection_scope&gt;SCIE&lt;/_collection_scope&gt;&lt;/Details&gt;&lt;Extra&gt;&lt;DBUID&gt;{F96A950B-833F-4880-A151-76DA2D6A2879}&lt;/DBUID&gt;&lt;/Extra&gt;&lt;/Item&gt;&lt;/References&gt;&lt;/Group&gt;&lt;/Citation&gt;_x000a_"/>
    <w:docVar w:name="NE.Ref{EF6FC73A-CA7F-4146-9A4A-05D04B398308}" w:val=" ADDIN NE.Ref.{EF6FC73A-CA7F-4146-9A4A-05D04B398308}&lt;Citation&gt;&lt;Group&gt;&lt;References&gt;&lt;Item&gt;&lt;ID&gt;4696&lt;/ID&gt;&lt;UID&gt;{C87123DF-6EF7-4434-AD81-0E639D90378C}&lt;/UID&gt;&lt;Title&gt;Effect of Bevacizumab in Combination With Standard Oxaliplatin-Based Regimens in  Patients With Metastatic Colorectal Cancer: A Randomized Clinical Trial&lt;/Title&gt;&lt;Template&gt;Journal Article&lt;/Template&gt;&lt;Star&gt;0&lt;/Star&gt;&lt;Tag&gt;0&lt;/Tag&gt;&lt;Author&gt;Avallone, A; Piccirillo, M C; Nasti, G; Rosati, G; Carlomagno, C; Di Gennaro, E; Romano, C; Tatangelo, F; Granata, V; Cassata, A; Silvestro, L; De Stefano, A; Aloj, L; Vicario, V; Nappi, A; Leone, A; Bilancia, D; Arenare, L; Petrillo, A; Lastoria, S; Gallo, C; Botti, G; Delrio, P; Izzo, F; Perrone, F; Budillon, A&lt;/Author&gt;&lt;Year&gt;2021&lt;/Year&gt;&lt;Details&gt;&lt;_accession_num&gt;34309665&lt;/_accession_num&gt;&lt;_author_adr&gt;Experimental Clinical Abdominal Oncology Unit, Istituto Nazionale Tumori-Istituto  di Ricovero e Cura a Carattere Scientifico (IRCCS), Fondazione G. Pascale,  Napoli, Italy.; Clinical Trials Unit, Istituto Nazionale Tumori-IRCCS, Fondazione G. Pascale,  Napoli, Italy.; Innovative Therapy for Abdominal Metastases, IRCCS, Fondazione G. Pascale,  Napoli, Italy.; Medical Oncology Unit, S. Carlo Hospital, Potenza, Italy.; Department of Clinical Medicine and Surgery, University Federico II, Naples,  Italy.; Experimental Pharmacology Unit, Istituto Nazionale Tumori-IRCCS, Fondazione G.  Pascale, Napoli, Italy.; Experimental Clinical Abdominal Oncology Unit, Istituto Nazionale Tumori-Istituto  di Ricovero e Cura a Carattere Scientifico (IRCCS), Fondazione G. Pascale,  Napoli, Italy.; Pathology Unit, Istituto Nazionale Tumori-IRCCS, Fondazione G. Pascale, Napoli,  Italy.; Radiology Unit, Istituto Nazionale Tumori-IRCCS, Fondazione G. Pascale, Napoli,  Italy.; Experimental Clinical Abdominal Oncology Unit, Istituto Nazionale Tumori-Istituto  di Ricovero e Cura a Carattere Scientifico (IRCCS), Fondazione G. Pascale,  Napoli, Italy.; Experimental Clinical Abdominal Oncology Unit, Istituto Nazionale Tumori-Istituto  di Ricovero e Cura a Carattere Scientifico (IRCCS), Fondazione G. Pascale,  Napoli, Italy.; Experimental Clinical Abdominal Oncology Unit, Istituto Nazionale Tumori-Istituto  di Ricovero e Cura a Carattere Scientifico (IRCCS), Fondazione G. Pascale,  Napoli, Italy.; Nuclear Medicine Unit, Istituto Nazionale Tumori-IRCCS, Fondazione G. Pascale,  Napoli, Italy.; currently affiliated with Department of Radiology, University of Cambridge School  of Clinical Medicine, Cambridge, United Kingdom.; Experimental Clinical Abdominal Oncology Unit, Istituto Nazionale Tumori-Istituto  di Ricovero e Cura a Carattere Scientifico (IRCCS), Fondazione G. Pascale,  Napoli, Italy.; Experimental Clinical Abdominal Oncology Unit, Istituto Nazionale Tumori-Istituto  di Ricovero e Cura a Carattere Scientifico (IRCCS), Fondazione G. Pascale,  Napoli, Italy.; Experimental Pharmacology Unit, Istituto Nazionale Tumori-IRCCS, Fondazione G.  Pascale, Napoli, Italy.; Medical Oncology Unit, S. Carlo Hospital, Potenza, Italy.; Clinical Trials Unit, Istituto Nazionale Tumori-IRCCS, Fondazione G. Pascale,  Napoli, Italy.; Radiology Unit, Istituto Nazionale Tumori-IRCCS, Fondazione G. Pascale, Napoli,  Italy.; Nuclear Medicine Unit, Istituto Nazionale Tumori-IRCCS, Fondazione G. Pascale,  Napoli, Italy.; Università della Campania Luigi Vanvitelli, Napoli, Italy.; Pathology Unit, Istituto Nazionale Tumori-IRCCS, Fondazione G. Pascale, Napoli,  Italy.; Colorectal Oncological Surgery, Istituto Nazionale Tumori-IRCCS, Fondazione G.  Pascale, Napoli, Italy.; Colorectal Oncological Surgery, Istituto Nazionale Tumori-IRCCS, Fondazione G.  Pascale, Napoli, Italy.; Hepatobiliary Surgery Unit, Istituto Nazionale Tumori-IRCCS, Fondazione G.  Pascale, Napoli, Italy.; Clinical Trials Unit, Istituto Nazionale Tumori-IRCCS, Fondazione G. Pascale,  Napoli, Italy.; Experimental Pharmacology Unit, Istituto Nazionale Tumori-IRCCS, Fondazione G.  Pascale, Napoli, Italy.&lt;/_author_adr&gt;&lt;_date_display&gt;2021 Jul 1&lt;/_date_display&gt;&lt;_date&gt;2021-07-01&lt;/_date&gt;&lt;_doi&gt;10.1001/jamanetworkopen.2021.18475&lt;/_doi&gt;&lt;_isbn&gt;2574-3805 (Electronic); 2574-3805 (Linking)&lt;/_isbn&gt;&lt;_issue&gt;7&lt;/_issue&gt;&lt;_journal&gt;JAMA Netw Open&lt;/_journal&gt;&lt;_language&gt;eng&lt;/_language&gt;&lt;_pages&gt;e2118475&lt;/_pages&gt;&lt;_subject_headings&gt;Adolescent; Adult; Aged; Angiogenesis Inhibitors/*administration &amp;amp; dosage/adverse effects; Antineoplastic Combined Chemotherapy Protocols/*administration &amp;amp; dosage/adverse _x000d__x000a_      effects; Bevacizumab/*administration &amp;amp; dosage/adverse effects; Colorectal Neoplasms/*drug therapy/mortality/pathology; Diarrhea/chemically induced; Drug-Related Side Effects and Adverse Reactions/etiology; Female; Humans; Male; Middle Aged; Nausea/chemically induced; Neoplasm Metastasis; Oxaliplatin/*administration &amp;amp; dosage/adverse effects; Progression-Free Survival; Quality of Life; Treatment Outcome; Young Adult&lt;/_subject_headings&gt;&lt;_tertiary_title&gt;JAMA network open&lt;/_tertiary_title&gt;&lt;_type_work&gt;Journal Article; Randomized Controlled Trial; Research Support, Non-U.S. Gov&amp;apos;t&lt;/_type_work&gt;&lt;_url&gt;http://www.ncbi.nlm.nih.gov/entrez/query.fcgi?cmd=Retrieve&amp;amp;db=pubmed&amp;amp;dopt=Abstract&amp;amp;list_uids=34309665&amp;amp;query_hl=1&lt;/_url&gt;&lt;_volume&gt;4&lt;/_volume&gt;&lt;_created&gt;65020956&lt;/_created&gt;&lt;_modified&gt;65021211&lt;/_modified&gt;&lt;_impact_factor&gt;  13.353&lt;/_impact_factor&gt;&lt;_social_category&gt;医学(1)&lt;/_social_category&gt;&lt;_collection_scope&gt;SCIE&lt;/_collection_scope&gt;&lt;_accessed&gt;65021054&lt;/_accessed&gt;&lt;/Details&gt;&lt;Extra&gt;&lt;DBUID&gt;{F96A950B-833F-4880-A151-76DA2D6A2879}&lt;/DBUID&gt;&lt;/Extra&gt;&lt;/Item&gt;&lt;/References&gt;&lt;/Group&gt;&lt;Group&gt;&lt;References&gt;&lt;Item&gt;&lt;ID&gt;4691&lt;/ID&gt;&lt;UID&gt;{30E1F1B1-5626-4151-8871-871955149488}&lt;/UID&gt;&lt;Title&gt;Panitumumab versus cetuximab in patients with chemotherapy-refractory wild-type  KRAS exon 2 metastatic colorectal cancer (ASPECCT): a randomised, multicentre,  open-label, non-inferiority phase 3 study&lt;/Title&gt;&lt;Template&gt;Journal Article&lt;/Template&gt;&lt;Star&gt;0&lt;/Star&gt;&lt;Tag&gt;0&lt;/Tag&gt;&lt;Author&gt;Price, T J; Peeters, M; Kim, T W; Li, J; Cascinu, S; Ruff, P; Suresh, A S; Thomas, A; Tjulandin, S; Zhang, K; Murugappan, S; Sidhu, R&lt;/Author&gt;&lt;Year&gt;2014&lt;/Year&gt;&lt;Details&gt;&lt;_accession_num&gt;24739896&lt;/_accession_num&gt;&lt;_author_adr&gt;The Queen Elizabeth Hospital and University of Adelaide, Woodville, SA,  Australia. Electronic address: timothy.price@health.sa.gov.au.; Antwerp University Hospital and University of Antwerp, Edegem, Belgium.; Asan Medical Center, University of Ulsan, Seoul, South Korea.; Fudan University Cancer Centre, Shanghai, China.; Universita Politecnica delle Marche, Ancona, Italy.; University of Witwatersrand Faculty of Health Sciences, Johannesburg, South  Africa.; Apollo Hospital, Hyderabad, India.; Leicester Royal Infirmary, Leicester, UK.; N N Blokhin Cancer Research Center of RAMS, Moscow, Russia.; Amgen Inc, Thousand Oaks, CA, USA.; Amgen Inc, Thousand Oaks, CA, USA.; Amgen Inc, Thousand Oaks, CA, USA.&lt;/_author_adr&gt;&lt;_date_display&gt;2014 May&lt;/_date_display&gt;&lt;_date&gt;2014-05-01&lt;/_date&gt;&lt;_doi&gt;10.1016/S1470-2045(14)70118-4&lt;/_doi&gt;&lt;_isbn&gt;1474-5488 (Electronic); 1470-2045 (Linking)&lt;/_isbn&gt;&lt;_issue&gt;6&lt;/_issue&gt;&lt;_journal&gt;Lancet Oncol&lt;/_journal&gt;&lt;_language&gt;eng&lt;/_language&gt;&lt;_ori_publication&gt;Copyright © 2014 Elsevier Ltd. All rights reserved.&lt;/_ori_publication&gt;&lt;_pages&gt;569-79&lt;/_pages&gt;&lt;_subject_headings&gt;Aged; Antibodies, Monoclonal/*therapeutic use; Antibodies, Monoclonal, Humanized/*therapeutic use; Antineoplastic Agents/*therapeutic use; Cetuximab; Colorectal Neoplasms/*drug therapy/genetics/mortality; Exons; Female; Humans; Kaplan-Meier Estimate; Male; Middle Aged; Panitumumab; Proportional Hazards Models; Proto-Oncogene Proteins/genetics; Proto-Oncogene Proteins p21(ras); Treatment Outcome; ras Proteins/genetics&lt;/_subject_headings&gt;&lt;_tertiary_title&gt;The Lancet. Oncology&lt;/_tertiary_title&gt;&lt;_type_work&gt;Clinical Trial, Phase III; Journal Article; Multicenter Study; Randomized Controlled Trial; Research Support, Non-U.S. Gov&amp;apos;t&lt;/_type_work&gt;&lt;_url&gt;http://www.ncbi.nlm.nih.gov/entrez/query.fcgi?cmd=Retrieve&amp;amp;db=pubmed&amp;amp;dopt=Abstract&amp;amp;list_uids=24739896&amp;amp;query_hl=1&lt;/_url&gt;&lt;_volume&gt;15&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Group&gt;&lt;References&gt;&lt;Item&gt;&lt;ID&gt;4701&lt;/ID&gt;&lt;UID&gt;{80800FC8-CB3E-45EB-A70C-F0B62D689719}&lt;/UID&gt;&lt;Title&gt;Quality of life with encorafenib plus cetuximab with or without binimetinib  treatment in patients with BRAF V600E-mutant metastatic colorectal cancer:  patient-reported outcomes from BEACON CRC&lt;/Title&gt;&lt;Template&gt;Journal Article&lt;/Template&gt;&lt;Star&gt;0&lt;/Star&gt;&lt;Tag&gt;0&lt;/Tag&gt;&lt;Author&gt;Kopetz, S; Grothey, A; Van Cutsem, E; Yaeger, R; Wasan, H; Yoshino, T; Desai, J; Ciardiello, F; Loupakis, F; Hong, Y S; Steeghs, N; Guren, T K; Arkenau, H T; Garcia-Alfonso, P; Belani, A; Zhang, X; Tabernero, J&lt;/Author&gt;&lt;Year&gt;2022&lt;/Year&gt;&lt;Details&gt;&lt;_accession_num&gt;35653981&lt;/_accession_num&gt;&lt;_author_adr&gt;University of Texas MD Anderson Cancer Center, Houston, USA. Electronic address:  skopetz@mdanderson.org.; West Cancer Center and Research Institute, OneOncology, Germantown, USA.; University Hospitals Gasthuisberg Leuven and KU Leuven, Leuven, Belgium.; Memorial Sloan-Kettering Cancer Center, New York, USA.; Hammersmith Hospital, Department of Cancer Medicine, London, UK.; National Cancer Center Hospital East, Kashiwa, Japan.; Royal Melbourne Hospital and Peter MacCallum Cancer Centre, Walter and Aliza Hall  Institute, Parkville, Australia.; University of Campania, Naples, Italy.; Istituto Oncologico del Veneto IRCCS, Padova, Italy.; Asan Medical Center, University of Ulsan College of Medicine, Seoul, Korea.; Netherlands Cancer Institute, Amsterdam, The Netherlands.; Oslo University Hospital, Department of Oncology, Oslo, Norway.; Sarah Cannon Research Institute, University College of London, London, UK.; Gregorio Marañón Hospital, Madrid, Spain.; Pfizer Inc, New York, USA.; Pfizer Inc, New York, USA.; Vall d&amp;apos;Hebron Hospital Campus, Vall d&amp;apos;Hebron Institute of Oncology (VHIO),  IOB-Quiron, UVic-UCC, Barcelona, Spain.&lt;/_author_adr&gt;&lt;_date_display&gt;2022 Jun&lt;/_date_display&gt;&lt;_date&gt;2022-06-01&lt;/_date&gt;&lt;_doi&gt;10.1016/j.esmoop.2022.100477&lt;/_doi&gt;&lt;_isbn&gt;2059-7029 (Electronic); 2059-7029 (Linking)&lt;/_isbn&gt;&lt;_issue&gt;3&lt;/_issue&gt;&lt;_journal&gt;ESMO Open&lt;/_journal&gt;&lt;_keywords&gt;BEACON CRC; cetuximab; colorectal cancer; encorafenib; patient-reported outcomes; quality of life&lt;/_keywords&gt;&lt;_language&gt;eng&lt;/_language&gt;&lt;_ori_publication&gt;Copyright © 2022 The Pfizer, The Author(s). Published by Elsevier Ltd.. All _x000d__x000a_      rights reserved.&lt;/_ori_publication&gt;&lt;_pages&gt;100477&lt;/_pages&gt;&lt;_subject_headings&gt;*Antineoplastic Agents/therapeutic use; Antineoplastic Combined Chemotherapy Protocols/therapeutic use; Benzimidazoles; Carbamates; Cetuximab/therapeutic use; *Colorectal Neoplasms/drug therapy/genetics; Humans; Mutation; Patient Reported Outcome Measures; *Proto-Oncogene Proteins B-raf/genetics; Quality of Life; Sulfonamides&lt;/_subject_headings&gt;&lt;_tertiary_title&gt;ESMO open&lt;/_tertiary_title&gt;&lt;_type_work&gt;Clinical Trial, Phase III; Journal Article; Randomized Controlled Trial; Research Support, N.I.H., Extramural; Research Support, Non-U.S. Gov&amp;apos;t&lt;/_type_work&gt;&lt;_url&gt;http://www.ncbi.nlm.nih.gov/entrez/query.fcgi?cmd=Retrieve&amp;amp;db=pubmed&amp;amp;dopt=Abstract&amp;amp;list_uids=35653981&amp;amp;query_hl=1&lt;/_url&gt;&lt;_volume&gt;7&lt;/_volume&gt;&lt;_created&gt;65020956&lt;/_created&gt;&lt;_modified&gt;65020956&lt;/_modified&gt;&lt;_impact_factor&gt;   6.883&lt;/_impact_factor&gt;&lt;_social_category&gt;医学(3)&lt;/_social_category&gt;&lt;_collection_scope&gt;SCIE&lt;/_collection_scope&gt;&lt;/Details&gt;&lt;Extra&gt;&lt;DBUID&gt;{F96A950B-833F-4880-A151-76DA2D6A2879}&lt;/DBUID&gt;&lt;/Extra&gt;&lt;/Item&gt;&lt;/References&gt;&lt;/Group&gt;&lt;Group&gt;&lt;References&gt;&lt;Item&gt;&lt;ID&gt;4688&lt;/ID&gt;&lt;UID&gt;{4DCEF544-8A84-4F18-A033-33A6E3E01F66}&lt;/UID&gt;&lt;Title&gt;Phase III comparison of two irinotecan dosing regimens in second-line therapy of  metastatic colorectal cancer&lt;/Title&gt;&lt;Template&gt;Journal Article&lt;/Template&gt;&lt;Star&gt;0&lt;/Star&gt;&lt;Tag&gt;0&lt;/Tag&gt;&lt;Author&gt;Fuchs, C S; Moore, M R; Harker, G; Villa, L; Rinaldi, D; Hecht, J R&lt;/Author&gt;&lt;Year&gt;2003&lt;/Year&gt;&lt;Details&gt;&lt;_accession_num&gt;12610178&lt;/_accession_num&gt;&lt;_author_adr&gt;Dana-Farber Cancer Institute, Boston, MA 02115, USA.  charles_fuchs@dfci.harvard.edu&lt;/_author_adr&gt;&lt;_date_display&gt;2003 Mar 1&lt;/_date_display&gt;&lt;_date&gt;2003-03-01&lt;/_date&gt;&lt;_doi&gt;10.1200/JCO.2003.08.058&lt;/_doi&gt;&lt;_isbn&gt;0732-183X (Print); 0732-183X (Linking)&lt;/_isbn&gt;&lt;_issue&gt;5&lt;/_issue&gt;&lt;_journal&gt;J Clin Oncol&lt;/_journal&gt;&lt;_language&gt;eng&lt;/_language&gt;&lt;_pages&gt;807-14&lt;/_pages&gt;&lt;_subject_headings&gt;Adenocarcinoma/*drug therapy/mortality/secondary; Aged; Antineoplastic Agents, Phytogenic/*administration &amp;amp; dosage/therapeutic use; Bilirubin/metabolism; Biomarkers, Tumor/analysis; Camptothecin/*administration &amp;amp; dosage/*analogs &amp;amp; derivatives/therapeutic use; Colorectal Neoplasms/*drug therapy/mortality/pathology; Disease Progression; Female; Humans; Irinotecan; Liver Neoplasms/*drug therapy/mortality/secondary; Lung Neoplasms/*drug therapy/mortality/secondary; Male; Prospective Studies; Quality of Life; Salvage Therapy; Survival Rate; *Topoisomerase I Inhibitors; Treatment Outcome&lt;/_subject_headings&gt;&lt;_tertiary_title&gt;Journal of clinical oncology : official journal of the American Society of _x000d__x000a_      Clinical Oncology&lt;/_tertiary_title&gt;&lt;_type_work&gt;Clinical Trial; Clinical Trial, Phase III; Comparative Study; Journal Article; Multicenter Study; Randomized Controlled Trial; Research Support, Non-U.S. Gov&amp;apos;t&lt;/_type_work&gt;&lt;_url&gt;http://www.ncbi.nlm.nih.gov/entrez/query.fcgi?cmd=Retrieve&amp;amp;db=pubmed&amp;amp;dopt=Abstract&amp;amp;list_uids=12610178&amp;amp;query_hl=1&lt;/_url&gt;&lt;_volume&gt;21&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Group&gt;&lt;References&gt;&lt;Item&gt;&lt;ID&gt;4710&lt;/ID&gt;&lt;UID&gt;{791BC691-6ECB-4723-8201-CC71D9ACC1A6}&lt;/UID&gt;&lt;Title&gt;Quality of Life Analysis in Patients With RAS Wild-Type Metastatic Colorectal  Cancer Treated With First-Line Cetuximab Plus Chemotherapy&lt;/Title&gt;&lt;Template&gt;Journal Article&lt;/Template&gt;&lt;Star&gt;0&lt;/Star&gt;&lt;Tag&gt;0&lt;/Tag&gt;&lt;Author&gt;Yamaguchi, K; Ando, M; Ooki, A; Beier, F; Guenther, S; von Hohnhorst, P; Van Cutsem, E&lt;/Author&gt;&lt;Year&gt;2017&lt;/Year&gt;&lt;Details&gt;&lt;_accession_num&gt;28081962&lt;/_accession_num&gt;&lt;_author_adr&gt;Department of Gastroenterological Chemotherapy, Cancer Institute Hospital of  Japanese Foundation for Cancer Research, Tokyo, Japan. Electronic address:  kensei.yamaguchi@jfcr.or.jp.; Center for Advanced Medicine and Clinical Research, Nagoya University Graduate  School of Medicine, Aichi, Japan.; Department of Gastroenterology, Saitama Cancer Center Hospital, Saitama, Japan.; Merck KGaA, Darmstadt, Germany.; Merck KGaA, Darmstadt, Germany.; Merck KGaA, Darmstadt, Germany.; Digestive Oncology, University Hospitals Leuven and University of Leuven, Leuven,  Belgium.&lt;/_author_adr&gt;&lt;_date_display&gt;2017 Jun&lt;/_date_display&gt;&lt;_date&gt;2017-06-01&lt;/_date&gt;&lt;_doi&gt;10.1016/j.clcc.2016.07.017&lt;/_doi&gt;&lt;_isbn&gt;1938-0674 (Electronic); 1533-0028 (Linking)&lt;/_isbn&gt;&lt;_issue&gt;2&lt;/_issue&gt;&lt;_journal&gt;Clin Colorectal Cancer&lt;/_journal&gt;&lt;_keywords&gt;CRYSTAL; FOLFIRI; Global health status (GHS); QoL; mCRC&lt;/_keywords&gt;&lt;_language&gt;eng&lt;/_language&gt;&lt;_ori_publication&gt;Copyright © 2016 The Authors. Published by Elsevier Inc. All rights reserved.&lt;/_ori_publication&gt;&lt;_pages&gt;e29-e37&lt;/_pages&gt;&lt;_subject_headings&gt;Adult; Aged; Aged, 80 and over; Antineoplastic Combined Chemotherapy Protocols/*administration &amp;amp; dosage; Camptothecin/administration &amp;amp; dosage/*analogs &amp;amp; derivatives; Cetuximab/administration &amp;amp; dosage; Colorectal Neoplasms/*drug therapy/genetics/pathology; Disease-Free Survival; Female; Fluorouracil/administration &amp;amp; dosage; Humans; Leucovorin/administration &amp;amp; dosage; Male; Middle Aged; Neoplasm Metastasis; Proto-Oncogene Proteins p21(ras)/*genetics; *Quality of Life; Retrospective Studies; Survival Rate; Young Adult; ras Proteins/genetics&lt;/_subject_headings&gt;&lt;_tertiary_title&gt;Clinical colorectal cancer&lt;/_tertiary_title&gt;&lt;_type_work&gt;Journal Article; Research Support, Non-U.S. Gov&amp;apos;t&lt;/_type_work&gt;&lt;_url&gt;http://www.ncbi.nlm.nih.gov/entrez/query.fcgi?cmd=Retrieve&amp;amp;db=pubmed&amp;amp;dopt=Abstract&amp;amp;list_uids=28081962&amp;amp;query_hl=1&lt;/_url&gt;&lt;_volume&gt;16&lt;/_volume&gt;&lt;_created&gt;65020956&lt;/_created&gt;&lt;_modified&gt;65021242&lt;/_modified&gt;&lt;_impact_factor&gt;   4.035&lt;/_impact_factor&gt;&lt;_social_category&gt;医学(2)&lt;/_social_category&gt;&lt;_collection_scope&gt;SCIE&lt;/_collection_scope&gt;&lt;_accessed&gt;65021241&lt;/_accessed&gt;&lt;/Details&gt;&lt;Extra&gt;&lt;DBUID&gt;{F96A950B-833F-4880-A151-76DA2D6A2879}&lt;/DBUID&gt;&lt;/Extra&gt;&lt;/Item&gt;&lt;/References&gt;&lt;/Group&gt;&lt;Group&gt;&lt;References&gt;&lt;Item&gt;&lt;ID&gt;4712&lt;/ID&gt;&lt;UID&gt;{47A3B94B-6E54-416D-9EC7-933965560697}&lt;/UID&gt;&lt;Title&gt;Quality of life analysis in patients with KRAS wild-type metastatic colorectal  cancer treated first-line with cetuximab plus irinotecan, fluorouracil and  leucovorin&lt;/Title&gt;&lt;Template&gt;Journal Article&lt;/Template&gt;&lt;Star&gt;0&lt;/Star&gt;&lt;Tag&gt;0&lt;/Tag&gt;&lt;Author&gt;Láng, I; Köhne, C H; Folprecht, G; Rougier, P; Curran, D; Hitre, E; Sartorius, U; Griebsch, I; Van Cutsem, E&lt;/Author&gt;&lt;Year&gt;2013&lt;/Year&gt;&lt;Details&gt;&lt;_accession_num&gt;23116683&lt;/_accession_num&gt;&lt;_author_adr&gt;Department of Medical Oncology and Clinical Pharmacology B, National Institute of  Oncology, Budapest, Hungary. lang@oncol.hu&lt;/_author_adr&gt;&lt;_date_display&gt;2013 Jan&lt;/_date_display&gt;&lt;_date&gt;2013-01-01&lt;/_date&gt;&lt;_doi&gt;10.1016/j.ejca.2012.08.023&lt;/_doi&gt;&lt;_isbn&gt;1879-0852 (Electronic); 0959-8049 (Linking)&lt;/_isbn&gt;&lt;_issue&gt;2&lt;/_issue&gt;&lt;_journal&gt;Eur J Cancer&lt;/_journal&gt;&lt;_language&gt;eng&lt;/_language&gt;&lt;_ori_publication&gt;Copyright © 2012 Elsevier Ltd. All rights reserved.&lt;/_ori_publication&gt;&lt;_pages&gt;439-48&lt;/_pages&gt;&lt;_subject_headings&gt;Adult; Aged; Aged, 80 and over; Antibodies, Monoclonal/administration &amp;amp; dosage/adverse effects; Antibodies, Monoclonal, Humanized; Antineoplastic Combined Chemotherapy Protocols/administration &amp;amp; dosage/adverse _x000d__x000a_      effects/*therapeutic use; Camptothecin/administration &amp;amp; dosage/adverse effects/analogs &amp;amp; derivatives; Cetuximab; Colorectal Neoplasms/*drug therapy/*enzymology/genetics/pathology; Female; Fluorouracil/administration &amp;amp; dosage/adverse effects; Humans; Irinotecan; Leucovorin/administration &amp;amp; dosage/adverse effects; Male; Middle Aged; Neoplasm Metastasis; Proto-Oncogene Proteins/*genetics; Proto-Oncogene Proteins p21(ras); Quality of Life; Surveys and Questionnaires; Survival Analysis; Young Adult; ras Proteins/*genetics&lt;/_subject_headings&gt;&lt;_tertiary_title&gt;European journal of cancer (Oxford, England : 1990)&lt;/_tertiary_title&gt;&lt;_type_work&gt;Clinical Trial, Phase III; Journal Article; Multicenter Study; Randomized Controlled Trial; Research Support, Non-U.S. Gov&amp;apos;t&lt;/_type_work&gt;&lt;_url&gt;http://www.ncbi.nlm.nih.gov/entrez/query.fcgi?cmd=Retrieve&amp;amp;db=pubmed&amp;amp;dopt=Abstract&amp;amp;list_uids=23116683&amp;amp;query_hl=1&lt;/_url&gt;&lt;_volume&gt;49&lt;/_volume&gt;&lt;_created&gt;65020956&lt;/_created&gt;&lt;_modified&gt;65020956&lt;/_modified&gt;&lt;_impact_factor&gt;  10.002&lt;/_impact_factor&gt;&lt;_social_category&gt;医学(1)&lt;/_social_category&gt;&lt;_collection_scope&gt;SCIE&lt;/_collection_scope&gt;&lt;/Details&gt;&lt;Extra&gt;&lt;DBUID&gt;{F96A950B-833F-4880-A151-76DA2D6A2879}&lt;/DBUID&gt;&lt;/Extra&gt;&lt;/Item&gt;&lt;/References&gt;&lt;/Group&gt;&lt;Group&gt;&lt;References&gt;&lt;Item&gt;&lt;ID&gt;4721&lt;/ID&gt;&lt;UID&gt;{DFED8C1E-9045-4C0D-ABD5-DD365BDBE185}&lt;/UID&gt;&lt;Title&gt;EPIC: phase III trial of cetuximab plus irinotecan after fluoropyrimidine and  oxaliplatin failure in patients with metastatic colorectal cancer&lt;/Title&gt;&lt;Template&gt;Journal Article&lt;/Template&gt;&lt;Star&gt;0&lt;/Star&gt;&lt;Tag&gt;0&lt;/Tag&gt;&lt;Author&gt;Sobrero, A F; Maurel, J; Fehrenbacher, L; Scheithauer, W; Abubakr, Y A; Lutz, M P; Vega-Villegas, M E; Eng, C; Steinhauer, E U; Prausova, J; Lenz, H J; Borg, C; Middleton, G; Kröning, H; Luppi, G; Kisker, O; Zubel, A; Langer, C; Kopit, J; Burris, HA Rd&lt;/Author&gt;&lt;Year&gt;2008&lt;/Year&gt;&lt;Details&gt;&lt;_accession_num&gt;18390971&lt;/_accession_num&gt;&lt;_author_adr&gt;Department of Medical Oncology, Ospedale San Martino, Genoa, 16132, Italy.  alberto.sobrero@hsanmartino.liguria.it&lt;/_author_adr&gt;&lt;_date_display&gt;2008 May 10&lt;/_date_display&gt;&lt;_date&gt;2008-05-10&lt;/_date&gt;&lt;_doi&gt;10.1200/JCO.2007.13.1193&lt;/_doi&gt;&lt;_isbn&gt;1527-7755 (Electronic); 0732-183X (Linking)&lt;/_isbn&gt;&lt;_issue&gt;14&lt;/_issue&gt;&lt;_journal&gt;J Clin Oncol&lt;/_journal&gt;&lt;_language&gt;eng&lt;/_language&gt;&lt;_pages&gt;2311-9&lt;/_pages&gt;&lt;_subject_headings&gt;Adult; Aged; Aged, 80 and over; Antibodies, Monoclonal/administration &amp;amp; dosage/adverse effects; Antibodies, Monoclonal, Humanized; Antineoplastic Combined Chemotherapy Protocols/adverse effects/*therapeutic use; Camptothecin/administration &amp;amp; dosage/adverse effects/*analogs &amp;amp; _x000d__x000a_      derivatives/therapeutic use; Cetuximab; Colorectal Neoplasms/*drug therapy/pathology; Disease-Free Survival; ErbB Receptors/biosynthesis; Female; Humans; Irinotecan; Male; Middle Aged; Neoplasm Metastasis; Organoplatinum Compounds/administration &amp;amp; dosage/adverse effects; Oxaliplatin; Pyrimidines/administration &amp;amp; dosage/adverse effects; Quality of Life&lt;/_subject_headings&gt;&lt;_tertiary_title&gt;Journal of clinical oncology : official journal of the American Society of _x000d__x000a_      Clinical Oncology&lt;/_tertiary_title&gt;&lt;_type_work&gt;Clinical Trial, Phase III; Journal Article; Multicenter Study; Randomized Controlled Trial&lt;/_type_work&gt;&lt;_url&gt;http://www.ncbi.nlm.nih.gov/entrez/query.fcgi?cmd=Retrieve&amp;amp;db=pubmed&amp;amp;dopt=Abstract&amp;amp;list_uids=18390971&amp;amp;query_hl=1&lt;/_url&gt;&lt;_volume&gt;26&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Group&gt;&lt;References&gt;&lt;Item&gt;&lt;ID&gt;4707&lt;/ID&gt;&lt;UID&gt;{01E32202-6B44-414B-A7A9-54F183913A38}&lt;/UID&gt;&lt;Title&gt;Capecitabine and Temozolomide versus FOLFIRI in RAS-Mutated, MGMT-Methylated  Metastatic Colorectal Cancer&lt;/Title&gt;&lt;Template&gt;Journal Article&lt;/Template&gt;&lt;Star&gt;0&lt;/Star&gt;&lt;Tag&gt;0&lt;/Tag&gt;&lt;Author&gt;Pietrantonio, F; Lobefaro, R; Antista, M; Lonardi, S; Raimondi, A; Morano, F; Mosconi, S; Rimassa, L; Murgioni, S; Sartore-Bianchi, A; Tomasello, G; Longarini, R; Farina, G; Petrelli, F; Gori, S; Randon, G; Corallo, S; Pagani, F; Guarini, V; Palermo, F; Martinetti, A; Macagno, M; Barault, L; Perrone, F; Tamborini, E; Milione, M; Di Nicolantonio, F; Di Maio, M; Fucà, G; Di Bartolomeo, M; de Braud, F&lt;/Author&gt;&lt;Year&gt;2020&lt;/Year&gt;&lt;Details&gt;&lt;_accession_num&gt;31740551&lt;/_accession_num&gt;&lt;_author_adr&gt;Oncology and Hemato-oncology Department, University of Milan, Milan, Italy.  filippo.pietrantonio@istitutotumori.mi.it.; Medical Oncology Department, Fondazione IRCCS Istituto Nazionale dei Tumori di  Milano, Milan, Italy.; Medical Oncology Department, Fondazione IRCCS Istituto Nazionale dei Tumori di  Milano, Milan, Italy.; Medical Oncology Department, Fondazione IRCCS Istituto Nazionale dei Tumori di  Milano, Milan, Italy.; Medical Oncology 1 Unit, Department of Oncology, Istituto Oncologico Veneto  IOV-IRCCS, Padua, Italy.; Medical Oncology Department, Fondazione IRCCS Istituto Nazionale dei Tumori di  Milano, Milan, Italy.; Medical Oncology Department, Fondazione IRCCS Istituto Nazionale dei Tumori di  Milano, Milan, Italy.; Medical Oncology Unit, Department of Oncology and Hematology, Papa Giovanni XXIII  Hospital, Bergamo, Italy.; Medical Oncology and Hematology Unit, Humanitas Cancer Center, Humanitas Clinical  and Research Center-IRCCS, Rozzano, Milano, Italy.; Department of Biomedical Sciences, Humanitas University, Milan, Italy.; Medical Oncology 1 Unit, Department of Oncology, Istituto Oncologico Veneto  IOV-IRCCS, Padua, Italy.; Oncology and Hemato-oncology Department, University of Milan, Milan, Italy.; Niguarda Cancer Center, Grande Ospedale Metropolitano Niguarda, Milan, Italy.; Medical Oncology Unit, ASST Ospedale di Cremona, Cremona, Italy.; Medical Oncology Unit, Azienda Ospedaliera San Gerardo, Monza, Italy.; Medical Oncology Department, Fatebenefratelli-Sacco Hospital, Milan, Italy.; Medical Oncology Unit, Oncology Department, ASST Bergamo Ovest, Treviglio (BG),  Italy.; Medical Oncology Unit, IRCCS Ospedale Sacro Cuore Don Calabria, Negrar, Verona,  Italy.; Medical Oncology Department, Fondazione IRCCS Istituto Nazionale dei Tumori di  Milano, Milan, Italy.; Medical Oncology Department, Fondazione IRCCS Istituto Nazionale dei Tumori di  Milano, Milan, Italy.; Medical Oncology Department, Fondazione IRCCS Istituto Nazionale dei Tumori di  Milano, Milan, Italy.; Medical Oncology Department, Fondazione IRCCS Istituto Nazionale dei Tumori di  Milano, Milan, Italy.; Medical Oncology Department, Fondazione IRCCS Istituto Nazionale dei Tumori di  Milano, Milan, Italy.; Medical Oncology Department, Fondazione IRCCS Istituto Nazionale dei Tumori di  Milano, Milan, Italy.; Candiolo Cancer Institute, FPO - IRCCS, Candiolo (TO), Italy.; Candiolo Cancer Institute, FPO - IRCCS, Candiolo (TO), Italy.; Oncology Department, University of Turin, Candiolo (TO), Italy.; Pathology and Laboratory Medicine Department, Fondazione IRCCS Istituto Nazionale  dei Tumori di Milano, Milan, Italy.; Pathology and Laboratory Medicine Department, Fondazione IRCCS Istituto Nazionale  dei Tumori di Milano, Milan, Italy.; Pathology and Laboratory Medicine Department, Fondazione IRCCS Istituto Nazionale  dei Tumori di Milano, Milan, Italy.; Candiolo Cancer Institute, FPO - IRCCS, Candiolo (TO), Italy.; Oncology Department, University of Turin, Candiolo (TO), Italy.; Oncology Department, University of Turin, Ordine Mauriziano Hospital, Turin,  Italy.; Medical Oncology Department, Fondazione IRCCS Istituto Nazionale dei Tumori di  Milano, Milan, Italy.; Medical Oncology Department, Fondazione IRCCS Istituto Nazionale dei Tumori di  Milano, Milan, Italy.; Oncology and Hemato-oncology Department, University of Milan, Milan, Italy.; Medical Oncology Department, Fondazione IRCCS Istituto Nazionale dei Tumori di  Milano, Milan, Italy.&lt;/_author_adr&gt;&lt;_date_display&gt;2020 Mar 1&lt;/_date_display&gt;&lt;_date&gt;2020-03-01&lt;/_date&gt;&lt;_doi&gt;10.1158/1078-0432.CCR-19-3024&lt;/_doi&gt;&lt;_isbn&gt;1557-3265 (Electronic); 1078-0432 (Linking)&lt;/_isbn&gt;&lt;_issue&gt;5&lt;/_issue&gt;&lt;_journal&gt;Clin Cancer Res&lt;/_journal&gt;&lt;_language&gt;eng&lt;/_language&gt;&lt;_ori_publication&gt;©2019 American Association for Cancer Research.&lt;/_ori_publication&gt;&lt;_pages&gt;1017-1024&lt;/_pages&gt;&lt;_subject_headings&gt;Aged; Antineoplastic Combined Chemotherapy Protocols/*therapeutic use; Bevacizumab/administration &amp;amp; dosage; Biomarkers, Tumor/*genetics/metabolism; Camptothecin/administration &amp;amp; dosage; Capecitabine/administration &amp;amp; dosage; Colorectal Neoplasms/*drug therapy/genetics/pathology; *DNA Methylation; DNA Modification Methylases/*genetics; DNA Repair Enzymes/*genetics; Female; Fluorouracil/administration &amp;amp; dosage; Humans; Irinotecan/administration &amp;amp; dosage; Leucovorin/administration &amp;amp; dosage; Male; Middle Aged; Oxaliplatin/administration &amp;amp; dosage; Proto-Oncogene Proteins p21(ras)/*genetics; Quality of Life; Survival Rate; Temozolomide/administration &amp;amp; dosage; Treatment Outcome; Tumor Suppressor Proteins/*genetics&lt;/_subject_headings&gt;&lt;_tertiary_title&gt;Clinical cancer research : an official journal of the American Association for _x000d__x000a_      Cancer Research&lt;/_tertiary_title&gt;&lt;_type_work&gt;Clinical Trial, Phase II; Comparative Study; Journal Article; Multicenter Study; Randomized Controlled Trial; Research Support, Non-U.S. Gov&amp;apos;t&lt;/_type_work&gt;&lt;_url&gt;http://www.ncbi.nlm.nih.gov/entrez/query.fcgi?cmd=Retrieve&amp;amp;db=pubmed&amp;amp;dopt=Abstract&amp;amp;list_uids=31740551&amp;amp;query_hl=1&lt;/_url&gt;&lt;_volume&gt;26&lt;/_volume&gt;&lt;_created&gt;65020956&lt;/_created&gt;&lt;_modified&gt;65021240&lt;/_modified&gt;&lt;_impact_factor&gt;  13.801&lt;/_impact_factor&gt;&lt;_social_category&gt;医学(1)&lt;/_social_category&gt;&lt;_collection_scope&gt;SCIE&lt;/_collection_scope&gt;&lt;_accessed&gt;65021239&lt;/_accessed&gt;&lt;/Details&gt;&lt;Extra&gt;&lt;DBUID&gt;{F96A950B-833F-4880-A151-76DA2D6A2879}&lt;/DBUID&gt;&lt;/Extra&gt;&lt;/Item&gt;&lt;/References&gt;&lt;/Group&gt;&lt;Group&gt;&lt;References&gt;&lt;Item&gt;&lt;ID&gt;4718&lt;/ID&gt;&lt;UID&gt;{E45782C8-13B9-44F5-A729-A8A5A4744AFC}&lt;/UID&gt;&lt;Title&gt;Chemotherapy, bevacizumab, and cetuximab in metastatic colorectal cancer&lt;/Title&gt;&lt;Template&gt;Journal Article&lt;/Template&gt;&lt;Star&gt;0&lt;/Star&gt;&lt;Tag&gt;0&lt;/Tag&gt;&lt;Author&gt;Tol, J; Koopman, M; Cats, A; Rodenburg, C J; Creemers, G J; Schrama, J G; Erdkamp, F L; Vos, A H; van Groeningen, C J; Sinnige, H A; Richel, D J; Voest, E E; Dijkstra, J R; Vink-Börger, M E; Antonini, N F; Mol, L; van Krieken, J H; Dalesio, O; Punt, C J&lt;/Author&gt;&lt;Year&gt;2009&lt;/Year&gt;&lt;Details&gt;&lt;_accession_num&gt;19196673&lt;/_accession_num&gt;&lt;_author_adr&gt;Radboud University Nijmegen Medical Center, Nijmegen, The Netherlands.&lt;/_author_adr&gt;&lt;_date_display&gt;2009 Feb 5&lt;/_date_display&gt;&lt;_date&gt;2009-02-05&lt;/_date&gt;&lt;_doi&gt;10.1056/NEJMoa0808268&lt;/_doi&gt;&lt;_isbn&gt;1533-4406 (Electronic); 0028-4793 (Linking)&lt;/_isbn&gt;&lt;_issue&gt;6&lt;/_issue&gt;&lt;_journal&gt;N Engl J Med&lt;/_journal&gt;&lt;_language&gt;eng&lt;/_language&gt;&lt;_ori_publication&gt;2009 Massachusetts Medical Society&lt;/_ori_publication&gt;&lt;_pages&gt;563-72&lt;/_pages&gt;&lt;_subject_headings&gt;Adult; Aged; Aged, 80 and over; Antibodies, Monoclonal/*administration &amp;amp; dosage/adverse effects; Antibodies, Monoclonal, Humanized; Antineoplastic Combined Chemotherapy Protocols/adverse effects/*therapeutic use; Bevacizumab; Capecitabine; Cetuximab; Colorectal Neoplasms/*drug therapy/genetics/pathology; Deoxycytidine/administration &amp;amp; dosage/analogs &amp;amp; derivatives; Disease-Free Survival; ErbB Receptors/*antagonists &amp;amp; inhibitors/immunology/metabolism; Female; Fluorouracil/administration &amp;amp; dosage/analogs &amp;amp; derivatives; Humans; Kaplan-Meier Estimate; Male; Middle Aged; Mutation; Neoplasm Metastasis/drug therapy; Organoplatinum Compounds/administration &amp;amp; dosage; Oxaliplatin; Proto-Oncogene Proteins/genetics; Proto-Oncogene Proteins p21(ras); Quality of Life; Treatment Failure; Vascular Endothelial Growth Factor A/*antagonists &amp;amp; inhibitors; ras Proteins/genetics&lt;/_subject_headings&gt;&lt;_tertiary_title&gt;The New England journal of medicine&lt;/_tertiary_title&gt;&lt;_type_work&gt;Clinical Trial, Phase III; Journal Article; Multicenter Study; Randomized Controlled Trial; Research Support, Non-U.S. Gov&amp;apos;t&lt;/_type_work&gt;&lt;_url&gt;http://www.ncbi.nlm.nih.gov/entrez/query.fcgi?cmd=Retrieve&amp;amp;db=pubmed&amp;amp;dopt=Abstract&amp;amp;list_uids=19196673&amp;amp;query_hl=1&lt;/_url&gt;&lt;_volume&gt;360&lt;/_volume&gt;&lt;_created&gt;65020956&lt;/_created&gt;&lt;_modified&gt;65020956&lt;/_modified&gt;&lt;_impact_factor&gt; 176.079&lt;/_impact_factor&gt;&lt;_social_category&gt;医学(1)&lt;/_social_category&gt;&lt;_collection_scope&gt;SCIE&lt;/_collection_scope&gt;&lt;/Details&gt;&lt;Extra&gt;&lt;DBUID&gt;{F96A950B-833F-4880-A151-76DA2D6A2879}&lt;/DBUID&gt;&lt;/Extra&gt;&lt;/Item&gt;&lt;/References&gt;&lt;/Group&gt;&lt;Group&gt;&lt;References&gt;&lt;Item&gt;&lt;ID&gt;4704&lt;/ID&gt;&lt;UID&gt;{E5D060E0-105D-42BA-85B8-4491B0823450}&lt;/UID&gt;&lt;Title&gt;Health-related quality of life in patients with microsatellite instability-high  or mismatch repair deficient metastatic colorectal cancer treated with first-line  pembrolizumab versus chemotherapy (KEYNOTE-177): an open-label, randomised, phase  3 trial&lt;/Title&gt;&lt;Template&gt;Journal Article&lt;/Template&gt;&lt;Star&gt;0&lt;/Star&gt;&lt;Tag&gt;0&lt;/Tag&gt;&lt;Author&gt;Andre, T; Amonkar, M; Norquist, J M; Shiu, K K; Kim, T W; Jensen, B V; Jensen, L H; Punt, CJA; Smith, D; Garcia-Carbonero, R; Sevilla, I; De La Fouchardiere, C; Rivera, F; Elez, E; Diaz, LA Jr; Yoshino, T; Van Cutsem, E; Yang, P; Farooqui, M; &amp;quot;Le DT&amp;quot;&lt;/Author&gt;&lt;Year&gt;2021&lt;/Year&gt;&lt;Details&gt;&lt;_accession_num&gt;33812497&lt;/_accession_num&gt;&lt;_author_adr&gt;Sorbonne Université and Hõpital Saint-Antoine, Paris, France. Electronic address:  thierry.andre@aphp.fr.; Merck &amp;amp; Co, Kenilworth, NJ, USA.; Merck &amp;amp; Co, Kenilworth, NJ, USA.; University College Hospital, NHS Foundation Trust, London, UK.; Department of Oncology, Asan Medical Center, University of Ulsan College of  Medicine, Seoul, South Korea.; Herlev og Gentofte Hospital, Herlev, Denmark.; University Hospital of Southern Denmark, Vejle, Denmark.; Amsterdam University Medical Center, University of Amsterdam, Amsterdam,  Netherlands; Julius Center, University Medical Center Utrecht, Utrecht  University, Netherlands.; Hopital Haut Leveque, Pessac, France.; Hospital Universitario 12 de Octubre, Imas12, UCM, Madrid, Spain.; Investigación Clínica y Traslacional en Cáncer, Instituto de Investigaciones  Biomédicas de Málaga, Hospitales Universitarios Regional y Virgen de la Victoria  de Málaga, Malaga, Spain.; Centre Leon Berard, Lyon, France.; Hospital Universitario M de Valdecilla, IDIVAL, Santander, Spain.; Vall d&amp;apos;Hebron Barcelona Hospital Campus, Vall d&amp;apos;Hebron Institute of Oncology,  Universitat Autonoma de Barcelona, Barcelona, Spain.; Memorial Sloan Kettering Cancer Center, New York, NY, USA.; National Cancer Center Hospital East, Kashiwa, Japan.; University Hospitals Gasthuisberg/Leuven and KU Leuven, Leuven, Belgium.; MSD China, Shanghai, China.; Merck &amp;amp; Co, Kenilworth, NJ, USA.; Sidney Kimmel Comprehensive Cancer Center, Johns Hopkins University, Baltimore,  MD, USA.&lt;/_author_adr&gt;&lt;_date_display&gt;2021 May&lt;/_date_display&gt;&lt;_date&gt;2021-05-01&lt;/_date&gt;&lt;_doi&gt;10.1016/S1470-2045(21)00064-4&lt;/_doi&gt;&lt;_isbn&gt;1474-5488 (Electronic); 1470-2045 (Linking)&lt;/_isbn&gt;&lt;_issue&gt;5&lt;/_issue&gt;&lt;_journal&gt;Lancet Oncol&lt;/_journal&gt;&lt;_language&gt;eng&lt;/_language&gt;&lt;_ori_publication&gt;Copyright © 2021 Elsevier Ltd. All rights reserved.&lt;/_ori_publication&gt;&lt;_pages&gt;665-677&lt;/_pages&gt;&lt;_subject_headings&gt;Adult; Aged; Antibodies, Monoclonal, Humanized/*therapeutic use; Brain Neoplasms/*drug therapy/genetics/mortality/psychology; Colorectal Neoplasms/*drug therapy/genetics/mortality/psychology; DNA Mismatch Repair; Female; Humans; Male; *Microsatellite Instability; Middle Aged; Neoplasm Metastasis; Neoplastic Syndromes, Hereditary/*drug therapy/genetics/mortality/psychology; *Quality of Lif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33812497&amp;amp;query_hl=1&lt;/_url&gt;&lt;_volume&gt;22&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Group&gt;&lt;References&gt;&lt;Item&gt;&lt;ID&gt;4726&lt;/ID&gt;&lt;UID&gt;{A50213D4-C0E5-4422-9587-12CFDE52F709}&lt;/UID&gt;&lt;Title&gt;Health-related quality of life in patients with RAS wild-type metastatic  colorectal cancer treated with fluorouracil and folinic acid with or without  panitumumab as maintenance therapy: a prespecified secondary analysis of the  PanaMa (AIO KRK 0212) trial&lt;/Title&gt;&lt;Template&gt;Journal Article&lt;/Template&gt;&lt;Star&gt;0&lt;/Star&gt;&lt;Tag&gt;0&lt;/Tag&gt;&lt;Author&gt;Ballhausen, A; Karthaus, M; Fruehauf, S; Graeven, U; Müller, L; König, A O; von Weikersthal, L F; Sommerhäuser, G; Alig, AHS; Goekkurt, E; Meyer-Knees, J W; Kurreck, A; Stahler, A; Held, S; Kasper, S; Heinrich, K; Heinemann, V; Stintzing, S; Trarbach, T; Modest, D P&lt;/Author&gt;&lt;Year&gt;2023&lt;/Year&gt;&lt;Details&gt;&lt;_accession_num&gt;37454537&lt;/_accession_num&gt;&lt;_author_adr&gt;Charité - Universitätsmedizin Berlin, Corporate Member of Freie Universität  Berlin and Humboldt-Universität zu Berlin, Department of Hematology, Oncology,  and Cancer Immunology (CVK/CCM), Berlin, BE, Germany.; Klinikum Neuperlach/Klinikum Harlaching, Department of Hematology, Oncology, and  Palliative Care, Munich, BV, Germany.; Klinik Dr. Hancken GmbH, Department of Hematology, Oncology, and Palliative Care,  Stade, NI, Germany.; Kliniken Maria Hilf GmbH, Department of Hematology, Oncology, and  Gastroenterology, Mönchengladbach, NW, Germany.; Oncological Practice UnterEms, Leer, NI, Germany.; Department of Gastroenterology and Gastrointestinal Oncology, University Medical  Center Göttingen, Göttingen, NI, Germany.; Gesundheitszentrum St. Marien, Amberg, BY, Germany.; Charité - Universitätsmedizin Berlin, Corporate Member of Freie Universität  Berlin and Humboldt-Universität zu Berlin, Department of Hematology, Oncology,  and Cancer Immunology (CVK/CCM), Berlin, BE, Germany.; Charité - Universitätsmedizin Berlin, Corporate Member of Freie Universität  Berlin and Humboldt-Universität zu Berlin, Department of Hematology, Oncology,  and Cancer Immunology (CVK/CCM), Berlin, BE, Germany.; Practice of Hematology and Oncology (HOPE), Hamburg, HH, Germany.; Charité - Universitätsmedizin Berlin, Corporate Member of Freie Universität  Berlin and Humboldt-Universität zu Berlin, Department of Hematology, Oncology,  and Cancer Immunology (CVK/CCM), Berlin, BE, Germany.; Charité - Universitätsmedizin Berlin, Corporate Member of Freie Universität  Berlin and Humboldt-Universität zu Berlin, Department of Hematology, Oncology,  and Cancer Immunology (CVK/CCM), Berlin, BE, Germany.; Charité - Universitätsmedizin Berlin, Corporate Member of Freie Universität  Berlin and Humboldt-Universität zu Berlin, Department of Hematology, Oncology,  and Cancer Immunology (CVK/CCM), Berlin, BE, Germany.; ClinAssess GmbH, Leverkusen, NW, Germany.; West German Cancer Center, Department of Medical Oncology, University Hospital  Essen, Essen, NW, Germany.; University Hospital, LMU Munich, Department of Medicine III, and Comprehensive  Cancer Center Munich, Munich, BY, Germany.; University Hospital, LMU Munich, Department of Medicine III, and Comprehensive  Cancer Center Munich, Munich, BY, Germany; German Cancer Consortium (DKTK),  German Cancer Research Centre (DKFZ), Heidelberg, BW, Germany.; Charité - Universitätsmedizin Berlin, Corporate Member of Freie Universität  Berlin and Humboldt-Universität zu Berlin, Department of Hematology, Oncology,  and Cancer Immunology (CVK/CCM), Berlin, BE, Germany; German Cancer Consortium  (DKTK), German Cancer Research Centre (DKFZ), Heidelberg, BW, Germany.; West German Cancer Center, Department of Medical Oncology, University Hospital  Essen, Essen, NW, Germany; Reha-Zentrum am Meer, Bad Zwischenahn, NI, Germany.; Charité - Universitätsmedizin Berlin, Corporate Member of Freie Universität  Berlin and Humboldt-Universität zu Berlin, Department of Hematology, Oncology,  and Cancer Immunology (CVK/CCM), Berlin, BE, Germany; German Cancer Consortium  (DKTK), German Cancer Research Centre (DKFZ), Heidelberg, BW, Germany. Electronic  address: dominik.modest@charite.de.&lt;/_author_adr&gt;&lt;_date_display&gt;2023 Sep&lt;/_date_display&gt;&lt;_date&gt;2023-09-01&lt;/_date&gt;&lt;_doi&gt;10.1016/j.ejca.2023.112955&lt;/_doi&gt;&lt;_isbn&gt;1879-0852 (Electronic); 0959-8049 (Linking)&lt;/_isbn&gt;&lt;_journal&gt;Eur J Cancer&lt;/_journal&gt;&lt;_keywords&gt;Anti-EGFR therapy; First-line treatment; Health-related quality of life; Metastatic colorectal cancer; Patient-reported outcomes; RAS wild-type&lt;/_keywords&gt;&lt;_language&gt;eng&lt;/_language&gt;&lt;_ori_publication&gt;Copyright © 2023 Elsevier Ltd. All rights reserved.&lt;/_ori_publication&gt;&lt;_pages&gt;112955&lt;/_pages&gt;&lt;_subject_headings&gt;Humans; Panitumumab; Leucovorin/therapeutic use; Quality of Life; *Colorectal Neoplasms/drug therapy/genetics/pathology; Fluorouracil/therapeutic use; *Colonic Neoplasms; *Rectal Neoplasms; Antineoplastic Combined Chemotherapy Protocols/therapeutic use&lt;/_subject_headings&gt;&lt;_tertiary_title&gt;European journal of cancer (Oxford, England : 1990)&lt;/_tertiary_title&gt;&lt;_type_work&gt;Journal Article; Randomized Controlled Trial; Research Support, Non-U.S. Gov&amp;apos;t&lt;/_type_work&gt;&lt;_url&gt;http://www.ncbi.nlm.nih.gov/entrez/query.fcgi?cmd=Retrieve&amp;amp;db=pubmed&amp;amp;dopt=Abstract&amp;amp;list_uids=37454537&amp;amp;query_hl=1&lt;/_url&gt;&lt;_volume&gt;190&lt;/_volume&gt;&lt;_created&gt;65020956&lt;/_created&gt;&lt;_modified&gt;65020956&lt;/_modified&gt;&lt;_impact_factor&gt;  10.002&lt;/_impact_factor&gt;&lt;_social_category&gt;医学(1)&lt;/_social_category&gt;&lt;_collection_scope&gt;SCIE&lt;/_collection_scope&gt;&lt;/Details&gt;&lt;Extra&gt;&lt;DBUID&gt;{F96A950B-833F-4880-A151-76DA2D6A2879}&lt;/DBUID&gt;&lt;/Extra&gt;&lt;/Item&gt;&lt;/References&gt;&lt;/Group&gt;&lt;Group&gt;&lt;References&gt;&lt;Item&gt;&lt;ID&gt;4692&lt;/ID&gt;&lt;UID&gt;{77298474-DFB0-498C-A536-A991B35D80AE}&lt;/UID&gt;&lt;Title&gt;Final results from a randomized phase 3 study of FOLFIRI {+/-} panitumumab for  second-line treatment of metastatic colorectal cancer&lt;/Title&gt;&lt;Template&gt;Journal Article&lt;/Template&gt;&lt;Star&gt;0&lt;/Star&gt;&lt;Tag&gt;0&lt;/Tag&gt;&lt;Author&gt;Peeters, M; Price, T J; Cervantes, A; Sobrero, A F; Ducreux, M; Hotko, Y; André, T; Chan, E; Lordick, F; Punt, C J; Strickland, A H; Wilson, G; Ciuleanu, T E; Roman, L; Van Cutsem, E; Tian, Y; Sidhu, R&lt;/Author&gt;&lt;Year&gt;2014&lt;/Year&gt;&lt;Details&gt;&lt;_accession_num&gt;24356622&lt;/_accession_num&gt;&lt;_author_adr&gt;Department of Oncology, University Hospital Antwerp, Antwerp, Belgium.&lt;/_author_adr&gt;&lt;_date_display&gt;2014 Jan&lt;/_date_display&gt;&lt;_date&gt;2014-01-01&lt;/_date&gt;&lt;_doi&gt;10.1093/annonc/mdt523&lt;/_doi&gt;&lt;_isbn&gt;1569-8041 (Electronic); 0923-7534 (Linking)&lt;/_isbn&gt;&lt;_issue&gt;1&lt;/_issue&gt;&lt;_journal&gt;Ann Oncol&lt;/_journal&gt;&lt;_keywords&gt;FOLFIRI; antibody; chemotherapy; metastatic colorectal cancer; panitumumab&lt;/_keywords&gt;&lt;_language&gt;eng&lt;/_language&gt;&lt;_pages&gt;107-16&lt;/_pages&gt;&lt;_subject_headings&gt;Adult; Aged; Aged, 80 and over; Antibodies, Monoclonal/administration &amp;amp; dosage; Antineoplastic Combined Chemotherapy Protocols/adverse effects/*therapeutic use; Camptothecin/adverse effects/*analogs &amp;amp; derivatives/therapeutic use; Colorectal Neoplasms/*drug therapy/mortality/pathology; Disease-Free Survival; Female; Fluorouracil/adverse effects/therapeutic use; Humans; Kaplan-Meier Estimate; Leucovorin/adverse effects/therapeutic use; Liver Neoplasms/*drug therapy/mortality/secondary; Male; Middle Aged; Panitumumab; Quality of Life; Skin Diseases/chemically induced; Treatment Outcome&lt;/_subject_headings&gt;&lt;_tertiary_title&gt;Annals of oncology : official journal of the European Society for Medical _x000d__x000a_      Oncology&lt;/_tertiary_title&gt;&lt;_type_work&gt;Clinical Trial, Phase III; Comparative Study; Journal Article; Randomized Controlled Trial; Research Support, Non-U.S. Gov&amp;apos;t&lt;/_type_work&gt;&lt;_url&gt;http://www.ncbi.nlm.nih.gov/entrez/query.fcgi?cmd=Retrieve&amp;amp;db=pubmed&amp;amp;dopt=Abstract&amp;amp;list_uids=24356622&amp;amp;query_hl=1&lt;/_url&gt;&lt;_volume&gt;25&lt;/_volume&gt;&lt;_created&gt;65020956&lt;/_created&gt;&lt;_modified&gt;65020956&lt;/_modified&gt;&lt;_impact_factor&gt;  51.769&lt;/_impact_factor&gt;&lt;_social_category&gt;医学(1)&lt;/_social_category&gt;&lt;_collection_scope&gt;SCIE&lt;/_collection_scope&gt;&lt;/Details&gt;&lt;Extra&gt;&lt;DBUID&gt;{F96A950B-833F-4880-A151-76DA2D6A2879}&lt;/DBUID&gt;&lt;/Extra&gt;&lt;/Item&gt;&lt;/References&gt;&lt;/Group&gt;&lt;Group&gt;&lt;References&gt;&lt;Item&gt;&lt;ID&gt;4693&lt;/ID&gt;&lt;UID&gt;{F9D175A2-FE90-4E73-A434-3DA13FBBE032}&lt;/UID&gt;&lt;Title&gt;Panitumumab and irinotecan versus irinotecan alone for patients with KRAS  wild-type, fluorouracil-resistant advanced colorectal cancer (PICCOLO): a  prospectively stratified randomised trial&lt;/Title&gt;&lt;Template&gt;Journal Article&lt;/Template&gt;&lt;Star&gt;0&lt;/Star&gt;&lt;Tag&gt;0&lt;/Tag&gt;&lt;Author&gt;Seymour, M T; Brown, S R; Middleton, G; Maughan, T; Richman, S; Gwyther, S; Lowe, C; Seligmann, J F; Wadsley, J; Maisey, N; Chau, I; Hill, M; Dawson, L; Falk, S; O&amp;apos;Callaghan, A; Benstead, K; Chambers, P; Oliver, A; Marshall, H; Napp, V; Quirke, P&lt;/Author&gt;&lt;Year&gt;2013&lt;/Year&gt;&lt;Details&gt;&lt;_accession_num&gt;23725851&lt;/_accession_num&gt;&lt;_author_adr&gt;Cancer Medicine and Pathology, University of Leeds, Leeds, UK.  m.seymour@ncrn.org.uk&lt;/_author_adr&gt;&lt;_date_display&gt;2013 Jul&lt;/_date_display&gt;&lt;_date&gt;2013-07-01&lt;/_date&gt;&lt;_doi&gt;10.1016/S1470-2045(13)70163-3&lt;/_doi&gt;&lt;_isbn&gt;1474-5488 (Electronic); 1470-2045 (Print); 1470-2045 (Linking)&lt;/_isbn&gt;&lt;_issue&gt;8&lt;/_issue&gt;&lt;_journal&gt;Lancet Oncol&lt;/_journal&gt;&lt;_language&gt;eng&lt;/_language&gt;&lt;_ori_publication&gt;Copyright © 2013 Elsevier Ltd. All rights reserved.&lt;/_ori_publication&gt;&lt;_pages&gt;749-59&lt;/_pages&gt;&lt;_subject_headings&gt;Aged; Antibodies, Monoclonal/administration &amp;amp; dosage; Antimetabolites, Antineoplastic/*therapeutic use; Antineoplastic Agents/administration &amp;amp; dosage/adverse effects/*therapeutic use; Antineoplastic Combined Chemotherapy Protocols/adverse effects/*therapeutic use; Camptothecin/administration &amp;amp; dosage/adverse effects/*analogs &amp;amp; _x000d__x000a_      derivatives/therapeutic use; Chi-Square Distribution; Colorectal Neoplasms/*drug therapy/enzymology/genetics/mortality/pathology; DNA Mutational Analysis; Disease-Free Survival; Drug Administration Schedule; Drug Resistance, Neoplasm/*genetics; ErbB Receptors/antagonists &amp;amp; inhibitors/metabolism; Female; Fluorouracil/*therapeutic use; Humans; Irinotecan; Male; Middle Aged; Mutation; Panitumumab; Proportional Hazards Models; Prospective Studies; Proto-Oncogene Proteins/*genetics; Proto-Oncogene Proteins p21(ras); Time Factors; Treatment Outcome; United Kingdom; ras Proteins/*genetics&lt;/_subject_headings&gt;&lt;_tertiary_title&gt;The Lancet. Oncology&lt;/_tertiary_title&gt;&lt;_type_work&gt;Comparative Study; Journal Article; Multicenter Study; Randomized Controlled Trial; Research Support, Non-U.S. Gov&amp;apos;t&lt;/_type_work&gt;&lt;_url&gt;http://www.ncbi.nlm.nih.gov/entrez/query.fcgi?cmd=Retrieve&amp;amp;db=pubmed&amp;amp;dopt=Abstract&amp;amp;list_uids=23725851&amp;amp;query_hl=1&lt;/_url&gt;&lt;_volume&gt;14&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Group&gt;&lt;References&gt;&lt;Item&gt;&lt;ID&gt;4702&lt;/ID&gt;&lt;UID&gt;{2E72E0E8-94E8-4A80-821D-EB5CAB6FC7AA}&lt;/UID&gt;&lt;Title&gt;Health-Related Quality of Life Analysis in Metastatic Colorectal Cancer Patients  Treated by Second-Line Chemotherapy, Associated With Either Cetuximab or  Bevacizumab: The PRODIGE 18 Randomized Phase II Study&lt;/Title&gt;&lt;Template&gt;Journal Article&lt;/Template&gt;&lt;Star&gt;0&lt;/Star&gt;&lt;Tag&gt;0&lt;/Tag&gt;&lt;Author&gt;Bertaut, A; Touchefeu, Y; Blanc, J; Bouché, O; François, E; Conroy, T; Artru, P; Adenis, A; Gobbo, J; Borg, C; Ghiringhelli, F; Bennouna, J&lt;/Author&gt;&lt;Year&gt;2022&lt;/Year&gt;&lt;Details&gt;&lt;_accession_num&gt;34838460&lt;/_accession_num&gt;&lt;_author_adr&gt;Methodology and Biostatistics Unit, Georges-Francois Leclerc Cancer Center,  Dijon, France. Electronic address: abertaut@cgfl.fr.; Department of Hepatogastroenterology, Digestive Oncology, Nantes Universitary  Hospital, Nantes, France.; Methodology and Biostatistics Unit, Georges-Francois Leclerc Cancer Center,  Dijon, France.; Universitary hospital Robert Debré, Reims, France.; Department of Medical Oncology, Antoine-Lacassagne Cancer Center, Nice, France.; Lorraine cancer center, Vandoeuvre-Lès Nancy, France.; Hospital Jean Mermoz, Lyon, France.; Department of Medical Oncology, Montpellier cancer center, Montpellier, France.; Department of Medical Oncology, Georges-Francois Leclerc Cancer Center, Dijon,  France.; Department of Medical Oncology, Universitary hospital of Besançon, Besançon,  France.; Department of Medical Oncology, Georges-Francois Leclerc Cancer Center, Dijon,  France.; Medical Oncology Department, Hopital Foch, 40 rue Worth, 92150, Suresnes, france.&lt;/_author_adr&gt;&lt;_date_display&gt;2022 Jun&lt;/_date_display&gt;&lt;_date&gt;2022-06-01&lt;/_date&gt;&lt;_doi&gt;10.1016/j.clcc.2021.09.001&lt;/_doi&gt;&lt;_isbn&gt;1938-0674 (Electronic); 1533-0028 (Linking)&lt;/_isbn&gt;&lt;_issue&gt;2&lt;/_issue&gt;&lt;_journal&gt;Clin Colorectal Cancer&lt;/_journal&gt;&lt;_keywords&gt;Bevacizumab; Cetuximab; Health-related quality of life; Metastatic colorectal cancer; PRODIGE18; Second line treatment; Treatment selection&lt;/_keywords&gt;&lt;_language&gt;eng&lt;/_language&gt;&lt;_ori_publication&gt;Copyright © 2021. Published by Elsevier Inc.&lt;/_ori_publication&gt;&lt;_pages&gt;e49-e61&lt;/_pages&gt;&lt;_subject_headings&gt;Antineoplastic Combined Chemotherapy Protocols/adverse effects; Bevacizumab; Cetuximab; *Colonic Neoplasms/drug therapy; *Colorectal Neoplasms/pathology; Diarrhea/chemically induced; Humans; Quality of Life; *Rectal Neoplasms/drug therapy&lt;/_subject_headings&gt;&lt;_tertiary_title&gt;Clinical colorectal cancer&lt;/_tertiary_title&gt;&lt;_type_work&gt;Clinical Trial, Phase II; Journal Article; Randomized Controlled Trial&lt;/_type_work&gt;&lt;_url&gt;http://www.ncbi.nlm.nih.gov/entrez/query.fcgi?cmd=Retrieve&amp;amp;db=pubmed&amp;amp;dopt=Abstract&amp;amp;list_uids=34838460&amp;amp;query_hl=1&lt;/_url&gt;&lt;_volume&gt;21&lt;/_volume&gt;&lt;_created&gt;65020956&lt;/_created&gt;&lt;_modified&gt;65020956&lt;/_modified&gt;&lt;_impact_factor&gt;   4.035&lt;/_impact_factor&gt;&lt;_social_category&gt;医学(2)&lt;/_social_category&gt;&lt;_collection_scope&gt;SCIE&lt;/_collection_scope&gt;&lt;/Details&gt;&lt;Extra&gt;&lt;DBUID&gt;{F96A950B-833F-4880-A151-76DA2D6A2879}&lt;/DBUID&gt;&lt;/Extra&gt;&lt;/Item&gt;&lt;/References&gt;&lt;/Group&gt;&lt;Group&gt;&lt;References&gt;&lt;Item&gt;&lt;ID&gt;4705&lt;/ID&gt;&lt;UID&gt;{000E02BA-CBC1-4F49-95F0-2DF95A40229B}&lt;/UID&gt;&lt;Title&gt;Health-related quality of life in patients with RAS wild-type metastatic  colorectal cancer treated with panitumumab-based first-line treatment strategy: A  pre-specified secondary analysis of the Valentino study&lt;/Title&gt;&lt;Template&gt;Journal Article&lt;/Template&gt;&lt;Star&gt;0&lt;/Star&gt;&lt;Tag&gt;0&lt;/Tag&gt;&lt;Author&gt;Raimondi, A; Di Maio, M; Morano, F; Corallo, S; Lonardi, S; Antoniotti, C; Rimassa, L; Sartore-Bianchi, A; Tampellini, M; Ritorto, G; Murialdo, R; Clavarezza, M; Zaniboni, A; Adamo, V; Tomasello, G; Petrelli, F; Antonuzzo, L; Giordano, M; Cinieri, S; Longarini, R; Bergamo, F; Niger, M; Antista, M; Peverelli, G; de Braud, F; Di Bartolomeo, M; Pietrantonio, F&lt;/Author&gt;&lt;Year&gt;2020&lt;/Year&gt;&lt;Details&gt;&lt;_accession_num&gt;32623288&lt;/_accession_num&gt;&lt;_author_adr&gt;Department of Medical Oncology, Fondazione IRCCS Istituto Nazionale Dei Tumori,  Milan, Italy.; Department of Oncology, University of Turin, Ordine Mauriziano Hospital, Torino,  Italy.; Department of Medical Oncology, Fondazione IRCCS Istituto Nazionale Dei Tumori,  Milan, Italy.; Department of Medical Oncology, Fondazione IRCCS Istituto Nazionale Dei Tumori,  Milan, Italy.; Medical Oncology Unit 1, Department of Oncology, Istituto Oncologico Veneto -  IRCCS, Padua, Italy.; Unit of Medical Oncology, Azienda Ospedaliero-Universitaria Pisana, Department of  Translational Research and New Technologies in Medicine, University of Pisa,  Pisa, Italy.; Medical Oncology and Hematology Unit, Humanitas Cancer Center, Humanitas Clinical  and Research Center - IRCCS, Rozzano, Italy.; Niguarda Cancer Center, Grande Ospedale Metropolitano Niguarda, Milan, Italy;  Oncology and Hemato-oncology Department, University of Milan, Milan, Italy.; Department of Oncology, AOU San Luigi di Orbassano, University of Torino,  Orbassano, Italy.; Colorectal Cancer Unit, Medical Oncology Division 1, Azienda  Ospedaliero-Universitaria Città Della Salute e Della Scienza, Torino, Italy.; Department of Internal Medicine, University of Genoa and IRCCS AOU San  Martino-IST, Genoa, Italy.; Medical Oncology Unit, Ente Ospedaliero Ospedali Galliera, Genoa, Italy.; Medical Oncology Unit, Fondazione Poliambulanza, Brescia, Italy.; Medical Oncology Unit A.O. Papardo &amp;amp; Department of Human Pathology, University of  Messina, Messina, Italy.; Medical Oncology Unit, ASST Ospedale di Cremona, Cremona, Italy.; Medical Oncology Unit, Oncology Department, ASST Bergamo Ovest, Treviglio, Italy.; Department of Medical Oncology, Oncology Unit, AOU Careggi, Florence, Italy.; Medical Oncology Unit, Azienda Socio Sanitaria Territoriale Lariana, Como, Italy.; Medical Oncology Unit, Ospedale Antonio Perrino, Brindisi, Italy.; Medical Oncology Unit, Azienda Ospedaliera San Gerardo, Monza, Italy.; Medical Oncology Unit 1, Department of Oncology, Istituto Oncologico Veneto -  IRCCS, Padua, Italy.; Department of Medical Oncology, Fondazione IRCCS Istituto Nazionale Dei Tumori,  Milan, Italy.; Department of Medical Oncology, Fondazione IRCCS Istituto Nazionale Dei Tumori,  Milan, Italy.; Department of Medical Oncology, Fondazione IRCCS Istituto Nazionale Dei Tumori,  Milan, Italy.; Department of Medical Oncology, Fondazione IRCCS Istituto Nazionale Dei Tumori,  Milan, Italy; Oncology and Hemato-oncology Department, University of Milan,  Milan, Italy.; Department of Medical Oncology, Fondazione IRCCS Istituto Nazionale Dei Tumori,  Milan, Italy.; Department of Medical Oncology, Fondazione IRCCS Istituto Nazionale Dei Tumori,  Milan, Italy; Oncology and Hemato-oncology Department, University of Milan,  Milan, Italy. Electronic address: filippo.pietrantonio@istitutotumori.mi.it.&lt;/_author_adr&gt;&lt;_date_display&gt;2020 Aug&lt;/_date_display&gt;&lt;_date&gt;2020-08-01&lt;/_date&gt;&lt;_doi&gt;10.1016/j.ejca.2020.04.048&lt;/_doi&gt;&lt;_isbn&gt;1879-0852 (Electronic); 0959-8049 (Linking)&lt;/_isbn&gt;&lt;_journal&gt;Eur J Cancer&lt;/_journal&gt;&lt;_keywords&gt;Anti-EGFR therapy; First-line treatment; Metastatic colorectal cancer; Patient-reported outcomes; Quality of life; RAS wild-type&lt;/_keywords&gt;&lt;_language&gt;eng&lt;/_language&gt;&lt;_ori_publication&gt;Copyright © 2020 Elsevier Ltd. All rights reserved.&lt;/_ori_publication&gt;&lt;_pages&gt;230-239&lt;/_pages&gt;&lt;_subject_headings&gt;Aged; Antineoplastic Agents, Immunological/*administration &amp;amp; dosage/adverse effects; Antineoplastic Combined Chemotherapy Protocols/administration &amp;amp; dosage; Biomarkers, Tumor/*genetics; Colorectal Neoplasms/*drug therapy/genetics/pathology; Female; Fluorouracil/administration &amp;amp; dosage; *Genes, ras; Humans; Italy; Leucovorin/administration &amp;amp; dosage; Male; Middle Aged; *Mutation; Neoplasm Metastasis; Organoplatinum Compounds/administration &amp;amp; dosage; Panitumumab/*administration &amp;amp; dosage/adverse effects; Patient Reported Outcome Measures; Progression-Free Survival; *Quality of Life; Time Factors&lt;/_subject_headings&gt;&lt;_tertiary_title&gt;European journal of cancer (Oxford, England : 1990)&lt;/_tertiary_title&gt;&lt;_type_work&gt;Clinical Trial, Phase II; Comparative Study; Equivalence Trial; Journal Article; Multicenter Study; Research Support, Non-U.S. Gov&amp;apos;t&lt;/_type_work&gt;&lt;_url&gt;http://www.ncbi.nlm.nih.gov/entrez/query.fcgi?cmd=Retrieve&amp;amp;db=pubmed&amp;amp;dopt=Abstract&amp;amp;list_uids=32623288&amp;amp;query_hl=1&lt;/_url&gt;&lt;_volume&gt;135&lt;/_volume&gt;&lt;_created&gt;65020956&lt;/_created&gt;&lt;_modified&gt;65020956&lt;/_modified&gt;&lt;_impact_factor&gt;  10.002&lt;/_impact_factor&gt;&lt;_social_category&gt;医学(1)&lt;/_social_category&gt;&lt;_collection_scope&gt;SCIE&lt;/_collection_scope&gt;&lt;/Details&gt;&lt;Extra&gt;&lt;DBUID&gt;{F96A950B-833F-4880-A151-76DA2D6A2879}&lt;/DBUID&gt;&lt;/Extra&gt;&lt;/Item&gt;&lt;/References&gt;&lt;/Group&gt;&lt;Group&gt;&lt;References&gt;&lt;Item&gt;&lt;ID&gt;4725&lt;/ID&gt;&lt;UID&gt;{3E743D09-8446-46E9-82BD-1260428B4093}&lt;/UID&gt;&lt;Title&gt;S-1 plus oxaliplatin versus capecitabine plus oxaliplatin for first-line  treatment of patients with metastatic colorectal cancer: a randomised,  non-inferiority phase 3 trial&lt;/Title&gt;&lt;Template&gt;Journal Article&lt;/Template&gt;&lt;Star&gt;0&lt;/Star&gt;&lt;Tag&gt;0&lt;/Tag&gt;&lt;Author&gt;Hong, Y S; Park, Y S; Lim, H Y; Lee, J; Kim, T W; Kim, K P; Kim, S Y; Baek, J Y; Kim, J H; Lee, K W; Chung, I J; Cho, S H; Lee, K H; Shin, S J; Kang, H J; Shin, D B; Jo, S J; Lee, J W&lt;/Author&gt;&lt;Year&gt;2012&lt;/Year&gt;&lt;Details&gt;&lt;_accession_num&gt;23062232&lt;/_accession_num&gt;&lt;_author_adr&gt;Department of Oncology, Asan Medical Centre, University of Ulsan College of  Medicine, Seoul, South Korea.&lt;/_author_adr&gt;&lt;_date_display&gt;2012 Nov&lt;/_date_display&gt;&lt;_date&gt;2012-11-01&lt;/_date&gt;&lt;_doi&gt;10.1016/S1470-2045(12)70363-7&lt;/_doi&gt;&lt;_isbn&gt;1474-5488 (Electronic); 1470-2045 (Linking)&lt;/_isbn&gt;&lt;_issue&gt;11&lt;/_issue&gt;&lt;_journal&gt;Lancet Oncol&lt;/_journal&gt;&lt;_language&gt;eng&lt;/_language&gt;&lt;_ori_publication&gt;Copyright © 2012 Elsevier Ltd. All rights reserved.&lt;/_ori_publication&gt;&lt;_pages&gt;1125-32&lt;/_pages&gt;&lt;_subject_headings&gt;Aged; *Antineoplastic Combined Chemotherapy Protocols/administration &amp;amp; dosage/adverse _x000d__x000a_      effects; Capecitabine; Colorectal Neoplasms/*drug therapy/pathology/secondary; Deoxycytidine/administration &amp;amp; dosage/adverse effects/*analogs &amp;amp; derivatives; Disease-Free Survival; Drug Combinations; Female; Fluorouracil/administration &amp;amp; dosage/adverse effects/*analogs &amp;amp; derivatives; Humans; Kaplan-Meier Estimate; Male; Middle Aged; *Organoplatinum Compounds/administration &amp;amp; dosage/adverse effects; Oxaliplatin; *Oxonic Acid/administration &amp;amp; dosage/adverse effects; Republic of Korea; *Tegafur/administration &amp;amp; dosage/adverse effects&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23062232&amp;amp;query_hl=1&lt;/_url&gt;&lt;_volume&gt;13&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Group&gt;&lt;References&gt;&lt;Item&gt;&lt;ID&gt;4713&lt;/ID&gt;&lt;UID&gt;{0871A122-C944-4D87-83C0-BFA3F45CC4A3}&lt;/UID&gt;&lt;Title&gt;Randomized phase II study of capecitabine with or without oxaliplatin as  first-line treatment for elderly or fragile patients with metastatic colorectal  cancer: a prospective, multicenter trial of the Korean Cancer Study Group  CO06-01&lt;/Title&gt;&lt;Template&gt;Journal Article&lt;/Template&gt;&lt;Star&gt;0&lt;/Star&gt;&lt;Tag&gt;0&lt;/Tag&gt;&lt;Author&gt;Hong, Y S; Jung, K H; Kim, H J; Kim, K P; Kim, S Y; Lee, J L; Shim, B Y; Zang, D Y; Kim, J H; Ahn, J B; Park, Y S; Kim, T W&lt;/Author&gt;&lt;Year&gt;2013&lt;/Year&gt;&lt;Details&gt;&lt;_accession_num&gt;22868243&lt;/_accession_num&gt;&lt;_author_adr&gt;*Center for Colorectal Cancer, Research Institute and Hospital, National Cancer  Center, Goyang †Department of Clinical Epidemiology and Biostatistics ‡Department  of Oncology, Asan Medical Center, University of Ulsan College of Medicine, Seoul  §Department of Internal Medicine, St. Vincent&amp;apos;s Hospital, Catholic University  College of Medicine, Suwon ∥Department of Internal Medicine, Hallym University  Medical Center, Hallym University College of Medicine, Anyang ¶Department of  Internal Medicine, Division of Hematology and Medical Oncology, Seoul National  University Bundang Hospital, Seoul National University College of Medicine,  Seongnam #Department of Internal Medicine, Cancer Metastasis Research Center,  Yonsei Cancer Center, Yonsei University College of Medicine **Department of  Internal Medicine, Samsung Medical Center, Division of Hematology-Oncology,  Sungkyunkwan University School of Medicine, Seoul, Korea.&lt;/_author_adr&gt;&lt;_date_display&gt;2013 Dec&lt;/_date_display&gt;&lt;_date&gt;2013-12-01&lt;/_date&gt;&lt;_doi&gt;10.1097/COC.0b013e31825d52d5&lt;/_doi&gt;&lt;_isbn&gt;1537-453X (Electronic); 0277-3732 (Linking)&lt;/_isbn&gt;&lt;_issue&gt;6&lt;/_issue&gt;&lt;_journal&gt;Am J Clin Oncol&lt;/_journal&gt;&lt;_language&gt;eng&lt;/_language&gt;&lt;_pages&gt;565-71&lt;/_pages&gt;&lt;_subject_headings&gt;Aged; Aged, 80 and over; Antineoplastic Combined Chemotherapy Protocols/*therapeutic use; Asian People; Capecitabine; Colorectal Neoplasms/*drug therapy/*pathology; Deoxycytidine/administration &amp;amp; dosage/adverse effects/*analogs &amp;amp; _x000d__x000a_      derivatives/therapeutic use; Disease-Free Survival; Drug Administration Schedule; Female; Fluorouracil/administration &amp;amp; dosage/adverse effects/*analogs &amp;amp; _x000d__x000a_      derivatives/therapeutic use; Humans; Male; Organoplatinum Compounds/administration &amp;amp; dosage/adverse effects/*therapeutic use; Oxaliplatin; Prospective Studies; Quality of Life; Treatment Outcome&lt;/_subject_headings&gt;&lt;_tertiary_title&gt;American journal of clinical oncology&lt;/_tertiary_title&gt;&lt;_type_work&gt;Clinical Trial, Phase II; Journal Article; Multicenter Study; Randomized Controlled Trial; Research Support, Non-U.S. Gov&amp;apos;t&lt;/_type_work&gt;&lt;_url&gt;http://www.ncbi.nlm.nih.gov/entrez/query.fcgi?cmd=Retrieve&amp;amp;db=pubmed&amp;amp;dopt=Abstract&amp;amp;list_uids=22868243&amp;amp;query_hl=1&lt;/_url&gt;&lt;_volume&gt;36&lt;/_volume&gt;&lt;_created&gt;65020956&lt;/_created&gt;&lt;_modified&gt;65020956&lt;/_modified&gt;&lt;_impact_factor&gt;   2.787&lt;/_impact_factor&gt;&lt;_social_category&gt;医学(4)&lt;/_social_category&gt;&lt;_collection_scope&gt;SCIE&lt;/_collection_scope&gt;&lt;/Details&gt;&lt;Extra&gt;&lt;DBUID&gt;{F96A950B-833F-4880-A151-76DA2D6A2879}&lt;/DBUID&gt;&lt;/Extra&gt;&lt;/Item&gt;&lt;/References&gt;&lt;/Group&gt;&lt;Group&gt;&lt;References&gt;&lt;Item&gt;&lt;ID&gt;4708&lt;/ID&gt;&lt;UID&gt;{5534BA36-B6BC-4706-AAA3-839309F6E05D}&lt;/UID&gt;&lt;Title&gt;REVERCE: a randomized phase II study of regorafenib followed by cetuximab versus  the reverse sequence for previously treated metastatic colorectal cancer  patients&lt;/Title&gt;&lt;Template&gt;Journal Article&lt;/Template&gt;&lt;Star&gt;0&lt;/Star&gt;&lt;Tag&gt;0&lt;/Tag&gt;&lt;Author&gt;Shitara, K; Yamanaka, T; Denda, T; Tsuji, Y; Shinozaki, K; Komatsu, Y; Kobayashi, Y; Furuse, J; Okuda, H; Asayama, M; Akiyoshi, K; Kagawa, Y; Kato, T; Oki, E; Ando, T; Hagiwara, Y; Ohashi, Y; Yoshino, T&lt;/Author&gt;&lt;Year&gt;2019&lt;/Year&gt;&lt;Details&gt;&lt;_accession_num&gt;30508156&lt;/_accession_num&gt;&lt;_author_adr&gt;Department of Gastroenterology and Gastrointestinal Oncology, National Cancer  Center Hospital East, Kashiwa, Japan.; Department of Biostatistics, Yokohama City University School of Medicine,  Yokohama, Japan.; Division of Gastroenterology, Chiba Cancer Center, Chiba, Japan.; Department of Medical Oncology, Tonan Hospital, Sapporo, Japan.; Division of Clinical Oncology, Hiroshima Prefectural Hospital, Hiroshima, Japan.; Division of Cancer Chemotherapy, Hokkaido University Hospital Cancer Center,  Sapporo, Japan.; Department of Medical Oncology, Kushiro Rosai Hospital, Kushiro, Japan.; Department of Medical Oncology, Kyorin University Faculty of Medicine, Tokyo,  Japan.; Department of Medical Oncology, Keiyukai Sapporo Hospital, Sapporo, Japan.; Department of Gastroenterology, Saitama Cancer Center, Saitama, Japan.; Department of Clinical Oncology, Osaka City General Hospital, Osaka, Japan.; Department of Surgery, Kansai Rosa Hospital, Amagasaki, Japan.; Department of Surgery, National Hospital Organization Osaka National Hospital,  Osaka, Japan.; Department of Surgery and Science, Graduate School of Medical Sciences, Kyushu  University, Fukuoka, Japan.; School of Medicine, University of Tsukuba, Tsukuba, Japan.; Department of Biostatistics, School of Public Health, The University of Tokyo,  Tokyo, Japan.; Department of Integrated Science and Engineering for Sustainable Society, Faculty  of Science and Engineering, Chuo University, Tokyo, Japan.; Department of Gastroenterology and Gastrointestinal Oncology, National Cancer  Center Hospital East, Kashiwa, Japan. Electronic address:  tyoshino@east.ncc.go.jp.&lt;/_author_adr&gt;&lt;_date_display&gt;2019 Feb 1&lt;/_date_display&gt;&lt;_date&gt;2019-02-01&lt;/_date&gt;&lt;_doi&gt;10.1093/annonc/mdy526&lt;/_doi&gt;&lt;_isbn&gt;1569-8041 (Electronic); 0923-7534 (Linking)&lt;/_isbn&gt;&lt;_issue&gt;2&lt;/_issue&gt;&lt;_journal&gt;Ann Oncol&lt;/_journal&gt;&lt;_keywords&gt;cetuximab; colorectal cancer; liquid biomarkers; randomized phase II; regorafenib&lt;/_keywords&gt;&lt;_language&gt;eng&lt;/_language&gt;&lt;_ori_publication&gt;© The Author(s) 2018. Published by Oxford University Press on behalf of the _x000d__x000a_      European Society for Medical Oncology. All rights reserved. For permissions, _x000d__x000a_      please email: journals.permissions@oup.com.&lt;/_ori_publication&gt;&lt;_pages&gt;259-265&lt;/_pages&gt;&lt;_subject_headings&gt;Adenocarcinoma/*drug therapy/secondary; Aged; Antineoplastic Combined Chemotherapy Protocols/*therapeutic use; Cetuximab/administration &amp;amp; dosage; Colorectal Neoplasms/*drug therapy/pathology; Female; Follow-Up Studies; Humans; Male; Middle Aged; Neoplasm Recurrence, Local/*drug therapy/pathology; Phenylurea Compounds/administration &amp;amp; dosage; Prognosis; Pyridines/administration &amp;amp; dosage; Survival Rate&lt;/_subject_headings&gt;&lt;_tertiary_title&gt;Annals of oncology : official journal of the European Society for Medical _x000d__x000a_      Oncology&lt;/_tertiary_title&gt;&lt;_type_work&gt;Clinical Trial, Phase II; Comparative Study; Journal Article; Randomized Controlled Trial; Research Support, Non-U.S. Gov&amp;apos;t&lt;/_type_work&gt;&lt;_url&gt;http://www.ncbi.nlm.nih.gov/entrez/query.fcgi?cmd=Retrieve&amp;amp;db=pubmed&amp;amp;dopt=Abstract&amp;amp;list_uids=30508156&amp;amp;query_hl=1&lt;/_url&gt;&lt;_volume&gt;30&lt;/_volume&gt;&lt;_created&gt;65020956&lt;/_created&gt;&lt;_modified&gt;65020956&lt;/_modified&gt;&lt;_impact_factor&gt;  51.769&lt;/_impact_factor&gt;&lt;_social_category&gt;医学(1)&lt;/_social_category&gt;&lt;_collection_scope&gt;SCIE&lt;/_collection_scope&gt;&lt;/Details&gt;&lt;Extra&gt;&lt;DBUID&gt;{F96A950B-833F-4880-A151-76DA2D6A2879}&lt;/DBUID&gt;&lt;/Extra&gt;&lt;/Item&gt;&lt;/References&gt;&lt;/Group&gt;&lt;Group&gt;&lt;References&gt;&lt;Item&gt;&lt;ID&gt;4714&lt;/ID&gt;&lt;UID&gt;{6A6C03BB-AA9D-4B90-98B0-5D8222C94A4C}&lt;/UID&gt;&lt;Title&gt;Health-related quality of life in patients with metastatic colorectal cancer  treated with panitumumab in first- or second-line treatment&lt;/Title&gt;&lt;Template&gt;Journal Article&lt;/Template&gt;&lt;Star&gt;0&lt;/Star&gt;&lt;Tag&gt;0&lt;/Tag&gt;&lt;Author&gt;Bennett, L; Zhao, Z; Barber, B; Zhou, X; Peeters, M; Zhang, J; Xu, F; Wiezorek, J; Douillard, J Y&lt;/Author&gt;&lt;Year&gt;2011&lt;/Year&gt;&lt;Details&gt;&lt;_accession_num&gt;21989186&lt;/_accession_num&gt;&lt;_author_adr&gt;RTI Health Solutions, 3040 East Cornwallis Road, Post Office Box 12194, Research  Triangle Park, NC 22709-2194, USA.&lt;/_author_adr&gt;&lt;_date_display&gt;2011 Nov 8&lt;/_date_display&gt;&lt;_date&gt;2011-11-08&lt;/_date&gt;&lt;_doi&gt;10.1038/bjc.2011.409&lt;/_doi&gt;&lt;_isbn&gt;1532-1827 (Electronic); 0007-0920 (Print); 0007-0920 (Linking)&lt;/_isbn&gt;&lt;_issue&gt;10&lt;/_issue&gt;&lt;_journal&gt;Br J Cancer&lt;/_journal&gt;&lt;_language&gt;eng&lt;/_language&gt;&lt;_ori_publication&gt;2011 Cancer Research UK&lt;/_ori_publication&gt;&lt;_pages&gt;1495-502&lt;/_pages&gt;&lt;_subject_headings&gt;Antibodies, Monoclonal/*therapeutic use; Antineoplastic Agents/*therapeutic use; Colorectal Neoplasms/drug therapy/pathology/*physiopathology; Female; Humans; Male; Middle Aged; Neoplasm Metastasis; Panitumumab; *Quality of Life&lt;/_subject_headings&gt;&lt;_tertiary_title&gt;British journal of cancer&lt;/_tertiary_title&gt;&lt;_type_work&gt;Journal Article; Randomized Controlled Trial; Research Support, Non-U.S. Gov&amp;apos;t&lt;/_type_work&gt;&lt;_url&gt;http://www.ncbi.nlm.nih.gov/entrez/query.fcgi?cmd=Retrieve&amp;amp;db=pubmed&amp;amp;dopt=Abstract&amp;amp;list_uids=21989186&amp;amp;query_hl=1&lt;/_url&gt;&lt;_volume&gt;105&lt;/_volume&gt;&lt;_created&gt;65020956&lt;/_created&gt;&lt;_modified&gt;65020956&lt;/_modified&gt;&lt;_impact_factor&gt;   9.075&lt;/_impact_factor&gt;&lt;_social_category&gt;医学(1)&lt;/_social_category&gt;&lt;_collection_scope&gt;SCIE&lt;/_collection_scope&gt;&lt;/Details&gt;&lt;Extra&gt;&lt;DBUID&gt;{F96A950B-833F-4880-A151-76DA2D6A2879}&lt;/DBUID&gt;&lt;/Extra&gt;&lt;/Item&gt;&lt;/References&gt;&lt;/Group&gt;&lt;/Citation&gt;_x000a_"/>
    <w:docVar w:name="NE.Ref{F05EE527-FDDA-4312-91AC-4ACD275D876C}" w:val=" ADDIN NE.Ref.{F05EE527-FDDA-4312-91AC-4ACD275D876C}&lt;Citation&gt;&lt;Group&gt;&lt;References&gt;&lt;Item&gt;&lt;ID&gt;3007&lt;/ID&gt;&lt;UID&gt;{6D47650E-FAC3-40B8-B9DD-9E2492C30979}&lt;/UID&gt;&lt;Title&gt;PROFILE 1029 Study: Crizotinib Outperforms Chemotherapy for Brain Metastases in ORR/Intracranial Lesions&lt;/Title&gt;&lt;Template&gt;Conference Paper&lt;/Template&gt;&lt;Star&gt;0&lt;/Star&gt;&lt;Tag&gt;0&lt;/Tag&gt;&lt;Author&gt;Wu, Yilong&lt;/Author&gt;&lt;Year&gt;2016&lt;/Year&gt;&lt;Details&gt;&lt;_secondary_title&gt;CSCO 2016&lt;/_secondary_title&gt;&lt;_accessed&gt;64740335&lt;/_accessed&gt;&lt;_created&gt;64740335&lt;/_created&gt;&lt;_modified&gt;64740730&lt;/_modified&gt;&lt;/Details&gt;&lt;Extra&gt;&lt;DBUID&gt;{F96A950B-833F-4880-A151-76DA2D6A2879}&lt;/DBUID&gt;&lt;/Extra&gt;&lt;/Item&gt;&lt;/References&gt;&lt;/Group&gt;&lt;Group&gt;&lt;References&gt;&lt;Item&gt;&lt;ID&gt;3008&lt;/ID&gt;&lt;UID&gt;{EF14C3F2-1DC5-44B6-ABDE-CABC662238C1}&lt;/UID&gt;&lt;Title&gt;Results of PROFILE 1029, a Phase III Comparison of First-Line Crizotinib versus Chemotherapy in East Asian Patients with ALK-Positive Advanced Non-Small Cell Lung Cancer&lt;/Title&gt;&lt;Template&gt;Journal Article&lt;/Template&gt;&lt;Star&gt;0&lt;/Star&gt;&lt;Tag&gt;0&lt;/Tag&gt;&lt;Author&gt;Wu, Y L; Lu, S; Lu, Y; Zhou, J; Shi, Y K; Sriuranpong, V; Ho, JCM; Ong, C K; Tsai, C M; Chung, C H; Wilner, K D; Tang, Y; Masters, E T; Selaru, P; Mok, T S&lt;/Author&gt;&lt;Year&gt;2018&lt;/Year&gt;&lt;Details&gt;&lt;_accessed&gt;64632481&lt;/_accessed&gt;&lt;_accession_num&gt;29966800&lt;/_accession_num&gt;&lt;_author_adr&gt;Guangdong Lung Cancer Institute, Guangdong General Hospital and Guangdong Academy of Medical Sciences, Guangzhou, People&amp;apos;s Republic of China. Electronic address: syylwu@live.cn.; Department of Shanghai Lung Cancer Center, Shanghai Chest Hospital, Jiao Tong University, Shanghai, People&amp;apos;s Republic of China.; Department of Thoracic Oncology, West China Hospital, Sichuan University, Chengdu, People&amp;apos;s Republic of China.; Respiratory Department, First Affiliated Hospital, School of Medicine, Zhejiang University, Hangzhou, People&amp;apos;s Republic of China.; Department of Medical Oncology, Beijing Key Laboratory of Clinical Study on Anticancer Molecular Targeted Drugs, National Cancer Center/Cancer Hospital, Chinese Academy of Medical Sciences and Peking Union Medical College, Beijing, People&amp;apos;s Republic of China.; Medical Oncology Unit, Department of Medicine, Chulalongkorn University and the King Chulalongkorn Memorial Hospital, Bangkok, Thailand.; Department of Medicine, The University of Hong Kong, Hong Kong, People&amp;apos;s Republic of China.; Department of Respiratory Medicine, Hospital Pulau Pinang, Pulau Pinang, Malaysia.; Department of Oncology, Taipei Veterans General Hospital, Taipei, Taiwan, Republic of China.; Pfizer Oncology, New York, New York.; Pfizer Oncology, La Jolla, California.; Pfizer Oncology, La Jolla, California.; Pfizer Oncology, New York, New York.; Pfizer Oncology, La Jolla, California.; Department of Clinical Oncology, State Laboratory of South China, The Chinese University of Hong Kong, Hong Kong, People&amp;apos;s Republic of China.&lt;/_author_adr&gt;&lt;_collection_scope&gt;SCIE&lt;/_collection_scope&gt;&lt;_created&gt;64630945&lt;/_created&gt;&lt;_date&gt;2018-10-01&lt;/_date&gt;&lt;_date_display&gt;2018 Oct&lt;/_date_display&gt;&lt;_db_updated&gt;PubMed&lt;/_db_updated&gt;&lt;_doi&gt;10.1016/j.jtho.2018.06.012&lt;/_doi&gt;&lt;_impact_factor&gt;  20.121&lt;/_impact_factor&gt;&lt;_isbn&gt;1556-1380 (Electronic); 1556-0864 (Linking)&lt;/_isbn&gt;&lt;_issue&gt;10&lt;/_issue&gt;&lt;_journal&gt;J Thorac Oncol&lt;/_journal&gt;&lt;_keywords&gt;ALK-positive advanced non-small cell lung cancer; chemotherapy; crizotinib; phase III&lt;/_keywords&gt;&lt;_language&gt;eng&lt;/_language&gt;&lt;_modified&gt;64740730&lt;/_modified&gt;&lt;_ori_publication&gt;Copyright (c) 2018 International Association for the Study of Lung Cancer._x000d__x000a_      Published by Elsevier Inc. All rights reserved.&lt;/_ori_publication&gt;&lt;_pages&gt;1539-1548&lt;/_pages&gt;&lt;_social_category&gt;医学(1)&lt;/_social_category&gt;&lt;_subject_headings&gt;Adult; Aged; Antineoplastic Combined Chemotherapy Protocols/pharmacology/*therapeutic use; Asians; Carcinoma, Non-Small-Cell Lung/*drug therapy/pathology; Crizotinib/pharmacology/*therapeutic use; Female; Humans; Lung Neoplasms/*drug therapy/pathology; Male; Middle Aged; Young Adult&lt;/_subject_headings&gt;&lt;_tertiary_title&gt;Journal of thoracic oncology : official publication of the International_x000d__x000a_      Association for the Study of Lung Cancer&lt;/_tertiary_title&gt;&lt;_type_work&gt;Clinical Trial, Phase III; Journal Article; Research Support, Non-U.S. Gov&amp;apos;t&lt;/_type_work&gt;&lt;_url&gt;http://www.ncbi.nlm.nih.gov/entrez/query.fcgi?cmd=Retrieve&amp;amp;db=pubmed&amp;amp;dopt=Abstract&amp;amp;list_uids=29966800&amp;amp;query_hl=1&lt;/_url&gt;&lt;_volume&gt;13&lt;/_volume&gt;&lt;/Details&gt;&lt;Extra&gt;&lt;DBUID&gt;{F96A950B-833F-4880-A151-76DA2D6A2879}&lt;/DBUID&gt;&lt;/Extra&gt;&lt;/Item&gt;&lt;/References&gt;&lt;/Group&gt;&lt;/Citation&gt;_x000a_"/>
    <w:docVar w:name="NE.Ref{F08A41B9-21F9-434B-BCDA-DE6C1F8E046D}" w:val=" ADDIN NE.Ref.{F08A41B9-21F9-434B-BCDA-DE6C1F8E046D}&lt;Citation&gt;&lt;Group&gt;&lt;References&gt;&lt;Item&gt;&lt;ID&gt;4681&lt;/ID&gt;&lt;UID&gt;{794DA395-8E0E-4E43-8F2F-32DB44704EBD}&lt;/UID&gt;&lt;Title&gt;Health-related quality of life and associated factors among cervical cancer  patients at Tikur Anbessa specialized hospital, Addis Ababa, Ethiopia&lt;/Title&gt;&lt;Template&gt;Journal Article&lt;/Template&gt;&lt;Star&gt;0&lt;/Star&gt;&lt;Tag&gt;0&lt;/Tag&gt;&lt;Author&gt;Araya, L T; Fenta, T G; Sander, B; Gebremariam, G T; Gebretekle, G B&lt;/Author&gt;&lt;Year&gt;2020&lt;/Year&gt;&lt;Details&gt;&lt;_accession_num&gt;32178681&lt;/_accession_num&gt;&lt;_author_adr&gt;Social and Administrative Pharmacy Unit, School of Pharmacy, College of Health  Sciences, Addis Ababa University, Zambia Street, P.O. Box: 1176, Addis Ababa,  Ethiopia.; Social and Administrative Pharmacy Unit, School of Pharmacy, College of Health  Sciences, Addis Ababa University, Zambia Street, P.O. Box: 1176, Addis Ababa,  Ethiopia.; Institute of Health Policy, Management and Evaluation, University of Toronto,  Toronto, Ontario, Canada.; Toronto Health Economics and Technology Assessment (THETA) Collaborative,  University Health Network, Toronto, Ontario, Canada.; ICES, Toronto, Ontario, Canada.; Public Health Ontario, Toronto, Ontario, Canada.; Department of Pharmacology and Clinical Pharmacy, School of Pharmacy, College of  Health Sciences, Addis Ababa University, Addis Ababa, Ethiopia.; Social and Administrative Pharmacy Unit, School of Pharmacy, College of Health  Sciences, Addis Ababa University, Zambia Street, P.O. Box: 1176, Addis Ababa,  Ethiopia. gebremedhin.beedemariam@aau.edu.et.&lt;/_author_adr&gt;&lt;_date_display&gt;2020 Mar 16&lt;/_date_display&gt;&lt;_date&gt;2020-03-16&lt;/_date&gt;&lt;_doi&gt;10.1186/s12955-020-01319-x&lt;/_doi&gt;&lt;_isbn&gt;1477-7525 (Electronic); 1477-7525 (Linking)&lt;/_isbn&gt;&lt;_issue&gt;1&lt;/_issue&gt;&lt;_journal&gt;Health Qual Life Outcomes&lt;/_journal&gt;&lt;_keywords&gt;Cervical cancer; EQ-5D; Ethiopia; Health-related quality of life; Utility&lt;/_keywords&gt;&lt;_language&gt;eng&lt;/_language&gt;&lt;_pages&gt;72&lt;/_pages&gt;&lt;_subject_headings&gt;Adult; Cross-Sectional Studies; Ethiopia; Female; Health Status; Humans; Logistic Models; Middle Aged; *Quality of Life; Surveys and Questionnaires; Uterine Cervical Neoplasms/*psychology&lt;/_subject_headings&gt;&lt;_tertiary_title&gt;Health and quality of life outcomes&lt;/_tertiary_title&gt;&lt;_type_work&gt;Journal Article&lt;/_type_work&gt;&lt;_url&gt;http://www.ncbi.nlm.nih.gov/entrez/query.fcgi?cmd=Retrieve&amp;amp;db=pubmed&amp;amp;dopt=Abstract&amp;amp;list_uids=32178681&amp;amp;query_hl=1&lt;/_url&gt;&lt;_volume&gt;18&lt;/_volume&gt;&lt;_created&gt;65020260&lt;/_created&gt;&lt;_modified&gt;65020260&lt;/_modified&gt;&lt;_impact_factor&gt;   3.077&lt;/_impact_factor&gt;&lt;_social_category&gt;医学(3)&lt;/_social_category&gt;&lt;_collection_scope&gt;SSCI;SCIE&lt;/_collection_scope&gt;&lt;/Details&gt;&lt;Extra&gt;&lt;DBUID&gt;{F96A950B-833F-4880-A151-76DA2D6A2879}&lt;/DBUID&gt;&lt;/Extra&gt;&lt;/Item&gt;&lt;/References&gt;&lt;/Group&gt;&lt;/Citation&gt;_x000a_"/>
    <w:docVar w:name="NE.Ref{F113161A-E573-419D-9DAA-A34F97CF2F2C}" w:val=" ADDIN NE.Ref.{F113161A-E573-419D-9DAA-A34F97CF2F2C}&lt;Citation&gt;&lt;Group&gt;&lt;References&gt;&lt;Item&gt;&lt;ID&gt;5022&lt;/ID&gt;&lt;UID&gt;{56DD7FBA-BD8A-4208-91D8-D983F4127BD2}&lt;/UID&gt;&lt;Title&gt;AHRQ, HCUPnet(Agency for Healthcare Research &amp;amp; Quality+Healthcare Common Procedure Coding System). https://datatools.ahrq.gov/hcupnet/&lt;/Title&gt;&lt;Template&gt;Web Page&lt;/Template&gt;&lt;Star&gt;0&lt;/Star&gt;&lt;Tag&gt;0&lt;/Tag&gt;&lt;Author/&gt;&lt;Year&gt;0&lt;/Year&gt;&lt;Details&gt;&lt;_accessed&gt;65330802&lt;/_accessed&gt;&lt;_created&gt;65329715&lt;/_created&gt;&lt;_modified&gt;65330783&lt;/_modified&gt;&lt;/Details&gt;&lt;Extra&gt;&lt;DBUID&gt;{F96A950B-833F-4880-A151-76DA2D6A2879}&lt;/DBUID&gt;&lt;/Extra&gt;&lt;/Item&gt;&lt;/References&gt;&lt;/Group&gt;&lt;Group&gt;&lt;References&gt;&lt;Item&gt;&lt;ID&gt;5032&lt;/ID&gt;&lt;UID&gt;{AC85D677-102F-4D7C-8CEF-8512683D25B2}&lt;/UID&gt;&lt;Title&gt;Clinical and economic outcomes of treatment sequences for intermediate- to  poor-risk advanced renal cell carcinoma&lt;/Title&gt;&lt;Template&gt;Journal Article&lt;/Template&gt;&lt;Star&gt;0&lt;/Star&gt;&lt;Tag&gt;0&lt;/Tag&gt;&lt;Author&gt;Ambavane, A; Yang, S; Atkins, M B; Rao, S; Shah, A; Regan, M M; McDermott, D F; Michaelson, M D&lt;/Author&gt;&lt;Year&gt;2020&lt;/Year&gt;&lt;Details&gt;&lt;_accession_num&gt;31992108&lt;/_accession_num&gt;&lt;_author_adr&gt;Evidence Synthesis, Modeling, &amp;amp; Communications, Evidera, Inc., Bethesda, MD  20814, USA.; Health Economics Outcomes Research, Bristol-Myers Squibb, Princeton, NJ 08540,  USA.; Department of Internal Medicine - Medical Oncology, Georgetown-Lombardi  Comprehensive Cancer Center, Washington, DC 20007-2113, USA.; Health Economics Outcomes Research, Bristol-Myers Squibb, Princeton, NJ 08540,  USA.; Evidence Synthesis, Modeling, &amp;amp; Communications, Evidera, Inc., Waltham, MA 20814,  USA.; Division of Biostatistics, Dana-Farber Cancer Institute, Harvard Medical School,  Boston, MA 02215, USA.; Department of Medicine, Beth Israel Deaconess Medical Center, Dana-Farber/Harvard  Cancer Center, Boston, MA 02215, USA.; Massachusetts General Hospital Cancer Center, Boston, MA 02214, USA.&lt;/_author_adr&gt;&lt;_date_display&gt;2020 Jan&lt;/_date_display&gt;&lt;_date&gt;2020-01-01&lt;/_date&gt;&lt;_doi&gt;10.2217/imt-2019-0199&lt;/_doi&gt;&lt;_isbn&gt;1750-7448 (Electronic); 1750-743X (Linking)&lt;/_isbn&gt;&lt;_issue&gt;1&lt;/_issue&gt;&lt;_journal&gt;Immunotherapy&lt;/_journal&gt;&lt;_keywords&gt;cost–effectiveness; immuno-oncology therapy; renal cell carcinoma; survival; treatment sequences; treatment-free interval&lt;/_keywords&gt;&lt;_language&gt;eng&lt;/_language&gt;&lt;_pages&gt;37-51&lt;/_pages&gt;&lt;_subject_headings&gt;Antineoplastic Agents, Immunological/*therapeutic use; Antineoplastic Protocols; Carcinoma, Renal Cell/*drug therapy/economics/mortality; *Computer Simulation; Cost-Benefit Analysis; Drug Therapy, Combination; Humans; Ipilimumab/*therapeutic use; Kidney Neoplasms/*drug therapy/economics/mortality; Models, Economic; Neoplasm Staging; Nivolumab/*therapeutic use; Quality-Adjusted Life Years; Survival Analysis; Treatment Outcome&lt;/_subject_headings&gt;&lt;_tertiary_title&gt;Immunotherapy&lt;/_tertiary_title&gt;&lt;_type_work&gt;Clinical Trial, Phase II; Journal Article; Research Support, Non-U.S. Gov&amp;apos;t&lt;/_type_work&gt;&lt;_url&gt;http://www.ncbi.nlm.nih.gov/entrez/query.fcgi?cmd=Retrieve&amp;amp;db=pubmed&amp;amp;dopt=Abstract&amp;amp;list_uids=31992108&amp;amp;query_hl=1&lt;/_url&gt;&lt;_volume&gt;12&lt;/_volume&gt;&lt;_created&gt;65329740&lt;/_created&gt;&lt;_modified&gt;65329740&lt;/_modified&gt;&lt;_impact_factor&gt;   2.800&lt;/_impact_factor&gt;&lt;_social_category&gt;免疫学(4)&lt;/_social_category&gt;&lt;_collection_scope&gt;SCIE&lt;/_collection_scope&gt;&lt;_accessed&gt;65330823&lt;/_accessed&gt;&lt;/Details&gt;&lt;Extra&gt;&lt;DBUID&gt;{F96A950B-833F-4880-A151-76DA2D6A2879}&lt;/DBUID&gt;&lt;/Extra&gt;&lt;/Item&gt;&lt;/References&gt;&lt;/Group&gt;&lt;/Citation&gt;_x000a_"/>
    <w:docVar w:name="NE.Ref{F1525DAE-66A9-49CB-88A9-65A3A2179241}" w:val=" ADDIN NE.Ref.{F1525DAE-66A9-49CB-88A9-65A3A2179241}&lt;Citation&gt;&lt;Group&gt;&lt;References&gt;&lt;Item&gt;&lt;ID&gt;5038&lt;/ID&gt;&lt;UID&gt;{E1AFF1CE-834F-47CD-AB65-9B4E05D6B565}&lt;/UID&gt;&lt;Title&gt;Effect of Fruquintinib vs Placebo on Overall Survival in Patients With Previously  Treated Metastatic Colorectal Cancer: The FRESCO Randomized Clinical Trial&lt;/Title&gt;&lt;Template&gt;Journal Article&lt;/Template&gt;&lt;Star&gt;0&lt;/Star&gt;&lt;Tag&gt;0&lt;/Tag&gt;&lt;Author&gt;Li, J; Qin, S; Xu, R H; Shen, L; Xu, J; Bai, Y; Yang, L; Deng, Y; Chen, Z D; Zhong, H; Pan, H; Guo, W; Shu, Y; Yuan, Y; Zhou, J; Xu, N; Liu, T; Ma, D; Wu, C; Cheng, Y; Chen, D; Li, W; Sun, S; Yu, Z; Cao, P; Chen, H; Wang, J; Wang, S; Wang, H; Fan, S; Hua, Y; Su, W&lt;/Author&gt;&lt;Year&gt;2018&lt;/Year&gt;&lt;Details&gt;&lt;_accession_num&gt;29946728&lt;/_accession_num&gt;&lt;_author_adr&gt;Department of Medical Oncology, Tongji University Shanghai East Hospital,  Shanghai, China.; Department of Medical Oncology, Shanghai Medical College, Fudan University  Shanghai Cancer Center, Shanghai, China.; Department of Medical Oncology, Nanjing Chinese Medicine University-Affiliated  Bayi Hospital, Nanjing, China.; Department of Medical Oncology, Sun Yat-sen University Cancer Center, State Key  Laboratory of Oncology in South China, Guangzhou, China.; Collaborative Innovation Center for Cancer Medicine, Guangzhou, China.; Department of Medical Oncology, Beijing University Cancer Center, Beijing, China.; Department of Medical Oncology, 307th Hospital of Chinese People&amp;apos;s Liberation  Army, The Affiliated Hospital of Military Medical Sciences, Beijing, China.; Department of Medical Oncology, Harbin Medical University Cancer Hospital,  Harbin, China.; Department of Medical Oncology, Nantong Cancer Hospital, Nantong, China.; Department of Medical Oncology, The Sixth Affiliated Hospital of Sun Yat-sen  University, Guangzhou, China.; Department of Medical Oncology, The Second Hospital of Anhui Medical University,  Hefei, China.; Department of Medical Oncology, Zhejiang Cancer Hospital, Hangzhou, China.; Department of Medical Oncology, Sir RunRun Shaw Hospital, College of Medicine,  Zhejiang University, Hangzhou, China.; Department of Medical Oncology, Shanghai Medical College, Fudan University  Shanghai Cancer Center, Shanghai, China.; Department of Medical Oncology, Jiangsu Provincial Hospital, Nanjing, China.; Department of Medical Oncology, The Second Affiliated Hospital of Zhejiang  University School of Medicine, Hangzhou, China.; Department of Medical Oncology, Peking Union Medical College Hospital, Beijing,  China.; Department of Medical Oncology, The First Affiliated Hospital of Zhejiang  University School of Medicine, Hangzhou, China.; Department of Medical Oncology, Fudan University Zhongshan Hospital, Shanghai  Medical College, Shanghai, China.; Department of Medical Oncology, Guangdong General Hospital, Guangzhou, China.; Department of Medical Oncology, The First People&amp;apos;s Hospital of Changzhou,  Changzhou, China.; Department of Medical Oncology, Jilin Province Cancer Hospital, Changchun, China.; Department of Medical Oncology, Shanghai Jiaotong University Affiliated First  People&amp;apos;s Hospital, Shanghai, China.; Department of Medical Oncology, The First Hospital of Jilin University,  Changchun, China.; Department of Medical Oncology, Xuzhou Central Hospital, Xuzhou, China.; Department of Medical Oncology, The Affiliated Hospital of Medical College  Qingdao University, Qingdao, China.; Department of Medical Oncology, The Third Xiangya Hospital of Central South  University, Changsha, China.; Department of Medical Oncology, Liuzhou Worker&amp;apos;s Hospital, Liuzhou, China.; Department of Medical Oncology, Shanghai Changzheng Hospital, The Second Military  Medical University, Shanghai, China.; Department of Medical Oncology, Peking University Shenzhen Hospital, Beijing  University, Shenzhen, China.; Department of Medical Oncology, The Affiliated Hospital of Xuzhou Medical  College, Xuzhou Medical College, Xuzhou, China.; Hutchison MediPharma Ltd, Shanghai, China.; Hutchison MediPharma Ltd, Shanghai, China.; Hutchison MediPharma Ltd, Shanghai, China.&lt;/_author_adr&gt;&lt;_date_display&gt;2018 Jun 26&lt;/_date_display&gt;&lt;_date&gt;2018-06-26&lt;/_date&gt;&lt;_doi&gt;10.1001/jama.2018.7855&lt;/_doi&gt;&lt;_isbn&gt;1538-3598 (Electronic); 0098-7484 (Print); 0098-7484 (Linking)&lt;/_isbn&gt;&lt;_issue&gt;24&lt;/_issue&gt;&lt;_journal&gt;JAMA&lt;/_journal&gt;&lt;_language&gt;eng&lt;/_language&gt;&lt;_pages&gt;2486-2496&lt;/_pages&gt;&lt;_subject_headings&gt;Adult; Aged; Aged, 80 and over; Antineoplastic Combined Chemotherapy Protocols/adverse effects/*therapeutic use; Benzofurans/*administration &amp;amp; dosage/adverse effects; China; Colorectal Neoplasms/*drug therapy/mortality/pathology/therapy; Combined Modality Therapy; Double-Blind Method; Female; Humans; Intention to Treat Analysis; Male; Middle Aged; Quinazolines/*administration &amp;amp; dosage/adverse effects; Survival Analysis; Vascular Endothelial Growth Factor A/*antagonists &amp;amp; inhibitors; Young Adult&lt;/_subject_headings&gt;&lt;_tertiary_title&gt;JAMA&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9946728&amp;amp;query_hl=1&lt;/_url&gt;&lt;_volume&gt;319&lt;/_volume&gt;&lt;_created&gt;65329740&lt;/_created&gt;&lt;_modified&gt;65329740&lt;/_modified&gt;&lt;_impact_factor&gt; 120.700&lt;/_impact_factor&gt;&lt;_social_category&gt;医学：内科(1)&lt;/_social_category&gt;&lt;_collection_scope&gt;SCIE&lt;/_collection_scope&gt;&lt;_accessed&gt;65330873&lt;/_accessed&gt;&lt;/Details&gt;&lt;Extra&gt;&lt;DBUID&gt;{F96A950B-833F-4880-A151-76DA2D6A2879}&lt;/DBUID&gt;&lt;/Extra&gt;&lt;/Item&gt;&lt;/References&gt;&lt;/Group&gt;&lt;/Citation&gt;_x000a_"/>
    <w:docVar w:name="NE.Ref{F30D57DA-4798-40FF-BBD9-2DC1FDC00DAC}" w:val=" ADDIN NE.Ref.{F30D57DA-4798-40FF-BBD9-2DC1FDC00DAC}&lt;Citation&gt;&lt;Group&gt;&lt;References&gt;&lt;Item&gt;&lt;ID&gt;5045&lt;/ID&gt;&lt;UID&gt;{C71E83FD-1A2C-4A60-AA24-0B9F95D5B74A}&lt;/UID&gt;&lt;Title&gt;Regorafenib dose-optimisation in patients with refractory metastatic colorectal  cancer (ReDOS): a randomised, multicentre, open-label, phase 2 study&lt;/Title&gt;&lt;Template&gt;Journal Article&lt;/Template&gt;&lt;Star&gt;0&lt;/Star&gt;&lt;Tag&gt;0&lt;/Tag&gt;&lt;Author&gt;Bekaii-Saab, T S; Ou, F S; Ahn, D H; Boland, P M; Ciombor, K K; Heying, E N; Dockter, T J; Jacobs, N L; Pasche, B C; Cleary, J M; Meyers, J P; Desnoyers, R J; McCune, J S; Pedersen, K; Barzi, A; Chiorean, E G; Sloan, J; Lacouture, M E; Lenz, H J; Grothey, A&lt;/Author&gt;&lt;Year&gt;2019&lt;/Year&gt;&lt;Details&gt;&lt;_accession_num&gt;31262657&lt;/_accession_num&gt;&lt;_author_adr&gt;Division of Medical Oncology, Mayo Clinic, Phoenix, AZ, USA. Electronic address:  bekaii-saab.tanios@mayo.edu.; Department of Health Sciences Research, Mayo Clinic, Rochester, MN, USA.; Division of Medical Oncology, Mayo Clinic, Phoenix, AZ, USA.; Department of Medicine, Roswell Park Comprehensive Cancer Center, Buffalo, NY,  USA.; Division of Hematology, Department of Medicine, Vanderbilt University, Nashville,  TN, USA.; Department of Health Sciences Research, Mayo Clinic, Rochester, MN, USA.; Department of Health Sciences Research, Mayo Clinic, Rochester, MN, USA.; Minnesota Oncology, Coon Rapids, MN, USA.; Department of Hematology and Oncology, Wake Forest Baptist Comprehensive Cancer  Center, Winston-Salem, NC, USA.; Department of Medical Oncology, Dana-Farber Cancer Institute, Boston, MA, USA.; Department of Health Sciences Research, Mayo Clinic, Rochester, MN, USA.; Department of Hematology and Oncology, Wake Forest Baptist Comprehensive Cancer  Center, Winston-Salem, NC, USA.; Department of Pharmaceutics, School of Pharmacy, University of Washington,  Seattle, WA, USA; Clinical Research Division, Fred Hutchinson Cancer Research  Center, Seattle, WA, USA.; Division of Oncology, Department of Medicine, Washington University, St Louis,  MO, USA.; Division of Medical Oncology, Norris Comprehensive Cancer Center, University of  Southern California, Los Angeles, CA, USA.; Department of Population Sciences, School of Medicine, University of Washington,  Seattle, WA, USA; Department of Medicine, Fred Hutchinson Cancer Research Center,  Seattle, WA, USA.; Department of Health Sciences Research, Mayo Clinic, Rochester, MN, USA.; Department of Medicine, Memorial Sloan Kettering Cancer Center, New York, NY,  USA.; Division of Medical Oncology, Norris Comprehensive Cancer Center, University of  Southern California, Los Angeles, CA, USA.; West Cancer Center, Memphis, TN, USA.&lt;/_author_adr&gt;&lt;_date_display&gt;2019 Aug&lt;/_date_display&gt;&lt;_date&gt;2019-08-01&lt;/_date&gt;&lt;_doi&gt;10.1016/S1470-2045(19)30272-4&lt;/_doi&gt;&lt;_isbn&gt;1474-5488 (Electronic); 1470-2045 (Print); 1470-2045 (Linking)&lt;/_isbn&gt;&lt;_issue&gt;8&lt;/_issue&gt;&lt;_journal&gt;Lancet Oncol&lt;/_journal&gt;&lt;_language&gt;eng&lt;/_language&gt;&lt;_ori_publication&gt;Copyright © 2019 Elsevier Ltd. All rights reserved.&lt;/_ori_publication&gt;&lt;_pages&gt;1070-1082&lt;/_pages&gt;&lt;_subject_headings&gt;Adenocarcinoma/*drug therapy; Adult; Aged; Antineoplastic Agents/*administration &amp;amp; dosage/adverse effects; Colorectal Neoplasms/*drug therapy; Dose-Response Relationship, Drug; Female; Humans; Male; Middle Aged; Phenylurea Compounds/*administration &amp;amp; dosage/adverse effects; Pyridines/*administration &amp;amp; dosage/adverse effects&lt;/_subject_headings&gt;&lt;_tertiary_title&gt;The Lancet. Oncology&lt;/_tertiary_title&gt;&lt;_type_work&gt;Clinical Trial, Phase II; Journal Article; Multicenter Study; Randomized Controlled Trial; Research Support, Non-U.S. Gov&amp;apos;t&lt;/_type_work&gt;&lt;_url&gt;http://www.ncbi.nlm.nih.gov/entrez/query.fcgi?cmd=Retrieve&amp;amp;db=pubmed&amp;amp;dopt=Abstract&amp;amp;list_uids=31262657&amp;amp;query_hl=1&lt;/_url&gt;&lt;_volume&gt;20&lt;/_volume&gt;&lt;_created&gt;65329740&lt;/_created&gt;&lt;_modified&gt;65329740&lt;/_modified&gt;&lt;_impact_factor&gt;  51.100&lt;/_impact_factor&gt;&lt;_social_category&gt;肿瘤学(1)&lt;/_social_category&gt;&lt;_collection_scope&gt;SCIE&lt;/_collection_scope&gt;&lt;_accessed&gt;65330926&lt;/_accessed&gt;&lt;/Details&gt;&lt;Extra&gt;&lt;DBUID&gt;{F96A950B-833F-4880-A151-76DA2D6A2879}&lt;/DBUID&gt;&lt;/Extra&gt;&lt;/Item&gt;&lt;/References&gt;&lt;/Group&gt;&lt;Group&gt;&lt;References&gt;&lt;Item&gt;&lt;ID&gt;5035&lt;/ID&gt;&lt;UID&gt;{7905DE8C-41C9-4C06-B403-A64C4F66413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329740&lt;/_created&gt;&lt;_modified&gt;65329740&lt;/_modified&gt;&lt;_impact_factor&gt; 168.900&lt;/_impact_factor&gt;&lt;_social_category&gt;医学：内科(1)&lt;/_social_category&gt;&lt;_collection_scope&gt;SCIE&lt;/_collection_scope&gt;&lt;/Details&gt;&lt;Extra&gt;&lt;DBUID&gt;{F96A950B-833F-4880-A151-76DA2D6A2879}&lt;/DBUID&gt;&lt;/Extra&gt;&lt;/Item&gt;&lt;/References&gt;&lt;/Group&gt;&lt;/Citation&gt;_x000a_"/>
    <w:docVar w:name="NE.Ref{F41886E2-778A-4ABD-AD2F-B3081DA6F3BD}" w:val=" ADDIN NE.Ref.{F41886E2-778A-4ABD-AD2F-B3081DA6F3BD}&lt;Citation&gt;&lt;Group&gt;&lt;References&gt;&lt;Item&gt;&lt;ID&gt;46192&lt;/ID&gt;&lt;UID&gt;{EEEA4294-7A2F-46C7-8684-BA9D95FED5BC}&lt;/UID&gt;&lt;Title&gt;Global Cancer Statistics 2020: GLOBOCAN Estimates of Incidence and Mortality Worldwide for 36 Cancers in 185 Countries&lt;/Title&gt;&lt;Template&gt;Journal Article&lt;/Template&gt;&lt;Star&gt;0&lt;/Star&gt;&lt;Tag&gt;0&lt;/Tag&gt;&lt;Author&gt;Sung, H; Ferlay, J; Siegel, R L; Laversanne, M; Soerjomataram, I; Jemal, A; Bray, F&lt;/Author&gt;&lt;Year&gt;2021&lt;/Year&gt;&lt;Details&gt;&lt;_accessed&gt;64073701&lt;/_accessed&gt;&lt;_accession_num&gt;33538338&lt;/_accession_num&gt;&lt;_author_adr&gt;Surveillance and Health Equity Science, American Cancer Society, Atlanta, Georgia.; Section of Cancer Surveillance, International Agency for Research on Cancer, Lyon, France.; Surveillance and Health Equity Science, American Cancer Society, Atlanta, Georgia.; Section of Cancer Surveillance, International Agency for Research on Cancer, Lyon, France.; Section of Cancer Surveillance, International Agency for Research on Cancer, Lyon, France.; Surveillance and Health Equity Science, American Cancer Society, Atlanta, Georgia.; Section of Cancer Surveillance, International Agency for Research on Cancer, Lyon, France.&lt;/_author_adr&gt;&lt;_collection_scope&gt;SCIE&lt;/_collection_scope&gt;&lt;_created&gt;64069787&lt;/_created&gt;&lt;_date&gt;2021-05-01&lt;/_date&gt;&lt;_date_display&gt;2021 May&lt;/_date_display&gt;&lt;_db_updated&gt;PubMed&lt;/_db_updated&gt;&lt;_doi&gt;10.3322/caac.21660&lt;/_doi&gt;&lt;_impact_factor&gt; 286.130&lt;/_impact_factor&gt;&lt;_isbn&gt;1542-4863 (Electronic); 0007-9235 (Linking)&lt;/_isbn&gt;&lt;_issue&gt;3&lt;/_issue&gt;&lt;_journal&gt;CA Cancer J Clin&lt;/_journal&gt;&lt;_keywords&gt;*burden; *cancer; *epidemiology; *incidence; *mortality&lt;/_keywords&gt;&lt;_language&gt;eng&lt;/_language&gt;&lt;_modified&gt;64688891&lt;/_modified&gt;&lt;_ori_publication&gt;(c) 2021 American Cancer Society.&lt;/_ori_publication&gt;&lt;_pages&gt;209-249&lt;/_pages&gt;&lt;_subject_headings&gt;Africa/epidemiology; Americas/epidemiology; Asia/epidemiology; Databases, Factual; Developed Countries/*statistics &amp;amp; numerical data; Developing Countries/*statistics &amp;amp; numerical data; Europe; Female; Global Health/*statistics &amp;amp; numerical data; Humans; Incidence; Internationality; Male; Neoplasms/*epidemiology/mortality; Oceania/epidemiology; *Population Dynamics; Risk Factors; Sex Distribution&lt;/_subject_headings&gt;&lt;_tertiary_title&gt;CA: a cancer journal for clinicians&lt;/_tertiary_title&gt;&lt;_type_work&gt;Journal Article&lt;/_type_work&gt;&lt;_url&gt;http://www.ncbi.nlm.nih.gov/entrez/query.fcgi?cmd=Retrieve&amp;amp;db=pubmed&amp;amp;dopt=Abstract&amp;amp;list_uids=33538338&amp;amp;query_hl=1&lt;/_url&gt;&lt;_volume&gt;71&lt;/_volume&gt;&lt;_social_category&gt;医学(1)&lt;/_social_category&gt;&lt;/Details&gt;&lt;Extra&gt;&lt;DBUID&gt;{F96A950B-833F-4880-A151-76DA2D6A2879}&lt;/DBUID&gt;&lt;/Extra&gt;&lt;/Item&gt;&lt;/References&gt;&lt;/Group&gt;&lt;/Citation&gt;_x000a_"/>
    <w:docVar w:name="NE.Ref{F78ACFE6-69EB-4399-B7F1-ACDB93D845D7}" w:val=" ADDIN NE.Ref.{F78ACFE6-69EB-4399-B7F1-ACDB93D845D7}&lt;Citation&gt;&lt;Group&gt;&lt;References&gt;&lt;Item&gt;&lt;ID&gt;5043&lt;/ID&gt;&lt;UID&gt;{283B1341-C609-4229-84D7-2B0DE5D67427}&lt;/UID&gt;&lt;Title&gt;Elicitation of health state utilities in metastatic renal cell carcinoma&lt;/Title&gt;&lt;Template&gt;Journal Article&lt;/Template&gt;&lt;Star&gt;0&lt;/Star&gt;&lt;Tag&gt;0&lt;/Tag&gt;&lt;Author&gt;Swinburn, P; Lloyd, A; Nathan, P; Choueiri, T K; Cella, D; Neary, M P&lt;/Author&gt;&lt;Year&gt;2010&lt;/Year&gt;&lt;Details&gt;&lt;_accession_num&gt;20225993&lt;/_accession_num&gt;&lt;_author_adr&gt;Oxford Outcomes Ltd, Oxfordshire, UK. Paul.Swinburn@oxfordoutcomes.com&lt;/_author_adr&gt;&lt;_date_display&gt;2010 May&lt;/_date_display&gt;&lt;_date&gt;2010-05-01&lt;/_date&gt;&lt;_doi&gt;10.1185/03007991003712258&lt;/_doi&gt;&lt;_isbn&gt;1473-4877 (Electronic); 0300-7995 (Linking)&lt;/_isbn&gt;&lt;_issue&gt;5&lt;/_issue&gt;&lt;_journal&gt;Curr Med Res Opin&lt;/_journal&gt;&lt;_language&gt;eng&lt;/_language&gt;&lt;_pages&gt;1091-6&lt;/_pages&gt;&lt;_subject_headings&gt;Carcinoma, Renal Cell/pathology/*physiopathology; *Health Status; Humans; Kidney Neoplasms/pathology/*physiopathology; *Neoplasm Metastasis&lt;/_subject_headings&gt;&lt;_tertiary_title&gt;Current medical research and opinion&lt;/_tertiary_title&gt;&lt;_type_work&gt;Journal Article; Research Support, Non-U.S. Gov&amp;apos;t; Review&lt;/_type_work&gt;&lt;_url&gt;http://www.ncbi.nlm.nih.gov/entrez/query.fcgi?cmd=Retrieve&amp;amp;db=pubmed&amp;amp;dopt=Abstract&amp;amp;list_uids=20225993&amp;amp;query_hl=1&lt;/_url&gt;&lt;_volume&gt;26&lt;/_volume&gt;&lt;_created&gt;65329740&lt;/_created&gt;&lt;_modified&gt;65330572&lt;/_modified&gt;&lt;_impact_factor&gt;   2.300&lt;/_impact_factor&gt;&lt;_social_category&gt;医学：内科(3) &amp;amp; 医学：研究与实验(4)&lt;/_social_category&gt;&lt;_collection_scope&gt;SCIE&lt;/_collection_scope&gt;&lt;_accessed&gt;65330910&lt;/_accessed&gt;&lt;/Details&gt;&lt;Extra&gt;&lt;DBUID&gt;{F96A950B-833F-4880-A151-76DA2D6A2879}&lt;/DBUID&gt;&lt;/Extra&gt;&lt;/Item&gt;&lt;/References&gt;&lt;/Group&gt;&lt;/Citation&gt;_x000a_"/>
    <w:docVar w:name="NE.Ref{F7A26D0A-9BCC-492D-812A-ADCF7896D8DB}" w:val=" ADDIN NE.Ref.{F7A26D0A-9BCC-492D-812A-ADCF7896D8DB}&lt;Citation&gt;&lt;Group&gt;&lt;References&gt;&lt;Item&gt;&lt;ID&gt;4677&lt;/ID&gt;&lt;UID&gt;{CFF46D04-DA01-4DCF-B5B7-AC5C0834AEF0}&lt;/UID&gt;&lt;Title&gt;International perspective on health-related quality-of-life research in cancer  clinical trials: the European Organisation for Research and Treatment of Cancer  experience&lt;/Title&gt;&lt;Template&gt;Journal Article&lt;/Template&gt;&lt;Star&gt;0&lt;/Star&gt;&lt;Tag&gt;0&lt;/Tag&gt;&lt;Author&gt;Bottomley, A; Aaronson, N K&lt;/Author&gt;&lt;Year&gt;2007&lt;/Year&gt;&lt;Details&gt;&lt;_accession_num&gt;17991925&lt;/_accession_num&gt;&lt;_author_adr&gt;European Organisation for Research and Treatment of Cancer (EORTC) Quality of  Life Unit and Quality of Life Group, Brussels, Belgium. andrew.bottomley@eortc.be&lt;/_author_adr&gt;&lt;_date_display&gt;2007 Nov 10&lt;/_date_display&gt;&lt;_date&gt;2007-11-10&lt;/_date&gt;&lt;_doi&gt;10.1200/JCO.2007.11.3183&lt;/_doi&gt;&lt;_isbn&gt;1527-7755 (Electronic); 0732-183X (Linking)&lt;/_isbn&gt;&lt;_issue&gt;32&lt;/_issue&gt;&lt;_journal&gt;J Clin Oncol&lt;/_journal&gt;&lt;_language&gt;eng&lt;/_language&gt;&lt;_pages&gt;5082-6&lt;/_pages&gt;&lt;_subject_headings&gt;*Clinical Trials as Topic; Europe; Humans; Neoplasms/*therapy; *Patient Satisfaction; *Quality Indicators, Health Care; *Quality of Life; *Sickness Impact Profile; *Treatment Outcome&lt;/_subject_headings&gt;&lt;_tertiary_title&gt;Journal of clinical oncology : official journal of the American Society of _x000d__x000a_      Clinical Oncology&lt;/_tertiary_title&gt;&lt;_type_work&gt;Journal Article; Research Support, N.I.H., Extramural; Review&lt;/_type_work&gt;&lt;_url&gt;http://www.ncbi.nlm.nih.gov/entrez/query.fcgi?cmd=Retrieve&amp;amp;db=pubmed&amp;amp;dopt=Abstract&amp;amp;list_uids=17991925&amp;amp;query_hl=1&lt;/_url&gt;&lt;_volume&gt;25&lt;/_volume&gt;&lt;_created&gt;65020254&lt;/_created&gt;&lt;_modified&gt;65020254&lt;/_modified&gt;&lt;_impact_factor&gt;  50.717&lt;/_impact_factor&gt;&lt;_social_category&gt;医学(1)&lt;/_social_category&gt;&lt;_collection_scope&gt;SCIE&lt;/_collection_scope&gt;&lt;/Details&gt;&lt;Extra&gt;&lt;DBUID&gt;{F96A950B-833F-4880-A151-76DA2D6A2879}&lt;/DBUID&gt;&lt;/Extra&gt;&lt;/Item&gt;&lt;/References&gt;&lt;/Group&gt;&lt;Group&gt;&lt;References&gt;&lt;Item&gt;&lt;ID&gt;4678&lt;/ID&gt;&lt;UID&gt;{B8453CB0-7700-4EE6-8F00-EFD613165C5D}&lt;/UID&gt;&lt;Title&gt;The cancer patient and quality of life&lt;/Title&gt;&lt;Template&gt;Journal Article&lt;/Template&gt;&lt;Star&gt;0&lt;/Star&gt;&lt;Tag&gt;0&lt;/Tag&gt;&lt;Author&gt;Bottomley, A&lt;/Author&gt;&lt;Year&gt;2002&lt;/Year&gt;&lt;Details&gt;&lt;_accession_num&gt;11961195&lt;/_accession_num&gt;&lt;_author_adr&gt;European Organisation for Research and Treatment of Cancer Data Center, Brussels,  Belgium. abo@eortc.be&lt;/_author_adr&gt;&lt;_date_display&gt;2002&lt;/_date_display&gt;&lt;_date&gt;2002-01-20&lt;/_date&gt;&lt;_doi&gt;10.1634/theoncologist.7-2-120&lt;/_doi&gt;&lt;_isbn&gt;1083-7159 (Print); 1083-7159 (Linking)&lt;/_isbn&gt;&lt;_issue&gt;2&lt;/_issue&gt;&lt;_journal&gt;Oncologist&lt;/_journal&gt;&lt;_language&gt;eng&lt;/_language&gt;&lt;_pages&gt;120-5&lt;/_pages&gt;&lt;_subject_headings&gt;Data Collection; Europe; Humans; Neoplasms/nursing/*psychology; Quality of Life/legislation &amp;amp; jurisprudence/*psychology; Randomized Controlled Trials as Topic; United States; United States Food and Drug Administration&lt;/_subject_headings&gt;&lt;_tertiary_title&gt;The oncologist&lt;/_tertiary_title&gt;&lt;_type_work&gt;Journal Article; Review&lt;/_type_work&gt;&lt;_url&gt;http://www.ncbi.nlm.nih.gov/entrez/query.fcgi?cmd=Retrieve&amp;amp;db=pubmed&amp;amp;dopt=Abstract&amp;amp;list_uids=11961195&amp;amp;query_hl=1&lt;/_url&gt;&lt;_volume&gt;7&lt;/_volume&gt;&lt;_created&gt;65020256&lt;/_created&gt;&lt;_modified&gt;65020256&lt;/_modified&gt;&lt;_impact_factor&gt;   5.837&lt;/_impact_factor&gt;&lt;_social_category&gt;医学(2)&lt;/_social_category&gt;&lt;_collection_scope&gt;SCIE&lt;/_collection_scope&gt;&lt;/Details&gt;&lt;Extra&gt;&lt;DBUID&gt;{F96A950B-833F-4880-A151-76DA2D6A2879}&lt;/DBUID&gt;&lt;/Extra&gt;&lt;/Item&gt;&lt;/References&gt;&lt;/Group&gt;&lt;/Citation&gt;_x000a_"/>
    <w:docVar w:name="NE.Ref{F7EE8D5D-B678-4319-997E-18CA6F0D8B41}" w:val=" ADDIN NE.Ref.{F7EE8D5D-B678-4319-997E-18CA6F0D8B41}&lt;Citation&gt;&lt;Group&gt;&lt;References&gt;&lt;Item&gt;&lt;ID&gt;2407&lt;/ID&gt;&lt;UID&gt;{62D0378B-8C55-470E-95AE-86140D481AF0}&lt;/UID&gt;&lt;Title&gt;Regression Using Fractional Polynomials of Continuous Covariates: Parsimonious Parametric Modelling&lt;/Title&gt;&lt;Template&gt;Journal Article&lt;/Template&gt;&lt;Star&gt;0&lt;/Star&gt;&lt;Tag&gt;0&lt;/Tag&gt;&lt;Author&gt;Royston, P; Altman, Douglas G&lt;/Author&gt;&lt;Year&gt;1995&lt;/Year&gt;&lt;Details&gt;&lt;_created&gt;64213485&lt;/_created&gt;&lt;_issue&gt;2&lt;/_issue&gt;&lt;_journal&gt;Insurance Mathematics and Economics&lt;/_journal&gt;&lt;_modified&gt;64630791&lt;/_modified&gt;&lt;_pages&gt;165-166&lt;/_pages&gt;&lt;_volume&gt;16&lt;/_volume&gt;&lt;/Details&gt;&lt;Extra&gt;&lt;DBUID&gt;{F96A950B-833F-4880-A151-76DA2D6A2879}&lt;/DBUID&gt;&lt;/Extra&gt;&lt;/Item&gt;&lt;/References&gt;&lt;/Group&gt;&lt;/Citation&gt;_x000a_"/>
    <w:docVar w:name="NE.Ref{F976B6A0-6549-4573-995E-2221B741560B}" w:val=" ADDIN NE.Ref.{F976B6A0-6549-4573-995E-2221B741560B}&lt;Citation&gt;&lt;Group&gt;&lt;References&gt;&lt;Item&gt;&lt;ID&gt;3013&lt;/ID&gt;&lt;UID&gt;{DDF77562-F5F9-4F91-93AD-71B2DFC51B31}&lt;/UID&gt;&lt;Title&gt;320MO Envonalkib vs crizotinib in treatment-naïve advanced ALK-positive NSCLC: A randomized, multicenter, phase III trial&lt;/Title&gt;&lt;Template&gt;Journal Article&lt;/Template&gt;&lt;Star&gt;0&lt;/Star&gt;&lt;Tag&gt;0&lt;/Tag&gt;&lt;Author&gt;Zhang, L; Fang, W; Min, J; Yang, N; Yu, Q; Cheng, Y; Zhao, Y; Li, M; Chen, H; Ren, S; Zhou, J; Zhuang, W; Qin, X; Cao, L; Yu, Y; Zhang, J; He, J; Feng, J; Yu, H&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7&lt;/_doi&gt;&lt;_impact_factor&gt;  51.769&lt;/_impact_factor&gt;&lt;_isbn&gt;0923-7534&lt;/_isbn&gt;&lt;_journal&gt;Annals of Oncology&lt;/_journal&gt;&lt;_modified&gt;64740730&lt;/_modified&gt;&lt;_pages&gt;S1564-S1565&lt;/_pages&gt;&lt;_social_category&gt;医学(1)&lt;/_social_category&gt;&lt;_url&gt;https://www.sciencedirect.com/science/article/pii/S0923753422045483&lt;/_url&gt;&lt;_volume&gt;33&lt;/_volume&gt;&lt;/Details&gt;&lt;Extra&gt;&lt;DBUID&gt;{F96A950B-833F-4880-A151-76DA2D6A2879}&lt;/DBUID&gt;&lt;/Extra&gt;&lt;/Item&gt;&lt;/References&gt;&lt;/Group&gt;&lt;/Citation&gt;_x000a_"/>
    <w:docVar w:name="NE.Ref{F9A69008-3823-400F-B711-CF7D836331A0}" w:val=" ADDIN NE.Ref.{F9A69008-3823-400F-B711-CF7D836331A0}&lt;Citation&gt;&lt;Group&gt;&lt;References&gt;&lt;Item&gt;&lt;ID&gt;2982&lt;/ID&gt;&lt;UID&gt;{0F773087-5591-43BD-A88F-8FC4EABA314A}&lt;/UID&gt;&lt;Title&gt;Global Cancer Statistics 2020: GLOBOCAN Estimates of Incidence and Mortality Worldwide for 36 Cancers in 185 Countries&lt;/Title&gt;&lt;Template&gt;Journal Article&lt;/Template&gt;&lt;Star&gt;0&lt;/Star&gt;&lt;Tag&gt;0&lt;/Tag&gt;&lt;Author&gt;Sung, H; Ferlay, J; Siegel, R L; Laversanne, M; Soerjomataram, I; Jemal, A; Bray, F&lt;/Author&gt;&lt;Year&gt;2021&lt;/Year&gt;&lt;Details&gt;&lt;_accessed&gt;64073701&lt;/_accessed&gt;&lt;_accession_num&gt;33538338&lt;/_accession_num&gt;&lt;_author_adr&gt;Surveillance and Health Equity Science, American Cancer Society, Atlanta, Georgia.; Section of Cancer Surveillance, International Agency for Research on Cancer, Lyon, France.; Surveillance and Health Equity Science, American Cancer Society, Atlanta, Georgia.; Section of Cancer Surveillance, International Agency for Research on Cancer, Lyon, France.; Section of Cancer Surveillance, International Agency for Research on Cancer, Lyon, France.; Surveillance and Health Equity Science, American Cancer Society, Atlanta, Georgia.; Section of Cancer Surveillance, International Agency for Research on Cancer, Lyon, France.&lt;/_author_adr&gt;&lt;_collection_scope&gt;SCIE&lt;/_collection_scope&gt;&lt;_created&gt;64069787&lt;/_created&gt;&lt;_date&gt;2021-05-01&lt;/_date&gt;&lt;_date_display&gt;2021 May&lt;/_date_display&gt;&lt;_db_updated&gt;PubMed&lt;/_db_updated&gt;&lt;_doi&gt;10.3322/caac.21660&lt;/_doi&gt;&lt;_impact_factor&gt; 286.130&lt;/_impact_factor&gt;&lt;_isbn&gt;1542-4863 (Electronic); 0007-9235 (Linking)&lt;/_isbn&gt;&lt;_issue&gt;3&lt;/_issue&gt;&lt;_journal&gt;CA Cancer J Clin&lt;/_journal&gt;&lt;_keywords&gt;*burden; *cancer; *epidemiology; *incidence; *mortality&lt;/_keywords&gt;&lt;_language&gt;eng&lt;/_language&gt;&lt;_modified&gt;64740730&lt;/_modified&gt;&lt;_ori_publication&gt;(c) 2021 American Cancer Society.&lt;/_ori_publication&gt;&lt;_pages&gt;209-249&lt;/_pages&gt;&lt;_social_category&gt;医学(1)&lt;/_social_category&gt;&lt;_subject_headings&gt;Africa/epidemiology; Americas/epidemiology; Asia/epidemiology; Databases, Factual; Developed Countries/*statistics &amp;amp; numerical data; Developing Countries/*statistics &amp;amp; numerical data; Europe; Female; Global Health/*statistics &amp;amp; numerical data; Humans; Incidence; Internationality; Male; Neoplasms/*epidemiology/mortality; Oceania/epidemiology; *Population Dynamics; Risk Factors; Sex Distribution&lt;/_subject_headings&gt;&lt;_tertiary_title&gt;CA: a cancer journal for clinicians&lt;/_tertiary_title&gt;&lt;_type_work&gt;Journal Article&lt;/_type_work&gt;&lt;_url&gt;http://www.ncbi.nlm.nih.gov/entrez/query.fcgi?cmd=Retrieve&amp;amp;db=pubmed&amp;amp;dopt=Abstract&amp;amp;list_uids=33538338&amp;amp;query_hl=1&lt;/_url&gt;&lt;_volume&gt;71&lt;/_volume&gt;&lt;/Details&gt;&lt;Extra&gt;&lt;DBUID&gt;{F96A950B-833F-4880-A151-76DA2D6A2879}&lt;/DBUID&gt;&lt;/Extra&gt;&lt;/Item&gt;&lt;/References&gt;&lt;/Group&gt;&lt;/Citation&gt;_x000a_"/>
    <w:docVar w:name="NE.Ref{FA8323BD-8450-4D95-B481-D0FF0DF1A7DF}" w:val=" ADDIN NE.Ref.{FA8323BD-8450-4D95-B481-D0FF0DF1A7DF}&lt;Citation&gt;&lt;Group&gt;&lt;References&gt;&lt;Item&gt;&lt;ID&gt;3020&lt;/ID&gt;&lt;UID&gt;{D1B5A443-6F20-44FA-91EB-63889184E3B1}&lt;/UID&gt;&lt;Title&gt;Nivolumab in Nonsquamous Non-Small-Cell Lung Cancer&lt;/Title&gt;&lt;Template&gt;Journal Article&lt;/Template&gt;&lt;Star&gt;0&lt;/Star&gt;&lt;Tag&gt;0&lt;/Tag&gt;&lt;Author&gt;Borghaei, H; Brahmer, J&lt;/Author&gt;&lt;Year&gt;2016&lt;/Year&gt;&lt;Details&gt;&lt;_accession_num&gt;26840144&lt;/_accession_num&gt;&lt;_date_display&gt;2016 Feb 4&lt;/_date_display&gt;&lt;_date&gt;2016-02-04&lt;/_date&gt;&lt;_doi&gt;10.1056/NEJMc1514790&lt;/_doi&gt;&lt;_isbn&gt;1533-4406 (Electronic); 0028-4793 (Linking)&lt;/_isbn&gt;&lt;_issue&gt;5&lt;/_issue&gt;&lt;_journal&gt;N Engl J Med&lt;/_journal&gt;&lt;_language&gt;eng&lt;/_language&gt;&lt;_pages&gt;493-4&lt;/_pages&gt;&lt;_subject_headings&gt;Antibodies, Monoclonal/*therapeutic use; Antineoplastic Agents/*therapeutic use; Carcinoma, Non-Small-Cell Lung/*drug therapy; Female; Humans; Lung Neoplasms/*drug therapy; Male; Taxoids/*therapeutic use&lt;/_subject_headings&gt;&lt;_tertiary_title&gt;The New England journal of medicine&lt;/_tertiary_title&gt;&lt;_type_work&gt;Comment; Letter&lt;/_type_work&gt;&lt;_url&gt;http://www.ncbi.nlm.nih.gov/entrez/query.fcgi?cmd=Retrieve&amp;amp;db=pubmed&amp;amp;dopt=Abstract&amp;amp;list_uids=26840144&amp;amp;query_hl=1&lt;/_url&gt;&lt;_volume&gt;374&lt;/_volume&gt;&lt;_created&gt;64740768&lt;/_created&gt;&lt;_modified&gt;64740768&lt;/_modified&gt;&lt;_db_updated&gt;PubMed&lt;/_db_updated&gt;&lt;_impact_factor&gt; 176.079&lt;/_impact_factor&gt;&lt;_social_category&gt;医学(1)&lt;/_social_category&gt;&lt;_collection_scope&gt;SCIE&lt;/_collection_scope&gt;&lt;/Details&gt;&lt;Extra&gt;&lt;DBUID&gt;{F96A950B-833F-4880-A151-76DA2D6A2879}&lt;/DBUID&gt;&lt;/Extra&gt;&lt;/Item&gt;&lt;/References&gt;&lt;/Group&gt;&lt;/Citation&gt;_x000a_"/>
    <w:docVar w:name="NE.Ref{FA9D1A16-C80D-4312-A5F7-BE838EDEEB6C}" w:val=" ADDIN NE.Ref.{FA9D1A16-C80D-4312-A5F7-BE838EDEEB6C}&lt;Citation&gt;&lt;Group&gt;&lt;References&gt;&lt;Item&gt;&lt;ID&gt;2409&lt;/ID&gt;&lt;UID&gt;{5B60C790-8BAD-44FD-9015-D252BD4658E1}&lt;/UID&gt;&lt;Title&gt;Flexible Parametric Survival Analysis Using Stata: Beyond the Cox Model&lt;/Title&gt;&lt;Template&gt;Journal Article&lt;/Template&gt;&lt;Star&gt;0&lt;/Star&gt;&lt;Tag&gt;0&lt;/Tag&gt;&lt;Author&gt;Royston, P; Lambert, P C&lt;/Author&gt;&lt;Year&gt;2011&lt;/Year&gt;&lt;Details&gt;&lt;_created&gt;64213125&lt;/_created&gt;&lt;_journal&gt;Stata Press Books&lt;/_journal&gt;&lt;_modified&gt;64630791&lt;/_modified&gt;&lt;/Details&gt;&lt;Extra&gt;&lt;DBUID&gt;{F96A950B-833F-4880-A151-76DA2D6A2879}&lt;/DBUID&gt;&lt;/Extra&gt;&lt;/Item&gt;&lt;/References&gt;&lt;/Group&gt;&lt;/Citation&gt;_x000a_"/>
    <w:docVar w:name="NE.Ref{FAADE8EA-18E7-40D4-9A8E-04119981DB63}" w:val=" ADDIN NE.Ref.{FAADE8EA-18E7-40D4-9A8E-04119981DB63}&lt;Citation&gt;&lt;Group&gt;&lt;References&gt;&lt;Item&gt;&lt;ID&gt;46206&lt;/ID&gt;&lt;UID&gt;{F264300B-42F8-441B-8DC9-4014AEFCD636}&lt;/UID&gt;&lt;Title&gt;Results of PROFILE 1029, a Phase III Comparison of First-Line Crizotinib versus Chemotherapy in East Asian Patients with ALK-Positive Advanced Non-Small Cell Lung Cancer&lt;/Title&gt;&lt;Template&gt;Journal Article&lt;/Template&gt;&lt;Star&gt;0&lt;/Star&gt;&lt;Tag&gt;0&lt;/Tag&gt;&lt;Author&gt;Wu, Y L; Lu, S; Lu, Y; Zhou, J; Shi, Y K; Sriuranpong, V; Ho, JCM; Ong, C K; Tsai, C M; Chung, C H; Wilner, K D; Tang, Y; Masters, E T; Selaru, P; Mok, T S&lt;/Author&gt;&lt;Year&gt;2018&lt;/Year&gt;&lt;Details&gt;&lt;_accessed&gt;64632481&lt;/_accessed&gt;&lt;_accession_num&gt;29966800&lt;/_accession_num&gt;&lt;_author_adr&gt;Guangdong Lung Cancer Institute, Guangdong General Hospital and Guangdong Academy of Medical Sciences, Guangzhou, People&amp;apos;s Republic of China. Electronic address: syylwu@live.cn.; Department of Shanghai Lung Cancer Center, Shanghai Chest Hospital, Jiao Tong University, Shanghai, People&amp;apos;s Republic of China.; Department of Thoracic Oncology, West China Hospital, Sichuan University, Chengdu, People&amp;apos;s Republic of China.; Respiratory Department, First Affiliated Hospital, School of Medicine, Zhejiang University, Hangzhou, People&amp;apos;s Republic of China.; Department of Medical Oncology, Beijing Key Laboratory of Clinical Study on Anticancer Molecular Targeted Drugs, National Cancer Center/Cancer Hospital, Chinese Academy of Medical Sciences and Peking Union Medical College, Beijing, People&amp;apos;s Republic of China.; Medical Oncology Unit, Department of Medicine, Chulalongkorn University and the King Chulalongkorn Memorial Hospital, Bangkok, Thailand.; Department of Medicine, The University of Hong Kong, Hong Kong, People&amp;apos;s Republic of China.; Department of Respiratory Medicine, Hospital Pulau Pinang, Pulau Pinang, Malaysia.; Department of Oncology, Taipei Veterans General Hospital, Taipei, Taiwan, Republic of China.; Pfizer Oncology, New York, New York.; Pfizer Oncology, La Jolla, California.; Pfizer Oncology, La Jolla, California.; Pfizer Oncology, New York, New York.; Pfizer Oncology, La Jolla, California.; Department of Clinical Oncology, State Laboratory of South China, The Chinese University of Hong Kong, Hong Kong, People&amp;apos;s Republic of China.&lt;/_author_adr&gt;&lt;_collection_scope&gt;SCIE&lt;/_collection_scope&gt;&lt;_created&gt;64630945&lt;/_created&gt;&lt;_date&gt;2018-10-01&lt;/_date&gt;&lt;_date_display&gt;2018 Oct&lt;/_date_display&gt;&lt;_db_updated&gt;PubMed&lt;/_db_updated&gt;&lt;_doi&gt;10.1016/j.jtho.2018.06.012&lt;/_doi&gt;&lt;_impact_factor&gt;  20.121&lt;/_impact_factor&gt;&lt;_isbn&gt;1556-1380 (Electronic); 1556-0864 (Linking)&lt;/_isbn&gt;&lt;_issue&gt;10&lt;/_issue&gt;&lt;_journal&gt;J Thorac Oncol&lt;/_journal&gt;&lt;_keywords&gt;ALK-positive advanced non-small cell lung cancer; chemotherapy; crizotinib; phase III&lt;/_keywords&gt;&lt;_language&gt;eng&lt;/_language&gt;&lt;_modified&gt;64688891&lt;/_modified&gt;&lt;_ori_publication&gt;Copyright (c) 2018 International Association for the Study of Lung Cancer._x000d__x000a_      Published by Elsevier Inc. All rights reserved.&lt;/_ori_publication&gt;&lt;_pages&gt;1539-1548&lt;/_pages&gt;&lt;_social_category&gt;医学(1)&lt;/_social_category&gt;&lt;_subject_headings&gt;Adult; Aged; Antineoplastic Combined Chemotherapy Protocols/pharmacology/*therapeutic use; Asians; Carcinoma, Non-Small-Cell Lung/*drug therapy/pathology; Crizotinib/pharmacology/*therapeutic use; Female; Humans; Lung Neoplasms/*drug therapy/pathology; Male; Middle Aged; Young Adult&lt;/_subject_headings&gt;&lt;_tertiary_title&gt;Journal of thoracic oncology : official publication of the International_x000d__x000a_      Association for the Study of Lung Cancer&lt;/_tertiary_title&gt;&lt;_type_work&gt;Clinical Trial, Phase III; Journal Article; Research Support, Non-U.S. Gov&amp;apos;t&lt;/_type_work&gt;&lt;_url&gt;http://www.ncbi.nlm.nih.gov/entrez/query.fcgi?cmd=Retrieve&amp;amp;db=pubmed&amp;amp;dopt=Abstract&amp;amp;list_uids=29966800&amp;amp;query_hl=1&lt;/_url&gt;&lt;_volume&gt;13&lt;/_volume&gt;&lt;/Details&gt;&lt;Extra&gt;&lt;DBUID&gt;{F96A950B-833F-4880-A151-76DA2D6A2879}&lt;/DBUID&gt;&lt;/Extra&gt;&lt;/Item&gt;&lt;/References&gt;&lt;/Group&gt;&lt;/Citation&gt;_x000a_"/>
    <w:docVar w:name="NE.Ref{FAB1B1AA-C076-4492-B3E3-57E55C28AE63}" w:val=" ADDIN NE.Ref.{FAB1B1AA-C076-4492-B3E3-57E55C28AE63}&lt;Citation&gt;&lt;Group&gt;&lt;References&gt;&lt;Item&gt;&lt;ID&gt;4718&lt;/ID&gt;&lt;UID&gt;{E45782C8-13B9-44F5-A729-A8A5A4744AFC}&lt;/UID&gt;&lt;Title&gt;Chemotherapy, bevacizumab, and cetuximab in metastatic colorectal cancer&lt;/Title&gt;&lt;Template&gt;Journal Article&lt;/Template&gt;&lt;Star&gt;0&lt;/Star&gt;&lt;Tag&gt;0&lt;/Tag&gt;&lt;Author&gt;Tol, J; Koopman, M; Cats, A; Rodenburg, C J; Creemers, G J; Schrama, J G; Erdkamp, F L; Vos, A H; van Groeningen, C J; Sinnige, H A; Richel, D J; Voest, E E; Dijkstra, J R; Vink-Börger, M E; Antonini, N F; Mol, L; van Krieken, J H; Dalesio, O; Punt, C J&lt;/Author&gt;&lt;Year&gt;2009&lt;/Year&gt;&lt;Details&gt;&lt;_accession_num&gt;19196673&lt;/_accession_num&gt;&lt;_author_adr&gt;Radboud University Nijmegen Medical Center, Nijmegen, The Netherlands.&lt;/_author_adr&gt;&lt;_date_display&gt;2009 Feb 5&lt;/_date_display&gt;&lt;_date&gt;2009-02-05&lt;/_date&gt;&lt;_doi&gt;10.1056/NEJMoa0808268&lt;/_doi&gt;&lt;_isbn&gt;1533-4406 (Electronic); 0028-4793 (Linking)&lt;/_isbn&gt;&lt;_issue&gt;6&lt;/_issue&gt;&lt;_journal&gt;N Engl J Med&lt;/_journal&gt;&lt;_language&gt;eng&lt;/_language&gt;&lt;_ori_publication&gt;2009 Massachusetts Medical Society&lt;/_ori_publication&gt;&lt;_pages&gt;563-72&lt;/_pages&gt;&lt;_subject_headings&gt;Adult; Aged; Aged, 80 and over; Antibodies, Monoclonal/*administration &amp;amp; dosage/adverse effects; Antibodies, Monoclonal, Humanized; Antineoplastic Combined Chemotherapy Protocols/adverse effects/*therapeutic use; Bevacizumab; Capecitabine; Cetuximab; Colorectal Neoplasms/*drug therapy/genetics/pathology; Deoxycytidine/administration &amp;amp; dosage/analogs &amp;amp; derivatives; Disease-Free Survival; ErbB Receptors/*antagonists &amp;amp; inhibitors/immunology/metabolism; Female; Fluorouracil/administration &amp;amp; dosage/analogs &amp;amp; derivatives; Humans; Kaplan-Meier Estimate; Male; Middle Aged; Mutation; Neoplasm Metastasis/drug therapy; Organoplatinum Compounds/administration &amp;amp; dosage; Oxaliplatin; Proto-Oncogene Proteins/genetics; Proto-Oncogene Proteins p21(ras); Quality of Life; Treatment Failure; Vascular Endothelial Growth Factor A/*antagonists &amp;amp; inhibitors; ras Proteins/genetics&lt;/_subject_headings&gt;&lt;_tertiary_title&gt;The New England journal of medicine&lt;/_tertiary_title&gt;&lt;_type_work&gt;Clinical Trial, Phase III; Journal Article; Multicenter Study; Randomized Controlled Trial; Research Support, Non-U.S. Gov&amp;apos;t&lt;/_type_work&gt;&lt;_url&gt;http://www.ncbi.nlm.nih.gov/entrez/query.fcgi?cmd=Retrieve&amp;amp;db=pubmed&amp;amp;dopt=Abstract&amp;amp;list_uids=19196673&amp;amp;query_hl=1&lt;/_url&gt;&lt;_volume&gt;360&lt;/_volume&gt;&lt;_created&gt;65020956&lt;/_created&gt;&lt;_modified&gt;65020956&lt;/_modified&gt;&lt;_impact_factor&gt; 176.079&lt;/_impact_factor&gt;&lt;_social_category&gt;医学(1)&lt;/_social_category&gt;&lt;_collection_scope&gt;SCIE&lt;/_collection_scope&gt;&lt;/Details&gt;&lt;Extra&gt;&lt;DBUID&gt;{F96A950B-833F-4880-A151-76DA2D6A2879}&lt;/DBUID&gt;&lt;/Extra&gt;&lt;/Item&gt;&lt;/References&gt;&lt;/Group&gt;&lt;/Citation&gt;_x000a_"/>
    <w:docVar w:name="NE.Ref{FAC6623D-2306-45C7-9FB9-4E7FAE5461C9}" w:val=" ADDIN NE.Ref.{FAC6623D-2306-45C7-9FB9-4E7FAE5461C9}&lt;Citation&gt;&lt;Group&gt;&lt;References&gt;&lt;Item&gt;&lt;ID&gt;4716&lt;/ID&gt;&lt;UID&gt;{EE358E54-E1D0-4901-825E-CEDF13B782D3}&lt;/UID&gt;&lt;Title&gt;Health-related quality of life and colorectal cancer-specific symptoms in  patients with chemotherapy-refractory metastatic disease treated with  panitumumab&lt;/Title&gt;&lt;Template&gt;Journal Article&lt;/Template&gt;&lt;Star&gt;0&lt;/Star&gt;&lt;Tag&gt;0&lt;/Tag&gt;&lt;Author&gt;Odom, D; Barber, B; Bennett, L; Peeters, M; Zhao, Z; Kaye, J; Wolf, M; Wiezorek, J&lt;/Author&gt;&lt;Year&gt;2011&lt;/Year&gt;&lt;Details&gt;&lt;_accession_num&gt;21190026&lt;/_accession_num&gt;&lt;_author_adr&gt;RTI Health Solutions, Research Triangle Park, NC 22709-2194, USA.&lt;/_author_adr&gt;&lt;_date_display&gt;2011 Feb&lt;/_date_display&gt;&lt;_date&gt;2011-02-01&lt;/_date&gt;&lt;_doi&gt;10.1007/s00384-010-1112-5&lt;/_doi&gt;&lt;_isbn&gt;1432-1262 (Electronic); 0179-1958 (Print); 0179-1958 (Linking)&lt;/_isbn&gt;&lt;_issue&gt;2&lt;/_issue&gt;&lt;_journal&gt;Int J Colorectal Dis&lt;/_journal&gt;&lt;_language&gt;eng&lt;/_language&gt;&lt;_pages&gt;173-81&lt;/_pages&gt;&lt;_subject_headings&gt;Antibodies, Monoclonal/*therapeutic use; Antineoplastic Agents/*therapeutic use; Colorectal Neoplasms/*drug therapy/genetics/*pathology; *Drug Resistance, Neoplasm; *Health; Humans; Least-Squares Analysis; Linear Models; Neoplasm Metastasis; Panitumumab; Proto-Oncogene Proteins/genetics; Proto-Oncogene Proteins p21(ras); *Quality of Life; ras Proteins/genetics&lt;/_subject_headings&gt;&lt;_tertiary_title&gt;International journal of colorectal disease&lt;/_tertiary_title&gt;&lt;_type_work&gt;Journal Article; Randomized Controlled Trial; Research Support, Non-U.S. Gov&amp;apos;t&lt;/_type_work&gt;&lt;_url&gt;http://www.ncbi.nlm.nih.gov/entrez/query.fcgi?cmd=Retrieve&amp;amp;db=pubmed&amp;amp;dopt=Abstract&amp;amp;list_uids=21190026&amp;amp;query_hl=1&lt;/_url&gt;&lt;_volume&gt;26&lt;/_volume&gt;&lt;_created&gt;65020956&lt;/_created&gt;&lt;_modified&gt;65020956&lt;/_modified&gt;&lt;_impact_factor&gt;   2.796&lt;/_impact_factor&gt;&lt;_social_category&gt;医学(3)&lt;/_social_category&gt;&lt;_collection_scope&gt;SCIE&lt;/_collection_scope&gt;&lt;/Details&gt;&lt;Extra&gt;&lt;DBUID&gt;{F96A950B-833F-4880-A151-76DA2D6A2879}&lt;/DBUID&gt;&lt;/Extra&gt;&lt;/Item&gt;&lt;/References&gt;&lt;/Group&gt;&lt;/Citation&gt;_x000a_"/>
    <w:docVar w:name="NE.Ref{FB15EA63-010D-4595-AAD5-EF5ECDD2793C}" w:val=" ADDIN NE.Ref.{FB15EA63-010D-4595-AAD5-EF5ECDD2793C}&lt;Citation&gt;&lt;Group&gt;&lt;References&gt;&lt;Item&gt;&lt;ID&gt;2945&lt;/ID&gt;&lt;UID&gt;{5FD3A1C7-4AB1-45F9-B4F7-1F5782B390A7}&lt;/UID&gt;&lt;Title&gt;320MO Envonalkib vs crizotinib in treatment-naïve advanced ALK-positive NSCLC: A randomized, multicenter, phase III trial&lt;/Title&gt;&lt;Template&gt;Journal Article&lt;/Template&gt;&lt;Star&gt;0&lt;/Star&gt;&lt;Tag&gt;0&lt;/Tag&gt;&lt;Author&gt;Zhang, L; Fang, W; Min, J; Yang, N; Yu, Q; Cheng, Y; Zhao, Y; Li, M; Chen, H; Ren, S; Zhou, J; Zhuang, W; Qin, X; Cao, L; Yu, Y; Zhang, J; He, J; Feng, J; Yu, H&lt;/Author&gt;&lt;Year&gt;2022&lt;/Year&gt;&lt;Details&gt;&lt;_alternate_title&gt;Annals of OncologyAbstract Book of the ESMO Asia Congress 2022 2-4 December 2022.&lt;/_alternate_title&gt;&lt;_collection_scope&gt;SCIE&lt;/_collection_scope&gt;&lt;_created&gt;64739392&lt;/_created&gt;&lt;_date&gt;2022-01-01&lt;/_date&gt;&lt;_date_display&gt;2022&lt;/_date_display&gt;&lt;_doi&gt;https://doi.org/10.1016/j.annonc.2022.10.357&lt;/_doi&gt;&lt;_impact_factor&gt;  51.769&lt;/_impact_factor&gt;&lt;_isbn&gt;0923-7534&lt;/_isbn&gt;&lt;_journal&gt;Annals of Oncology&lt;/_journal&gt;&lt;_modified&gt;64740725&lt;/_modified&gt;&lt;_pages&gt;S1564-S1565&lt;/_pages&gt;&lt;_social_category&gt;医学(1)&lt;/_social_category&gt;&lt;_url&gt;https://www.sciencedirect.com/science/article/pii/S0923753422045483&lt;/_url&gt;&lt;_volume&gt;33&lt;/_volume&gt;&lt;/Details&gt;&lt;Extra&gt;&lt;DBUID&gt;{F96A950B-833F-4880-A151-76DA2D6A2879}&lt;/DBUID&gt;&lt;/Extra&gt;&lt;/Item&gt;&lt;/References&gt;&lt;/Group&gt;&lt;/Citation&gt;_x000a_"/>
    <w:docVar w:name="NE.Ref{FBCC089A-49AC-4D28-8D16-30EDF078D805}" w:val=" ADDIN NE.Ref.{FBCC089A-49AC-4D28-8D16-30EDF078D805}&lt;Citation&gt;&lt;Group&gt;&lt;References&gt;&lt;Item&gt;&lt;ID&gt;4705&lt;/ID&gt;&lt;UID&gt;{000E02BA-CBC1-4F49-95F0-2DF95A40229B}&lt;/UID&gt;&lt;Title&gt;Health-related quality of life in patients with RAS wild-type metastatic  colorectal cancer treated with panitumumab-based first-line treatment strategy: A  pre-specified secondary analysis of the Valentino study&lt;/Title&gt;&lt;Template&gt;Journal Article&lt;/Template&gt;&lt;Star&gt;0&lt;/Star&gt;&lt;Tag&gt;0&lt;/Tag&gt;&lt;Author&gt;Raimondi, A; Di Maio, M; Morano, F; Corallo, S; Lonardi, S; Antoniotti, C; Rimassa, L; Sartore-Bianchi, A; Tampellini, M; Ritorto, G; Murialdo, R; Clavarezza, M; Zaniboni, A; Adamo, V; Tomasello, G; Petrelli, F; Antonuzzo, L; Giordano, M; Cinieri, S; Longarini, R; Bergamo, F; Niger, M; Antista, M; Peverelli, G; de Braud, F; Di Bartolomeo, M; Pietrantonio, F&lt;/Author&gt;&lt;Year&gt;2020&lt;/Year&gt;&lt;Details&gt;&lt;_accession_num&gt;32623288&lt;/_accession_num&gt;&lt;_author_adr&gt;Department of Medical Oncology, Fondazione IRCCS Istituto Nazionale Dei Tumori,  Milan, Italy.; Department of Oncology, University of Turin, Ordine Mauriziano Hospital, Torino,  Italy.; Department of Medical Oncology, Fondazione IRCCS Istituto Nazionale Dei Tumori,  Milan, Italy.; Department of Medical Oncology, Fondazione IRCCS Istituto Nazionale Dei Tumori,  Milan, Italy.; Medical Oncology Unit 1, Department of Oncology, Istituto Oncologico Veneto -  IRCCS, Padua, Italy.; Unit of Medical Oncology, Azienda Ospedaliero-Universitaria Pisana, Department of  Translational Research and New Technologies in Medicine, University of Pisa,  Pisa, Italy.; Medical Oncology and Hematology Unit, Humanitas Cancer Center, Humanitas Clinical  and Research Center - IRCCS, Rozzano, Italy.; Niguarda Cancer Center, Grande Ospedale Metropolitano Niguarda, Milan, Italy;  Oncology and Hemato-oncology Department, University of Milan, Milan, Italy.; Department of Oncology, AOU San Luigi di Orbassano, University of Torino,  Orbassano, Italy.; Colorectal Cancer Unit, Medical Oncology Division 1, Azienda  Ospedaliero-Universitaria Città Della Salute e Della Scienza, Torino, Italy.; Department of Internal Medicine, University of Genoa and IRCCS AOU San  Martino-IST, Genoa, Italy.; Medical Oncology Unit, Ente Ospedaliero Ospedali Galliera, Genoa, Italy.; Medical Oncology Unit, Fondazione Poliambulanza, Brescia, Italy.; Medical Oncology Unit A.O. Papardo &amp;amp; Department of Human Pathology, University of  Messina, Messina, Italy.; Medical Oncology Unit, ASST Ospedale di Cremona, Cremona, Italy.; Medical Oncology Unit, Oncology Department, ASST Bergamo Ovest, Treviglio, Italy.; Department of Medical Oncology, Oncology Unit, AOU Careggi, Florence, Italy.; Medical Oncology Unit, Azienda Socio Sanitaria Territoriale Lariana, Como, Italy.; Medical Oncology Unit, Ospedale Antonio Perrino, Brindisi, Italy.; Medical Oncology Unit, Azienda Ospedaliera San Gerardo, Monza, Italy.; Medical Oncology Unit 1, Department of Oncology, Istituto Oncologico Veneto -  IRCCS, Padua, Italy.; Department of Medical Oncology, Fondazione IRCCS Istituto Nazionale Dei Tumori,  Milan, Italy.; Department of Medical Oncology, Fondazione IRCCS Istituto Nazionale Dei Tumori,  Milan, Italy.; Department of Medical Oncology, Fondazione IRCCS Istituto Nazionale Dei Tumori,  Milan, Italy.; Department of Medical Oncology, Fondazione IRCCS Istituto Nazionale Dei Tumori,  Milan, Italy; Oncology and Hemato-oncology Department, University of Milan,  Milan, Italy.; Department of Medical Oncology, Fondazione IRCCS Istituto Nazionale Dei Tumori,  Milan, Italy.; Department of Medical Oncology, Fondazione IRCCS Istituto Nazionale Dei Tumori,  Milan, Italy; Oncology and Hemato-oncology Department, University of Milan,  Milan, Italy. Electronic address: filippo.pietrantonio@istitutotumori.mi.it.&lt;/_author_adr&gt;&lt;_date_display&gt;2020 Aug&lt;/_date_display&gt;&lt;_date&gt;2020-08-01&lt;/_date&gt;&lt;_doi&gt;10.1016/j.ejca.2020.04.048&lt;/_doi&gt;&lt;_isbn&gt;1879-0852 (Electronic); 0959-8049 (Linking)&lt;/_isbn&gt;&lt;_journal&gt;Eur J Cancer&lt;/_journal&gt;&lt;_keywords&gt;Anti-EGFR therapy; First-line treatment; Metastatic colorectal cancer; Patient-reported outcomes; Quality of life; RAS wild-type&lt;/_keywords&gt;&lt;_language&gt;eng&lt;/_language&gt;&lt;_ori_publication&gt;Copyright © 2020 Elsevier Ltd. All rights reserved.&lt;/_ori_publication&gt;&lt;_pages&gt;230-239&lt;/_pages&gt;&lt;_subject_headings&gt;Aged; Antineoplastic Agents, Immunological/*administration &amp;amp; dosage/adverse effects; Antineoplastic Combined Chemotherapy Protocols/administration &amp;amp; dosage; Biomarkers, Tumor/*genetics; Colorectal Neoplasms/*drug therapy/genetics/pathology; Female; Fluorouracil/administration &amp;amp; dosage; *Genes, ras; Humans; Italy; Leucovorin/administration &amp;amp; dosage; Male; Middle Aged; *Mutation; Neoplasm Metastasis; Organoplatinum Compounds/administration &amp;amp; dosage; Panitumumab/*administration &amp;amp; dosage/adverse effects; Patient Reported Outcome Measures; Progression-Free Survival; *Quality of Life; Time Factors&lt;/_subject_headings&gt;&lt;_tertiary_title&gt;European journal of cancer (Oxford, England : 1990)&lt;/_tertiary_title&gt;&lt;_type_work&gt;Clinical Trial, Phase II; Comparative Study; Equivalence Trial; Journal Article; Multicenter Study; Research Support, Non-U.S. Gov&amp;apos;t&lt;/_type_work&gt;&lt;_url&gt;http://www.ncbi.nlm.nih.gov/entrez/query.fcgi?cmd=Retrieve&amp;amp;db=pubmed&amp;amp;dopt=Abstract&amp;amp;list_uids=32623288&amp;amp;query_hl=1&lt;/_url&gt;&lt;_volume&gt;135&lt;/_volume&gt;&lt;_created&gt;65020956&lt;/_created&gt;&lt;_modified&gt;65020956&lt;/_modified&gt;&lt;_impact_factor&gt;  10.002&lt;/_impact_factor&gt;&lt;_social_category&gt;医学(1)&lt;/_social_category&gt;&lt;_collection_scope&gt;SCIE&lt;/_collection_scope&gt;&lt;/Details&gt;&lt;Extra&gt;&lt;DBUID&gt;{F96A950B-833F-4880-A151-76DA2D6A2879}&lt;/DBUID&gt;&lt;/Extra&gt;&lt;/Item&gt;&lt;/References&gt;&lt;/Group&gt;&lt;/Citation&gt;_x000a_"/>
    <w:docVar w:name="NE.Ref{FC58F587-BAC4-4B07-9523-1EC814AA12F8}" w:val=" ADDIN NE.Ref.{FC58F587-BAC4-4B07-9523-1EC814AA12F8}&lt;Citation&gt;&lt;Group&gt;&lt;References&gt;&lt;Item&gt;&lt;ID&gt;5026&lt;/ID&gt;&lt;UID&gt;{ADFDBF1C-A43E-44DE-AF69-C6C0BE4ED953}&lt;/UID&gt;&lt;Title&gt;Cost-effectiveness of immune checkpoint inhibitors for microsatellite  instability-high/mismatch repair-deficient metastatic colorectal cancer&lt;/Title&gt;&lt;Template&gt;Journal Article&lt;/Template&gt;&lt;Star&gt;0&lt;/Star&gt;&lt;Tag&gt;0&lt;/Tag&gt;&lt;Author&gt;Chu, J N; Choi, J; Ostvar, S; Torchia, J A; Reynolds, K L; Tramontano, A; Gainor, J F; Chung, D C; Clark, J W; Hur, C&lt;/Author&gt;&lt;Year&gt;2019&lt;/Year&gt;&lt;Details&gt;&lt;_accession_num&gt;30343509&lt;/_accession_num&gt;&lt;_author_adr&gt;Department of Medicine, Massachusetts General Hospital, Boston, Massachusetts.; Institute for Technology Assessment, Massachusetts General Hospital, Boston,  Massachusetts.; Institute for Technology Assessment, Massachusetts General Hospital, Boston,  Massachusetts.; Dana-Farber Cancer Institute, Boston, Massachusetts.; Massachusetts General Hospital Cancer Center, Boston, Massachusetts.; Institute for Technology Assessment, Massachusetts General Hospital, Boston,  Massachusetts.; Massachusetts General Hospital Cancer Center, Boston, Massachusetts.; Division of Gastroenterology, Massachusetts General Hospital, Boston,  Massachusetts.; Massachusetts General Hospital Cancer Center, Boston, Massachusetts.; Department of Medicine, Massachusetts General Hospital, Boston, Massachusetts.; Institute for Technology Assessment, Massachusetts General Hospital, Boston,  Massachusetts.; Division of Gastroenterology, Massachusetts General Hospital, Boston,  Massachusetts.; Columbia University Irving Medical Center, New York, New York.&lt;/_author_adr&gt;&lt;_date_display&gt;2019 Jan 15&lt;/_date_display&gt;&lt;_date&gt;2019-01-15&lt;/_date&gt;&lt;_doi&gt;10.1002/cncr.31795&lt;/_doi&gt;&lt;_isbn&gt;1097-0142 (Electronic); 0008-543X (Print); 0008-543X (Linking)&lt;/_isbn&gt;&lt;_issue&gt;2&lt;/_issue&gt;&lt;_journal&gt;Cancer&lt;/_journal&gt;&lt;_keywords&gt;colorectal neoplasms; cost-benefit analysis; immunotherapy; ipilimumab; nivolumab&lt;/_keywords&gt;&lt;_language&gt;eng&lt;/_language&gt;&lt;_ori_publication&gt;© 2018 American Cancer Society.&lt;/_ori_publication&gt;&lt;_pages&gt;278-289&lt;/_pages&gt;&lt;_subject_headings&gt;Aged; Aged, 80 and over; Antineoplastic Agents, Immunological/*economics/*therapeutic use; Antineoplastic Combined Chemotherapy Protocols/economics/therapeutic use; Colorectal Neoplasms/*drug therapy/economics/genetics/pathology; Cost-Benefit Analysis; DNA Mismatch Repair; Drug Costs; Female; Fluorouracil/economics/therapeutic use; Humans; Ipilimumab/administration &amp;amp; dosage/economics; Leucovorin/economics/therapeutic use; Male; Microsatellite Instability; Middle Aged; Nivolumab/administration &amp;amp; dosage/economics; Organoplatinum Compounds/economics/therapeutic use; Quality-Adjusted Life Years&lt;/_subject_headings&gt;&lt;_tertiary_title&gt;Cancer&lt;/_tertiary_title&gt;&lt;_type_work&gt;Journal Article&lt;/_type_work&gt;&lt;_url&gt;http://www.ncbi.nlm.nih.gov/entrez/query.fcgi?cmd=Retrieve&amp;amp;db=pubmed&amp;amp;dopt=Abstract&amp;amp;list_uids=30343509&amp;amp;query_hl=1&lt;/_url&gt;&lt;_volume&gt;125&lt;/_volume&gt;&lt;_created&gt;65329740&lt;/_created&gt;&lt;_modified&gt;65329740&lt;/_modified&gt;&lt;_impact_factor&gt;   6.200&lt;/_impact_factor&gt;&lt;_social_category&gt;肿瘤学(2)&lt;/_social_category&gt;&lt;_collection_scope&gt;SCIE&lt;/_collection_scope&gt;&lt;_accessed&gt;65330795&lt;/_accessed&gt;&lt;/Details&gt;&lt;Extra&gt;&lt;DBUID&gt;{F96A950B-833F-4880-A151-76DA2D6A2879}&lt;/DBUID&gt;&lt;/Extra&gt;&lt;/Item&gt;&lt;/References&gt;&lt;/Group&gt;&lt;/Citation&gt;_x000a_"/>
    <w:docVar w:name="NE.Ref{FC66AE3F-8455-48B4-A675-D5E5624B98EF}" w:val=" ADDIN NE.Ref.{FC66AE3F-8455-48B4-A675-D5E5624B98EF}&lt;Citation&gt;&lt;Group&gt;&lt;References&gt;&lt;Item&gt;&lt;ID&gt;4708&lt;/ID&gt;&lt;UID&gt;{5534BA36-B6BC-4706-AAA3-839309F6E05D}&lt;/UID&gt;&lt;Title&gt;REVERCE: a randomized phase II study of regorafenib followed by cetuximab versus  the reverse sequence for previously treated metastatic colorectal cancer  patients&lt;/Title&gt;&lt;Template&gt;Journal Article&lt;/Template&gt;&lt;Star&gt;0&lt;/Star&gt;&lt;Tag&gt;0&lt;/Tag&gt;&lt;Author&gt;Shitara, K; Yamanaka, T; Denda, T; Tsuji, Y; Shinozaki, K; Komatsu, Y; Kobayashi, Y; Furuse, J; Okuda, H; Asayama, M; Akiyoshi, K; Kagawa, Y; Kato, T; Oki, E; Ando, T; Hagiwara, Y; Ohashi, Y; Yoshino, T&lt;/Author&gt;&lt;Year&gt;2019&lt;/Year&gt;&lt;Details&gt;&lt;_accession_num&gt;30508156&lt;/_accession_num&gt;&lt;_author_adr&gt;Department of Gastroenterology and Gastrointestinal Oncology, National Cancer  Center Hospital East, Kashiwa, Japan.; Department of Biostatistics, Yokohama City University School of Medicine,  Yokohama, Japan.; Division of Gastroenterology, Chiba Cancer Center, Chiba, Japan.; Department of Medical Oncology, Tonan Hospital, Sapporo, Japan.; Division of Clinical Oncology, Hiroshima Prefectural Hospital, Hiroshima, Japan.; Division of Cancer Chemotherapy, Hokkaido University Hospital Cancer Center,  Sapporo, Japan.; Department of Medical Oncology, Kushiro Rosai Hospital, Kushiro, Japan.; Department of Medical Oncology, Kyorin University Faculty of Medicine, Tokyo,  Japan.; Department of Medical Oncology, Keiyukai Sapporo Hospital, Sapporo, Japan.; Department of Gastroenterology, Saitama Cancer Center, Saitama, Japan.; Department of Clinical Oncology, Osaka City General Hospital, Osaka, Japan.; Department of Surgery, Kansai Rosa Hospital, Amagasaki, Japan.; Department of Surgery, National Hospital Organization Osaka National Hospital,  Osaka, Japan.; Department of Surgery and Science, Graduate School of Medical Sciences, Kyushu  University, Fukuoka, Japan.; School of Medicine, University of Tsukuba, Tsukuba, Japan.; Department of Biostatistics, School of Public Health, The University of Tokyo,  Tokyo, Japan.; Department of Integrated Science and Engineering for Sustainable Society, Faculty  of Science and Engineering, Chuo University, Tokyo, Japan.; Department of Gastroenterology and Gastrointestinal Oncology, National Cancer  Center Hospital East, Kashiwa, Japan. Electronic address:  tyoshino@east.ncc.go.jp.&lt;/_author_adr&gt;&lt;_date_display&gt;2019 Feb 1&lt;/_date_display&gt;&lt;_date&gt;2019-02-01&lt;/_date&gt;&lt;_doi&gt;10.1093/annonc/mdy526&lt;/_doi&gt;&lt;_isbn&gt;1569-8041 (Electronic); 0923-7534 (Linking)&lt;/_isbn&gt;&lt;_issue&gt;2&lt;/_issue&gt;&lt;_journal&gt;Ann Oncol&lt;/_journal&gt;&lt;_keywords&gt;cetuximab; colorectal cancer; liquid biomarkers; randomized phase II; regorafenib&lt;/_keywords&gt;&lt;_language&gt;eng&lt;/_language&gt;&lt;_ori_publication&gt;© The Author(s) 2018. Published by Oxford University Press on behalf of the _x000d__x000a_      European Society for Medical Oncology. All rights reserved. For permissions, _x000d__x000a_      please email: journals.permissions@oup.com.&lt;/_ori_publication&gt;&lt;_pages&gt;259-265&lt;/_pages&gt;&lt;_subject_headings&gt;Adenocarcinoma/*drug therapy/secondary; Aged; Antineoplastic Combined Chemotherapy Protocols/*therapeutic use; Cetuximab/administration &amp;amp; dosage; Colorectal Neoplasms/*drug therapy/pathology; Female; Follow-Up Studies; Humans; Male; Middle Aged; Neoplasm Recurrence, Local/*drug therapy/pathology; Phenylurea Compounds/administration &amp;amp; dosage; Prognosis; Pyridines/administration &amp;amp; dosage; Survival Rate&lt;/_subject_headings&gt;&lt;_tertiary_title&gt;Annals of oncology : official journal of the European Society for Medical _x000d__x000a_      Oncology&lt;/_tertiary_title&gt;&lt;_type_work&gt;Clinical Trial, Phase II; Comparative Study; Journal Article; Randomized Controlled Trial; Research Support, Non-U.S. Gov&amp;apos;t&lt;/_type_work&gt;&lt;_url&gt;http://www.ncbi.nlm.nih.gov/entrez/query.fcgi?cmd=Retrieve&amp;amp;db=pubmed&amp;amp;dopt=Abstract&amp;amp;list_uids=30508156&amp;amp;query_hl=1&lt;/_url&gt;&lt;_volume&gt;30&lt;/_volume&gt;&lt;_created&gt;65020956&lt;/_created&gt;&lt;_modified&gt;65020956&lt;/_modified&gt;&lt;_impact_factor&gt;  51.769&lt;/_impact_factor&gt;&lt;_social_category&gt;医学(1)&lt;/_social_category&gt;&lt;_collection_scope&gt;SCIE&lt;/_collection_scope&gt;&lt;/Details&gt;&lt;Extra&gt;&lt;DBUID&gt;{F96A950B-833F-4880-A151-76DA2D6A2879}&lt;/DBUID&gt;&lt;/Extra&gt;&lt;/Item&gt;&lt;/References&gt;&lt;/Group&gt;&lt;/Citation&gt;_x000a_"/>
    <w:docVar w:name="NE.Ref{FD614DEF-8B3F-4CEC-A40E-89D00EE13C3D}" w:val=" ADDIN NE.Ref.{FD614DEF-8B3F-4CEC-A40E-89D00EE13C3D}&lt;Citation&gt;&lt;Group&gt;&lt;References&gt;&lt;Item&gt;&lt;ID&gt;2989&lt;/ID&gt;&lt;UID&gt;{34BAC0ED-EB7A-43FD-B76A-32ADD7668484}&lt;/UID&gt;&lt;Title&gt;Final Overall Survival Analysis From a Study Comparing First-Line Crizotinib Versus Chemotherapy in ALK-Mutation-Positive Non-Small-Cell Lung Cancer&lt;/Title&gt;&lt;Template&gt;Journal Article&lt;/Template&gt;&lt;Star&gt;0&lt;/Star&gt;&lt;Tag&gt;0&lt;/Tag&gt;&lt;Author&gt;Solomon, B J; Kim, D W; Wu, Y L; Nakagawa, K; Mekhail, T; Felip, E; Cappuzzo, F; Paolini, J; Usari, T; Tang, Y; Wilner, K D; Blackhall, F; Mok, T S&lt;/Author&gt;&lt;Year&gt;2018&lt;/Year&gt;&lt;Details&gt;&lt;_accessed&gt;64631484&lt;/_accessed&gt;&lt;_accession_num&gt;29768118&lt;/_accession_num&gt;&lt;_author_adr&gt;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lt;/_author_adr&gt;&lt;_collection_scope&gt;SCIE&lt;/_collection_scope&gt;&lt;_created&gt;64630958&lt;/_created&gt;&lt;_date&gt;2018-08-01&lt;/_date&gt;&lt;_date_display&gt;2018 Aug 1&lt;/_date_display&gt;&lt;_db_updated&gt;PubMed&lt;/_db_updated&gt;&lt;_doi&gt;10.1200/JCO.2017.77.4794&lt;/_doi&gt;&lt;_impact_factor&gt;  50.717&lt;/_impact_factor&gt;&lt;_isbn&gt;1527-7755 (Electronic); 0732-183X (Linking)&lt;/_isbn&gt;&lt;_issue&gt;22&lt;/_issue&gt;&lt;_journal&gt;J Clin Oncol&lt;/_journal&gt;&lt;_language&gt;eng&lt;/_language&gt;&lt;_modified&gt;64740730&lt;/_modified&gt;&lt;_pages&gt;2251-2258&lt;/_pages&gt;&lt;_social_category&gt;医学(1)&lt;/_social_category&gt;&lt;_subject_headings&gt;Aged; Anaplastic Lymphoma Kinase/*genetics; Antineoplastic Combined Chemotherapy Protocols/adverse effects/*therapeutic use; Carboplatin/administration &amp;amp; dosage/adverse effects; Carcinoma, Non-Small-Cell Lung/*drug therapy/enzymology/genetics; Cisplatin/administration &amp;amp; dosage/adverse effects; Crizotinib/*administration &amp;amp; dosage/adverse effects; Female; Humans; Lung Neoplasms/*drug therapy/enzymology/genetics; Male; Middle Aged; Mutation; Pemetrexed/administration &amp;amp; dosage/adverse effects; Protein Kinase Inhibitors/administration &amp;amp; dosage/adverse effects; Survival Rate&lt;/_subject_headings&gt;&lt;_tertiary_title&gt;Journal of clinical oncology : official journal of the American Society of_x000d__x000a_      Clinical Oncology&lt;/_tertiary_title&gt;&lt;_type_work&gt;Clinical Trial, Phase III; Journal Article; Randomized Controlled Trial; Research Support, Non-U.S. Gov&amp;apos;t&lt;/_type_work&gt;&lt;_url&gt;http://www.ncbi.nlm.nih.gov/entrez/query.fcgi?cmd=Retrieve&amp;amp;db=pubmed&amp;amp;dopt=Abstract&amp;amp;list_uids=29768118&amp;amp;query_hl=1&lt;/_url&gt;&lt;_volume&gt;36&lt;/_volume&gt;&lt;/Details&gt;&lt;Extra&gt;&lt;DBUID&gt;{F96A950B-833F-4880-A151-76DA2D6A2879}&lt;/DBUID&gt;&lt;/Extra&gt;&lt;/Item&gt;&lt;/References&gt;&lt;/Group&gt;&lt;Group&gt;&lt;References&gt;&lt;Item&gt;&lt;ID&gt;2990&lt;/ID&gt;&lt;UID&gt;{5BBF0F64-3152-44C0-8F01-E88356E42975}&lt;/UID&gt;&lt;Title&gt;First-line crizotinib versus chemotherapy in ALK-positive lung cancer&lt;/Title&gt;&lt;Template&gt;Journal Article&lt;/Template&gt;&lt;Star&gt;0&lt;/Star&gt;&lt;Tag&gt;0&lt;/Tag&gt;&lt;Author&gt;Solomon, B J; Mok, T; Kim, D W; Wu, Y L; Nakagawa, K; Mekhail, T; Felip, E; Cappuzzo, F; Paolini, J; Usari, T; Iyer, S; Reisman, A; Wilner, K D; Tursi, J; Blackhall, F&lt;/Author&gt;&lt;Year&gt;2014&lt;/Year&gt;&lt;Details&gt;&lt;_accessed&gt;64632481&lt;/_accessed&gt;&lt;_accession_num&gt;25470694&lt;/_accession_num&gt;&lt;_collection_scope&gt;SCIE&lt;/_collection_scope&gt;&lt;_created&gt;64630940&lt;/_created&gt;&lt;_date&gt;2014-12-04&lt;/_date&gt;&lt;_date_display&gt;2014 Dec 4&lt;/_date_display&gt;&lt;_db_updated&gt;PubMed&lt;/_db_updated&gt;&lt;_doi&gt;10.1056/NEJMoa1408440&lt;/_doi&gt;&lt;_impact_factor&gt; 176.079&lt;/_impact_factor&gt;&lt;_isbn&gt;1533-4406 (Electronic); 0028-4793 (Linking)&lt;/_isbn&gt;&lt;_issue&gt;23&lt;/_issue&gt;&lt;_journal&gt;N Engl J Med&lt;/_journal&gt;&lt;_language&gt;eng&lt;/_language&gt;&lt;_modified&gt;64740730&lt;/_modified&gt;&lt;_pages&gt;2167-77&lt;/_pages&gt;&lt;_social_category&gt;医学(1)&lt;/_social_category&gt;&lt;_subject_headings&gt;Adenocarcinoma/drug therapy/mortality; Adult; Aged; Anaplastic Lymphoma Kinase; Antineoplastic Combined Chemotherapy Protocols/adverse effects/*therapeutic use; Carboplatin/administration &amp;amp; dosage; Carcinoma, Non-Small-Cell Lung/*drug therapy/mortality; Cisplatin/administration &amp;amp; dosage; Crizotinib; Disease-Free Survival; Female; Glutamates/administration &amp;amp; dosage; Guanine/administration &amp;amp; dosage/analogs &amp;amp; derivatives; Humans; Kaplan-Meier Estimate; Lung Neoplasms/*drug therapy/mortality; Male; Middle Aged; Pemetrexed; Protein Kinase Inhibitors/adverse effects/*therapeutic use; Pyrazoles/adverse effects/*therapeutic use; Pyridines/adverse effects/*therapeutic use; Receptor Protein-Tyrosine Kinases/*antagonists &amp;amp; inhibitor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5470694&amp;amp;query_hl=1&lt;/_url&gt;&lt;_volume&gt;371&lt;/_volume&gt;&lt;/Details&gt;&lt;Extra&gt;&lt;DBUID&gt;{F96A950B-833F-4880-A151-76DA2D6A2879}&lt;/DBUID&gt;&lt;/Extra&gt;&lt;/Item&gt;&lt;/References&gt;&lt;/Group&gt;&lt;Group&gt;&lt;References&gt;&lt;Item&gt;&lt;ID&gt;2991&lt;/ID&gt;&lt;UID&gt;{FBDF3004-082F-4591-A298-84EED895B837}&lt;/UID&gt;&lt;Title&gt;Intracranial Efficacy of Crizotinib Versus Chemotherapy in Patients With Advanced  ALK-Positive Non-Small-Cell Lung Cancer: Results From PROFILE 1014&lt;/Title&gt;&lt;Template&gt;Journal Article&lt;/Template&gt;&lt;Star&gt;0&lt;/Star&gt;&lt;Tag&gt;0&lt;/Tag&gt;&lt;Author&gt;Solomon, B J; Cappuzzo, F; Felip, E; Blackhall, F H; Costa, D B; Kim, D W; Nakagawa, K; Wu, Y L; Mekhail, T; Paolini, J; Tursi, J; Usari, T; Wilner, K D; Selaru, P; Mok, T S&lt;/Author&gt;&lt;Year&gt;2016&lt;/Year&gt;&lt;Details&gt;&lt;_accession_num&gt;27022118&lt;/_accession_num&gt;&lt;_author_adr&gt;Benjamin J. Solomon, Peter MacCallum Cancer Centre, Melbourne, Victoria,  Australia; Federico Cappuzzo, Istituto Toscano Tumori, Livorno; Jolanda Paolini,  Jennifer Tursi, and Tiziana Usari, Pfizer Oncology, Milan, Italy; Enriqueta  Felip, Vall d&amp;apos;Hebron University Hospital and Vall d&amp;apos;Hebron Institute of Oncology,  Barcelona, Spain; Fiona H. Blackhall, The Christie Hospital and Institute of  Cancer Sciences, Manchester University, Manchester, United Kingdom; Daniel B.  Costa, Beth Israel Deaconess Center, Boston, MA; Tarek Mekhail, Florida Hospital  Cancer Institute, Orlando, FL; Keith D. Wilner and Paulina Selaru, Pfizer  Oncology, La Jolla, CA; Dong-Wan Kim, Seoul National University Hospital, Seoul,  South Korea; Kazuhiko Nakagawa, Kinki University, Osaka, Japan; Yi-Long Wu,  Guangdong Lung Cancer Institute, Guangzhou, China; and Tony S.K. Mok, State Key  Laboratory of South China, Hong Kong Cancer Institute, The Chinese University of  Hong Kong, Shatin, China. ben.solomon@petermac.org.; Benjamin J. Solomon, Peter MacCallum Cancer Centre, Melbourne, Victoria,  Australia; Federico Cappuzzo, Istituto Toscano Tumori, Livorno; Jolanda Paolini,  Jennifer Tursi, and Tiziana Usari, Pfizer Oncology, Milan, Italy; Enriqueta  Felip, Vall d&amp;apos;Hebron University Hospital and Vall d&amp;apos;Hebron Institute of Oncology,  Barcelona, Spain; Fiona H. Blackhall, The Christie Hospital and Institute of  Cancer Sciences, Manchester University, Manchester, United Kingdom; Daniel B.  Costa, Beth Israel Deaconess Center, Boston, MA; Tarek Mekhail, Florida Hospital  Cancer Institute, Orlando, FL; Keith D. Wilner and Paulina Selaru, Pfizer  Oncology, La Jolla, CA; Dong-Wan Kim, Seoul National University Hospital, Seoul,  South Korea; Kazuhiko Nakagawa, Kinki University, Osaka, Japan; Yi-Long Wu,  Guangdong Lung Cancer Institute, Guangzhou, China; and Tony S.K. Mok, State Key  Laboratory of South China, Hong Kong Cancer Institute, The Chinese University of  Hong Kong, Shatin, China.; Benjamin J. Solomon, Peter MacCallum Cancer Centre, Melbourne, Victoria,  Australia; Federico Cappuzzo, Istituto Toscano Tumori, Livorno; Jolanda Paolini,  Jennifer Tursi, and Tiziana Usari, Pfizer Oncology, Milan, Italy; Enriqueta  Felip, Vall d&amp;apos;Hebron University Hospital and Vall d&amp;apos;Hebron Institute of Oncology,  Barcelona, Spain; Fiona H. Blackhall, The Christie Hospital and Institute of  Cancer Sciences, Manchester University, Manchester, United Kingdom; Daniel B.  Costa, Beth Israel Deaconess Center, Boston, MA; Tarek Mekhail, Florida Hospital  Cancer Institute, Orlando, FL; Keith D. Wilner and Paulina Selaru, Pfizer  Oncology, La Jolla, CA; Dong-Wan Kim, Seoul National University Hospital, Seoul,  South Korea; Kazuhiko Nakagawa, Kinki University, Osaka, Japan; Yi-Long Wu,  Guangdong Lung Cancer Institute, Guangzhou, China; and Tony S.K. Mok, State Key  Laboratory of South China, Hong Kong Cancer Institute, The Chinese University of  Hong Kong, Shatin, China.; Benjamin J. Solomon, Peter MacCallum Cancer Centre, Melbourne, Victoria,  Australia; Federico Cappuzzo, Istituto Toscano Tumori, Livorno; Jolanda Paolini,  Jennifer Tursi, and Tiziana Usari, Pfizer Oncology, Milan, Italy; Enriqueta  Felip, Vall d&amp;apos;Hebron University Hospital and Vall d&amp;apos;Hebron Institute of Oncology,  Barcelona, Spain; Fiona H. Blackhall, The Christie Hospital and Institute of  Cancer Sciences, Manchester University, Manchester, United Kingdom; Daniel B.  Costa, Beth Israel Deaconess Center, Boston, MA; Tarek Mekhail, Florida Hospital  Cancer Institute, Orlando, FL; Keith D. Wilner and Paulina Selaru, Pfizer  Oncology, La Jolla, CA; Dong-Wan Kim, Seoul National University Hospital, Seoul,  South Korea; Kazuhiko Nakagawa, Kinki University, Osaka, Japan; Yi-Long Wu,  Guangdong Lung Cancer Institute, Guangzhou, China; and Tony S.K. Mok, State Key  Laboratory of South China, Hong Kong Cancer Institute, The Chinese University of  Hong Kong, Shatin, China.; Benjamin J. Solomon, Peter MacCallum Cancer Centre, Melbourne, Victoria,  Australia; Federico Cappuzzo, Istituto Toscano Tumori, Livorno; Jolanda Paolini,  Jennifer Tursi, and Tiziana Usari, Pfizer Oncology, Milan, Italy; Enriqueta  Felip, Vall d&amp;apos;Hebron University Hospital and Vall d&amp;apos;Hebron Institute of Oncology,  Barcelona, Spain; Fiona H. Blackhall, The Christie Hospital and Institute of  Cancer Sciences, Manchester University, Manchester, United Kingdom; Daniel B.  Costa, Beth Israel Deaconess Center, Boston, MA; Tarek Mekhail, Florida Hospital  Cancer Institute, Orlando, FL; Keith D. Wilner and Paulina Selaru, Pfizer  Oncology, La Jolla, CA; Dong-Wan Kim, Seoul National University Hospital, Seoul,  South Korea; Kazuhiko Nakagawa, Kinki University, Osaka, Japan; Yi-Long Wu,  Guangdong Lung Cancer Institute, Guangzhou, China; and Tony S.K. Mok, State Key  Laboratory of South China, Hong Kong Cancer Institute, The Chinese University of  Hong Kong, Shatin, China.; Benjamin J. Solomon, Peter MacCallum Cancer Centre, Melbourne, Victoria,  Australia; Federico Cappuzzo, Istituto Toscano Tumori, Livorno; Jolanda Paolini,  Jennifer Tursi, and Tiziana Usari, Pfizer Oncology, Milan, Italy; Enriqueta  Felip, Vall d&amp;apos;Hebron University Hospital and Vall d&amp;apos;Hebron Institute of Oncology,  Barcelona, Spain; Fiona H. Blackhall, The Christie Hospital and Institute of  Cancer Sciences, Manchester University, Manchester, United Kingdom; Daniel B.  Costa, Beth Israel Deaconess Center, Boston, MA; Tarek Mekhail, Florida Hospital  Cancer Institute, Orlando, FL; Keith D. Wilner and Paulina Selaru, Pfizer  Oncology, La Jolla, CA; Dong-Wan Kim, Seoul National University Hospital, Seoul,  South Korea; Kazuhiko Nakagawa, Kinki University, Osaka, Japan; Yi-Long Wu,  Guangdong Lung Cancer Institute, Guangzhou, China; and Tony S.K. Mok, State Key  Laboratory of South China, Hong Kong Cancer Institute, The Chinese University of  Hong Kong, Shatin, China.; Benjamin J. Solomon, Peter MacCallum Cancer Centre, Melbourne, Victoria,  Australia; Federico Cappuzzo, Istituto Toscano Tumori, Livorno; Jolanda Paolini,  Jennifer Tursi, and Tiziana Usari, Pfizer Oncology, Milan, Italy; Enriqueta  Felip, Vall d&amp;apos;Hebron University Hospital and Vall d&amp;apos;Hebron Institute of Oncology,  Barcelona, Spain; Fiona H. Blackhall, The Christie Hospital and Institute of  Cancer Sciences, Manchester University, Manchester, United Kingdom; Daniel B.  Costa, Beth Israel Deaconess Center, Boston, MA; Tarek Mekhail, Florida Hospital  Cancer Institute, Orlando, FL; Keith D. Wilner and Paulina Selaru, Pfizer  Oncology, La Jolla, CA; Dong-Wan Kim, Seoul National University Hospital, Seoul,  South Korea; Kazuhiko Nakagawa, Kinki University, Osaka, Japan; Yi-Long Wu,  Guangdong Lung Cancer Institute, Guangzhou, China; and Tony S.K. Mok, State Key  Laboratory of South China, Hong Kong Cancer Institute, The Chinese University of  Hong Kong, Shatin, China.; Benjamin J. Solomon, Peter MacCallum Cancer Centre, Melbourne, Victoria,  Australia; Federico Cappuzzo, Istituto Toscano Tumori, Livorno; Jolanda Paolini,  Jennifer Tursi, and Tiziana Usari, Pfizer Oncology, Milan, Italy; Enriqueta  Felip, Vall d&amp;apos;Hebron University Hospital and Vall d&amp;apos;Hebron Institute of Oncology,  Barcelona, Spain; Fiona H. Blackhall, The Christie Hospital and Institute of  Cancer Sciences, Manchester University, Manchester, United Kingdom; Daniel B.  Costa, Beth Israel Deaconess Center, Boston, MA; Tarek Mekhail, Florida Hospital  Cancer Institute, Orlando, FL; Keith D. Wilner and Paulina Selaru, Pfizer  Oncology, La Jolla, CA; Dong-Wan Kim, Seoul National University Hospital, Seoul,  South Korea; Kazuhiko Nakagawa, Kinki University, Osaka, Japan; Yi-Long Wu,  Guangdong Lung Cancer Institute, Guangzhou, China; and Tony S.K. Mok, State Key  Laboratory of South China, Hong Kong Cancer Institute, The Chinese University of  Hong Kong, Shatin, China.; Benjamin J. Solomon, Peter MacCallum Cancer Centre, Melbourne, Victoria,  Australia; Federico Cappuzzo, Istituto Toscano Tumori, Livorno; Jolanda Paolini,  Jennifer Tursi, and Tiziana Usari, Pfizer Oncology, Milan, Italy; Enriqueta  Felip, Vall d&amp;apos;Hebron University Hospital and Vall d&amp;apos;Hebron Institute of Oncology,  Barcelona, Spain; Fiona H. Blackhall, The Christie Hospital and Institute of  Cancer Sciences, Manchester University, Manchester, United Kingdom; Daniel B.  Costa, Beth Israel Deaconess Center, Boston, MA; Tarek Mekhail, Florida Hospital  Cancer Institute, Orlando, FL; Keith D. Wilner and Paulina Selaru, Pfizer  Oncology, La Jolla, CA; Dong-Wan Kim, Seoul National University Hospital, Seoul,  South Korea; Kazuhiko Nakagawa, Kinki University, Osaka, Japan; Yi-Long Wu,  Guangdong Lung Cancer Institute, Guangzhou, China; and Tony S.K. Mok, State Key  Laboratory of South China, Hong Kong Cancer Institute, The Chinese University of  Hong Kong, Shatin, China.; Benjamin J. Solomon, Peter MacCallum Cancer Centre, Melbourne, Victoria,  Australia; Federico Cappuzzo, Istituto Toscano Tumori, Livorno; Jolanda Paolini,  Jennifer Tursi, and Tiziana Usari, Pfizer Oncology, Milan, Italy; Enriqueta  Felip, Vall d&amp;apos;Hebron University Hospital and Vall d&amp;apos;Hebron Institute of Oncology,  Barcelona, Spain; Fiona H. Blackhall, The Christie Hospital and Institute of  Cancer Sciences, Manchester University, Manchester, United Kingdom; Daniel B.  Costa, Beth Israel Deaconess Center, Boston, MA; Tarek Mekhail, Florida Hospital  Cancer Institute, Orlando, FL; Keith D. Wilner and Paulina Selaru, Pfizer  Oncology, La Jolla, CA; Dong-Wan Kim, Seoul National University Hospital, Seoul,  South Korea; Kazuhiko Nakagawa, Kinki University, Osaka, Japan; Yi-Long Wu,  Guangdong Lung Cancer Institute, Guangzhou, China; and Tony S.K. Mok, State Key  Laboratory of South China, Hong Kong Cancer Institute, The Chinese University of  Hong Kong, Shatin, China.; Benjamin J. Solomon, Peter MacCallum Cancer Centre, Melbourne, Victoria,  Australia; Federico Cappuzzo, Istituto Toscano Tumori, Livorno; Jolanda Paolini,  Jennifer Tursi, and Tiziana Usari, Pfizer Oncology, Milan, Italy; Enriqueta  Felip, Vall d&amp;apos;Hebron University Hospital and Vall d&amp;apos;Hebron Institute of Oncology,  Barcelona, Spain; Fiona H. Blackhall, The Christie Hospital and Institute of  Cancer Sciences, Manchester University, Manchester, United Kingdom; Daniel B.  Costa, Beth Israel Deaconess Center, Boston, MA; Tarek Mekhail, Florida Hospital  Cancer Institute, Orlando, FL; Keith D. Wilner and Paulina Selaru, Pfizer  Oncology, La Jolla, CA; Dong-Wan Kim, Seoul National University Hospital, Seoul,  South Korea; Kazuhiko Nakagawa, Kinki University, Osaka, Japan; Yi-Long Wu,  Guangdong Lung Cancer Institute, Guangzhou, China; and Tony S.K. Mok, State Key  Laboratory of South China, Hong Kong Cancer Institute, The Chinese University of  Hong Kong, Shatin, China.; Benjamin J. Solomon, Peter MacCallum Cancer Centre, Melbourne, Victoria,  Australia; Federico Cappuzzo, Istituto Toscano Tumori, Livorno; Jolanda Paolini,  Jennifer Tursi, and Tiziana Usari, Pfizer Oncology, Milan, Italy; Enriqueta  Felip, Vall d&amp;apos;Hebron University Hospital and Vall d&amp;apos;Hebron Institute of Oncology,  Barcelona, Spain; Fiona H. Blackhall, The Christie Hospital and Institute of  Cancer Sciences, Manchester University, Manchester, United Kingdom; Daniel B.  Costa, Beth Israel Deaconess Center, Boston, MA; Tarek Mekhail, Florida Hospital  Cancer Institute, Orlando, FL; Keith D. Wilner and Paulina Selaru, Pfizer  Oncology, La Jolla, CA; Dong-Wan Kim, Seoul National University Hospital, Seoul,  South Korea; Kazuhiko Nakagawa, Kinki University, Osaka, Japan; Yi-Long Wu,  Guangdong Lung Cancer Institute, Guangzhou, China; and Tony S.K. Mok, State Key  Laboratory of South China, Hong Kong Cancer Institute, The Chinese University of  Hong Kong, Shatin, China.; Benjamin J. Solomon, Peter MacCallum Cancer Centre, Melbourne, Victoria,  Australia; Federico Cappuzzo, Istituto Toscano Tumori, Livorno; Jolanda Paolini,  Jennifer Tursi, and Tiziana Usari, Pfizer Oncology, Milan, Italy; Enriqueta  Felip, Vall d&amp;apos;Hebron University Hospital and Vall d&amp;apos;Hebron Institute of Oncology,  Barcelona, Spain; Fiona H. Blackhall, The Christie Hospital and Institute of  Cancer Sciences, Manchester University, Manchester, United Kingdom; Daniel B.  Costa, Beth Israel Deaconess Center, Boston, MA; Tarek Mekhail, Florida Hospital  Cancer Institute, Orlando, FL; Keith D. Wilner and Paulina Selaru, Pfizer  Oncology, La Jolla, CA; Dong-Wan Kim, Seoul National University Hospital, Seoul,  South Korea; Kazuhiko Nakagawa, Kinki University, Osaka, Japan; Yi-Long Wu,  Guangdong Lung Cancer Institute, Guangzhou, China; and Tony S.K. Mok, State Key  Laboratory of South China, Hong Kong Cancer Institute, The Chinese University of  Hong Kong, Shatin, China.; Benjamin J. Solomon, Peter MacCallum Cancer Centre, Melbourne, Victoria,  Australia; Federico Cappuzzo, Istituto Toscano Tumori, Livorno; Jolanda Paolini,  Jennifer Tursi, and Tiziana Usari, Pfizer Oncology, Milan, Italy; Enriqueta  Felip, Vall d&amp;apos;Hebron University Hospital and Vall d&amp;apos;Hebron Institute of Oncology,  Barcelona, Spain; Fiona H. Blackhall, The Christie Hospital and Institute of  Cancer Sciences, Manchester University, Manchester, United Kingdom; Daniel B.  Costa, Beth Israel Deaconess Center, Boston, MA; Tarek Mekhail, Florida Hospital  Cancer Institute, Orlando, FL; Keith D. Wilner and Paulina Selaru, Pfizer  Oncology, La Jolla, CA; Dong-Wan Kim, Seoul National University Hospital, Seoul,  South Korea; Kazuhiko Nakagawa, Kinki University, Osaka, Japan; Yi-Long Wu,  Guangdong Lung Cancer Institute, Guangzhou, China; and Tony S.K. Mok, State Key  Laboratory of South China, Hong Kong Cancer Institute, The Chinese University of  Hong Kong, Shatin, China.; Benjamin J. Solomon, Peter MacCallum Cancer Centre, Melbourne, Victoria,  Australia; Federico Cappuzzo, Istituto Toscano Tumori, Livorno; Jolanda Paolini,  Jennifer Tursi, and Tiziana Usari, Pfizer Oncology, Milan, Italy; Enriqueta  Felip, Vall d&amp;apos;Hebron University Hospital and Vall d&amp;apos;Hebron Institute of Oncology,  Barcelona, Spain; Fiona H. Blackhall, The Christie Hospital and Institute of  Cancer Sciences, Manchester University, Manchester, United Kingdom; Daniel B.  Costa, Beth Israel Deaconess Center, Boston, MA; Tarek Mekhail, Florida Hospital  Cancer Institute, Orlando, FL; Keith D. Wilner and Paulina Selaru, Pfizer  Oncology, La Jolla, CA; Dong-Wan Kim, Seoul National University Hospital, Seoul,  South Korea; Kazuhiko Nakagawa, Kinki University, Osaka, Japan; Yi-Long Wu,  Guangdong Lung Cancer Institute, Guangzhou, China; and Tony S.K. Mok, State Key  Laboratory of South China, Hong Kong Cancer Institute, The Chinese University of  Hong Kong, Shatin, China.&lt;/_author_adr&gt;&lt;_date_display&gt;2016 Aug 20&lt;/_date_display&gt;&lt;_date&gt;2016-08-20&lt;/_date&gt;&lt;_doi&gt;10.1200/JCO.2015.63.5888&lt;/_doi&gt;&lt;_isbn&gt;1527-7755 (Electronic); 0732-183X (Linking)&lt;/_isbn&gt;&lt;_issue&gt;24&lt;/_issue&gt;&lt;_journal&gt;J Clin Oncol&lt;/_journal&gt;&lt;_language&gt;eng&lt;/_language&gt;&lt;_ori_publication&gt;(c) 2016 by American Society of Clinical Oncology.&lt;/_ori_publication&gt;&lt;_pages&gt;2858-65&lt;/_pages&gt;&lt;_subject_headings&gt;Adult; Aged; Anaplastic Lymphoma Kinase; Antineoplastic Combined Chemotherapy Protocols/therapeutic use; Brain Neoplasms/*drug therapy/enzymology/genetics/*secondary; Carboplatin/administration &amp;amp; dosage; Carcinoma, Non-Small-Cell Lung/*drug therapy/enzymology/genetics/pathology; Cisplatin/administration &amp;amp; dosage; Crizotinib; Drug Administration Schedule; Female; Humans; Lung Neoplasms/*drug therapy/enzymology/genetics/pathology; Male; Middle Aged; Pemetrexed/administration &amp;amp; dosage; Protein Kinase Inhibitors/*administration &amp;amp; dosage; Pyrazoles/*administration &amp;amp; dosage; Pyridines/*administration &amp;amp; dosage; Receptor Protein-Tyrosine Kinases/antagonists &amp;amp; inhibitors/biosynthesis/genetics; Young Adult&lt;/_subject_headings&gt;&lt;_tertiary_title&gt;Journal of clinical oncology : official journal of the American Society of _x000d__x000a_      Clinical Oncology&lt;/_tertiary_title&gt;&lt;_type_work&gt;Clinical Trial, Phase III; Journal Article; Multicenter Study; Randomized Controlled Trial&lt;/_type_work&gt;&lt;_url&gt;http://www.ncbi.nlm.nih.gov/entrez/query.fcgi?cmd=Retrieve&amp;amp;db=pubmed&amp;amp;dopt=Abstract&amp;amp;list_uids=27022118&amp;amp;query_hl=1&lt;/_url&gt;&lt;_volume&gt;34&lt;/_volume&gt;&lt;_created&gt;64740327&lt;/_created&gt;&lt;_modified&gt;64740730&lt;/_modified&gt;&lt;_db_updated&gt;PubMed&lt;/_db_updat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FEB831EB-5919-4C90-A7E5-20B9085A03E5}" w:val=" ADDIN NE.Ref.{FEB831EB-5919-4C90-A7E5-20B9085A03E5}&lt;Citation&gt;&lt;Group&gt;&lt;References&gt;&lt;Item&gt;&lt;ID&gt;4887&lt;/ID&gt;&lt;UID&gt;{C80BDC57-8FE3-431A-8D94-4332D6EC3E33}&lt;/UID&gt;&lt;Title&gt;Intra-arterial therapies for unresectable and chemorefractory colorectal cancer  liver metastases: a systematic review and meta-analysis&lt;/Title&gt;&lt;Template&gt;Journal Article&lt;/Template&gt;&lt;Star&gt;0&lt;/Star&gt;&lt;Tag&gt;0&lt;/Tag&gt;&lt;Author&gt;Levy, J; Zuckerman, J; Garfinkle, R; Acuna, S A; Touchette, J; Vanounou, T; Pelletier, J S&lt;/Author&gt;&lt;Year&gt;2018&lt;/Year&gt;&lt;Details&gt;&lt;_accession_num&gt;29887263&lt;/_accession_num&gt;&lt;_author_adr&gt;University of Toronto Division of General Surgery, Toronto, ON, Canada;  University of Toronto Institute of Health Policy Management and Evaluation,  Toronto, ON, Canada. Electronic address: Jordan.Levy@mail.utoronto.ca.; University of Toronto Division of General Surgery, Toronto, ON, Canada.; Sir Mortimer B Davis Jewish General Hospital, Hepatobiliary and Pancreatic  Surgery, Montreal, QC, Canada.; University of Toronto Division of General Surgery, Toronto, ON, Canada;  University of Toronto Institute of Health Policy Management and Evaluation,  Toronto, ON, Canada.; Sir Mortimer B Davis Jewish General Hospital Health Sciences Library, Montreal,  QC, Canada.; Sir Mortimer B Davis Jewish General Hospital, Hepatobiliary and Pancreatic  Surgery, Montreal, QC, Canada.; Sir Mortimer B Davis Jewish General Hospital, Hepatobiliary and Pancreatic  Surgery, Montreal, QC, Canada.&lt;/_author_adr&gt;&lt;_date_display&gt;2018 Oct&lt;/_date_display&gt;&lt;_date&gt;2018-10-01&lt;/_date&gt;&lt;_doi&gt;10.1016/j.hpb.2018.04.001&lt;/_doi&gt;&lt;_isbn&gt;1477-2574 (Electronic); 1365-182X (Linking)&lt;/_isbn&gt;&lt;_issue&gt;10&lt;/_issue&gt;&lt;_journal&gt;HPB (Oxford)&lt;/_journal&gt;&lt;_language&gt;eng&lt;/_language&gt;&lt;_ori_publication&gt;Copyright © 2018 International Hepato-Pancreato-Biliary Association Inc. _x000d__x000a_      Published by Elsevier Ltd. All rights reserved.&lt;/_ori_publication&gt;&lt;_pages&gt;905-915&lt;/_pages&gt;&lt;_subject_headings&gt;Aged; *Brachytherapy/adverse effects/mortality; *Chemoembolization, Therapeutic/adverse effects/mortality; Colorectal Neoplasms/mortality/*pathology; *Drug Resistance, Neoplasm; Female; Humans; Liver Neoplasms/mortality/*secondary/*therapy; Male; Middle Aged; Radiopharmaceuticals/*administration &amp;amp; dosage/adverse effects; Risk Factors; Time Factors; Treatment Outcome; Yttrium Radioisotopes/*administration &amp;amp; dosage/adverse effects&lt;/_subject_headings&gt;&lt;_tertiary_title&gt;HPB : the official journal of the International Hepato Pancreato Biliary _x000d__x000a_      Association&lt;/_tertiary_title&gt;&lt;_type_work&gt;Journal Article; Meta-Analysis; Systematic Review&lt;/_type_work&gt;&lt;_url&gt;http://www.ncbi.nlm.nih.gov/entrez/query.fcgi?cmd=Retrieve&amp;amp;db=pubmed&amp;amp;dopt=Abstract&amp;amp;list_uids=29887263&amp;amp;query_hl=1&lt;/_url&gt;&lt;_volume&gt;20&lt;/_volume&gt;&lt;_created&gt;65090136&lt;/_created&gt;&lt;_modified&gt;65090136&lt;/_modified&gt;&lt;_impact_factor&gt;   3.842&lt;/_impact_factor&gt;&lt;_social_category&gt;医学(3)&lt;/_social_category&gt;&lt;_collection_scope&gt;SCIE&lt;/_collection_scope&gt;&lt;/Details&gt;&lt;Extra&gt;&lt;DBUID&gt;{F96A950B-833F-4880-A151-76DA2D6A2879}&lt;/DBUID&gt;&lt;/Extra&gt;&lt;/Item&gt;&lt;/References&gt;&lt;/Group&gt;&lt;/Citation&gt;_x000a_"/>
    <w:docVar w:name="NE.Ref{FF60E1F5-0139-4119-89E2-AE87F6B4D7F6}" w:val=" ADDIN NE.Ref.{FF60E1F5-0139-4119-89E2-AE87F6B4D7F6}&lt;Citation&gt;&lt;Group&gt;&lt;References&gt;&lt;Item&gt;&lt;ID&gt;4704&lt;/ID&gt;&lt;UID&gt;{E5D060E0-105D-42BA-85B8-4491B0823450}&lt;/UID&gt;&lt;Title&gt;Health-related quality of life in patients with microsatellite instability-high  or mismatch repair deficient metastatic colorectal cancer treated with first-line  pembrolizumab versus chemotherapy (KEYNOTE-177): an open-label, randomised, phase  3 trial&lt;/Title&gt;&lt;Template&gt;Journal Article&lt;/Template&gt;&lt;Star&gt;0&lt;/Star&gt;&lt;Tag&gt;0&lt;/Tag&gt;&lt;Author&gt;Andre, T; Amonkar, M; Norquist, J M; Shiu, K K; Kim, T W; Jensen, B V; Jensen, L H; Punt, CJA; Smith, D; Garcia-Carbonero, R; Sevilla, I; De La Fouchardiere, C; Rivera, F; Elez, E; Diaz, LA Jr; Yoshino, T; Van Cutsem, E; Yang, P; Farooqui, M; &amp;quot;Le DT&amp;quot;&lt;/Author&gt;&lt;Year&gt;2021&lt;/Year&gt;&lt;Details&gt;&lt;_accession_num&gt;33812497&lt;/_accession_num&gt;&lt;_author_adr&gt;Sorbonne Université and Hõpital Saint-Antoine, Paris, France. Electronic address:  thierry.andre@aphp.fr.; Merck &amp;amp; Co, Kenilworth, NJ, USA.; Merck &amp;amp; Co, Kenilworth, NJ, USA.; University College Hospital, NHS Foundation Trust, London, UK.; Department of Oncology, Asan Medical Center, University of Ulsan College of  Medicine, Seoul, South Korea.; Herlev og Gentofte Hospital, Herlev, Denmark.; University Hospital of Southern Denmark, Vejle, Denmark.; Amsterdam University Medical Center, University of Amsterdam, Amsterdam,  Netherlands; Julius Center, University Medical Center Utrecht, Utrecht  University, Netherlands.; Hopital Haut Leveque, Pessac, France.; Hospital Universitario 12 de Octubre, Imas12, UCM, Madrid, Spain.; Investigación Clínica y Traslacional en Cáncer, Instituto de Investigaciones  Biomédicas de Málaga, Hospitales Universitarios Regional y Virgen de la Victoria  de Málaga, Malaga, Spain.; Centre Leon Berard, Lyon, France.; Hospital Universitario M de Valdecilla, IDIVAL, Santander, Spain.; Vall d&amp;apos;Hebron Barcelona Hospital Campus, Vall d&amp;apos;Hebron Institute of Oncology,  Universitat Autonoma de Barcelona, Barcelona, Spain.; Memorial Sloan Kettering Cancer Center, New York, NY, USA.; National Cancer Center Hospital East, Kashiwa, Japan.; University Hospitals Gasthuisberg/Leuven and KU Leuven, Leuven, Belgium.; MSD China, Shanghai, China.; Merck &amp;amp; Co, Kenilworth, NJ, USA.; Sidney Kimmel Comprehensive Cancer Center, Johns Hopkins University, Baltimore,  MD, USA.&lt;/_author_adr&gt;&lt;_date_display&gt;2021 May&lt;/_date_display&gt;&lt;_date&gt;2021-05-01&lt;/_date&gt;&lt;_doi&gt;10.1016/S1470-2045(21)00064-4&lt;/_doi&gt;&lt;_isbn&gt;1474-5488 (Electronic); 1470-2045 (Linking)&lt;/_isbn&gt;&lt;_issue&gt;5&lt;/_issue&gt;&lt;_journal&gt;Lancet Oncol&lt;/_journal&gt;&lt;_language&gt;eng&lt;/_language&gt;&lt;_ori_publication&gt;Copyright © 2021 Elsevier Ltd. All rights reserved.&lt;/_ori_publication&gt;&lt;_pages&gt;665-677&lt;/_pages&gt;&lt;_subject_headings&gt;Adult; Aged; Antibodies, Monoclonal, Humanized/*therapeutic use; Brain Neoplasms/*drug therapy/genetics/mortality/psychology; Colorectal Neoplasms/*drug therapy/genetics/mortality/psychology; DNA Mismatch Repair; Female; Humans; Male; *Microsatellite Instability; Middle Aged; Neoplasm Metastasis; Neoplastic Syndromes, Hereditary/*drug therapy/genetics/mortality/psychology; *Quality of Lif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33812497&amp;amp;query_hl=1&lt;/_url&gt;&lt;_volume&gt;22&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Group&gt;&lt;References&gt;&lt;Item&gt;&lt;ID&gt;4719&lt;/ID&gt;&lt;UID&gt;{F373D3AE-8F61-4694-B8CE-E76373CE1207}&lt;/UID&gt;&lt;Title&gt;K-ras mutations and benefit from cetuximab in advanced colorectal cancer&lt;/Title&gt;&lt;Template&gt;Journal Article&lt;/Template&gt;&lt;Star&gt;0&lt;/Star&gt;&lt;Tag&gt;0&lt;/Tag&gt;&lt;Author&gt;Karapetis, C S; Khambata-Ford, S; Jonker, D J; O&amp;apos;Callaghan, C J; Tu, D; Tebbutt, N C; Simes, R J; Chalchal, H; Shapiro, J D; Robitaille, S; Price, T J; Shepherd, L; Au, H J; Langer, C; Moore, M J; Zalcberg, J R&lt;/Author&gt;&lt;Year&gt;2008&lt;/Year&gt;&lt;Details&gt;&lt;_accession_num&gt;18946061&lt;/_accession_num&gt;&lt;_author_adr&gt;Flinders Medical Centre and Flinders University, Adelaide, Australia.  c.karapetis@flinders.edu.au&lt;/_author_adr&gt;&lt;_date_display&gt;2008 Oct 23&lt;/_date_display&gt;&lt;_date&gt;2008-10-23&lt;/_date&gt;&lt;_doi&gt;10.1056/NEJMoa0804385&lt;/_doi&gt;&lt;_isbn&gt;1533-4406 (Electronic); 0028-4793 (Linking)&lt;/_isbn&gt;&lt;_issue&gt;17&lt;/_issue&gt;&lt;_journal&gt;N Engl J Med&lt;/_journal&gt;&lt;_language&gt;eng&lt;/_language&gt;&lt;_ori_publication&gt;2008 Massachusetts Medical Society&lt;/_ori_publication&gt;&lt;_pages&gt;1757-65&lt;/_pages&gt;&lt;_subject_headings&gt;Adult; Aged; Aged, 80 and over; Antibodies, Monoclonal/*therapeutic use; Antibodies, Monoclonal, Humanized; Antineoplastic Agents/*therapeutic use; Cetuximab; Colorectal Neoplasms/*drug therapy/genetics/mortality; DNA Mutational Analysis; Disease Progression; ErbB Receptors/antagonists &amp;amp; inhibitors/*immunology; Female; *Genes, ras; Humans; Kaplan-Meier Estimate; Male; Middle Aged; *Mutation; Palliative Care; Quality of Life&lt;/_subject_headings&gt;&lt;_tertiary_title&gt;The New England journal of medicine&lt;/_tertiary_title&gt;&lt;_type_work&gt;Clinical Trial, Phase III; Journal Article; Multicenter Study; Randomized Controlled Trial; Research Support, Non-U.S. Gov&amp;apos;t&lt;/_type_work&gt;&lt;_url&gt;http://www.ncbi.nlm.nih.gov/entrez/query.fcgi?cmd=Retrieve&amp;amp;db=pubmed&amp;amp;dopt=Abstract&amp;amp;list_uids=18946061&amp;amp;query_hl=1&lt;/_url&gt;&lt;_volume&gt;359&lt;/_volume&gt;&lt;_created&gt;65020956&lt;/_created&gt;&lt;_modified&gt;65020956&lt;/_modified&gt;&lt;_impact_factor&gt; 176.079&lt;/_impact_factor&gt;&lt;_social_category&gt;医学(1)&lt;/_social_category&gt;&lt;_collection_scope&gt;SCIE&lt;/_collection_scope&gt;&lt;/Details&gt;&lt;Extra&gt;&lt;DBUID&gt;{F96A950B-833F-4880-A151-76DA2D6A2879}&lt;/DBUID&gt;&lt;/Extra&gt;&lt;/Item&gt;&lt;/References&gt;&lt;/Group&gt;&lt;/Citation&gt;_x000a_"/>
    <w:docVar w:name="NE.Ref{FF8C9959-AFA6-4FF3-AAC2-1F588C67E903}" w:val=" ADDIN NE.Ref.{FF8C9959-AFA6-4FF3-AAC2-1F588C67E903}&lt;Citation&gt;&lt;Group&gt;&lt;References&gt;&lt;Item&gt;&lt;ID&gt;5021&lt;/ID&gt;&lt;UID&gt;{FC01DC97-7D4C-4C9D-9151-12C0AE958C20}&lt;/UID&gt;&lt;Title&gt;National Institute for Health and Care Excellence. Regorafenib for previously treated metastatic colorectal cancer [ID4002]. https://www.nice.org.uk/guidance(Accessed Feb 2, 2024).&lt;/Title&gt;&lt;Template&gt;Web Page&lt;/Template&gt;&lt;Star&gt;0&lt;/Star&gt;&lt;Tag&gt;0&lt;/Tag&gt;&lt;Author/&gt;&lt;Year&gt;0&lt;/Year&gt;&lt;Details&gt;&lt;_accessed&gt;65330793&lt;/_accessed&gt;&lt;_created&gt;65329711&lt;/_created&gt;&lt;_modified&gt;65329715&lt;/_modified&gt;&lt;/Details&gt;&lt;Extra&gt;&lt;DBUID&gt;{F96A950B-833F-4880-A151-76DA2D6A2879}&lt;/DBUID&gt;&lt;/Extra&gt;&lt;/Item&gt;&lt;/References&gt;&lt;/Group&gt;&lt;Group&gt;&lt;References&gt;&lt;Item&gt;&lt;ID&gt;5041&lt;/ID&gt;&lt;UID&gt;{3154A280-2B61-4C36-BD50-ABC671FE750F}&lt;/UID&gt;&lt;Title&gt;Health state utilities for non small cell lung cancer&lt;/Title&gt;&lt;Template&gt;Journal Article&lt;/Template&gt;&lt;Star&gt;0&lt;/Star&gt;&lt;Tag&gt;0&lt;/Tag&gt;&lt;Author&gt;Nafees, B; Stafford, M; Gavriel, S; Bhalla, S; Watkins, J&lt;/Author&gt;&lt;Year&gt;2008&lt;/Year&gt;&lt;Details&gt;&lt;_accession_num&gt;18939982&lt;/_accession_num&gt;&lt;_author_adr&gt;United BioSource Corporation, UK, 20 Bloomsbury Square, London, WC1A 2NS, UK.  beenish.nafees@unitedbiosource.com&lt;/_author_adr&gt;&lt;_date_display&gt;2008 Oct 21&lt;/_date_display&gt;&lt;_date&gt;2008-10-21&lt;/_date&gt;&lt;_doi&gt;10.1186/1477-7525-6-84&lt;/_doi&gt;&lt;_isbn&gt;1477-7525 (Electronic); 1477-7525 (Linking)&lt;/_isbn&gt;&lt;_journal&gt;Health Qual Life Outcomes&lt;/_journal&gt;&lt;_language&gt;eng&lt;/_language&gt;&lt;_pages&gt;84&lt;/_pages&gt;&lt;_subject_headings&gt;Adult; Antineoplastic Combined Chemotherapy Protocols/*adverse effects/therapeutic use; *Attitude to Health; Breast Neoplasms/drug therapy/pathology; Carcinoma, Non-Small-Cell Lung/*drug therapy/physiopathology/psychology; Clinical Trials, Phase III as Topic; Demography; *Disease Progression; Drug-Related Side Effects and Adverse Reactions/psychology; Female; Humans; Interviews as Topic; Lung Neoplasms/*drug therapy/physiopathology/psychology; Male; Middle Aged; Pilot Projects; Psychometrics/instrumentation/*standards; *Quality of Life; *Sickness Impact Profile; Treatment Outcome; United Kingdom&lt;/_subject_headings&gt;&lt;_tertiary_title&gt;Health and quality of life outcomes&lt;/_tertiary_title&gt;&lt;_type_work&gt;Journal Article; Validation Study&lt;/_type_work&gt;&lt;_url&gt;http://www.ncbi.nlm.nih.gov/entrez/query.fcgi?cmd=Retrieve&amp;amp;db=pubmed&amp;amp;dopt=Abstract&amp;amp;list_uids=18939982&amp;amp;query_hl=1&lt;/_url&gt;&lt;_volume&gt;6&lt;/_volume&gt;&lt;_created&gt;65329740&lt;/_created&gt;&lt;_modified&gt;65329740&lt;/_modified&gt;&lt;_impact_factor&gt;   3.600&lt;/_impact_factor&gt;&lt;_social_category&gt;卫生保健与服务(3) &amp;amp; 卫生政策与服务(2)&lt;/_social_category&gt;&lt;_collection_scope&gt;SSCI;SCIE&lt;/_collection_scope&gt;&lt;_accessed&gt;65330885&lt;/_accessed&gt;&lt;/Details&gt;&lt;Extra&gt;&lt;DBUID&gt;{F96A950B-833F-4880-A151-76DA2D6A2879}&lt;/DBUID&gt;&lt;/Extra&gt;&lt;/Item&gt;&lt;/References&gt;&lt;/Group&gt;&lt;/Citation&gt;_x000a_"/>
    <w:docVar w:name="ne_docsoft" w:val="MSWord"/>
    <w:docVar w:name="ne_docversion" w:val="NoteExpress 2.0"/>
    <w:docVar w:name="ne_stylename" w:val="Numbered(multilingual)"/>
  </w:docVars>
  <w:rsids>
    <w:rsidRoot w:val="00172A27"/>
    <w:rsid w:val="00000B51"/>
    <w:rsid w:val="0000780B"/>
    <w:rsid w:val="00015F35"/>
    <w:rsid w:val="00017A65"/>
    <w:rsid w:val="00034B3B"/>
    <w:rsid w:val="00035375"/>
    <w:rsid w:val="000416C0"/>
    <w:rsid w:val="00042E72"/>
    <w:rsid w:val="0005109C"/>
    <w:rsid w:val="00051D4C"/>
    <w:rsid w:val="000550CC"/>
    <w:rsid w:val="0007320E"/>
    <w:rsid w:val="000823EE"/>
    <w:rsid w:val="00095DBF"/>
    <w:rsid w:val="0009719B"/>
    <w:rsid w:val="000B0231"/>
    <w:rsid w:val="000C0AEC"/>
    <w:rsid w:val="000E15AF"/>
    <w:rsid w:val="000E760F"/>
    <w:rsid w:val="000E7843"/>
    <w:rsid w:val="000F1087"/>
    <w:rsid w:val="000F5D3C"/>
    <w:rsid w:val="001203D0"/>
    <w:rsid w:val="0015264B"/>
    <w:rsid w:val="00172A27"/>
    <w:rsid w:val="00172E04"/>
    <w:rsid w:val="001A0F27"/>
    <w:rsid w:val="001B0146"/>
    <w:rsid w:val="001B280E"/>
    <w:rsid w:val="001C24EA"/>
    <w:rsid w:val="001E2F76"/>
    <w:rsid w:val="002004CC"/>
    <w:rsid w:val="00202132"/>
    <w:rsid w:val="002043AD"/>
    <w:rsid w:val="00205071"/>
    <w:rsid w:val="00225A60"/>
    <w:rsid w:val="002370C7"/>
    <w:rsid w:val="00244AE8"/>
    <w:rsid w:val="00247F22"/>
    <w:rsid w:val="00263B28"/>
    <w:rsid w:val="002675BB"/>
    <w:rsid w:val="00274161"/>
    <w:rsid w:val="00294FA7"/>
    <w:rsid w:val="002A5A69"/>
    <w:rsid w:val="002A7A38"/>
    <w:rsid w:val="002B07D2"/>
    <w:rsid w:val="002B3FDD"/>
    <w:rsid w:val="002C6B6E"/>
    <w:rsid w:val="002D29D1"/>
    <w:rsid w:val="002D3426"/>
    <w:rsid w:val="002D7C1F"/>
    <w:rsid w:val="002E4FCA"/>
    <w:rsid w:val="002E5AD3"/>
    <w:rsid w:val="00304146"/>
    <w:rsid w:val="0030727B"/>
    <w:rsid w:val="0031609E"/>
    <w:rsid w:val="00316220"/>
    <w:rsid w:val="00321530"/>
    <w:rsid w:val="0032510C"/>
    <w:rsid w:val="003311C2"/>
    <w:rsid w:val="0035120F"/>
    <w:rsid w:val="0035704E"/>
    <w:rsid w:val="00360403"/>
    <w:rsid w:val="00360A3E"/>
    <w:rsid w:val="00376487"/>
    <w:rsid w:val="0037733F"/>
    <w:rsid w:val="0037799E"/>
    <w:rsid w:val="003A12E1"/>
    <w:rsid w:val="003A36B3"/>
    <w:rsid w:val="003A4ABC"/>
    <w:rsid w:val="003B6DB7"/>
    <w:rsid w:val="003C4CDC"/>
    <w:rsid w:val="003E0759"/>
    <w:rsid w:val="003F4B2D"/>
    <w:rsid w:val="003F67E4"/>
    <w:rsid w:val="0040579C"/>
    <w:rsid w:val="00412F77"/>
    <w:rsid w:val="0042220D"/>
    <w:rsid w:val="0042766D"/>
    <w:rsid w:val="004454AB"/>
    <w:rsid w:val="00462753"/>
    <w:rsid w:val="00472515"/>
    <w:rsid w:val="004861FB"/>
    <w:rsid w:val="004C1A49"/>
    <w:rsid w:val="004D1CFE"/>
    <w:rsid w:val="004D37EA"/>
    <w:rsid w:val="004D4E65"/>
    <w:rsid w:val="004F1D33"/>
    <w:rsid w:val="0050001F"/>
    <w:rsid w:val="005033F9"/>
    <w:rsid w:val="00512BA0"/>
    <w:rsid w:val="00512F55"/>
    <w:rsid w:val="00525008"/>
    <w:rsid w:val="00541916"/>
    <w:rsid w:val="00546A31"/>
    <w:rsid w:val="005479A7"/>
    <w:rsid w:val="00562CED"/>
    <w:rsid w:val="005735D3"/>
    <w:rsid w:val="00595891"/>
    <w:rsid w:val="00596220"/>
    <w:rsid w:val="005A1429"/>
    <w:rsid w:val="005A588C"/>
    <w:rsid w:val="005B71F1"/>
    <w:rsid w:val="005C2749"/>
    <w:rsid w:val="005D2398"/>
    <w:rsid w:val="005D6C1B"/>
    <w:rsid w:val="005E4619"/>
    <w:rsid w:val="00604A0C"/>
    <w:rsid w:val="006368FE"/>
    <w:rsid w:val="00636A2C"/>
    <w:rsid w:val="0066094E"/>
    <w:rsid w:val="00661EA3"/>
    <w:rsid w:val="00681D56"/>
    <w:rsid w:val="00691ECE"/>
    <w:rsid w:val="006A1A97"/>
    <w:rsid w:val="006A7554"/>
    <w:rsid w:val="006B2042"/>
    <w:rsid w:val="006C3B0D"/>
    <w:rsid w:val="006D474D"/>
    <w:rsid w:val="006D5AA1"/>
    <w:rsid w:val="006E2031"/>
    <w:rsid w:val="006E5F9C"/>
    <w:rsid w:val="00716110"/>
    <w:rsid w:val="007322EB"/>
    <w:rsid w:val="00733847"/>
    <w:rsid w:val="00744335"/>
    <w:rsid w:val="007472B8"/>
    <w:rsid w:val="00767405"/>
    <w:rsid w:val="007715E1"/>
    <w:rsid w:val="00773813"/>
    <w:rsid w:val="00775FC9"/>
    <w:rsid w:val="0078091A"/>
    <w:rsid w:val="00787FE4"/>
    <w:rsid w:val="007A6357"/>
    <w:rsid w:val="007B16E8"/>
    <w:rsid w:val="007B604D"/>
    <w:rsid w:val="007B7CA8"/>
    <w:rsid w:val="007C1C0F"/>
    <w:rsid w:val="007D3E7E"/>
    <w:rsid w:val="0080073A"/>
    <w:rsid w:val="00802977"/>
    <w:rsid w:val="00812CD7"/>
    <w:rsid w:val="00830379"/>
    <w:rsid w:val="008440F1"/>
    <w:rsid w:val="008509A0"/>
    <w:rsid w:val="00854AF1"/>
    <w:rsid w:val="00855B8E"/>
    <w:rsid w:val="00862631"/>
    <w:rsid w:val="00862ACF"/>
    <w:rsid w:val="00880196"/>
    <w:rsid w:val="00880E15"/>
    <w:rsid w:val="00886FBA"/>
    <w:rsid w:val="00887A71"/>
    <w:rsid w:val="00890A06"/>
    <w:rsid w:val="00895626"/>
    <w:rsid w:val="008978B0"/>
    <w:rsid w:val="008A3DD7"/>
    <w:rsid w:val="008B21D4"/>
    <w:rsid w:val="008C5151"/>
    <w:rsid w:val="008D19A5"/>
    <w:rsid w:val="008D2E29"/>
    <w:rsid w:val="008D3E1D"/>
    <w:rsid w:val="00904569"/>
    <w:rsid w:val="00904803"/>
    <w:rsid w:val="0091088E"/>
    <w:rsid w:val="0092022B"/>
    <w:rsid w:val="0094156A"/>
    <w:rsid w:val="0094240A"/>
    <w:rsid w:val="00945857"/>
    <w:rsid w:val="00964235"/>
    <w:rsid w:val="00965B20"/>
    <w:rsid w:val="00966F36"/>
    <w:rsid w:val="00974875"/>
    <w:rsid w:val="00977BB6"/>
    <w:rsid w:val="00981D9A"/>
    <w:rsid w:val="00984948"/>
    <w:rsid w:val="00997275"/>
    <w:rsid w:val="009D76D0"/>
    <w:rsid w:val="009E4573"/>
    <w:rsid w:val="009E7862"/>
    <w:rsid w:val="00A00730"/>
    <w:rsid w:val="00A07AA8"/>
    <w:rsid w:val="00A125C5"/>
    <w:rsid w:val="00A327EB"/>
    <w:rsid w:val="00A32D30"/>
    <w:rsid w:val="00A35AC7"/>
    <w:rsid w:val="00A35C38"/>
    <w:rsid w:val="00A36CE3"/>
    <w:rsid w:val="00A55014"/>
    <w:rsid w:val="00A62273"/>
    <w:rsid w:val="00A725B7"/>
    <w:rsid w:val="00A76389"/>
    <w:rsid w:val="00A904ED"/>
    <w:rsid w:val="00AA5850"/>
    <w:rsid w:val="00AB6FC5"/>
    <w:rsid w:val="00AD4CD8"/>
    <w:rsid w:val="00AD6D76"/>
    <w:rsid w:val="00B17F87"/>
    <w:rsid w:val="00B20676"/>
    <w:rsid w:val="00B24CF9"/>
    <w:rsid w:val="00B271A7"/>
    <w:rsid w:val="00B31F04"/>
    <w:rsid w:val="00B35E10"/>
    <w:rsid w:val="00B36D1B"/>
    <w:rsid w:val="00B445B8"/>
    <w:rsid w:val="00B546A3"/>
    <w:rsid w:val="00B57A8C"/>
    <w:rsid w:val="00B673D1"/>
    <w:rsid w:val="00B674D5"/>
    <w:rsid w:val="00B72F16"/>
    <w:rsid w:val="00B84E83"/>
    <w:rsid w:val="00B90875"/>
    <w:rsid w:val="00BA3BDA"/>
    <w:rsid w:val="00BA63E1"/>
    <w:rsid w:val="00BA67CA"/>
    <w:rsid w:val="00BA71D3"/>
    <w:rsid w:val="00BB2317"/>
    <w:rsid w:val="00BB2D5C"/>
    <w:rsid w:val="00BD0050"/>
    <w:rsid w:val="00BD24D8"/>
    <w:rsid w:val="00BD3962"/>
    <w:rsid w:val="00BE634B"/>
    <w:rsid w:val="00C05772"/>
    <w:rsid w:val="00C169F2"/>
    <w:rsid w:val="00C257AF"/>
    <w:rsid w:val="00C25809"/>
    <w:rsid w:val="00C269A2"/>
    <w:rsid w:val="00C26ADC"/>
    <w:rsid w:val="00C4146B"/>
    <w:rsid w:val="00C50E60"/>
    <w:rsid w:val="00C70BF6"/>
    <w:rsid w:val="00C71934"/>
    <w:rsid w:val="00C7669B"/>
    <w:rsid w:val="00C772C3"/>
    <w:rsid w:val="00C80E69"/>
    <w:rsid w:val="00C85292"/>
    <w:rsid w:val="00C93A80"/>
    <w:rsid w:val="00C9473B"/>
    <w:rsid w:val="00C94C8F"/>
    <w:rsid w:val="00CF47D7"/>
    <w:rsid w:val="00CF6282"/>
    <w:rsid w:val="00D015C1"/>
    <w:rsid w:val="00D12535"/>
    <w:rsid w:val="00D14721"/>
    <w:rsid w:val="00D16DD7"/>
    <w:rsid w:val="00D17776"/>
    <w:rsid w:val="00D20839"/>
    <w:rsid w:val="00D271E2"/>
    <w:rsid w:val="00D308E4"/>
    <w:rsid w:val="00D5325E"/>
    <w:rsid w:val="00D544EF"/>
    <w:rsid w:val="00D54DA4"/>
    <w:rsid w:val="00D6673B"/>
    <w:rsid w:val="00D84D01"/>
    <w:rsid w:val="00DB6781"/>
    <w:rsid w:val="00DB7265"/>
    <w:rsid w:val="00DD0999"/>
    <w:rsid w:val="00DD2B1A"/>
    <w:rsid w:val="00DD7083"/>
    <w:rsid w:val="00DE3A2C"/>
    <w:rsid w:val="00DF5F58"/>
    <w:rsid w:val="00E0399E"/>
    <w:rsid w:val="00E12EDF"/>
    <w:rsid w:val="00E134E2"/>
    <w:rsid w:val="00E16C1A"/>
    <w:rsid w:val="00E21AD7"/>
    <w:rsid w:val="00E31B99"/>
    <w:rsid w:val="00E35329"/>
    <w:rsid w:val="00E7481C"/>
    <w:rsid w:val="00E761CC"/>
    <w:rsid w:val="00E765BE"/>
    <w:rsid w:val="00E83D5C"/>
    <w:rsid w:val="00E83DC1"/>
    <w:rsid w:val="00E879B4"/>
    <w:rsid w:val="00E87A8E"/>
    <w:rsid w:val="00EA18B5"/>
    <w:rsid w:val="00EA5ED6"/>
    <w:rsid w:val="00EA692C"/>
    <w:rsid w:val="00EA6F03"/>
    <w:rsid w:val="00EB09B7"/>
    <w:rsid w:val="00EB0E37"/>
    <w:rsid w:val="00EB16C8"/>
    <w:rsid w:val="00EC3D33"/>
    <w:rsid w:val="00EC75D7"/>
    <w:rsid w:val="00EE2A88"/>
    <w:rsid w:val="00EE4465"/>
    <w:rsid w:val="00EF090C"/>
    <w:rsid w:val="00EF5994"/>
    <w:rsid w:val="00EF790F"/>
    <w:rsid w:val="00F00AC7"/>
    <w:rsid w:val="00F1373F"/>
    <w:rsid w:val="00F56B84"/>
    <w:rsid w:val="00F65A3E"/>
    <w:rsid w:val="00F73789"/>
    <w:rsid w:val="00FA469F"/>
    <w:rsid w:val="00FA506D"/>
    <w:rsid w:val="00FA77A9"/>
    <w:rsid w:val="00FB50CF"/>
    <w:rsid w:val="00FD57F1"/>
    <w:rsid w:val="00FD7804"/>
    <w:rsid w:val="00FF1BB3"/>
    <w:rsid w:val="00FF4002"/>
    <w:rsid w:val="019534E5"/>
    <w:rsid w:val="01E44790"/>
    <w:rsid w:val="025E2B68"/>
    <w:rsid w:val="0279166B"/>
    <w:rsid w:val="02A36C44"/>
    <w:rsid w:val="02E73AE2"/>
    <w:rsid w:val="03192A63"/>
    <w:rsid w:val="03306561"/>
    <w:rsid w:val="036174DB"/>
    <w:rsid w:val="038A7846"/>
    <w:rsid w:val="04521F17"/>
    <w:rsid w:val="05805506"/>
    <w:rsid w:val="05A03882"/>
    <w:rsid w:val="05CD1A04"/>
    <w:rsid w:val="05E0714F"/>
    <w:rsid w:val="05EC2264"/>
    <w:rsid w:val="06064D35"/>
    <w:rsid w:val="065C071F"/>
    <w:rsid w:val="06705724"/>
    <w:rsid w:val="075A38DC"/>
    <w:rsid w:val="07953268"/>
    <w:rsid w:val="084F5B1A"/>
    <w:rsid w:val="099A0E88"/>
    <w:rsid w:val="09B87C74"/>
    <w:rsid w:val="0A150D56"/>
    <w:rsid w:val="0A255E20"/>
    <w:rsid w:val="0A767EE0"/>
    <w:rsid w:val="0B135C83"/>
    <w:rsid w:val="0C5F75CE"/>
    <w:rsid w:val="0D0054AF"/>
    <w:rsid w:val="0D1E23D0"/>
    <w:rsid w:val="0DFC2986"/>
    <w:rsid w:val="0E886411"/>
    <w:rsid w:val="0EB83A78"/>
    <w:rsid w:val="0EDB3CAC"/>
    <w:rsid w:val="0EF849C0"/>
    <w:rsid w:val="10544751"/>
    <w:rsid w:val="109551F4"/>
    <w:rsid w:val="10DC29A6"/>
    <w:rsid w:val="11111450"/>
    <w:rsid w:val="124713D7"/>
    <w:rsid w:val="12746203"/>
    <w:rsid w:val="127E4895"/>
    <w:rsid w:val="1404150D"/>
    <w:rsid w:val="1419554F"/>
    <w:rsid w:val="142A028B"/>
    <w:rsid w:val="14650F53"/>
    <w:rsid w:val="149F4D92"/>
    <w:rsid w:val="14DC7E92"/>
    <w:rsid w:val="14E36B97"/>
    <w:rsid w:val="14FB461D"/>
    <w:rsid w:val="15B26E35"/>
    <w:rsid w:val="15C424CE"/>
    <w:rsid w:val="16377978"/>
    <w:rsid w:val="16BD0A06"/>
    <w:rsid w:val="16DE0C89"/>
    <w:rsid w:val="171862DF"/>
    <w:rsid w:val="17623956"/>
    <w:rsid w:val="1782041F"/>
    <w:rsid w:val="17D11706"/>
    <w:rsid w:val="18902B06"/>
    <w:rsid w:val="18F0418F"/>
    <w:rsid w:val="19476165"/>
    <w:rsid w:val="19E51499"/>
    <w:rsid w:val="19F37903"/>
    <w:rsid w:val="1A02790E"/>
    <w:rsid w:val="1A402070"/>
    <w:rsid w:val="1A6F76C4"/>
    <w:rsid w:val="1B0470C6"/>
    <w:rsid w:val="1B0D0CA7"/>
    <w:rsid w:val="1B0D7B55"/>
    <w:rsid w:val="1B38670A"/>
    <w:rsid w:val="1B48599C"/>
    <w:rsid w:val="1C047FD1"/>
    <w:rsid w:val="1C292953"/>
    <w:rsid w:val="1C7F43D2"/>
    <w:rsid w:val="1CCA102F"/>
    <w:rsid w:val="1CE117AE"/>
    <w:rsid w:val="1DA50AE5"/>
    <w:rsid w:val="1E3D677A"/>
    <w:rsid w:val="1E50167A"/>
    <w:rsid w:val="1E6D0942"/>
    <w:rsid w:val="1E982F7E"/>
    <w:rsid w:val="1EAF681B"/>
    <w:rsid w:val="1EC46CC7"/>
    <w:rsid w:val="1F1A3993"/>
    <w:rsid w:val="1F5E7A93"/>
    <w:rsid w:val="2059135D"/>
    <w:rsid w:val="20770ADC"/>
    <w:rsid w:val="208F3EE7"/>
    <w:rsid w:val="223E3E3C"/>
    <w:rsid w:val="224A024D"/>
    <w:rsid w:val="22857470"/>
    <w:rsid w:val="2287505A"/>
    <w:rsid w:val="22943337"/>
    <w:rsid w:val="22A050C3"/>
    <w:rsid w:val="22D84819"/>
    <w:rsid w:val="22F436DB"/>
    <w:rsid w:val="232D528F"/>
    <w:rsid w:val="23491C49"/>
    <w:rsid w:val="23721229"/>
    <w:rsid w:val="23BB53E6"/>
    <w:rsid w:val="2460453E"/>
    <w:rsid w:val="24A63726"/>
    <w:rsid w:val="24AA31DB"/>
    <w:rsid w:val="24DA0B15"/>
    <w:rsid w:val="250C0222"/>
    <w:rsid w:val="25392E9F"/>
    <w:rsid w:val="256554E6"/>
    <w:rsid w:val="25687C27"/>
    <w:rsid w:val="256A0AA0"/>
    <w:rsid w:val="25F27417"/>
    <w:rsid w:val="25FC7109"/>
    <w:rsid w:val="262B728D"/>
    <w:rsid w:val="26A55058"/>
    <w:rsid w:val="26AD2A00"/>
    <w:rsid w:val="26B85493"/>
    <w:rsid w:val="27246062"/>
    <w:rsid w:val="27504399"/>
    <w:rsid w:val="27910EB2"/>
    <w:rsid w:val="27AF43C0"/>
    <w:rsid w:val="27E43728"/>
    <w:rsid w:val="28FF24E8"/>
    <w:rsid w:val="29910CF5"/>
    <w:rsid w:val="2A015762"/>
    <w:rsid w:val="2B9C641C"/>
    <w:rsid w:val="2BD52BA1"/>
    <w:rsid w:val="2BE03A82"/>
    <w:rsid w:val="2DF25A79"/>
    <w:rsid w:val="2ECF718F"/>
    <w:rsid w:val="2ED85AC8"/>
    <w:rsid w:val="2F3D3474"/>
    <w:rsid w:val="30252278"/>
    <w:rsid w:val="30473805"/>
    <w:rsid w:val="30515682"/>
    <w:rsid w:val="30A91F61"/>
    <w:rsid w:val="30B3459A"/>
    <w:rsid w:val="30CD4FED"/>
    <w:rsid w:val="30FC1B13"/>
    <w:rsid w:val="31615451"/>
    <w:rsid w:val="32666EC3"/>
    <w:rsid w:val="32A12DCF"/>
    <w:rsid w:val="33322DB8"/>
    <w:rsid w:val="33910022"/>
    <w:rsid w:val="3395162F"/>
    <w:rsid w:val="346B298C"/>
    <w:rsid w:val="35352E7D"/>
    <w:rsid w:val="354C01C6"/>
    <w:rsid w:val="36E11F76"/>
    <w:rsid w:val="36F848B3"/>
    <w:rsid w:val="370F3C32"/>
    <w:rsid w:val="373F4A34"/>
    <w:rsid w:val="379F674D"/>
    <w:rsid w:val="37FA5416"/>
    <w:rsid w:val="388E26E9"/>
    <w:rsid w:val="390019F4"/>
    <w:rsid w:val="39317DFF"/>
    <w:rsid w:val="394523DA"/>
    <w:rsid w:val="399F5A3C"/>
    <w:rsid w:val="39EC2AE2"/>
    <w:rsid w:val="3A7C49DA"/>
    <w:rsid w:val="3B31058A"/>
    <w:rsid w:val="3B5827FE"/>
    <w:rsid w:val="3B745C9D"/>
    <w:rsid w:val="3BE20598"/>
    <w:rsid w:val="3C4A1903"/>
    <w:rsid w:val="3C710B39"/>
    <w:rsid w:val="3C7C18DB"/>
    <w:rsid w:val="3CC622A7"/>
    <w:rsid w:val="3CC655E0"/>
    <w:rsid w:val="3CFD6976"/>
    <w:rsid w:val="3D2D1B1C"/>
    <w:rsid w:val="3D9E0F6B"/>
    <w:rsid w:val="3E1627BC"/>
    <w:rsid w:val="3E5D6962"/>
    <w:rsid w:val="3EA660F1"/>
    <w:rsid w:val="3FA64BD4"/>
    <w:rsid w:val="40871956"/>
    <w:rsid w:val="41CD7629"/>
    <w:rsid w:val="425A2801"/>
    <w:rsid w:val="4263618A"/>
    <w:rsid w:val="42D66014"/>
    <w:rsid w:val="42F7565A"/>
    <w:rsid w:val="442B1BAA"/>
    <w:rsid w:val="44DC5AE9"/>
    <w:rsid w:val="44E40690"/>
    <w:rsid w:val="454B73B4"/>
    <w:rsid w:val="46FF2725"/>
    <w:rsid w:val="47374E93"/>
    <w:rsid w:val="47675473"/>
    <w:rsid w:val="483B6AAC"/>
    <w:rsid w:val="491A5BE3"/>
    <w:rsid w:val="499D1662"/>
    <w:rsid w:val="49C300AD"/>
    <w:rsid w:val="49D918AD"/>
    <w:rsid w:val="4A4B28CA"/>
    <w:rsid w:val="4BA36DB5"/>
    <w:rsid w:val="4BEA6820"/>
    <w:rsid w:val="4C231829"/>
    <w:rsid w:val="4CD14D65"/>
    <w:rsid w:val="4D01600E"/>
    <w:rsid w:val="4D3631D1"/>
    <w:rsid w:val="4D371F6E"/>
    <w:rsid w:val="4E1B14C4"/>
    <w:rsid w:val="4E1B78BE"/>
    <w:rsid w:val="4E1C29D4"/>
    <w:rsid w:val="4EB80FD6"/>
    <w:rsid w:val="4ED37884"/>
    <w:rsid w:val="4F130CF7"/>
    <w:rsid w:val="4F9B183D"/>
    <w:rsid w:val="4FA06423"/>
    <w:rsid w:val="505C2AE4"/>
    <w:rsid w:val="50B3595A"/>
    <w:rsid w:val="50BB4726"/>
    <w:rsid w:val="50D2008C"/>
    <w:rsid w:val="51545631"/>
    <w:rsid w:val="52326C6A"/>
    <w:rsid w:val="5257047F"/>
    <w:rsid w:val="525C0679"/>
    <w:rsid w:val="537066D3"/>
    <w:rsid w:val="540E6360"/>
    <w:rsid w:val="55D72B33"/>
    <w:rsid w:val="564B3FF1"/>
    <w:rsid w:val="57ED24BE"/>
    <w:rsid w:val="57FB0E17"/>
    <w:rsid w:val="591075D9"/>
    <w:rsid w:val="59E9774C"/>
    <w:rsid w:val="59FB47D5"/>
    <w:rsid w:val="5A473EA1"/>
    <w:rsid w:val="5A862466"/>
    <w:rsid w:val="5AC666DF"/>
    <w:rsid w:val="5B297EC7"/>
    <w:rsid w:val="5D3712E9"/>
    <w:rsid w:val="5D6F5128"/>
    <w:rsid w:val="5DF370FD"/>
    <w:rsid w:val="5EBE7851"/>
    <w:rsid w:val="5EDD6469"/>
    <w:rsid w:val="5EFD7665"/>
    <w:rsid w:val="5F7A372C"/>
    <w:rsid w:val="5FEB349F"/>
    <w:rsid w:val="61BD0225"/>
    <w:rsid w:val="61DA5DE7"/>
    <w:rsid w:val="624320BD"/>
    <w:rsid w:val="62A94A64"/>
    <w:rsid w:val="631303F2"/>
    <w:rsid w:val="63473BF7"/>
    <w:rsid w:val="63617B7C"/>
    <w:rsid w:val="63754C08"/>
    <w:rsid w:val="63785855"/>
    <w:rsid w:val="63AC05C4"/>
    <w:rsid w:val="63E40FFA"/>
    <w:rsid w:val="64372634"/>
    <w:rsid w:val="64542A70"/>
    <w:rsid w:val="65DC0F6F"/>
    <w:rsid w:val="660B1854"/>
    <w:rsid w:val="662326FA"/>
    <w:rsid w:val="66D61A4A"/>
    <w:rsid w:val="66EF6A4D"/>
    <w:rsid w:val="67686E51"/>
    <w:rsid w:val="6780592A"/>
    <w:rsid w:val="684921C0"/>
    <w:rsid w:val="688350FB"/>
    <w:rsid w:val="68B408AB"/>
    <w:rsid w:val="69366EF6"/>
    <w:rsid w:val="6A427E8A"/>
    <w:rsid w:val="6AEC477A"/>
    <w:rsid w:val="6AEF704E"/>
    <w:rsid w:val="6B293A44"/>
    <w:rsid w:val="6BA968B0"/>
    <w:rsid w:val="6BC32DBE"/>
    <w:rsid w:val="6BE40ADB"/>
    <w:rsid w:val="6BE566CB"/>
    <w:rsid w:val="6BFA214F"/>
    <w:rsid w:val="6C041C46"/>
    <w:rsid w:val="6C7041BF"/>
    <w:rsid w:val="6D065152"/>
    <w:rsid w:val="6D594C53"/>
    <w:rsid w:val="6D624172"/>
    <w:rsid w:val="6D9D6C2B"/>
    <w:rsid w:val="6E0B755B"/>
    <w:rsid w:val="6E1C2DF3"/>
    <w:rsid w:val="6FB22BC5"/>
    <w:rsid w:val="6FB23D58"/>
    <w:rsid w:val="701B096B"/>
    <w:rsid w:val="70672428"/>
    <w:rsid w:val="707D0B1B"/>
    <w:rsid w:val="70EE1B56"/>
    <w:rsid w:val="718837AB"/>
    <w:rsid w:val="71990DB7"/>
    <w:rsid w:val="719F7859"/>
    <w:rsid w:val="725B146D"/>
    <w:rsid w:val="72614B6E"/>
    <w:rsid w:val="72873B10"/>
    <w:rsid w:val="7291211D"/>
    <w:rsid w:val="72D17E98"/>
    <w:rsid w:val="73420E8D"/>
    <w:rsid w:val="73E444BF"/>
    <w:rsid w:val="74335623"/>
    <w:rsid w:val="75092807"/>
    <w:rsid w:val="755F3397"/>
    <w:rsid w:val="75A64F75"/>
    <w:rsid w:val="75D45C40"/>
    <w:rsid w:val="763B3A90"/>
    <w:rsid w:val="763E6A68"/>
    <w:rsid w:val="77275DC2"/>
    <w:rsid w:val="773D32DB"/>
    <w:rsid w:val="77537F64"/>
    <w:rsid w:val="77F96792"/>
    <w:rsid w:val="78710AB4"/>
    <w:rsid w:val="787818AF"/>
    <w:rsid w:val="78A1630D"/>
    <w:rsid w:val="78BF2D08"/>
    <w:rsid w:val="78EC2E1F"/>
    <w:rsid w:val="792E3773"/>
    <w:rsid w:val="79570BE0"/>
    <w:rsid w:val="79C1638D"/>
    <w:rsid w:val="7A2523C9"/>
    <w:rsid w:val="7A495369"/>
    <w:rsid w:val="7A8157E9"/>
    <w:rsid w:val="7AB553C8"/>
    <w:rsid w:val="7B6E3FBF"/>
    <w:rsid w:val="7C9353C0"/>
    <w:rsid w:val="7CAD13DF"/>
    <w:rsid w:val="7CF36D71"/>
    <w:rsid w:val="7DC974EE"/>
    <w:rsid w:val="7E692B96"/>
    <w:rsid w:val="7E6C0013"/>
    <w:rsid w:val="7EC61048"/>
    <w:rsid w:val="7F065208"/>
    <w:rsid w:val="7F4514DB"/>
    <w:rsid w:val="7FE93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pPr>
    <w:rPr>
      <w:rFonts w:ascii="Times New Roman" w:hAnsi="Times New Roman" w:eastAsia="Times New Roman" w:cstheme="minorBidi"/>
      <w:kern w:val="2"/>
      <w:szCs w:val="22"/>
      <w:lang w:val="en-US" w:eastAsia="zh-CN" w:bidi="ar-SA"/>
    </w:rPr>
  </w:style>
  <w:style w:type="paragraph" w:styleId="2">
    <w:name w:val="heading 1"/>
    <w:basedOn w:val="1"/>
    <w:next w:val="1"/>
    <w:autoRedefine/>
    <w:qFormat/>
    <w:uiPriority w:val="0"/>
    <w:pPr>
      <w:spacing w:beforeAutospacing="1" w:afterAutospacing="1"/>
      <w:outlineLvl w:val="0"/>
    </w:pPr>
    <w:rPr>
      <w:rFonts w:hint="eastAsia" w:cs="Times New Roman"/>
      <w:b/>
      <w:kern w:val="44"/>
      <w:szCs w:val="48"/>
    </w:rPr>
  </w:style>
  <w:style w:type="paragraph" w:styleId="3">
    <w:name w:val="heading 2"/>
    <w:basedOn w:val="1"/>
    <w:next w:val="1"/>
    <w:link w:val="28"/>
    <w:autoRedefine/>
    <w:unhideWhenUsed/>
    <w:qFormat/>
    <w:uiPriority w:val="0"/>
    <w:pPr>
      <w:spacing w:beforeAutospacing="1" w:afterAutospacing="1"/>
      <w:outlineLvl w:val="1"/>
    </w:pPr>
    <w:rPr>
      <w:rFonts w:hint="eastAsia" w:ascii="宋体" w:hAnsi="宋体" w:cs="Times New Roman"/>
      <w:b/>
      <w:kern w:val="0"/>
      <w:sz w:val="28"/>
      <w:szCs w:val="36"/>
    </w:rPr>
  </w:style>
  <w:style w:type="paragraph" w:styleId="4">
    <w:name w:val="heading 3"/>
    <w:basedOn w:val="1"/>
    <w:next w:val="1"/>
    <w:link w:val="33"/>
    <w:autoRedefine/>
    <w:unhideWhenUsed/>
    <w:qFormat/>
    <w:uiPriority w:val="0"/>
    <w:pPr>
      <w:keepNext/>
      <w:keepLines/>
      <w:spacing w:before="260" w:after="260" w:line="413" w:lineRule="auto"/>
      <w:outlineLvl w:val="2"/>
    </w:pPr>
    <w:rPr>
      <w:b/>
    </w:rPr>
  </w:style>
  <w:style w:type="paragraph" w:styleId="5">
    <w:name w:val="heading 4"/>
    <w:basedOn w:val="1"/>
    <w:next w:val="1"/>
    <w:autoRedefine/>
    <w:unhideWhenUsed/>
    <w:qFormat/>
    <w:uiPriority w:val="0"/>
    <w:pPr>
      <w:keepNext/>
      <w:keepLines/>
      <w:spacing w:before="280" w:after="290" w:line="372" w:lineRule="auto"/>
      <w:outlineLvl w:val="3"/>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6">
    <w:name w:val="caption"/>
    <w:basedOn w:val="1"/>
    <w:next w:val="1"/>
    <w:autoRedefine/>
    <w:unhideWhenUsed/>
    <w:qFormat/>
    <w:uiPriority w:val="0"/>
    <w:pPr>
      <w:jc w:val="center"/>
    </w:pPr>
    <w:rPr>
      <w:rFonts w:cstheme="majorBidi"/>
      <w:szCs w:val="20"/>
    </w:rPr>
  </w:style>
  <w:style w:type="paragraph" w:styleId="7">
    <w:name w:val="annotation text"/>
    <w:basedOn w:val="1"/>
    <w:link w:val="34"/>
    <w:autoRedefine/>
    <w:qFormat/>
    <w:uiPriority w:val="0"/>
  </w:style>
  <w:style w:type="paragraph" w:styleId="8">
    <w:name w:val="toc 3"/>
    <w:basedOn w:val="1"/>
    <w:next w:val="1"/>
    <w:autoRedefine/>
    <w:qFormat/>
    <w:uiPriority w:val="39"/>
    <w:pPr>
      <w:ind w:left="840" w:leftChars="400"/>
    </w:pPr>
  </w:style>
  <w:style w:type="paragraph" w:styleId="9">
    <w:name w:val="Balloon Text"/>
    <w:basedOn w:val="1"/>
    <w:link w:val="39"/>
    <w:autoRedefine/>
    <w:qFormat/>
    <w:uiPriority w:val="0"/>
    <w:rPr>
      <w:sz w:val="18"/>
      <w:szCs w:val="18"/>
    </w:rPr>
  </w:style>
  <w:style w:type="paragraph" w:styleId="10">
    <w:name w:val="footer"/>
    <w:basedOn w:val="1"/>
    <w:link w:val="30"/>
    <w:autoRedefine/>
    <w:qFormat/>
    <w:uiPriority w:val="99"/>
    <w:pPr>
      <w:tabs>
        <w:tab w:val="center" w:pos="4153"/>
        <w:tab w:val="right" w:pos="8306"/>
      </w:tabs>
      <w:snapToGrid w:val="0"/>
    </w:pPr>
    <w:rPr>
      <w:sz w:val="18"/>
      <w:szCs w:val="18"/>
    </w:rPr>
  </w:style>
  <w:style w:type="paragraph" w:styleId="11">
    <w:name w:val="header"/>
    <w:basedOn w:val="1"/>
    <w:link w:val="29"/>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uiPriority w:val="0"/>
  </w:style>
  <w:style w:type="paragraph" w:styleId="13">
    <w:name w:val="toc 2"/>
    <w:basedOn w:val="1"/>
    <w:next w:val="1"/>
    <w:autoRedefine/>
    <w:qFormat/>
    <w:uiPriority w:val="39"/>
    <w:pPr>
      <w:ind w:left="420" w:leftChars="200"/>
    </w:pPr>
  </w:style>
  <w:style w:type="paragraph" w:styleId="14">
    <w:name w:val="HTML Preformatted"/>
    <w:basedOn w:val="1"/>
    <w:link w:val="41"/>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cs="Times New Roman"/>
      <w:kern w:val="0"/>
      <w:szCs w:val="24"/>
    </w:rPr>
  </w:style>
  <w:style w:type="paragraph" w:styleId="15">
    <w:name w:val="Normal (Web)"/>
    <w:basedOn w:val="1"/>
    <w:autoRedefine/>
    <w:qFormat/>
    <w:uiPriority w:val="0"/>
    <w:pPr>
      <w:spacing w:beforeAutospacing="1" w:afterAutospacing="1"/>
    </w:pPr>
    <w:rPr>
      <w:rFonts w:cs="Times New Roman"/>
      <w:kern w:val="0"/>
    </w:rPr>
  </w:style>
  <w:style w:type="paragraph" w:styleId="16">
    <w:name w:val="annotation subject"/>
    <w:basedOn w:val="7"/>
    <w:next w:val="7"/>
    <w:link w:val="38"/>
    <w:autoRedefine/>
    <w:qFormat/>
    <w:uiPriority w:val="0"/>
    <w:rPr>
      <w:b/>
      <w:bCs/>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autoRedefine/>
    <w:qFormat/>
    <w:uiPriority w:val="0"/>
    <w:rPr>
      <w:b/>
    </w:rPr>
  </w:style>
  <w:style w:type="character" w:styleId="21">
    <w:name w:val="Emphasis"/>
    <w:basedOn w:val="19"/>
    <w:autoRedefine/>
    <w:qFormat/>
    <w:uiPriority w:val="0"/>
    <w:rPr>
      <w:i/>
    </w:rPr>
  </w:style>
  <w:style w:type="character" w:styleId="22">
    <w:name w:val="Hyperlink"/>
    <w:basedOn w:val="19"/>
    <w:autoRedefine/>
    <w:qFormat/>
    <w:uiPriority w:val="99"/>
    <w:rPr>
      <w:color w:val="0000FF"/>
      <w:u w:val="single"/>
    </w:rPr>
  </w:style>
  <w:style w:type="character" w:styleId="23">
    <w:name w:val="annotation reference"/>
    <w:basedOn w:val="19"/>
    <w:autoRedefine/>
    <w:qFormat/>
    <w:uiPriority w:val="0"/>
    <w:rPr>
      <w:sz w:val="21"/>
      <w:szCs w:val="21"/>
    </w:rPr>
  </w:style>
  <w:style w:type="paragraph" w:customStyle="1" w:styleId="24">
    <w:name w:val="表格"/>
    <w:basedOn w:val="1"/>
    <w:autoRedefine/>
    <w:qFormat/>
    <w:uiPriority w:val="0"/>
    <w:pPr>
      <w:jc w:val="center"/>
    </w:pPr>
    <w:rPr>
      <w:szCs w:val="20"/>
    </w:rPr>
  </w:style>
  <w:style w:type="paragraph" w:customStyle="1" w:styleId="25">
    <w:name w:val="引用文献格式"/>
    <w:basedOn w:val="1"/>
    <w:link w:val="26"/>
    <w:autoRedefine/>
    <w:qFormat/>
    <w:uiPriority w:val="0"/>
    <w:rPr>
      <w:rFonts w:eastAsia="黑体"/>
      <w:sz w:val="21"/>
    </w:rPr>
  </w:style>
  <w:style w:type="character" w:customStyle="1" w:styleId="26">
    <w:name w:val="引用文献格式 Char"/>
    <w:link w:val="25"/>
    <w:autoRedefine/>
    <w:qFormat/>
    <w:uiPriority w:val="0"/>
    <w:rPr>
      <w:rFonts w:ascii="Times New Roman" w:hAnsi="Times New Roman" w:eastAsia="黑体"/>
      <w:sz w:val="21"/>
    </w:rPr>
  </w:style>
  <w:style w:type="paragraph" w:customStyle="1" w:styleId="27">
    <w:name w:val="code"/>
    <w:autoRedefine/>
    <w:qFormat/>
    <w:uiPriority w:val="0"/>
    <w:rPr>
      <w:rFonts w:ascii="等线" w:hAnsi="等线" w:eastAsiaTheme="minorEastAsia" w:cstheme="minorBidi"/>
      <w:lang w:val="en-US" w:eastAsia="zh-CN" w:bidi="ar-SA"/>
    </w:rPr>
  </w:style>
  <w:style w:type="character" w:customStyle="1" w:styleId="28">
    <w:name w:val="标题 2 字符"/>
    <w:link w:val="3"/>
    <w:autoRedefine/>
    <w:qFormat/>
    <w:uiPriority w:val="0"/>
    <w:rPr>
      <w:rFonts w:hint="eastAsia" w:ascii="宋体" w:hAnsi="宋体" w:eastAsia="宋体" w:cs="宋体"/>
      <w:b/>
      <w:kern w:val="0"/>
      <w:sz w:val="28"/>
      <w:szCs w:val="36"/>
      <w:lang w:bidi="ar"/>
    </w:rPr>
  </w:style>
  <w:style w:type="character" w:customStyle="1" w:styleId="29">
    <w:name w:val="页眉 字符"/>
    <w:basedOn w:val="19"/>
    <w:link w:val="11"/>
    <w:autoRedefine/>
    <w:qFormat/>
    <w:uiPriority w:val="0"/>
    <w:rPr>
      <w:rFonts w:cstheme="minorBidi"/>
      <w:kern w:val="2"/>
      <w:sz w:val="18"/>
      <w:szCs w:val="18"/>
    </w:rPr>
  </w:style>
  <w:style w:type="character" w:customStyle="1" w:styleId="30">
    <w:name w:val="页脚 字符"/>
    <w:basedOn w:val="19"/>
    <w:link w:val="10"/>
    <w:autoRedefine/>
    <w:qFormat/>
    <w:uiPriority w:val="99"/>
    <w:rPr>
      <w:rFonts w:cstheme="minorBidi"/>
      <w:kern w:val="2"/>
      <w:sz w:val="18"/>
      <w:szCs w:val="18"/>
    </w:rPr>
  </w:style>
  <w:style w:type="paragraph" w:customStyle="1" w:styleId="31">
    <w:name w:val="图表"/>
    <w:basedOn w:val="1"/>
    <w:autoRedefine/>
    <w:qFormat/>
    <w:uiPriority w:val="0"/>
    <w:pPr>
      <w:widowControl/>
      <w:jc w:val="center"/>
    </w:pPr>
    <w:rPr>
      <w:rFonts w:cs="宋体"/>
      <w:color w:val="000000"/>
      <w:kern w:val="0"/>
    </w:rPr>
  </w:style>
  <w:style w:type="paragraph" w:customStyle="1" w:styleId="32">
    <w:name w:val="图表标题"/>
    <w:basedOn w:val="1"/>
    <w:autoRedefine/>
    <w:qFormat/>
    <w:uiPriority w:val="0"/>
    <w:pPr>
      <w:jc w:val="center"/>
    </w:pPr>
    <w:rPr>
      <w:rFonts w:cs="Times New Roman"/>
    </w:rPr>
  </w:style>
  <w:style w:type="character" w:customStyle="1" w:styleId="33">
    <w:name w:val="标题 3 字符"/>
    <w:basedOn w:val="19"/>
    <w:link w:val="4"/>
    <w:autoRedefine/>
    <w:qFormat/>
    <w:uiPriority w:val="0"/>
    <w:rPr>
      <w:rFonts w:cstheme="minorBidi"/>
      <w:b/>
      <w:kern w:val="2"/>
      <w:sz w:val="24"/>
      <w:szCs w:val="22"/>
    </w:rPr>
  </w:style>
  <w:style w:type="character" w:customStyle="1" w:styleId="34">
    <w:name w:val="批注文字 字符"/>
    <w:basedOn w:val="19"/>
    <w:link w:val="7"/>
    <w:autoRedefine/>
    <w:qFormat/>
    <w:uiPriority w:val="0"/>
    <w:rPr>
      <w:rFonts w:cstheme="minorBidi"/>
      <w:kern w:val="2"/>
      <w:sz w:val="24"/>
      <w:szCs w:val="22"/>
    </w:rPr>
  </w:style>
  <w:style w:type="paragraph" w:styleId="35">
    <w:name w:val="List Paragraph"/>
    <w:basedOn w:val="1"/>
    <w:autoRedefine/>
    <w:qFormat/>
    <w:uiPriority w:val="99"/>
    <w:pPr>
      <w:ind w:firstLine="420"/>
    </w:pPr>
  </w:style>
  <w:style w:type="table" w:customStyle="1" w:styleId="36">
    <w:name w:val="Light List1"/>
    <w:basedOn w:val="17"/>
    <w:autoRedefine/>
    <w:qFormat/>
    <w:uiPriority w:val="61"/>
    <w:rPr>
      <w:sz w:val="22"/>
      <w:lang w:eastAsia="en-US"/>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paragraph" w:customStyle="1" w:styleId="37">
    <w:name w:val="修订1"/>
    <w:autoRedefine/>
    <w:hidden/>
    <w:semiHidden/>
    <w:qFormat/>
    <w:uiPriority w:val="99"/>
    <w:rPr>
      <w:rFonts w:ascii="Times New Roman" w:hAnsi="Times New Roman" w:eastAsia="宋体" w:cstheme="minorBidi"/>
      <w:kern w:val="2"/>
      <w:sz w:val="24"/>
      <w:szCs w:val="22"/>
      <w:lang w:val="en-US" w:eastAsia="zh-CN" w:bidi="ar-SA"/>
    </w:rPr>
  </w:style>
  <w:style w:type="character" w:customStyle="1" w:styleId="38">
    <w:name w:val="批注主题 字符"/>
    <w:basedOn w:val="34"/>
    <w:link w:val="16"/>
    <w:autoRedefine/>
    <w:qFormat/>
    <w:uiPriority w:val="0"/>
    <w:rPr>
      <w:rFonts w:cstheme="minorBidi"/>
      <w:b/>
      <w:bCs/>
      <w:kern w:val="2"/>
      <w:sz w:val="24"/>
      <w:szCs w:val="22"/>
    </w:rPr>
  </w:style>
  <w:style w:type="character" w:customStyle="1" w:styleId="39">
    <w:name w:val="批注框文本 字符"/>
    <w:basedOn w:val="19"/>
    <w:link w:val="9"/>
    <w:autoRedefine/>
    <w:qFormat/>
    <w:uiPriority w:val="0"/>
    <w:rPr>
      <w:rFonts w:cstheme="minorBidi"/>
      <w:kern w:val="2"/>
      <w:sz w:val="18"/>
      <w:szCs w:val="18"/>
    </w:rPr>
  </w:style>
  <w:style w:type="paragraph" w:customStyle="1" w:styleId="40">
    <w:name w:val="样式1"/>
    <w:basedOn w:val="1"/>
    <w:autoRedefine/>
    <w:qFormat/>
    <w:uiPriority w:val="0"/>
    <w:pPr>
      <w:jc w:val="center"/>
    </w:pPr>
    <w:rPr>
      <w:rFonts w:hint="eastAsia"/>
      <w:szCs w:val="20"/>
    </w:rPr>
  </w:style>
  <w:style w:type="character" w:customStyle="1" w:styleId="41">
    <w:name w:val="HTML 预设格式 字符"/>
    <w:basedOn w:val="19"/>
    <w:link w:val="14"/>
    <w:autoRedefine/>
    <w:qFormat/>
    <w:uiPriority w:val="99"/>
    <w:rPr>
      <w:rFonts w:ascii="宋体" w:hAnsi="宋体"/>
      <w:sz w:val="24"/>
      <w:szCs w:val="24"/>
    </w:rPr>
  </w:style>
  <w:style w:type="character" w:customStyle="1" w:styleId="42">
    <w:name w:val="font21"/>
    <w:basedOn w:val="19"/>
    <w:autoRedefine/>
    <w:qFormat/>
    <w:uiPriority w:val="0"/>
    <w:rPr>
      <w:rFonts w:hint="eastAsia" w:ascii="宋体" w:hAnsi="宋体" w:eastAsia="宋体" w:cs="宋体"/>
      <w:color w:val="000000"/>
      <w:sz w:val="22"/>
      <w:szCs w:val="22"/>
      <w:u w:val="none"/>
    </w:rPr>
  </w:style>
  <w:style w:type="character" w:customStyle="1" w:styleId="43">
    <w:name w:val="font61"/>
    <w:basedOn w:val="19"/>
    <w:autoRedefine/>
    <w:qFormat/>
    <w:uiPriority w:val="0"/>
    <w:rPr>
      <w:rFonts w:hint="eastAsia" w:ascii="宋体" w:hAnsi="宋体" w:eastAsia="宋体" w:cs="宋体"/>
      <w:color w:val="FF0000"/>
      <w:sz w:val="22"/>
      <w:szCs w:val="22"/>
      <w:u w:val="none"/>
    </w:rPr>
  </w:style>
  <w:style w:type="paragraph" w:customStyle="1" w:styleId="44">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4.tif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4F3B16-EC13-4FAA-A492-7106CCD49782}">
  <ds:schemaRefs/>
</ds:datastoreItem>
</file>

<file path=docProps/app.xml><?xml version="1.0" encoding="utf-8"?>
<Properties xmlns="http://schemas.openxmlformats.org/officeDocument/2006/extended-properties" xmlns:vt="http://schemas.openxmlformats.org/officeDocument/2006/docPropsVTypes">
  <Template>Normal</Template>
  <Company>F. Hoffmann-La Roche, Ltd.</Company>
  <Pages>17</Pages>
  <Words>201</Words>
  <Characters>1737</Characters>
  <Lines>239</Lines>
  <Paragraphs>67</Paragraphs>
  <TotalTime>2</TotalTime>
  <ScaleCrop>false</ScaleCrop>
  <LinksUpToDate>false</LinksUpToDate>
  <CharactersWithSpaces>1940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2023-05-03T10:30:00Z</dcterms:created>
  <dc:creator>ECHO</dc:creator>
  <dc:description>NE.Ref</dc:description>
  <cp:lastModifiedBy>Kaka</cp:lastModifiedBy>
  <dcterms:modified xsi:type="dcterms:W3CDTF">2025-02-27T13:30:32Z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F90DBCA37DF64353A9D11B490CDD9962_13</vt:lpwstr>
  </property>
  <property fmtid="{D5CDD505-2E9C-101B-9397-08002B2CF9AE}" pid="4" name="KSOTemplateDocerSaveRecord">
    <vt:lpwstr>eyJoZGlkIjoiNTdjNzJiNTk5NmRmYmYzZDlmNjhlMTAzYTRmYjYyYTkiLCJ1c2VySWQiOiIyNzU0ODUwNjQifQ==</vt:lpwstr>
  </property>
</Properties>
</file>