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B8451" w14:textId="77777777" w:rsidR="00AE7CCD" w:rsidRDefault="00AE7CCD" w:rsidP="009523A8">
      <w:pPr>
        <w:jc w:val="center"/>
        <w:rPr>
          <w:rFonts w:asciiTheme="minorHAnsi" w:hAnsiTheme="minorHAnsi" w:cstheme="minorHAnsi"/>
          <w:b/>
          <w:sz w:val="28"/>
          <w:szCs w:val="28"/>
          <w:lang w:val="en-US"/>
        </w:rPr>
      </w:pPr>
    </w:p>
    <w:p w14:paraId="0F4FD937" w14:textId="77777777" w:rsidR="00AE7CCD" w:rsidRDefault="00AE7CCD" w:rsidP="009523A8">
      <w:pPr>
        <w:jc w:val="center"/>
        <w:rPr>
          <w:rFonts w:asciiTheme="minorHAnsi" w:hAnsiTheme="minorHAnsi" w:cstheme="minorHAnsi"/>
          <w:b/>
          <w:sz w:val="28"/>
          <w:szCs w:val="28"/>
          <w:lang w:val="en-US"/>
        </w:rPr>
      </w:pPr>
    </w:p>
    <w:p w14:paraId="054CD8E4" w14:textId="2C28D0A8" w:rsidR="00AE7CCD" w:rsidRPr="007F5C4C" w:rsidRDefault="00D760D2" w:rsidP="009523A8">
      <w:pPr>
        <w:jc w:val="center"/>
        <w:rPr>
          <w:rFonts w:asciiTheme="minorHAnsi" w:hAnsiTheme="minorHAnsi" w:cstheme="minorHAnsi"/>
          <w:b/>
          <w:sz w:val="28"/>
          <w:lang w:val="en-US"/>
        </w:rPr>
      </w:pPr>
      <w:r w:rsidRPr="000B4CB4">
        <w:rPr>
          <w:rFonts w:asciiTheme="minorHAnsi" w:hAnsiTheme="minorHAnsi" w:cstheme="minorHAnsi"/>
          <w:b/>
          <w:sz w:val="28"/>
          <w:szCs w:val="28"/>
          <w:lang w:val="en-US"/>
        </w:rPr>
        <w:t>Preferences Towards Digital Health Technologies</w:t>
      </w:r>
      <w:r w:rsidR="007F5C4C">
        <w:rPr>
          <w:rFonts w:asciiTheme="minorHAnsi" w:hAnsiTheme="minorHAnsi" w:cstheme="minorHAnsi"/>
          <w:b/>
          <w:sz w:val="28"/>
          <w:lang w:val="en-US"/>
        </w:rPr>
        <w:t>: a Scoping Review</w:t>
      </w:r>
    </w:p>
    <w:p w14:paraId="7029685C" w14:textId="77777777" w:rsidR="009523A8" w:rsidRDefault="00AE7CCD" w:rsidP="009523A8">
      <w:pPr>
        <w:jc w:val="center"/>
        <w:rPr>
          <w:rFonts w:asciiTheme="minorHAnsi" w:hAnsiTheme="minorHAnsi" w:cstheme="minorHAnsi"/>
          <w:b/>
          <w:sz w:val="28"/>
          <w:u w:val="single"/>
          <w:lang w:val="en-US"/>
        </w:rPr>
      </w:pPr>
      <w:r>
        <w:rPr>
          <w:rFonts w:asciiTheme="minorHAnsi" w:hAnsiTheme="minorHAnsi" w:cstheme="minorHAnsi"/>
          <w:b/>
          <w:sz w:val="28"/>
          <w:u w:val="single"/>
          <w:lang w:val="en-US"/>
        </w:rPr>
        <w:t xml:space="preserve">Online </w:t>
      </w:r>
      <w:r w:rsidR="009523A8" w:rsidRPr="000B4CB4">
        <w:rPr>
          <w:rFonts w:asciiTheme="minorHAnsi" w:hAnsiTheme="minorHAnsi" w:cstheme="minorHAnsi"/>
          <w:b/>
          <w:sz w:val="28"/>
          <w:u w:val="single"/>
          <w:lang w:val="en-US"/>
        </w:rPr>
        <w:t>Supplementary</w:t>
      </w:r>
      <w:r>
        <w:rPr>
          <w:rFonts w:asciiTheme="minorHAnsi" w:hAnsiTheme="minorHAnsi" w:cstheme="minorHAnsi"/>
          <w:b/>
          <w:sz w:val="28"/>
          <w:u w:val="single"/>
          <w:lang w:val="en-US"/>
        </w:rPr>
        <w:t xml:space="preserve"> M</w:t>
      </w:r>
      <w:r w:rsidR="009523A8" w:rsidRPr="000B4CB4">
        <w:rPr>
          <w:rFonts w:asciiTheme="minorHAnsi" w:hAnsiTheme="minorHAnsi" w:cstheme="minorHAnsi"/>
          <w:b/>
          <w:sz w:val="28"/>
          <w:u w:val="single"/>
          <w:lang w:val="en-US"/>
        </w:rPr>
        <w:t>aterials</w:t>
      </w:r>
    </w:p>
    <w:p w14:paraId="543FB1BE" w14:textId="77777777" w:rsidR="00E71B35" w:rsidRDefault="00E71B35" w:rsidP="009523A8">
      <w:pPr>
        <w:jc w:val="center"/>
        <w:rPr>
          <w:rFonts w:asciiTheme="minorHAnsi" w:hAnsiTheme="minorHAnsi" w:cstheme="minorHAnsi"/>
          <w:b/>
          <w:sz w:val="28"/>
          <w:u w:val="single"/>
          <w:lang w:val="en-US"/>
        </w:rPr>
      </w:pPr>
    </w:p>
    <w:p w14:paraId="55B576D6" w14:textId="145BF67D" w:rsidR="00E71B35" w:rsidRDefault="00E71B35" w:rsidP="009523A8">
      <w:pPr>
        <w:jc w:val="center"/>
        <w:rPr>
          <w:rFonts w:asciiTheme="minorHAnsi" w:hAnsiTheme="minorHAnsi" w:cstheme="minorHAnsi"/>
          <w:b/>
          <w:i/>
          <w:iCs/>
          <w:sz w:val="28"/>
          <w:lang w:val="en-US"/>
        </w:rPr>
      </w:pPr>
      <w:r w:rsidRPr="00E71B35">
        <w:rPr>
          <w:rFonts w:asciiTheme="minorHAnsi" w:hAnsiTheme="minorHAnsi" w:cstheme="minorHAnsi"/>
          <w:b/>
          <w:i/>
          <w:iCs/>
          <w:sz w:val="28"/>
          <w:lang w:val="en-US"/>
        </w:rPr>
        <w:t>Health Economics Review</w:t>
      </w:r>
    </w:p>
    <w:p w14:paraId="4CB661E0" w14:textId="77777777" w:rsidR="00E71B35" w:rsidRDefault="00E71B35" w:rsidP="009523A8">
      <w:pPr>
        <w:jc w:val="center"/>
        <w:rPr>
          <w:rFonts w:asciiTheme="minorHAnsi" w:hAnsiTheme="minorHAnsi" w:cstheme="minorHAnsi"/>
          <w:b/>
          <w:i/>
          <w:iCs/>
          <w:sz w:val="28"/>
          <w:lang w:val="en-US"/>
        </w:rPr>
      </w:pPr>
    </w:p>
    <w:p w14:paraId="20A2C0A2" w14:textId="51FB69EE" w:rsidR="00E71B35" w:rsidRPr="00E71B35" w:rsidRDefault="00E71B35" w:rsidP="00E71B35">
      <w:pPr>
        <w:rPr>
          <w:rFonts w:asciiTheme="minorHAnsi" w:hAnsiTheme="minorHAnsi" w:cstheme="minorHAnsi"/>
          <w:bCs/>
          <w:sz w:val="28"/>
          <w:lang w:val="en-US"/>
        </w:rPr>
      </w:pPr>
    </w:p>
    <w:p w14:paraId="061B79F0" w14:textId="77777777" w:rsidR="00E71B35" w:rsidRDefault="00E71B35" w:rsidP="00E71B35">
      <w:pPr>
        <w:spacing w:line="360" w:lineRule="auto"/>
        <w:rPr>
          <w:rFonts w:asciiTheme="minorHAnsi" w:hAnsiTheme="minorHAnsi" w:cstheme="minorHAnsi"/>
          <w:b/>
          <w:sz w:val="22"/>
          <w:szCs w:val="22"/>
          <w:u w:val="single"/>
          <w:lang w:val="en-US"/>
        </w:rPr>
      </w:pPr>
      <w:r>
        <w:rPr>
          <w:rFonts w:asciiTheme="minorHAnsi" w:hAnsiTheme="minorHAnsi" w:cstheme="minorHAnsi"/>
          <w:b/>
          <w:sz w:val="22"/>
          <w:szCs w:val="22"/>
          <w:u w:val="single"/>
          <w:lang w:val="en-US"/>
        </w:rPr>
        <w:t>Authors</w:t>
      </w:r>
    </w:p>
    <w:p w14:paraId="077C8F87" w14:textId="77777777" w:rsidR="00E71B35" w:rsidRPr="005E44E7" w:rsidRDefault="00E71B35" w:rsidP="00E71B35">
      <w:pPr>
        <w:spacing w:line="276" w:lineRule="auto"/>
        <w:rPr>
          <w:rFonts w:asciiTheme="minorHAnsi" w:hAnsiTheme="minorHAnsi" w:cstheme="minorHAnsi"/>
          <w:b/>
          <w:sz w:val="22"/>
          <w:szCs w:val="22"/>
          <w:vertAlign w:val="superscript"/>
        </w:rPr>
      </w:pPr>
      <w:r w:rsidRPr="005E44E7">
        <w:rPr>
          <w:rFonts w:asciiTheme="minorHAnsi" w:hAnsiTheme="minorHAnsi" w:cstheme="minorHAnsi"/>
          <w:b/>
          <w:sz w:val="22"/>
          <w:szCs w:val="22"/>
        </w:rPr>
        <w:t xml:space="preserve">Aimée </w:t>
      </w:r>
      <w:proofErr w:type="spellStart"/>
      <w:r w:rsidRPr="005E44E7">
        <w:rPr>
          <w:rFonts w:asciiTheme="minorHAnsi" w:hAnsiTheme="minorHAnsi" w:cstheme="minorHAnsi"/>
          <w:b/>
          <w:sz w:val="22"/>
          <w:szCs w:val="22"/>
        </w:rPr>
        <w:t>Kingsada</w:t>
      </w:r>
      <w:proofErr w:type="spellEnd"/>
      <w:r w:rsidRPr="005E44E7">
        <w:rPr>
          <w:rFonts w:asciiTheme="minorHAnsi" w:hAnsiTheme="minorHAnsi" w:cstheme="minorHAnsi"/>
          <w:b/>
          <w:sz w:val="22"/>
          <w:szCs w:val="22"/>
        </w:rPr>
        <w:t xml:space="preserve"> </w:t>
      </w:r>
      <w:r w:rsidRPr="005E44E7">
        <w:rPr>
          <w:rFonts w:asciiTheme="minorHAnsi" w:hAnsiTheme="minorHAnsi" w:cstheme="minorHAnsi"/>
          <w:b/>
          <w:sz w:val="22"/>
          <w:szCs w:val="22"/>
          <w:vertAlign w:val="superscript"/>
        </w:rPr>
        <w:t>1,2</w:t>
      </w:r>
    </w:p>
    <w:p w14:paraId="509AD036" w14:textId="444043DD" w:rsidR="00E71B35" w:rsidRPr="005E44E7" w:rsidRDefault="00E71B35" w:rsidP="00E71B35">
      <w:pPr>
        <w:spacing w:line="276" w:lineRule="auto"/>
        <w:rPr>
          <w:rFonts w:asciiTheme="minorHAnsi" w:hAnsiTheme="minorHAnsi" w:cstheme="minorHAnsi"/>
          <w:sz w:val="22"/>
          <w:szCs w:val="22"/>
        </w:rPr>
      </w:pPr>
      <w:r w:rsidRPr="005E44E7">
        <w:rPr>
          <w:rFonts w:asciiTheme="minorHAnsi" w:hAnsiTheme="minorHAnsi" w:cstheme="minorHAnsi"/>
          <w:b/>
          <w:sz w:val="22"/>
          <w:szCs w:val="22"/>
          <w:vertAlign w:val="superscript"/>
        </w:rPr>
        <w:t xml:space="preserve">1 </w:t>
      </w:r>
      <w:r w:rsidRPr="00E71B35">
        <w:rPr>
          <w:rFonts w:asciiTheme="minorHAnsi" w:hAnsiTheme="minorHAnsi" w:cstheme="minorHAnsi"/>
          <w:sz w:val="22"/>
          <w:szCs w:val="22"/>
        </w:rPr>
        <w:t>Univ. Lille, CNRS, IESEG School of Management, UMR 9221 - LEM - Lille Économie Management, 59000, Lille, France</w:t>
      </w:r>
    </w:p>
    <w:p w14:paraId="5E327ADC" w14:textId="28C08699" w:rsidR="00E71B35" w:rsidRPr="005E44E7" w:rsidRDefault="00E71B35" w:rsidP="00E71B35">
      <w:pPr>
        <w:spacing w:line="276" w:lineRule="auto"/>
        <w:rPr>
          <w:rFonts w:asciiTheme="minorHAnsi" w:hAnsiTheme="minorHAnsi" w:cstheme="minorHAnsi"/>
          <w:sz w:val="22"/>
          <w:szCs w:val="22"/>
        </w:rPr>
      </w:pPr>
      <w:r w:rsidRPr="005E44E7">
        <w:rPr>
          <w:rFonts w:asciiTheme="minorHAnsi" w:hAnsiTheme="minorHAnsi" w:cstheme="minorHAnsi"/>
          <w:b/>
          <w:sz w:val="22"/>
          <w:szCs w:val="22"/>
          <w:vertAlign w:val="superscript"/>
        </w:rPr>
        <w:t xml:space="preserve">2 </w:t>
      </w:r>
      <w:r w:rsidRPr="005E44E7">
        <w:rPr>
          <w:rFonts w:asciiTheme="minorHAnsi" w:hAnsiTheme="minorHAnsi" w:cstheme="minorHAnsi"/>
          <w:sz w:val="22"/>
          <w:szCs w:val="22"/>
        </w:rPr>
        <w:t xml:space="preserve">LIRAES and Chaire </w:t>
      </w:r>
      <w:proofErr w:type="spellStart"/>
      <w:proofErr w:type="gramStart"/>
      <w:r w:rsidRPr="005E44E7">
        <w:rPr>
          <w:rFonts w:asciiTheme="minorHAnsi" w:hAnsiTheme="minorHAnsi" w:cstheme="minorHAnsi"/>
          <w:sz w:val="22"/>
          <w:szCs w:val="22"/>
        </w:rPr>
        <w:t>AgingUP</w:t>
      </w:r>
      <w:proofErr w:type="spellEnd"/>
      <w:r>
        <w:rPr>
          <w:rFonts w:asciiTheme="minorHAnsi" w:hAnsiTheme="minorHAnsi" w:cstheme="minorHAnsi"/>
          <w:sz w:val="22"/>
          <w:szCs w:val="22"/>
        </w:rPr>
        <w:t>!</w:t>
      </w:r>
      <w:r w:rsidRPr="005E44E7">
        <w:rPr>
          <w:rFonts w:asciiTheme="minorHAnsi" w:hAnsiTheme="minorHAnsi" w:cstheme="minorHAnsi"/>
          <w:sz w:val="22"/>
          <w:szCs w:val="22"/>
        </w:rPr>
        <w:t>,</w:t>
      </w:r>
      <w:proofErr w:type="gramEnd"/>
      <w:r w:rsidRPr="005E44E7">
        <w:rPr>
          <w:rFonts w:asciiTheme="minorHAnsi" w:hAnsiTheme="minorHAnsi" w:cstheme="minorHAnsi"/>
          <w:sz w:val="22"/>
          <w:szCs w:val="22"/>
        </w:rPr>
        <w:t xml:space="preserve"> Université Paris Cité, 75006 Paris, F</w:t>
      </w:r>
      <w:r>
        <w:rPr>
          <w:rFonts w:asciiTheme="minorHAnsi" w:hAnsiTheme="minorHAnsi" w:cstheme="minorHAnsi"/>
          <w:sz w:val="22"/>
          <w:szCs w:val="22"/>
        </w:rPr>
        <w:t>rance</w:t>
      </w:r>
    </w:p>
    <w:p w14:paraId="51A0428E" w14:textId="77777777" w:rsidR="00E71B35" w:rsidRPr="005E44E7" w:rsidRDefault="00E71B35" w:rsidP="00E71B35">
      <w:pPr>
        <w:spacing w:line="276" w:lineRule="auto"/>
        <w:rPr>
          <w:rFonts w:asciiTheme="minorHAnsi" w:hAnsiTheme="minorHAnsi" w:cstheme="minorHAnsi"/>
          <w:sz w:val="22"/>
          <w:szCs w:val="22"/>
          <w:lang w:val="en-US"/>
        </w:rPr>
      </w:pPr>
      <w:hyperlink r:id="rId7" w:history="1">
        <w:r w:rsidRPr="005E44E7">
          <w:rPr>
            <w:rStyle w:val="Lienhypertexte"/>
            <w:rFonts w:asciiTheme="minorHAnsi" w:hAnsiTheme="minorHAnsi" w:cstheme="minorHAnsi"/>
            <w:sz w:val="22"/>
            <w:szCs w:val="22"/>
            <w:lang w:val="en-US"/>
          </w:rPr>
          <w:t>aimee.kingsada@univ-lille.fr</w:t>
        </w:r>
      </w:hyperlink>
      <w:r w:rsidRPr="005E44E7">
        <w:rPr>
          <w:rFonts w:asciiTheme="minorHAnsi" w:hAnsiTheme="minorHAnsi" w:cstheme="minorHAnsi"/>
          <w:sz w:val="22"/>
          <w:szCs w:val="22"/>
          <w:lang w:val="en-US"/>
        </w:rPr>
        <w:t xml:space="preserve"> </w:t>
      </w:r>
    </w:p>
    <w:p w14:paraId="0C262C5D" w14:textId="77777777" w:rsidR="00E71B35" w:rsidRPr="005E44E7" w:rsidRDefault="00E71B35" w:rsidP="00E71B35">
      <w:pPr>
        <w:spacing w:line="276" w:lineRule="auto"/>
        <w:rPr>
          <w:rFonts w:asciiTheme="minorHAnsi" w:hAnsiTheme="minorHAnsi" w:cstheme="minorHAnsi"/>
          <w:sz w:val="22"/>
          <w:szCs w:val="22"/>
          <w:lang w:val="en-US"/>
        </w:rPr>
      </w:pPr>
    </w:p>
    <w:p w14:paraId="2F80990B" w14:textId="38F5C969" w:rsidR="00E71B35" w:rsidRPr="005E44E7" w:rsidRDefault="00E71B35" w:rsidP="00E71B35">
      <w:pPr>
        <w:spacing w:line="276" w:lineRule="auto"/>
        <w:rPr>
          <w:rFonts w:asciiTheme="minorHAnsi" w:hAnsiTheme="minorHAnsi" w:cstheme="minorHAnsi"/>
          <w:b/>
          <w:sz w:val="22"/>
          <w:szCs w:val="22"/>
          <w:lang w:val="en-US"/>
        </w:rPr>
      </w:pPr>
      <w:r w:rsidRPr="005E44E7">
        <w:rPr>
          <w:rFonts w:asciiTheme="minorHAnsi" w:hAnsiTheme="minorHAnsi" w:cstheme="minorHAnsi"/>
          <w:b/>
          <w:sz w:val="22"/>
          <w:szCs w:val="22"/>
          <w:lang w:val="en-US"/>
        </w:rPr>
        <w:t>Silvana Briones</w:t>
      </w:r>
      <w:r>
        <w:rPr>
          <w:rFonts w:asciiTheme="minorHAnsi" w:hAnsiTheme="minorHAnsi" w:cstheme="minorHAnsi"/>
          <w:b/>
          <w:sz w:val="22"/>
          <w:szCs w:val="22"/>
          <w:lang w:val="en-US"/>
        </w:rPr>
        <w:t>-</w:t>
      </w:r>
      <w:proofErr w:type="spellStart"/>
      <w:r w:rsidRPr="005E44E7">
        <w:rPr>
          <w:rFonts w:asciiTheme="minorHAnsi" w:hAnsiTheme="minorHAnsi" w:cstheme="minorHAnsi"/>
          <w:b/>
          <w:sz w:val="22"/>
          <w:szCs w:val="22"/>
          <w:lang w:val="en-US"/>
        </w:rPr>
        <w:t>Piedrafita</w:t>
      </w:r>
      <w:proofErr w:type="spellEnd"/>
      <w:r w:rsidRPr="005E44E7">
        <w:rPr>
          <w:rFonts w:asciiTheme="minorHAnsi" w:hAnsiTheme="minorHAnsi" w:cstheme="minorHAnsi"/>
          <w:b/>
          <w:sz w:val="22"/>
          <w:szCs w:val="22"/>
          <w:lang w:val="en-US"/>
        </w:rPr>
        <w:t xml:space="preserve"> </w:t>
      </w:r>
      <w:r w:rsidRPr="005E44E7">
        <w:rPr>
          <w:rFonts w:asciiTheme="minorHAnsi" w:hAnsiTheme="minorHAnsi" w:cstheme="minorHAnsi"/>
          <w:b/>
          <w:sz w:val="22"/>
          <w:szCs w:val="22"/>
          <w:vertAlign w:val="superscript"/>
          <w:lang w:val="en-US"/>
        </w:rPr>
        <w:t>4</w:t>
      </w:r>
    </w:p>
    <w:p w14:paraId="737C09BE" w14:textId="0A0ABB1A" w:rsidR="00E71B35" w:rsidRPr="005E44E7" w:rsidRDefault="00E71B35" w:rsidP="00E71B35">
      <w:pPr>
        <w:spacing w:line="276" w:lineRule="auto"/>
        <w:rPr>
          <w:rFonts w:asciiTheme="minorHAnsi" w:hAnsiTheme="minorHAnsi" w:cstheme="minorHAnsi"/>
          <w:sz w:val="22"/>
          <w:szCs w:val="22"/>
        </w:rPr>
      </w:pPr>
      <w:r w:rsidRPr="005E44E7">
        <w:rPr>
          <w:rFonts w:asciiTheme="minorHAnsi" w:hAnsiTheme="minorHAnsi" w:cstheme="minorHAnsi"/>
          <w:b/>
          <w:sz w:val="22"/>
          <w:szCs w:val="22"/>
          <w:vertAlign w:val="superscript"/>
        </w:rPr>
        <w:t xml:space="preserve">4 </w:t>
      </w:r>
      <w:proofErr w:type="spellStart"/>
      <w:r w:rsidRPr="005E44E7">
        <w:rPr>
          <w:rFonts w:asciiTheme="minorHAnsi" w:hAnsiTheme="minorHAnsi" w:cstheme="minorHAnsi"/>
          <w:sz w:val="22"/>
          <w:szCs w:val="22"/>
        </w:rPr>
        <w:t>Universidad</w:t>
      </w:r>
      <w:proofErr w:type="spellEnd"/>
      <w:r w:rsidRPr="005E44E7">
        <w:rPr>
          <w:rFonts w:asciiTheme="minorHAnsi" w:hAnsiTheme="minorHAnsi" w:cstheme="minorHAnsi"/>
          <w:sz w:val="22"/>
          <w:szCs w:val="22"/>
        </w:rPr>
        <w:t xml:space="preserve"> </w:t>
      </w:r>
      <w:proofErr w:type="spellStart"/>
      <w:r w:rsidRPr="005E44E7">
        <w:rPr>
          <w:rFonts w:asciiTheme="minorHAnsi" w:hAnsiTheme="minorHAnsi" w:cstheme="minorHAnsi"/>
          <w:sz w:val="22"/>
          <w:szCs w:val="22"/>
        </w:rPr>
        <w:t>Autónoma</w:t>
      </w:r>
      <w:proofErr w:type="spellEnd"/>
      <w:r w:rsidRPr="005E44E7">
        <w:rPr>
          <w:rFonts w:asciiTheme="minorHAnsi" w:hAnsiTheme="minorHAnsi" w:cstheme="minorHAnsi"/>
          <w:sz w:val="22"/>
          <w:szCs w:val="22"/>
        </w:rPr>
        <w:t xml:space="preserve"> de Madrid, Madrid, </w:t>
      </w:r>
      <w:r>
        <w:rPr>
          <w:rFonts w:asciiTheme="minorHAnsi" w:hAnsiTheme="minorHAnsi" w:cstheme="minorHAnsi"/>
          <w:sz w:val="22"/>
          <w:szCs w:val="22"/>
        </w:rPr>
        <w:t>Spain</w:t>
      </w:r>
    </w:p>
    <w:p w14:paraId="788EBA8D" w14:textId="77777777" w:rsidR="00E71B35" w:rsidRPr="005E44E7" w:rsidRDefault="00E71B35" w:rsidP="00E71B35">
      <w:pPr>
        <w:spacing w:line="276" w:lineRule="auto"/>
        <w:rPr>
          <w:rFonts w:asciiTheme="minorHAnsi" w:hAnsiTheme="minorHAnsi" w:cstheme="minorHAnsi"/>
          <w:sz w:val="22"/>
          <w:szCs w:val="22"/>
        </w:rPr>
      </w:pPr>
    </w:p>
    <w:p w14:paraId="1697AF15" w14:textId="77777777" w:rsidR="00E71B35" w:rsidRPr="005E44E7" w:rsidRDefault="00E71B35" w:rsidP="00E71B35">
      <w:pPr>
        <w:spacing w:line="276" w:lineRule="auto"/>
        <w:rPr>
          <w:rFonts w:asciiTheme="minorHAnsi" w:hAnsiTheme="minorHAnsi" w:cstheme="minorHAnsi"/>
          <w:b/>
          <w:sz w:val="22"/>
          <w:szCs w:val="22"/>
        </w:rPr>
      </w:pPr>
      <w:r w:rsidRPr="005E44E7">
        <w:rPr>
          <w:rFonts w:asciiTheme="minorHAnsi" w:hAnsiTheme="minorHAnsi" w:cstheme="minorHAnsi"/>
          <w:b/>
          <w:sz w:val="22"/>
          <w:szCs w:val="22"/>
        </w:rPr>
        <w:t xml:space="preserve">Thomas Rapp </w:t>
      </w:r>
      <w:r w:rsidRPr="005E44E7">
        <w:rPr>
          <w:rFonts w:asciiTheme="minorHAnsi" w:hAnsiTheme="minorHAnsi" w:cstheme="minorHAnsi"/>
          <w:b/>
          <w:sz w:val="22"/>
          <w:szCs w:val="22"/>
          <w:vertAlign w:val="superscript"/>
        </w:rPr>
        <w:t>2,3</w:t>
      </w:r>
    </w:p>
    <w:p w14:paraId="0C08AFE3" w14:textId="77777777" w:rsidR="00E71B35" w:rsidRDefault="00E71B35" w:rsidP="00E71B35">
      <w:pPr>
        <w:spacing w:line="276" w:lineRule="auto"/>
        <w:rPr>
          <w:rFonts w:asciiTheme="minorHAnsi" w:hAnsiTheme="minorHAnsi" w:cstheme="minorHAnsi"/>
          <w:b/>
          <w:sz w:val="22"/>
          <w:szCs w:val="22"/>
          <w:vertAlign w:val="superscript"/>
        </w:rPr>
      </w:pPr>
      <w:r w:rsidRPr="005E44E7">
        <w:rPr>
          <w:rFonts w:asciiTheme="minorHAnsi" w:hAnsiTheme="minorHAnsi" w:cstheme="minorHAnsi"/>
          <w:b/>
          <w:sz w:val="22"/>
          <w:szCs w:val="22"/>
          <w:vertAlign w:val="superscript"/>
        </w:rPr>
        <w:t xml:space="preserve">2 </w:t>
      </w:r>
      <w:r w:rsidRPr="005E44E7">
        <w:rPr>
          <w:rFonts w:asciiTheme="minorHAnsi" w:hAnsiTheme="minorHAnsi" w:cstheme="minorHAnsi"/>
          <w:sz w:val="22"/>
          <w:szCs w:val="22"/>
        </w:rPr>
        <w:t xml:space="preserve">LIRAES and Chaire </w:t>
      </w:r>
      <w:proofErr w:type="spellStart"/>
      <w:proofErr w:type="gramStart"/>
      <w:r w:rsidRPr="005E44E7">
        <w:rPr>
          <w:rFonts w:asciiTheme="minorHAnsi" w:hAnsiTheme="minorHAnsi" w:cstheme="minorHAnsi"/>
          <w:sz w:val="22"/>
          <w:szCs w:val="22"/>
        </w:rPr>
        <w:t>AgingUP</w:t>
      </w:r>
      <w:proofErr w:type="spellEnd"/>
      <w:r>
        <w:rPr>
          <w:rFonts w:asciiTheme="minorHAnsi" w:hAnsiTheme="minorHAnsi" w:cstheme="minorHAnsi"/>
          <w:sz w:val="22"/>
          <w:szCs w:val="22"/>
        </w:rPr>
        <w:t>!</w:t>
      </w:r>
      <w:r w:rsidRPr="005E44E7">
        <w:rPr>
          <w:rFonts w:asciiTheme="minorHAnsi" w:hAnsiTheme="minorHAnsi" w:cstheme="minorHAnsi"/>
          <w:sz w:val="22"/>
          <w:szCs w:val="22"/>
        </w:rPr>
        <w:t>,</w:t>
      </w:r>
      <w:proofErr w:type="gramEnd"/>
      <w:r w:rsidRPr="005E44E7">
        <w:rPr>
          <w:rFonts w:asciiTheme="minorHAnsi" w:hAnsiTheme="minorHAnsi" w:cstheme="minorHAnsi"/>
          <w:sz w:val="22"/>
          <w:szCs w:val="22"/>
        </w:rPr>
        <w:t xml:space="preserve"> Université Paris Cité, 75006 Paris, F</w:t>
      </w:r>
      <w:r>
        <w:rPr>
          <w:rFonts w:asciiTheme="minorHAnsi" w:hAnsiTheme="minorHAnsi" w:cstheme="minorHAnsi"/>
          <w:sz w:val="22"/>
          <w:szCs w:val="22"/>
        </w:rPr>
        <w:t>rance</w:t>
      </w:r>
      <w:r w:rsidRPr="005E44E7">
        <w:rPr>
          <w:rFonts w:asciiTheme="minorHAnsi" w:hAnsiTheme="minorHAnsi" w:cstheme="minorHAnsi"/>
          <w:b/>
          <w:sz w:val="22"/>
          <w:szCs w:val="22"/>
          <w:vertAlign w:val="superscript"/>
        </w:rPr>
        <w:t xml:space="preserve"> </w:t>
      </w:r>
    </w:p>
    <w:p w14:paraId="15C9C8AC" w14:textId="19B565C7" w:rsidR="00E71B35" w:rsidRPr="005E44E7" w:rsidRDefault="00E71B35" w:rsidP="00E71B35">
      <w:pPr>
        <w:spacing w:line="276" w:lineRule="auto"/>
        <w:rPr>
          <w:rFonts w:asciiTheme="minorHAnsi" w:hAnsiTheme="minorHAnsi" w:cstheme="minorHAnsi"/>
          <w:sz w:val="22"/>
          <w:szCs w:val="22"/>
        </w:rPr>
      </w:pPr>
      <w:r w:rsidRPr="005E44E7">
        <w:rPr>
          <w:rFonts w:asciiTheme="minorHAnsi" w:hAnsiTheme="minorHAnsi" w:cstheme="minorHAnsi"/>
          <w:b/>
          <w:sz w:val="22"/>
          <w:szCs w:val="22"/>
          <w:vertAlign w:val="superscript"/>
        </w:rPr>
        <w:t xml:space="preserve">3 </w:t>
      </w:r>
      <w:r w:rsidRPr="005E44E7">
        <w:rPr>
          <w:rFonts w:asciiTheme="minorHAnsi" w:hAnsiTheme="minorHAnsi" w:cstheme="minorHAnsi"/>
          <w:sz w:val="22"/>
          <w:szCs w:val="22"/>
        </w:rPr>
        <w:t>LIEPP, Sciences Po, 75007 Paris, F</w:t>
      </w:r>
      <w:r>
        <w:rPr>
          <w:rFonts w:asciiTheme="minorHAnsi" w:hAnsiTheme="minorHAnsi" w:cstheme="minorHAnsi"/>
          <w:sz w:val="22"/>
          <w:szCs w:val="22"/>
        </w:rPr>
        <w:t>rance</w:t>
      </w:r>
    </w:p>
    <w:p w14:paraId="7A5A2A7C" w14:textId="77777777" w:rsidR="00E71B35" w:rsidRPr="005E44E7" w:rsidRDefault="00E71B35" w:rsidP="00E71B35">
      <w:pPr>
        <w:spacing w:line="276" w:lineRule="auto"/>
        <w:rPr>
          <w:rFonts w:asciiTheme="minorHAnsi" w:hAnsiTheme="minorHAnsi" w:cstheme="minorHAnsi"/>
          <w:sz w:val="22"/>
          <w:szCs w:val="22"/>
          <w:lang w:val="en-US"/>
        </w:rPr>
      </w:pPr>
    </w:p>
    <w:p w14:paraId="701CCBB5" w14:textId="77777777" w:rsidR="00E71B35" w:rsidRPr="005E44E7" w:rsidRDefault="00E71B35" w:rsidP="00E71B35">
      <w:pPr>
        <w:spacing w:line="276" w:lineRule="auto"/>
        <w:rPr>
          <w:rFonts w:asciiTheme="minorHAnsi" w:hAnsiTheme="minorHAnsi" w:cstheme="minorHAnsi"/>
          <w:b/>
          <w:sz w:val="22"/>
          <w:szCs w:val="22"/>
          <w:lang w:val="en-US"/>
        </w:rPr>
      </w:pPr>
      <w:r w:rsidRPr="005E44E7">
        <w:rPr>
          <w:rFonts w:asciiTheme="minorHAnsi" w:hAnsiTheme="minorHAnsi" w:cstheme="minorHAnsi"/>
          <w:b/>
          <w:sz w:val="22"/>
          <w:szCs w:val="22"/>
          <w:lang w:val="en-US"/>
        </w:rPr>
        <w:t xml:space="preserve">Jonathan </w:t>
      </w:r>
      <w:proofErr w:type="spellStart"/>
      <w:r w:rsidRPr="005E44E7">
        <w:rPr>
          <w:rFonts w:asciiTheme="minorHAnsi" w:hAnsiTheme="minorHAnsi" w:cstheme="minorHAnsi"/>
          <w:b/>
          <w:sz w:val="22"/>
          <w:szCs w:val="22"/>
          <w:lang w:val="en-US"/>
        </w:rPr>
        <w:t>Sicsic</w:t>
      </w:r>
      <w:proofErr w:type="spellEnd"/>
      <w:r w:rsidRPr="005E44E7">
        <w:rPr>
          <w:rFonts w:asciiTheme="minorHAnsi" w:hAnsiTheme="minorHAnsi" w:cstheme="minorHAnsi"/>
          <w:b/>
          <w:sz w:val="22"/>
          <w:szCs w:val="22"/>
          <w:lang w:val="en-US"/>
        </w:rPr>
        <w:t xml:space="preserve"> </w:t>
      </w:r>
      <w:r w:rsidRPr="005E44E7">
        <w:rPr>
          <w:rFonts w:asciiTheme="minorHAnsi" w:hAnsiTheme="minorHAnsi" w:cstheme="minorHAnsi"/>
          <w:b/>
          <w:sz w:val="22"/>
          <w:szCs w:val="22"/>
          <w:vertAlign w:val="superscript"/>
          <w:lang w:val="en-US"/>
        </w:rPr>
        <w:t>2,3</w:t>
      </w:r>
    </w:p>
    <w:p w14:paraId="233BC2CC" w14:textId="77777777" w:rsidR="00E71B35" w:rsidRDefault="00E71B35" w:rsidP="00E71B35">
      <w:pPr>
        <w:spacing w:line="276" w:lineRule="auto"/>
        <w:rPr>
          <w:rFonts w:asciiTheme="minorHAnsi" w:hAnsiTheme="minorHAnsi" w:cstheme="minorHAnsi"/>
          <w:b/>
          <w:sz w:val="22"/>
          <w:szCs w:val="22"/>
          <w:vertAlign w:val="superscript"/>
        </w:rPr>
      </w:pPr>
      <w:r w:rsidRPr="005E44E7">
        <w:rPr>
          <w:rFonts w:asciiTheme="minorHAnsi" w:hAnsiTheme="minorHAnsi" w:cstheme="minorHAnsi"/>
          <w:b/>
          <w:sz w:val="22"/>
          <w:szCs w:val="22"/>
          <w:vertAlign w:val="superscript"/>
        </w:rPr>
        <w:t xml:space="preserve">2 </w:t>
      </w:r>
      <w:r w:rsidRPr="005E44E7">
        <w:rPr>
          <w:rFonts w:asciiTheme="minorHAnsi" w:hAnsiTheme="minorHAnsi" w:cstheme="minorHAnsi"/>
          <w:sz w:val="22"/>
          <w:szCs w:val="22"/>
        </w:rPr>
        <w:t xml:space="preserve">LIRAES and Chaire </w:t>
      </w:r>
      <w:proofErr w:type="spellStart"/>
      <w:proofErr w:type="gramStart"/>
      <w:r w:rsidRPr="005E44E7">
        <w:rPr>
          <w:rFonts w:asciiTheme="minorHAnsi" w:hAnsiTheme="minorHAnsi" w:cstheme="minorHAnsi"/>
          <w:sz w:val="22"/>
          <w:szCs w:val="22"/>
        </w:rPr>
        <w:t>AgingUP</w:t>
      </w:r>
      <w:proofErr w:type="spellEnd"/>
      <w:r>
        <w:rPr>
          <w:rFonts w:asciiTheme="minorHAnsi" w:hAnsiTheme="minorHAnsi" w:cstheme="minorHAnsi"/>
          <w:sz w:val="22"/>
          <w:szCs w:val="22"/>
        </w:rPr>
        <w:t>!</w:t>
      </w:r>
      <w:r w:rsidRPr="005E44E7">
        <w:rPr>
          <w:rFonts w:asciiTheme="minorHAnsi" w:hAnsiTheme="minorHAnsi" w:cstheme="minorHAnsi"/>
          <w:sz w:val="22"/>
          <w:szCs w:val="22"/>
        </w:rPr>
        <w:t>,</w:t>
      </w:r>
      <w:proofErr w:type="gramEnd"/>
      <w:r w:rsidRPr="005E44E7">
        <w:rPr>
          <w:rFonts w:asciiTheme="minorHAnsi" w:hAnsiTheme="minorHAnsi" w:cstheme="minorHAnsi"/>
          <w:sz w:val="22"/>
          <w:szCs w:val="22"/>
        </w:rPr>
        <w:t xml:space="preserve"> Université Paris Cité, 75006 Paris, F</w:t>
      </w:r>
      <w:r>
        <w:rPr>
          <w:rFonts w:asciiTheme="minorHAnsi" w:hAnsiTheme="minorHAnsi" w:cstheme="minorHAnsi"/>
          <w:sz w:val="22"/>
          <w:szCs w:val="22"/>
        </w:rPr>
        <w:t>rance</w:t>
      </w:r>
      <w:r w:rsidRPr="005E44E7">
        <w:rPr>
          <w:rFonts w:asciiTheme="minorHAnsi" w:hAnsiTheme="minorHAnsi" w:cstheme="minorHAnsi"/>
          <w:b/>
          <w:sz w:val="22"/>
          <w:szCs w:val="22"/>
          <w:vertAlign w:val="superscript"/>
        </w:rPr>
        <w:t xml:space="preserve"> </w:t>
      </w:r>
    </w:p>
    <w:p w14:paraId="46ACBF49" w14:textId="54E01A39" w:rsidR="00E71B35" w:rsidRPr="005E44E7" w:rsidRDefault="00E71B35" w:rsidP="00E71B35">
      <w:pPr>
        <w:spacing w:line="276" w:lineRule="auto"/>
        <w:rPr>
          <w:rFonts w:asciiTheme="minorHAnsi" w:hAnsiTheme="minorHAnsi" w:cstheme="minorHAnsi"/>
          <w:sz w:val="22"/>
          <w:szCs w:val="22"/>
        </w:rPr>
      </w:pPr>
      <w:r w:rsidRPr="005E44E7">
        <w:rPr>
          <w:rFonts w:asciiTheme="minorHAnsi" w:hAnsiTheme="minorHAnsi" w:cstheme="minorHAnsi"/>
          <w:b/>
          <w:sz w:val="22"/>
          <w:szCs w:val="22"/>
          <w:vertAlign w:val="superscript"/>
        </w:rPr>
        <w:t xml:space="preserve">3 </w:t>
      </w:r>
      <w:r w:rsidRPr="005E44E7">
        <w:rPr>
          <w:rFonts w:asciiTheme="minorHAnsi" w:hAnsiTheme="minorHAnsi" w:cstheme="minorHAnsi"/>
          <w:sz w:val="22"/>
          <w:szCs w:val="22"/>
        </w:rPr>
        <w:t>LIEPP, Sciences Po, 75007 Paris, F</w:t>
      </w:r>
      <w:r>
        <w:rPr>
          <w:rFonts w:asciiTheme="minorHAnsi" w:hAnsiTheme="minorHAnsi" w:cstheme="minorHAnsi"/>
          <w:sz w:val="22"/>
          <w:szCs w:val="22"/>
        </w:rPr>
        <w:t>rance</w:t>
      </w:r>
    </w:p>
    <w:p w14:paraId="60932197" w14:textId="77777777" w:rsidR="00E71B35" w:rsidRDefault="00E71B35" w:rsidP="00E71B35">
      <w:pPr>
        <w:spacing w:line="360" w:lineRule="auto"/>
        <w:rPr>
          <w:rFonts w:asciiTheme="minorHAnsi" w:hAnsiTheme="minorHAnsi" w:cstheme="minorHAnsi"/>
          <w:b/>
          <w:sz w:val="22"/>
          <w:szCs w:val="22"/>
          <w:u w:val="single"/>
          <w:lang w:val="en-US"/>
        </w:rPr>
      </w:pPr>
    </w:p>
    <w:p w14:paraId="102D247A" w14:textId="55E9D19E" w:rsidR="00E71B35" w:rsidRPr="005E44E7" w:rsidRDefault="00E71B35" w:rsidP="00E71B35">
      <w:pPr>
        <w:spacing w:line="360" w:lineRule="auto"/>
        <w:rPr>
          <w:rFonts w:asciiTheme="minorHAnsi" w:hAnsiTheme="minorHAnsi" w:cstheme="minorHAnsi"/>
          <w:b/>
          <w:sz w:val="22"/>
          <w:szCs w:val="22"/>
          <w:u w:val="single"/>
          <w:lang w:val="en-US"/>
        </w:rPr>
      </w:pPr>
      <w:r w:rsidRPr="005E44E7">
        <w:rPr>
          <w:rFonts w:asciiTheme="minorHAnsi" w:hAnsiTheme="minorHAnsi" w:cstheme="minorHAnsi"/>
          <w:b/>
          <w:sz w:val="22"/>
          <w:szCs w:val="22"/>
          <w:u w:val="single"/>
          <w:lang w:val="en-US"/>
        </w:rPr>
        <w:t xml:space="preserve">Corresponding author </w:t>
      </w:r>
    </w:p>
    <w:p w14:paraId="2EDD217B" w14:textId="77777777" w:rsidR="00E71B35" w:rsidRPr="005E44E7" w:rsidRDefault="00E71B35" w:rsidP="00E71B35">
      <w:pPr>
        <w:spacing w:line="360" w:lineRule="auto"/>
        <w:rPr>
          <w:rFonts w:asciiTheme="minorHAnsi" w:hAnsiTheme="minorHAnsi" w:cstheme="minorHAnsi"/>
          <w:sz w:val="22"/>
          <w:szCs w:val="22"/>
          <w:lang w:val="en-US"/>
        </w:rPr>
      </w:pPr>
      <w:r w:rsidRPr="005E44E7">
        <w:rPr>
          <w:rFonts w:asciiTheme="minorHAnsi" w:hAnsiTheme="minorHAnsi" w:cstheme="minorHAnsi"/>
          <w:b/>
          <w:sz w:val="22"/>
          <w:szCs w:val="22"/>
          <w:lang w:val="en-GB"/>
        </w:rPr>
        <w:t xml:space="preserve">Aimée </w:t>
      </w:r>
      <w:proofErr w:type="spellStart"/>
      <w:r w:rsidRPr="005E44E7">
        <w:rPr>
          <w:rFonts w:asciiTheme="minorHAnsi" w:hAnsiTheme="minorHAnsi" w:cstheme="minorHAnsi"/>
          <w:b/>
          <w:sz w:val="22"/>
          <w:szCs w:val="22"/>
          <w:lang w:val="en-GB"/>
        </w:rPr>
        <w:t>Kingsada</w:t>
      </w:r>
      <w:proofErr w:type="spellEnd"/>
      <w:r w:rsidRPr="005E44E7">
        <w:rPr>
          <w:rFonts w:asciiTheme="minorHAnsi" w:hAnsiTheme="minorHAnsi" w:cstheme="minorHAnsi"/>
          <w:b/>
          <w:sz w:val="22"/>
          <w:szCs w:val="22"/>
          <w:lang w:val="en-GB"/>
        </w:rPr>
        <w:t xml:space="preserve"> </w:t>
      </w:r>
      <w:r w:rsidRPr="005E44E7">
        <w:rPr>
          <w:rFonts w:asciiTheme="minorHAnsi" w:hAnsiTheme="minorHAnsi" w:cstheme="minorHAnsi"/>
          <w:sz w:val="22"/>
          <w:szCs w:val="22"/>
          <w:lang w:val="en-US"/>
        </w:rPr>
        <w:t>(</w:t>
      </w:r>
      <w:hyperlink r:id="rId8" w:history="1">
        <w:r w:rsidRPr="005E44E7">
          <w:rPr>
            <w:rStyle w:val="Lienhypertexte"/>
            <w:rFonts w:asciiTheme="minorHAnsi" w:eastAsiaTheme="majorEastAsia" w:hAnsiTheme="minorHAnsi" w:cstheme="minorHAnsi"/>
            <w:sz w:val="22"/>
            <w:szCs w:val="22"/>
            <w:lang w:val="en-US"/>
          </w:rPr>
          <w:t>aimee.kingsada@univ-lille.fr</w:t>
        </w:r>
      </w:hyperlink>
      <w:r w:rsidRPr="005E44E7">
        <w:rPr>
          <w:rFonts w:asciiTheme="minorHAnsi" w:hAnsiTheme="minorHAnsi" w:cstheme="minorHAnsi"/>
          <w:sz w:val="22"/>
          <w:szCs w:val="22"/>
          <w:lang w:val="en-US"/>
        </w:rPr>
        <w:t>)</w:t>
      </w:r>
    </w:p>
    <w:p w14:paraId="0D7792D8" w14:textId="77777777" w:rsidR="00E71B35" w:rsidRDefault="00E71B35" w:rsidP="009523A8">
      <w:pPr>
        <w:jc w:val="center"/>
        <w:rPr>
          <w:rFonts w:asciiTheme="minorHAnsi" w:hAnsiTheme="minorHAnsi" w:cstheme="minorHAnsi"/>
          <w:b/>
          <w:sz w:val="28"/>
          <w:u w:val="single"/>
          <w:lang w:val="en-US"/>
        </w:rPr>
      </w:pPr>
    </w:p>
    <w:p w14:paraId="7F9580D6" w14:textId="77777777" w:rsidR="00AE7CCD" w:rsidRDefault="00AE7CCD" w:rsidP="009523A8">
      <w:pPr>
        <w:jc w:val="center"/>
        <w:rPr>
          <w:rFonts w:asciiTheme="minorHAnsi" w:hAnsiTheme="minorHAnsi" w:cstheme="minorHAnsi"/>
          <w:b/>
          <w:sz w:val="28"/>
          <w:u w:val="single"/>
          <w:lang w:val="en-US"/>
        </w:rPr>
      </w:pPr>
    </w:p>
    <w:p w14:paraId="378D3BF0" w14:textId="77777777" w:rsidR="00C4493A" w:rsidRPr="000B4CB4" w:rsidRDefault="00C4493A" w:rsidP="00F555BB">
      <w:pPr>
        <w:rPr>
          <w:rFonts w:asciiTheme="minorHAnsi" w:hAnsiTheme="minorHAnsi" w:cstheme="minorHAnsi"/>
          <w:b/>
          <w:sz w:val="28"/>
          <w:u w:val="single"/>
          <w:lang w:val="en-US"/>
        </w:rPr>
      </w:pPr>
    </w:p>
    <w:p w14:paraId="1CF7E2A9" w14:textId="77777777" w:rsidR="00F9589E" w:rsidRPr="000B4CB4" w:rsidRDefault="00D760D2" w:rsidP="00C4493A">
      <w:pPr>
        <w:pStyle w:val="Titre"/>
        <w:spacing w:line="276" w:lineRule="auto"/>
      </w:pPr>
      <w:r w:rsidRPr="000B4CB4">
        <w:br w:type="page"/>
      </w:r>
      <w:r w:rsidR="00F9589E" w:rsidRPr="000B4CB4">
        <w:lastRenderedPageBreak/>
        <w:t>Appendix A: Preferred Reporting Items for Systematic reviews and Meta-Analyses extension for Scoping Reviews (PRISMA-</w:t>
      </w:r>
      <w:proofErr w:type="spellStart"/>
      <w:r w:rsidR="00F9589E" w:rsidRPr="000B4CB4">
        <w:t>ScR</w:t>
      </w:r>
      <w:proofErr w:type="spellEnd"/>
      <w:r w:rsidR="00F9589E" w:rsidRPr="000B4CB4">
        <w:t>) Checklist</w:t>
      </w:r>
    </w:p>
    <w:p w14:paraId="6CBF388C" w14:textId="77777777" w:rsidR="00C4493A" w:rsidRPr="000B4CB4" w:rsidRDefault="00C4493A" w:rsidP="00C4493A">
      <w:pPr>
        <w:pStyle w:val="Corpsdetexte"/>
        <w:rPr>
          <w:lang w:val="en-US"/>
        </w:rPr>
      </w:pPr>
    </w:p>
    <w:p w14:paraId="7EE933D0" w14:textId="77777777" w:rsidR="00F9589E" w:rsidRPr="000B4CB4" w:rsidRDefault="00F9589E" w:rsidP="00F9589E">
      <w:pPr>
        <w:rPr>
          <w:rFonts w:asciiTheme="minorHAnsi" w:hAnsiTheme="minorHAnsi" w:cstheme="minorHAnsi"/>
          <w:bCs/>
          <w:lang w:val="en-US"/>
        </w:rPr>
      </w:pPr>
      <w:r w:rsidRPr="000B4CB4">
        <w:rPr>
          <w:rFonts w:asciiTheme="minorHAnsi" w:hAnsiTheme="minorHAnsi" w:cstheme="minorHAnsi"/>
          <w:b/>
          <w:bCs/>
          <w:lang w:val="en-US"/>
        </w:rPr>
        <w:t>Table A1</w:t>
      </w:r>
      <w:r w:rsidRPr="000B4CB4">
        <w:rPr>
          <w:rFonts w:asciiTheme="minorHAnsi" w:hAnsiTheme="minorHAnsi" w:cstheme="minorHAnsi"/>
          <w:bCs/>
          <w:lang w:val="en-US"/>
        </w:rPr>
        <w:t>: PRISMA-</w:t>
      </w:r>
      <w:proofErr w:type="spellStart"/>
      <w:r w:rsidRPr="000B4CB4">
        <w:rPr>
          <w:rFonts w:asciiTheme="minorHAnsi" w:hAnsiTheme="minorHAnsi" w:cstheme="minorHAnsi"/>
          <w:bCs/>
          <w:lang w:val="en-US"/>
        </w:rPr>
        <w:t>ScR</w:t>
      </w:r>
      <w:proofErr w:type="spellEnd"/>
      <w:r w:rsidRPr="000B4CB4">
        <w:rPr>
          <w:rFonts w:asciiTheme="minorHAnsi" w:hAnsiTheme="minorHAnsi" w:cstheme="minorHAnsi"/>
          <w:bCs/>
          <w:lang w:val="en-US"/>
        </w:rPr>
        <w:t xml:space="preserve"> Checklist</w:t>
      </w:r>
    </w:p>
    <w:tbl>
      <w:tblPr>
        <w:tblStyle w:val="TableGridLight1"/>
        <w:tblW w:w="0" w:type="auto"/>
        <w:tblLook w:val="04A0" w:firstRow="1" w:lastRow="0" w:firstColumn="1" w:lastColumn="0" w:noHBand="0" w:noVBand="1"/>
      </w:tblPr>
      <w:tblGrid>
        <w:gridCol w:w="2011"/>
        <w:gridCol w:w="641"/>
        <w:gridCol w:w="5164"/>
        <w:gridCol w:w="1240"/>
      </w:tblGrid>
      <w:tr w:rsidR="00F9589E" w:rsidRPr="000B4CB4" w14:paraId="4DF6EF1C" w14:textId="77777777" w:rsidTr="00E05718">
        <w:trPr>
          <w:tblHeader/>
        </w:trPr>
        <w:tc>
          <w:tcPr>
            <w:tcW w:w="0" w:type="auto"/>
            <w:shd w:val="clear" w:color="auto" w:fill="4472C4" w:themeFill="accent1"/>
            <w:vAlign w:val="center"/>
          </w:tcPr>
          <w:p w14:paraId="5375B46A" w14:textId="77777777" w:rsidR="00F9589E" w:rsidRPr="000B4CB4" w:rsidRDefault="00F9589E" w:rsidP="00C4493A">
            <w:pPr>
              <w:spacing w:line="240" w:lineRule="auto"/>
              <w:rPr>
                <w:rFonts w:asciiTheme="minorHAnsi" w:hAnsiTheme="minorHAnsi" w:cstheme="minorHAnsi"/>
                <w:b/>
                <w:color w:val="F2F2F2" w:themeColor="background1" w:themeShade="F2"/>
                <w:sz w:val="20"/>
                <w:szCs w:val="20"/>
              </w:rPr>
            </w:pPr>
            <w:r w:rsidRPr="000B4CB4">
              <w:rPr>
                <w:rFonts w:asciiTheme="minorHAnsi" w:hAnsiTheme="minorHAnsi" w:cstheme="minorHAnsi"/>
                <w:b/>
                <w:bCs/>
                <w:color w:val="F2F2F2" w:themeColor="background1" w:themeShade="F2"/>
                <w:sz w:val="20"/>
                <w:szCs w:val="20"/>
              </w:rPr>
              <w:t>SECTION</w:t>
            </w:r>
          </w:p>
        </w:tc>
        <w:tc>
          <w:tcPr>
            <w:tcW w:w="0" w:type="auto"/>
            <w:shd w:val="clear" w:color="auto" w:fill="4472C4" w:themeFill="accent1"/>
            <w:vAlign w:val="center"/>
          </w:tcPr>
          <w:p w14:paraId="6597181A" w14:textId="77777777" w:rsidR="00F9589E" w:rsidRPr="000B4CB4" w:rsidRDefault="00F9589E" w:rsidP="00C4493A">
            <w:pPr>
              <w:autoSpaceDE w:val="0"/>
              <w:autoSpaceDN w:val="0"/>
              <w:adjustRightInd w:val="0"/>
              <w:spacing w:line="240" w:lineRule="auto"/>
              <w:jc w:val="center"/>
              <w:rPr>
                <w:rFonts w:asciiTheme="minorHAnsi" w:hAnsiTheme="minorHAnsi" w:cstheme="minorHAnsi"/>
                <w:b/>
                <w:color w:val="F2F2F2" w:themeColor="background1" w:themeShade="F2"/>
                <w:sz w:val="20"/>
                <w:szCs w:val="20"/>
              </w:rPr>
            </w:pPr>
            <w:r w:rsidRPr="000B4CB4">
              <w:rPr>
                <w:rFonts w:asciiTheme="minorHAnsi" w:hAnsiTheme="minorHAnsi" w:cstheme="minorHAnsi"/>
                <w:b/>
                <w:bCs/>
                <w:color w:val="F2F2F2" w:themeColor="background1" w:themeShade="F2"/>
                <w:sz w:val="20"/>
                <w:szCs w:val="20"/>
              </w:rPr>
              <w:t>ITEM</w:t>
            </w:r>
          </w:p>
        </w:tc>
        <w:tc>
          <w:tcPr>
            <w:tcW w:w="0" w:type="auto"/>
            <w:shd w:val="clear" w:color="auto" w:fill="4472C4" w:themeFill="accent1"/>
            <w:vAlign w:val="center"/>
          </w:tcPr>
          <w:p w14:paraId="7084963A" w14:textId="77777777" w:rsidR="00F9589E" w:rsidRPr="000B4CB4" w:rsidRDefault="00F9589E" w:rsidP="00C4493A">
            <w:pPr>
              <w:spacing w:line="240" w:lineRule="auto"/>
              <w:rPr>
                <w:rFonts w:asciiTheme="minorHAnsi" w:hAnsiTheme="minorHAnsi" w:cstheme="minorHAnsi"/>
                <w:b/>
                <w:color w:val="F2F2F2" w:themeColor="background1" w:themeShade="F2"/>
                <w:sz w:val="20"/>
                <w:szCs w:val="20"/>
              </w:rPr>
            </w:pPr>
            <w:r w:rsidRPr="000B4CB4">
              <w:rPr>
                <w:rFonts w:asciiTheme="minorHAnsi" w:hAnsiTheme="minorHAnsi" w:cstheme="minorHAnsi"/>
                <w:b/>
                <w:color w:val="F2F2F2" w:themeColor="background1" w:themeShade="F2"/>
                <w:sz w:val="20"/>
                <w:szCs w:val="20"/>
              </w:rPr>
              <w:t>PRISMA-</w:t>
            </w:r>
            <w:proofErr w:type="spellStart"/>
            <w:r w:rsidRPr="000B4CB4">
              <w:rPr>
                <w:rFonts w:asciiTheme="minorHAnsi" w:hAnsiTheme="minorHAnsi" w:cstheme="minorHAnsi"/>
                <w:b/>
                <w:color w:val="F2F2F2" w:themeColor="background1" w:themeShade="F2"/>
                <w:sz w:val="20"/>
                <w:szCs w:val="20"/>
              </w:rPr>
              <w:t>ScR</w:t>
            </w:r>
            <w:proofErr w:type="spellEnd"/>
            <w:r w:rsidRPr="000B4CB4">
              <w:rPr>
                <w:rFonts w:asciiTheme="minorHAnsi" w:hAnsiTheme="minorHAnsi" w:cstheme="minorHAnsi"/>
                <w:b/>
                <w:color w:val="F2F2F2" w:themeColor="background1" w:themeShade="F2"/>
                <w:sz w:val="20"/>
                <w:szCs w:val="20"/>
              </w:rPr>
              <w:t xml:space="preserve"> CHECKLIST ITEM</w:t>
            </w:r>
          </w:p>
        </w:tc>
        <w:tc>
          <w:tcPr>
            <w:tcW w:w="0" w:type="auto"/>
            <w:shd w:val="clear" w:color="auto" w:fill="4472C4" w:themeFill="accent1"/>
            <w:vAlign w:val="center"/>
          </w:tcPr>
          <w:p w14:paraId="298427C8" w14:textId="77777777" w:rsidR="00F9589E" w:rsidRPr="000B4CB4" w:rsidRDefault="00F9589E" w:rsidP="00C4493A">
            <w:pPr>
              <w:spacing w:line="240" w:lineRule="auto"/>
              <w:rPr>
                <w:rFonts w:asciiTheme="minorHAnsi" w:hAnsiTheme="minorHAnsi" w:cstheme="minorHAnsi"/>
                <w:b/>
                <w:color w:val="F2F2F2" w:themeColor="background1" w:themeShade="F2"/>
                <w:sz w:val="20"/>
                <w:szCs w:val="20"/>
              </w:rPr>
            </w:pPr>
            <w:r w:rsidRPr="000B4CB4">
              <w:rPr>
                <w:rFonts w:asciiTheme="minorHAnsi" w:hAnsiTheme="minorHAnsi" w:cstheme="minorHAnsi"/>
                <w:b/>
                <w:color w:val="F2F2F2" w:themeColor="background1" w:themeShade="F2"/>
                <w:sz w:val="20"/>
                <w:szCs w:val="20"/>
              </w:rPr>
              <w:t>REPORTED ON PAGE #</w:t>
            </w:r>
          </w:p>
        </w:tc>
      </w:tr>
      <w:tr w:rsidR="00F9589E" w:rsidRPr="000B4CB4" w14:paraId="4DD9ED95" w14:textId="77777777" w:rsidTr="00E05718">
        <w:tc>
          <w:tcPr>
            <w:tcW w:w="0" w:type="auto"/>
            <w:gridSpan w:val="4"/>
            <w:shd w:val="clear" w:color="auto" w:fill="D9E2F3" w:themeFill="accent1" w:themeFillTint="33"/>
            <w:vAlign w:val="center"/>
          </w:tcPr>
          <w:p w14:paraId="153FDBA4" w14:textId="77777777" w:rsidR="00F9589E" w:rsidRPr="000B4CB4" w:rsidRDefault="00F9589E" w:rsidP="00C4493A">
            <w:pPr>
              <w:spacing w:line="240" w:lineRule="auto"/>
              <w:rPr>
                <w:rFonts w:asciiTheme="minorHAnsi" w:hAnsiTheme="minorHAnsi" w:cstheme="minorHAnsi"/>
                <w:b/>
                <w:sz w:val="20"/>
                <w:szCs w:val="20"/>
              </w:rPr>
            </w:pPr>
            <w:r w:rsidRPr="000B4CB4">
              <w:rPr>
                <w:rFonts w:asciiTheme="minorHAnsi" w:hAnsiTheme="minorHAnsi" w:cstheme="minorHAnsi"/>
                <w:b/>
                <w:sz w:val="20"/>
                <w:szCs w:val="20"/>
              </w:rPr>
              <w:t>TITLE</w:t>
            </w:r>
          </w:p>
        </w:tc>
      </w:tr>
      <w:tr w:rsidR="00F9589E" w:rsidRPr="000B4CB4" w14:paraId="422B7897" w14:textId="77777777" w:rsidTr="00E05718">
        <w:tc>
          <w:tcPr>
            <w:tcW w:w="0" w:type="auto"/>
            <w:vAlign w:val="center"/>
          </w:tcPr>
          <w:p w14:paraId="3C7C4026"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Title</w:t>
            </w:r>
          </w:p>
        </w:tc>
        <w:tc>
          <w:tcPr>
            <w:tcW w:w="0" w:type="auto"/>
            <w:vAlign w:val="center"/>
          </w:tcPr>
          <w:p w14:paraId="05B5D58A"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w:t>
            </w:r>
          </w:p>
        </w:tc>
        <w:tc>
          <w:tcPr>
            <w:tcW w:w="0" w:type="auto"/>
            <w:vAlign w:val="center"/>
          </w:tcPr>
          <w:p w14:paraId="2BCDB98B"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Identify the report as a scoping review.</w:t>
            </w:r>
          </w:p>
        </w:tc>
        <w:sdt>
          <w:sdtPr>
            <w:rPr>
              <w:rFonts w:asciiTheme="minorHAnsi" w:hAnsiTheme="minorHAnsi" w:cstheme="minorHAnsi"/>
              <w:sz w:val="20"/>
              <w:szCs w:val="20"/>
            </w:rPr>
            <w:id w:val="-1886790070"/>
            <w:placeholder>
              <w:docPart w:val="5CA7E6EBABC7384EA0E6EA01EF2A4018"/>
            </w:placeholder>
          </w:sdtPr>
          <w:sdtContent>
            <w:tc>
              <w:tcPr>
                <w:tcW w:w="0" w:type="auto"/>
                <w:vAlign w:val="center"/>
              </w:tcPr>
              <w:p w14:paraId="0E53DBFF"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1</w:t>
                </w:r>
              </w:p>
            </w:tc>
          </w:sdtContent>
        </w:sdt>
      </w:tr>
      <w:tr w:rsidR="00F9589E" w:rsidRPr="000B4CB4" w14:paraId="4C172869" w14:textId="77777777" w:rsidTr="00E05718">
        <w:tc>
          <w:tcPr>
            <w:tcW w:w="0" w:type="auto"/>
            <w:gridSpan w:val="4"/>
            <w:shd w:val="clear" w:color="auto" w:fill="D9E2F3" w:themeFill="accent1" w:themeFillTint="33"/>
            <w:vAlign w:val="center"/>
          </w:tcPr>
          <w:p w14:paraId="18BE001D" w14:textId="77777777" w:rsidR="00F9589E" w:rsidRPr="000B4CB4" w:rsidRDefault="00F9589E" w:rsidP="00C4493A">
            <w:pPr>
              <w:spacing w:line="240" w:lineRule="auto"/>
              <w:rPr>
                <w:rFonts w:asciiTheme="minorHAnsi" w:hAnsiTheme="minorHAnsi" w:cstheme="minorHAnsi"/>
                <w:b/>
                <w:sz w:val="20"/>
                <w:szCs w:val="20"/>
              </w:rPr>
            </w:pPr>
            <w:r w:rsidRPr="000B4CB4">
              <w:rPr>
                <w:rFonts w:asciiTheme="minorHAnsi" w:hAnsiTheme="minorHAnsi" w:cstheme="minorHAnsi"/>
                <w:b/>
                <w:sz w:val="20"/>
                <w:szCs w:val="20"/>
              </w:rPr>
              <w:t>ABSTRACT</w:t>
            </w:r>
          </w:p>
        </w:tc>
      </w:tr>
      <w:tr w:rsidR="00F9589E" w:rsidRPr="000B4CB4" w14:paraId="57F35552" w14:textId="77777777" w:rsidTr="00E05718">
        <w:tc>
          <w:tcPr>
            <w:tcW w:w="0" w:type="auto"/>
            <w:vAlign w:val="center"/>
          </w:tcPr>
          <w:p w14:paraId="2F760FC0"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Structured summary</w:t>
            </w:r>
          </w:p>
        </w:tc>
        <w:tc>
          <w:tcPr>
            <w:tcW w:w="0" w:type="auto"/>
            <w:vAlign w:val="center"/>
          </w:tcPr>
          <w:p w14:paraId="5F46F6CA"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2</w:t>
            </w:r>
          </w:p>
        </w:tc>
        <w:tc>
          <w:tcPr>
            <w:tcW w:w="0" w:type="auto"/>
            <w:vAlign w:val="center"/>
          </w:tcPr>
          <w:p w14:paraId="40768C82"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Theme="minorHAnsi" w:hAnsiTheme="minorHAnsi" w:cstheme="minorHAnsi"/>
              <w:sz w:val="20"/>
              <w:szCs w:val="20"/>
            </w:rPr>
            <w:id w:val="1190178197"/>
            <w:placeholder>
              <w:docPart w:val="5CA7E6EBABC7384EA0E6EA01EF2A4018"/>
            </w:placeholder>
          </w:sdtPr>
          <w:sdtContent>
            <w:tc>
              <w:tcPr>
                <w:tcW w:w="0" w:type="auto"/>
                <w:vAlign w:val="center"/>
              </w:tcPr>
              <w:p w14:paraId="1EF92B00"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1</w:t>
                </w:r>
              </w:p>
            </w:tc>
          </w:sdtContent>
        </w:sdt>
      </w:tr>
      <w:tr w:rsidR="00F9589E" w:rsidRPr="000B4CB4" w14:paraId="513E1882" w14:textId="77777777" w:rsidTr="00E05718">
        <w:tc>
          <w:tcPr>
            <w:tcW w:w="0" w:type="auto"/>
            <w:gridSpan w:val="4"/>
            <w:shd w:val="clear" w:color="auto" w:fill="D9E2F3" w:themeFill="accent1" w:themeFillTint="33"/>
            <w:vAlign w:val="center"/>
          </w:tcPr>
          <w:p w14:paraId="2D1D1F14" w14:textId="77777777" w:rsidR="00F9589E" w:rsidRPr="000B4CB4" w:rsidRDefault="00F9589E" w:rsidP="00C4493A">
            <w:pPr>
              <w:tabs>
                <w:tab w:val="left" w:pos="1774"/>
              </w:tabs>
              <w:spacing w:line="240" w:lineRule="auto"/>
              <w:rPr>
                <w:rFonts w:asciiTheme="minorHAnsi" w:hAnsiTheme="minorHAnsi" w:cstheme="minorHAnsi"/>
                <w:b/>
                <w:sz w:val="20"/>
                <w:szCs w:val="20"/>
              </w:rPr>
            </w:pPr>
            <w:r w:rsidRPr="000B4CB4">
              <w:rPr>
                <w:rFonts w:asciiTheme="minorHAnsi" w:hAnsiTheme="minorHAnsi" w:cstheme="minorHAnsi"/>
                <w:b/>
                <w:sz w:val="20"/>
                <w:szCs w:val="20"/>
              </w:rPr>
              <w:t>INTRODUCTION</w:t>
            </w:r>
          </w:p>
        </w:tc>
      </w:tr>
      <w:tr w:rsidR="00F9589E" w:rsidRPr="000B4CB4" w14:paraId="12AD427F" w14:textId="77777777" w:rsidTr="00E05718">
        <w:trPr>
          <w:trHeight w:val="530"/>
        </w:trPr>
        <w:tc>
          <w:tcPr>
            <w:tcW w:w="0" w:type="auto"/>
            <w:vAlign w:val="center"/>
          </w:tcPr>
          <w:p w14:paraId="563F0FB0"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Rationale</w:t>
            </w:r>
          </w:p>
        </w:tc>
        <w:tc>
          <w:tcPr>
            <w:tcW w:w="0" w:type="auto"/>
            <w:vAlign w:val="center"/>
          </w:tcPr>
          <w:p w14:paraId="4C49B252"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3</w:t>
            </w:r>
          </w:p>
        </w:tc>
        <w:tc>
          <w:tcPr>
            <w:tcW w:w="0" w:type="auto"/>
            <w:vAlign w:val="center"/>
          </w:tcPr>
          <w:p w14:paraId="424AD665"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Describe the rationale for the review in the context of what is already known. Explain why the review questions/objectives lend themselves to a scoping review approach.</w:t>
            </w:r>
          </w:p>
        </w:tc>
        <w:sdt>
          <w:sdtPr>
            <w:rPr>
              <w:rFonts w:asciiTheme="minorHAnsi" w:hAnsiTheme="minorHAnsi" w:cstheme="minorHAnsi"/>
              <w:sz w:val="20"/>
              <w:szCs w:val="20"/>
            </w:rPr>
            <w:id w:val="56057269"/>
            <w:placeholder>
              <w:docPart w:val="5CA7E6EBABC7384EA0E6EA01EF2A4018"/>
            </w:placeholder>
          </w:sdtPr>
          <w:sdtContent>
            <w:tc>
              <w:tcPr>
                <w:tcW w:w="0" w:type="auto"/>
                <w:vAlign w:val="center"/>
              </w:tcPr>
              <w:p w14:paraId="4C0FBC07"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4</w:t>
                </w:r>
              </w:p>
            </w:tc>
          </w:sdtContent>
        </w:sdt>
      </w:tr>
      <w:tr w:rsidR="00F9589E" w:rsidRPr="000B4CB4" w14:paraId="4734A27D" w14:textId="77777777" w:rsidTr="00E05718">
        <w:trPr>
          <w:trHeight w:val="800"/>
        </w:trPr>
        <w:tc>
          <w:tcPr>
            <w:tcW w:w="0" w:type="auto"/>
            <w:vAlign w:val="center"/>
          </w:tcPr>
          <w:p w14:paraId="1BDCAF79"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Objectives</w:t>
            </w:r>
          </w:p>
        </w:tc>
        <w:tc>
          <w:tcPr>
            <w:tcW w:w="0" w:type="auto"/>
            <w:vAlign w:val="center"/>
          </w:tcPr>
          <w:p w14:paraId="7C44644F"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4</w:t>
            </w:r>
          </w:p>
        </w:tc>
        <w:tc>
          <w:tcPr>
            <w:tcW w:w="0" w:type="auto"/>
            <w:vAlign w:val="center"/>
          </w:tcPr>
          <w:p w14:paraId="66C9231B"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heme="minorHAnsi" w:hAnsiTheme="minorHAnsi" w:cstheme="minorHAnsi"/>
              <w:sz w:val="20"/>
              <w:szCs w:val="20"/>
            </w:rPr>
            <w:id w:val="-1797599034"/>
            <w:placeholder>
              <w:docPart w:val="5CA7E6EBABC7384EA0E6EA01EF2A4018"/>
            </w:placeholder>
          </w:sdtPr>
          <w:sdtContent>
            <w:tc>
              <w:tcPr>
                <w:tcW w:w="0" w:type="auto"/>
                <w:vAlign w:val="center"/>
              </w:tcPr>
              <w:p w14:paraId="4D54BF1D"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4</w:t>
                </w:r>
              </w:p>
            </w:tc>
          </w:sdtContent>
        </w:sdt>
      </w:tr>
      <w:tr w:rsidR="00F9589E" w:rsidRPr="000B4CB4" w14:paraId="4528181D" w14:textId="77777777" w:rsidTr="00E05718">
        <w:tc>
          <w:tcPr>
            <w:tcW w:w="0" w:type="auto"/>
            <w:gridSpan w:val="4"/>
            <w:shd w:val="clear" w:color="auto" w:fill="D9E2F3" w:themeFill="accent1" w:themeFillTint="33"/>
            <w:vAlign w:val="center"/>
          </w:tcPr>
          <w:p w14:paraId="494A5EEA" w14:textId="77777777" w:rsidR="00F9589E" w:rsidRPr="000B4CB4" w:rsidRDefault="00F9589E" w:rsidP="00C4493A">
            <w:pPr>
              <w:spacing w:line="240" w:lineRule="auto"/>
              <w:rPr>
                <w:rFonts w:asciiTheme="minorHAnsi" w:hAnsiTheme="minorHAnsi" w:cstheme="minorHAnsi"/>
                <w:b/>
                <w:sz w:val="20"/>
                <w:szCs w:val="20"/>
              </w:rPr>
            </w:pPr>
            <w:r w:rsidRPr="000B4CB4">
              <w:rPr>
                <w:rFonts w:asciiTheme="minorHAnsi" w:hAnsiTheme="minorHAnsi" w:cstheme="minorHAnsi"/>
                <w:b/>
                <w:sz w:val="20"/>
                <w:szCs w:val="20"/>
              </w:rPr>
              <w:t>METHODS</w:t>
            </w:r>
          </w:p>
        </w:tc>
      </w:tr>
      <w:tr w:rsidR="00F9589E" w:rsidRPr="000B4CB4" w14:paraId="4B1043D3" w14:textId="77777777" w:rsidTr="00E05718">
        <w:tc>
          <w:tcPr>
            <w:tcW w:w="0" w:type="auto"/>
            <w:vAlign w:val="center"/>
          </w:tcPr>
          <w:p w14:paraId="2E31F9F6"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Protocol and registration</w:t>
            </w:r>
          </w:p>
        </w:tc>
        <w:tc>
          <w:tcPr>
            <w:tcW w:w="0" w:type="auto"/>
            <w:vAlign w:val="center"/>
          </w:tcPr>
          <w:p w14:paraId="4E4F1BA6"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5</w:t>
            </w:r>
          </w:p>
        </w:tc>
        <w:tc>
          <w:tcPr>
            <w:tcW w:w="0" w:type="auto"/>
            <w:vAlign w:val="center"/>
          </w:tcPr>
          <w:p w14:paraId="4BE47B82"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Indicate whether a review protocol exists; state if and where it can be accessed (e.g., a Web address); and if available, provide registration information, including the registration number.</w:t>
            </w:r>
          </w:p>
        </w:tc>
        <w:sdt>
          <w:sdtPr>
            <w:rPr>
              <w:rFonts w:asciiTheme="minorHAnsi" w:hAnsiTheme="minorHAnsi" w:cstheme="minorHAnsi"/>
              <w:sz w:val="20"/>
              <w:szCs w:val="20"/>
            </w:rPr>
            <w:id w:val="-1888323895"/>
            <w:placeholder>
              <w:docPart w:val="5CA7E6EBABC7384EA0E6EA01EF2A4018"/>
            </w:placeholder>
          </w:sdtPr>
          <w:sdtContent>
            <w:tc>
              <w:tcPr>
                <w:tcW w:w="0" w:type="auto"/>
                <w:vAlign w:val="center"/>
              </w:tcPr>
              <w:p w14:paraId="1762F9A7"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4</w:t>
                </w:r>
              </w:p>
            </w:tc>
          </w:sdtContent>
        </w:sdt>
      </w:tr>
      <w:tr w:rsidR="00F9589E" w:rsidRPr="000B4CB4" w14:paraId="3C5CFF71" w14:textId="77777777" w:rsidTr="00E05718">
        <w:tc>
          <w:tcPr>
            <w:tcW w:w="0" w:type="auto"/>
            <w:vAlign w:val="center"/>
          </w:tcPr>
          <w:p w14:paraId="4A06CC6B"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Eligibility criteria</w:t>
            </w:r>
          </w:p>
        </w:tc>
        <w:tc>
          <w:tcPr>
            <w:tcW w:w="0" w:type="auto"/>
            <w:vAlign w:val="center"/>
          </w:tcPr>
          <w:p w14:paraId="01DD0BC0"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6</w:t>
            </w:r>
          </w:p>
        </w:tc>
        <w:tc>
          <w:tcPr>
            <w:tcW w:w="0" w:type="auto"/>
            <w:vAlign w:val="center"/>
          </w:tcPr>
          <w:p w14:paraId="1818874A"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Specify characteristics of the sources of evidence used as eligibility criteria (e.g., years considered, language, and publication status), and provide a rationale.</w:t>
            </w:r>
          </w:p>
        </w:tc>
        <w:sdt>
          <w:sdtPr>
            <w:rPr>
              <w:rFonts w:asciiTheme="minorHAnsi" w:hAnsiTheme="minorHAnsi" w:cstheme="minorHAnsi"/>
              <w:sz w:val="20"/>
              <w:szCs w:val="20"/>
            </w:rPr>
            <w:id w:val="623510431"/>
            <w:placeholder>
              <w:docPart w:val="5CA7E6EBABC7384EA0E6EA01EF2A4018"/>
            </w:placeholder>
          </w:sdtPr>
          <w:sdtContent>
            <w:tc>
              <w:tcPr>
                <w:tcW w:w="0" w:type="auto"/>
                <w:vAlign w:val="center"/>
              </w:tcPr>
              <w:p w14:paraId="000AE0C1"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5</w:t>
                </w:r>
              </w:p>
            </w:tc>
          </w:sdtContent>
        </w:sdt>
      </w:tr>
      <w:tr w:rsidR="00F9589E" w:rsidRPr="000B4CB4" w14:paraId="623DF6E3" w14:textId="77777777" w:rsidTr="00E05718">
        <w:trPr>
          <w:trHeight w:val="260"/>
        </w:trPr>
        <w:tc>
          <w:tcPr>
            <w:tcW w:w="0" w:type="auto"/>
            <w:vAlign w:val="center"/>
          </w:tcPr>
          <w:p w14:paraId="56C055C9"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Information sources*</w:t>
            </w:r>
          </w:p>
        </w:tc>
        <w:tc>
          <w:tcPr>
            <w:tcW w:w="0" w:type="auto"/>
            <w:vAlign w:val="center"/>
          </w:tcPr>
          <w:p w14:paraId="2BA7EF4A"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7</w:t>
            </w:r>
          </w:p>
        </w:tc>
        <w:tc>
          <w:tcPr>
            <w:tcW w:w="0" w:type="auto"/>
            <w:vAlign w:val="center"/>
          </w:tcPr>
          <w:p w14:paraId="6493B99B"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Describe all information sources in the search (e.g., databases with dates of coverage and contact with authors to identify additional sources), as well as the date the most recent search was executed.</w:t>
            </w:r>
          </w:p>
        </w:tc>
        <w:sdt>
          <w:sdtPr>
            <w:rPr>
              <w:rFonts w:asciiTheme="minorHAnsi" w:hAnsiTheme="minorHAnsi" w:cstheme="minorHAnsi"/>
              <w:sz w:val="20"/>
              <w:szCs w:val="20"/>
            </w:rPr>
            <w:id w:val="1510949160"/>
            <w:placeholder>
              <w:docPart w:val="5CA7E6EBABC7384EA0E6EA01EF2A4018"/>
            </w:placeholder>
          </w:sdtPr>
          <w:sdtContent>
            <w:tc>
              <w:tcPr>
                <w:tcW w:w="0" w:type="auto"/>
                <w:vAlign w:val="center"/>
              </w:tcPr>
              <w:p w14:paraId="12445357"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5</w:t>
                </w:r>
              </w:p>
            </w:tc>
          </w:sdtContent>
        </w:sdt>
      </w:tr>
      <w:tr w:rsidR="00F9589E" w:rsidRPr="000B4CB4" w14:paraId="1BB121F7" w14:textId="77777777" w:rsidTr="00E05718">
        <w:tc>
          <w:tcPr>
            <w:tcW w:w="0" w:type="auto"/>
            <w:vAlign w:val="center"/>
          </w:tcPr>
          <w:p w14:paraId="7E354AD6"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Search</w:t>
            </w:r>
          </w:p>
        </w:tc>
        <w:tc>
          <w:tcPr>
            <w:tcW w:w="0" w:type="auto"/>
            <w:vAlign w:val="center"/>
          </w:tcPr>
          <w:p w14:paraId="5D84F4EB"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8</w:t>
            </w:r>
          </w:p>
        </w:tc>
        <w:tc>
          <w:tcPr>
            <w:tcW w:w="0" w:type="auto"/>
            <w:vAlign w:val="center"/>
          </w:tcPr>
          <w:p w14:paraId="50B4BAE7"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Present the full electronic search strategy for at least 1 database, including any limits used, such that it could be repeated.</w:t>
            </w:r>
          </w:p>
        </w:tc>
        <w:sdt>
          <w:sdtPr>
            <w:rPr>
              <w:rFonts w:asciiTheme="minorHAnsi" w:hAnsiTheme="minorHAnsi" w:cstheme="minorHAnsi"/>
              <w:sz w:val="20"/>
              <w:szCs w:val="20"/>
            </w:rPr>
            <w:id w:val="964171142"/>
            <w:placeholder>
              <w:docPart w:val="5CA7E6EBABC7384EA0E6EA01EF2A4018"/>
            </w:placeholder>
          </w:sdtPr>
          <w:sdtContent>
            <w:tc>
              <w:tcPr>
                <w:tcW w:w="0" w:type="auto"/>
                <w:vAlign w:val="center"/>
              </w:tcPr>
              <w:p w14:paraId="40732076"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Appendix B</w:t>
                </w:r>
              </w:p>
            </w:tc>
          </w:sdtContent>
        </w:sdt>
      </w:tr>
      <w:tr w:rsidR="00F9589E" w:rsidRPr="000B4CB4" w14:paraId="349C8BE3" w14:textId="77777777" w:rsidTr="00E05718">
        <w:tc>
          <w:tcPr>
            <w:tcW w:w="0" w:type="auto"/>
            <w:vAlign w:val="center"/>
          </w:tcPr>
          <w:p w14:paraId="7570C510"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Selection of sources of evidence†</w:t>
            </w:r>
          </w:p>
        </w:tc>
        <w:tc>
          <w:tcPr>
            <w:tcW w:w="0" w:type="auto"/>
            <w:vAlign w:val="center"/>
          </w:tcPr>
          <w:p w14:paraId="0244E9D5"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9</w:t>
            </w:r>
          </w:p>
        </w:tc>
        <w:tc>
          <w:tcPr>
            <w:tcW w:w="0" w:type="auto"/>
            <w:vAlign w:val="center"/>
          </w:tcPr>
          <w:p w14:paraId="28CB3CF7"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State the process for selecting sources of evidence (i.e., screening and eligibility) included in the scoping review.</w:t>
            </w:r>
          </w:p>
        </w:tc>
        <w:sdt>
          <w:sdtPr>
            <w:rPr>
              <w:rFonts w:asciiTheme="minorHAnsi" w:hAnsiTheme="minorHAnsi" w:cstheme="minorHAnsi"/>
              <w:sz w:val="20"/>
              <w:szCs w:val="20"/>
            </w:rPr>
            <w:id w:val="-2090377787"/>
            <w:placeholder>
              <w:docPart w:val="5CA7E6EBABC7384EA0E6EA01EF2A4018"/>
            </w:placeholder>
          </w:sdtPr>
          <w:sdtContent>
            <w:tc>
              <w:tcPr>
                <w:tcW w:w="0" w:type="auto"/>
                <w:vAlign w:val="center"/>
              </w:tcPr>
              <w:p w14:paraId="17EE8622"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5</w:t>
                </w:r>
              </w:p>
            </w:tc>
          </w:sdtContent>
        </w:sdt>
      </w:tr>
      <w:tr w:rsidR="00F9589E" w:rsidRPr="000B4CB4" w14:paraId="460D6AB9" w14:textId="77777777" w:rsidTr="00E05718">
        <w:tc>
          <w:tcPr>
            <w:tcW w:w="0" w:type="auto"/>
            <w:vAlign w:val="center"/>
          </w:tcPr>
          <w:p w14:paraId="74AF4C84"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Data charting process‡</w:t>
            </w:r>
          </w:p>
        </w:tc>
        <w:tc>
          <w:tcPr>
            <w:tcW w:w="0" w:type="auto"/>
            <w:vAlign w:val="center"/>
          </w:tcPr>
          <w:p w14:paraId="041767FB"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10</w:t>
            </w:r>
          </w:p>
        </w:tc>
        <w:tc>
          <w:tcPr>
            <w:tcW w:w="0" w:type="auto"/>
            <w:vAlign w:val="center"/>
          </w:tcPr>
          <w:p w14:paraId="10FCBD9C"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heme="minorHAnsi" w:hAnsiTheme="minorHAnsi" w:cstheme="minorHAnsi"/>
              <w:sz w:val="20"/>
              <w:szCs w:val="20"/>
            </w:rPr>
            <w:id w:val="1943252725"/>
            <w:placeholder>
              <w:docPart w:val="5CA7E6EBABC7384EA0E6EA01EF2A4018"/>
            </w:placeholder>
          </w:sdtPr>
          <w:sdtContent>
            <w:tc>
              <w:tcPr>
                <w:tcW w:w="0" w:type="auto"/>
                <w:vAlign w:val="center"/>
              </w:tcPr>
              <w:p w14:paraId="4B02D0B4"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5</w:t>
                </w:r>
              </w:p>
            </w:tc>
          </w:sdtContent>
        </w:sdt>
      </w:tr>
      <w:tr w:rsidR="00F9589E" w:rsidRPr="000B4CB4" w14:paraId="41AC4945" w14:textId="77777777" w:rsidTr="00E05718">
        <w:trPr>
          <w:trHeight w:val="260"/>
        </w:trPr>
        <w:tc>
          <w:tcPr>
            <w:tcW w:w="0" w:type="auto"/>
            <w:vAlign w:val="center"/>
          </w:tcPr>
          <w:p w14:paraId="0BC4132D"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Data items</w:t>
            </w:r>
          </w:p>
        </w:tc>
        <w:tc>
          <w:tcPr>
            <w:tcW w:w="0" w:type="auto"/>
            <w:vAlign w:val="center"/>
          </w:tcPr>
          <w:p w14:paraId="7C206243"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11</w:t>
            </w:r>
          </w:p>
        </w:tc>
        <w:tc>
          <w:tcPr>
            <w:tcW w:w="0" w:type="auto"/>
            <w:vAlign w:val="center"/>
          </w:tcPr>
          <w:p w14:paraId="01669809"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List and define all variables for which data were sought and any assumptions and simplifications made.</w:t>
            </w:r>
          </w:p>
        </w:tc>
        <w:sdt>
          <w:sdtPr>
            <w:rPr>
              <w:rFonts w:asciiTheme="minorHAnsi" w:hAnsiTheme="minorHAnsi" w:cstheme="minorHAnsi"/>
              <w:sz w:val="20"/>
              <w:szCs w:val="20"/>
            </w:rPr>
            <w:id w:val="667444934"/>
            <w:placeholder>
              <w:docPart w:val="5CA7E6EBABC7384EA0E6EA01EF2A4018"/>
            </w:placeholder>
          </w:sdtPr>
          <w:sdtContent>
            <w:tc>
              <w:tcPr>
                <w:tcW w:w="0" w:type="auto"/>
                <w:vAlign w:val="center"/>
              </w:tcPr>
              <w:p w14:paraId="57E32FC4"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5</w:t>
                </w:r>
              </w:p>
            </w:tc>
          </w:sdtContent>
        </w:sdt>
      </w:tr>
      <w:tr w:rsidR="00F9589E" w:rsidRPr="000B4CB4" w14:paraId="2B897B1C" w14:textId="77777777" w:rsidTr="00E05718">
        <w:tc>
          <w:tcPr>
            <w:tcW w:w="0" w:type="auto"/>
            <w:vAlign w:val="center"/>
          </w:tcPr>
          <w:p w14:paraId="0983C3EC"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Critical appraisal of individual sources of evidence§</w:t>
            </w:r>
          </w:p>
        </w:tc>
        <w:tc>
          <w:tcPr>
            <w:tcW w:w="0" w:type="auto"/>
            <w:vAlign w:val="center"/>
          </w:tcPr>
          <w:p w14:paraId="1EFFDEC6"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12</w:t>
            </w:r>
          </w:p>
        </w:tc>
        <w:tc>
          <w:tcPr>
            <w:tcW w:w="0" w:type="auto"/>
            <w:vAlign w:val="center"/>
          </w:tcPr>
          <w:p w14:paraId="59120195"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If done, provide a rationale for conducting a critical appraisal of included sources of evidence; describe the methods used and how this information was used in any data synthesis (if appropriate).</w:t>
            </w:r>
          </w:p>
        </w:tc>
        <w:sdt>
          <w:sdtPr>
            <w:rPr>
              <w:rFonts w:asciiTheme="minorHAnsi" w:hAnsiTheme="minorHAnsi" w:cstheme="minorHAnsi"/>
              <w:sz w:val="20"/>
              <w:szCs w:val="20"/>
            </w:rPr>
            <w:id w:val="-336618198"/>
            <w:placeholder>
              <w:docPart w:val="5CA7E6EBABC7384EA0E6EA01EF2A4018"/>
            </w:placeholder>
          </w:sdtPr>
          <w:sdtContent>
            <w:tc>
              <w:tcPr>
                <w:tcW w:w="0" w:type="auto"/>
                <w:vAlign w:val="center"/>
              </w:tcPr>
              <w:p w14:paraId="22D39F0D"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NA</w:t>
                </w:r>
              </w:p>
            </w:tc>
          </w:sdtContent>
        </w:sdt>
      </w:tr>
      <w:tr w:rsidR="00F9589E" w:rsidRPr="000B4CB4" w14:paraId="1FF643DC" w14:textId="77777777" w:rsidTr="00E05718">
        <w:tc>
          <w:tcPr>
            <w:tcW w:w="0" w:type="auto"/>
            <w:vAlign w:val="center"/>
          </w:tcPr>
          <w:p w14:paraId="54449C4A"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lastRenderedPageBreak/>
              <w:t>Synthesis of results</w:t>
            </w:r>
          </w:p>
        </w:tc>
        <w:tc>
          <w:tcPr>
            <w:tcW w:w="0" w:type="auto"/>
            <w:vAlign w:val="center"/>
          </w:tcPr>
          <w:p w14:paraId="672CA8C9"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13</w:t>
            </w:r>
          </w:p>
        </w:tc>
        <w:tc>
          <w:tcPr>
            <w:tcW w:w="0" w:type="auto"/>
            <w:vAlign w:val="center"/>
          </w:tcPr>
          <w:p w14:paraId="3754020F"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Describe the methods of handling and summarizing the data that were charted.</w:t>
            </w:r>
          </w:p>
        </w:tc>
        <w:sdt>
          <w:sdtPr>
            <w:rPr>
              <w:rFonts w:asciiTheme="minorHAnsi" w:hAnsiTheme="minorHAnsi" w:cstheme="minorHAnsi"/>
              <w:sz w:val="20"/>
              <w:szCs w:val="20"/>
            </w:rPr>
            <w:id w:val="1751841620"/>
            <w:placeholder>
              <w:docPart w:val="5CA7E6EBABC7384EA0E6EA01EF2A4018"/>
            </w:placeholder>
          </w:sdtPr>
          <w:sdtContent>
            <w:tc>
              <w:tcPr>
                <w:tcW w:w="0" w:type="auto"/>
                <w:vAlign w:val="center"/>
              </w:tcPr>
              <w:p w14:paraId="2CDFC787"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6</w:t>
                </w:r>
              </w:p>
            </w:tc>
          </w:sdtContent>
        </w:sdt>
      </w:tr>
      <w:tr w:rsidR="00F9589E" w:rsidRPr="000B4CB4" w14:paraId="2BCEFC36" w14:textId="77777777" w:rsidTr="00E05718">
        <w:tc>
          <w:tcPr>
            <w:tcW w:w="0" w:type="auto"/>
            <w:gridSpan w:val="4"/>
            <w:shd w:val="clear" w:color="auto" w:fill="D9E2F3" w:themeFill="accent1" w:themeFillTint="33"/>
            <w:vAlign w:val="center"/>
          </w:tcPr>
          <w:p w14:paraId="45962324" w14:textId="77777777" w:rsidR="00F9589E" w:rsidRPr="000B4CB4" w:rsidRDefault="00F9589E" w:rsidP="00C4493A">
            <w:pPr>
              <w:spacing w:line="240" w:lineRule="auto"/>
              <w:rPr>
                <w:rFonts w:asciiTheme="minorHAnsi" w:hAnsiTheme="minorHAnsi" w:cstheme="minorHAnsi"/>
                <w:b/>
                <w:sz w:val="20"/>
                <w:szCs w:val="20"/>
              </w:rPr>
            </w:pPr>
            <w:r w:rsidRPr="000B4CB4">
              <w:rPr>
                <w:rFonts w:asciiTheme="minorHAnsi" w:hAnsiTheme="minorHAnsi" w:cstheme="minorHAnsi"/>
                <w:b/>
                <w:sz w:val="20"/>
                <w:szCs w:val="20"/>
              </w:rPr>
              <w:t>RESULTS</w:t>
            </w:r>
          </w:p>
        </w:tc>
      </w:tr>
      <w:tr w:rsidR="00F9589E" w:rsidRPr="000B4CB4" w14:paraId="7AD627B3" w14:textId="77777777" w:rsidTr="00E05718">
        <w:tc>
          <w:tcPr>
            <w:tcW w:w="0" w:type="auto"/>
            <w:vAlign w:val="center"/>
          </w:tcPr>
          <w:p w14:paraId="3EAE7F2E"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Selection of sources of evidence</w:t>
            </w:r>
          </w:p>
        </w:tc>
        <w:tc>
          <w:tcPr>
            <w:tcW w:w="0" w:type="auto"/>
            <w:vAlign w:val="center"/>
          </w:tcPr>
          <w:p w14:paraId="4751E033"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14</w:t>
            </w:r>
          </w:p>
        </w:tc>
        <w:tc>
          <w:tcPr>
            <w:tcW w:w="0" w:type="auto"/>
            <w:vAlign w:val="center"/>
          </w:tcPr>
          <w:p w14:paraId="2B12F239"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Give numbers of sources of evidence screened, assessed for eligibility, and included in the review, with reasons for exclusions at each stage, ideally using a flow diagram.</w:t>
            </w:r>
          </w:p>
        </w:tc>
        <w:sdt>
          <w:sdtPr>
            <w:rPr>
              <w:rFonts w:asciiTheme="minorHAnsi" w:hAnsiTheme="minorHAnsi" w:cstheme="minorHAnsi"/>
              <w:sz w:val="20"/>
              <w:szCs w:val="20"/>
            </w:rPr>
            <w:id w:val="-83771692"/>
            <w:placeholder>
              <w:docPart w:val="5CA7E6EBABC7384EA0E6EA01EF2A4018"/>
            </w:placeholder>
          </w:sdtPr>
          <w:sdtContent>
            <w:tc>
              <w:tcPr>
                <w:tcW w:w="0" w:type="auto"/>
                <w:vAlign w:val="center"/>
              </w:tcPr>
              <w:p w14:paraId="10E34B8D"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6</w:t>
                </w:r>
              </w:p>
            </w:tc>
          </w:sdtContent>
        </w:sdt>
      </w:tr>
      <w:tr w:rsidR="00F9589E" w:rsidRPr="000B4CB4" w14:paraId="28A1BDF2" w14:textId="77777777" w:rsidTr="00E05718">
        <w:tc>
          <w:tcPr>
            <w:tcW w:w="0" w:type="auto"/>
            <w:vAlign w:val="center"/>
          </w:tcPr>
          <w:p w14:paraId="04BE092C"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Characteristics of sources of evidence</w:t>
            </w:r>
          </w:p>
        </w:tc>
        <w:tc>
          <w:tcPr>
            <w:tcW w:w="0" w:type="auto"/>
            <w:vAlign w:val="center"/>
          </w:tcPr>
          <w:p w14:paraId="09729C4D"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15</w:t>
            </w:r>
          </w:p>
        </w:tc>
        <w:tc>
          <w:tcPr>
            <w:tcW w:w="0" w:type="auto"/>
            <w:vAlign w:val="center"/>
          </w:tcPr>
          <w:p w14:paraId="0CE2FC1C"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For each source of evidence, present characteristics for which data were charted and provide the citations.</w:t>
            </w:r>
          </w:p>
        </w:tc>
        <w:sdt>
          <w:sdtPr>
            <w:rPr>
              <w:rFonts w:asciiTheme="minorHAnsi" w:hAnsiTheme="minorHAnsi" w:cstheme="minorHAnsi"/>
              <w:sz w:val="20"/>
              <w:szCs w:val="20"/>
            </w:rPr>
            <w:id w:val="-137040765"/>
            <w:placeholder>
              <w:docPart w:val="5CA7E6EBABC7384EA0E6EA01EF2A4018"/>
            </w:placeholder>
          </w:sdtPr>
          <w:sdtContent>
            <w:tc>
              <w:tcPr>
                <w:tcW w:w="0" w:type="auto"/>
                <w:vAlign w:val="center"/>
              </w:tcPr>
              <w:p w14:paraId="7AEE723E"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6</w:t>
                </w:r>
              </w:p>
            </w:tc>
          </w:sdtContent>
        </w:sdt>
      </w:tr>
      <w:tr w:rsidR="00F9589E" w:rsidRPr="000B4CB4" w14:paraId="155702B2" w14:textId="77777777" w:rsidTr="00E05718">
        <w:tc>
          <w:tcPr>
            <w:tcW w:w="0" w:type="auto"/>
            <w:vAlign w:val="center"/>
          </w:tcPr>
          <w:p w14:paraId="6000A555"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Critical appraisal within sources of evidence</w:t>
            </w:r>
          </w:p>
        </w:tc>
        <w:tc>
          <w:tcPr>
            <w:tcW w:w="0" w:type="auto"/>
            <w:vAlign w:val="center"/>
          </w:tcPr>
          <w:p w14:paraId="13D3A578"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16</w:t>
            </w:r>
          </w:p>
        </w:tc>
        <w:tc>
          <w:tcPr>
            <w:tcW w:w="0" w:type="auto"/>
            <w:vAlign w:val="center"/>
          </w:tcPr>
          <w:p w14:paraId="397F9C2D"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If done, present data on critical appraisal of included sources of evidence (see item 12).</w:t>
            </w:r>
          </w:p>
        </w:tc>
        <w:sdt>
          <w:sdtPr>
            <w:rPr>
              <w:rFonts w:asciiTheme="minorHAnsi" w:hAnsiTheme="minorHAnsi" w:cstheme="minorHAnsi"/>
              <w:sz w:val="20"/>
              <w:szCs w:val="20"/>
            </w:rPr>
            <w:id w:val="945268124"/>
            <w:placeholder>
              <w:docPart w:val="5CA7E6EBABC7384EA0E6EA01EF2A4018"/>
            </w:placeholder>
          </w:sdtPr>
          <w:sdtContent>
            <w:tc>
              <w:tcPr>
                <w:tcW w:w="0" w:type="auto"/>
                <w:vAlign w:val="center"/>
              </w:tcPr>
              <w:p w14:paraId="6F972AEF"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NA</w:t>
                </w:r>
              </w:p>
            </w:tc>
          </w:sdtContent>
        </w:sdt>
      </w:tr>
      <w:tr w:rsidR="00F9589E" w:rsidRPr="000B4CB4" w14:paraId="263F9440" w14:textId="77777777" w:rsidTr="00E05718">
        <w:tc>
          <w:tcPr>
            <w:tcW w:w="0" w:type="auto"/>
            <w:vAlign w:val="center"/>
          </w:tcPr>
          <w:p w14:paraId="460F217C"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Results of individual sources of evidence</w:t>
            </w:r>
          </w:p>
        </w:tc>
        <w:tc>
          <w:tcPr>
            <w:tcW w:w="0" w:type="auto"/>
            <w:vAlign w:val="center"/>
          </w:tcPr>
          <w:p w14:paraId="4D845C13"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17</w:t>
            </w:r>
          </w:p>
        </w:tc>
        <w:tc>
          <w:tcPr>
            <w:tcW w:w="0" w:type="auto"/>
            <w:vAlign w:val="center"/>
          </w:tcPr>
          <w:p w14:paraId="69CD306C"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For each included source of evidence, present the relevant data that were charted that relate to the review questions and objectives.</w:t>
            </w:r>
          </w:p>
        </w:tc>
        <w:sdt>
          <w:sdtPr>
            <w:rPr>
              <w:rFonts w:asciiTheme="minorHAnsi" w:hAnsiTheme="minorHAnsi" w:cstheme="minorHAnsi"/>
              <w:sz w:val="20"/>
              <w:szCs w:val="20"/>
            </w:rPr>
            <w:id w:val="-1628242984"/>
            <w:placeholder>
              <w:docPart w:val="5CA7E6EBABC7384EA0E6EA01EF2A4018"/>
            </w:placeholder>
          </w:sdtPr>
          <w:sdtContent>
            <w:tc>
              <w:tcPr>
                <w:tcW w:w="0" w:type="auto"/>
                <w:vAlign w:val="center"/>
              </w:tcPr>
              <w:p w14:paraId="7FC7922C"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Appendix B</w:t>
                </w:r>
              </w:p>
            </w:tc>
          </w:sdtContent>
        </w:sdt>
      </w:tr>
      <w:tr w:rsidR="00F9589E" w:rsidRPr="000B4CB4" w14:paraId="5A549636" w14:textId="77777777" w:rsidTr="00E05718">
        <w:tc>
          <w:tcPr>
            <w:tcW w:w="0" w:type="auto"/>
            <w:vAlign w:val="center"/>
          </w:tcPr>
          <w:p w14:paraId="7027353C"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Synthesis of results</w:t>
            </w:r>
          </w:p>
        </w:tc>
        <w:tc>
          <w:tcPr>
            <w:tcW w:w="0" w:type="auto"/>
            <w:vAlign w:val="center"/>
          </w:tcPr>
          <w:p w14:paraId="2B3244C5"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18</w:t>
            </w:r>
          </w:p>
        </w:tc>
        <w:tc>
          <w:tcPr>
            <w:tcW w:w="0" w:type="auto"/>
            <w:vAlign w:val="center"/>
          </w:tcPr>
          <w:p w14:paraId="42850AB7"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Summarize and/or present the charting results as they relate to the review questions and objectives.</w:t>
            </w:r>
          </w:p>
        </w:tc>
        <w:sdt>
          <w:sdtPr>
            <w:rPr>
              <w:rFonts w:asciiTheme="minorHAnsi" w:hAnsiTheme="minorHAnsi" w:cstheme="minorHAnsi"/>
              <w:sz w:val="20"/>
              <w:szCs w:val="20"/>
            </w:rPr>
            <w:id w:val="547573417"/>
            <w:placeholder>
              <w:docPart w:val="5CA7E6EBABC7384EA0E6EA01EF2A4018"/>
            </w:placeholder>
          </w:sdtPr>
          <w:sdtContent>
            <w:tc>
              <w:tcPr>
                <w:tcW w:w="0" w:type="auto"/>
                <w:vAlign w:val="center"/>
              </w:tcPr>
              <w:p w14:paraId="04F8DD75"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7</w:t>
                </w:r>
              </w:p>
            </w:tc>
          </w:sdtContent>
        </w:sdt>
      </w:tr>
      <w:tr w:rsidR="00F9589E" w:rsidRPr="000B4CB4" w14:paraId="59E667CD" w14:textId="77777777" w:rsidTr="00E05718">
        <w:tc>
          <w:tcPr>
            <w:tcW w:w="0" w:type="auto"/>
            <w:gridSpan w:val="4"/>
            <w:shd w:val="clear" w:color="auto" w:fill="D9E2F3" w:themeFill="accent1" w:themeFillTint="33"/>
            <w:vAlign w:val="center"/>
          </w:tcPr>
          <w:p w14:paraId="7A13851B" w14:textId="77777777" w:rsidR="00F9589E" w:rsidRPr="000B4CB4" w:rsidRDefault="00F9589E" w:rsidP="00C4493A">
            <w:pPr>
              <w:spacing w:line="240" w:lineRule="auto"/>
              <w:rPr>
                <w:rFonts w:asciiTheme="minorHAnsi" w:hAnsiTheme="minorHAnsi" w:cstheme="minorHAnsi"/>
                <w:b/>
                <w:sz w:val="20"/>
                <w:szCs w:val="20"/>
              </w:rPr>
            </w:pPr>
            <w:r w:rsidRPr="000B4CB4">
              <w:rPr>
                <w:rFonts w:asciiTheme="minorHAnsi" w:hAnsiTheme="minorHAnsi" w:cstheme="minorHAnsi"/>
                <w:b/>
                <w:sz w:val="20"/>
                <w:szCs w:val="20"/>
              </w:rPr>
              <w:t>DISCUSSION</w:t>
            </w:r>
          </w:p>
        </w:tc>
      </w:tr>
      <w:tr w:rsidR="00F9589E" w:rsidRPr="000B4CB4" w14:paraId="7F219E8C" w14:textId="77777777" w:rsidTr="00E05718">
        <w:tc>
          <w:tcPr>
            <w:tcW w:w="0" w:type="auto"/>
            <w:vAlign w:val="center"/>
          </w:tcPr>
          <w:p w14:paraId="7728FB36"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Summary of evidence</w:t>
            </w:r>
          </w:p>
        </w:tc>
        <w:tc>
          <w:tcPr>
            <w:tcW w:w="0" w:type="auto"/>
            <w:vAlign w:val="center"/>
          </w:tcPr>
          <w:p w14:paraId="7A3A3B5A"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19</w:t>
            </w:r>
          </w:p>
        </w:tc>
        <w:tc>
          <w:tcPr>
            <w:tcW w:w="0" w:type="auto"/>
            <w:vAlign w:val="center"/>
          </w:tcPr>
          <w:p w14:paraId="2703EBC0"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Summarize the main results (including an overview of concepts, themes, and types of evidence available), link to the review questions and objectives, and consider the relevance to key groups.</w:t>
            </w:r>
          </w:p>
        </w:tc>
        <w:sdt>
          <w:sdtPr>
            <w:rPr>
              <w:rFonts w:asciiTheme="minorHAnsi" w:hAnsiTheme="minorHAnsi" w:cstheme="minorHAnsi"/>
              <w:sz w:val="20"/>
              <w:szCs w:val="20"/>
            </w:rPr>
            <w:id w:val="1890606668"/>
            <w:placeholder>
              <w:docPart w:val="5CA7E6EBABC7384EA0E6EA01EF2A4018"/>
            </w:placeholder>
          </w:sdtPr>
          <w:sdtContent>
            <w:tc>
              <w:tcPr>
                <w:tcW w:w="0" w:type="auto"/>
                <w:vAlign w:val="center"/>
              </w:tcPr>
              <w:p w14:paraId="5C77E88F"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10</w:t>
                </w:r>
              </w:p>
            </w:tc>
          </w:sdtContent>
        </w:sdt>
      </w:tr>
      <w:tr w:rsidR="00F9589E" w:rsidRPr="000B4CB4" w14:paraId="745037C8" w14:textId="77777777" w:rsidTr="00E05718">
        <w:tc>
          <w:tcPr>
            <w:tcW w:w="0" w:type="auto"/>
            <w:vAlign w:val="center"/>
          </w:tcPr>
          <w:p w14:paraId="47CC5094"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Limitations</w:t>
            </w:r>
          </w:p>
        </w:tc>
        <w:tc>
          <w:tcPr>
            <w:tcW w:w="0" w:type="auto"/>
            <w:vAlign w:val="center"/>
          </w:tcPr>
          <w:p w14:paraId="043C1104"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20</w:t>
            </w:r>
          </w:p>
        </w:tc>
        <w:tc>
          <w:tcPr>
            <w:tcW w:w="0" w:type="auto"/>
            <w:vAlign w:val="center"/>
          </w:tcPr>
          <w:p w14:paraId="0F65725D" w14:textId="77777777" w:rsidR="00F9589E" w:rsidRPr="000B4CB4" w:rsidRDefault="00F9589E" w:rsidP="00C4493A">
            <w:pPr>
              <w:spacing w:line="240" w:lineRule="auto"/>
              <w:rPr>
                <w:rFonts w:asciiTheme="minorHAnsi" w:hAnsiTheme="minorHAnsi" w:cstheme="minorHAnsi"/>
                <w:b/>
                <w:i/>
                <w:sz w:val="20"/>
                <w:szCs w:val="20"/>
              </w:rPr>
            </w:pPr>
            <w:r w:rsidRPr="000B4CB4">
              <w:rPr>
                <w:rFonts w:asciiTheme="minorHAnsi" w:hAnsiTheme="minorHAnsi" w:cstheme="minorHAnsi"/>
                <w:sz w:val="20"/>
                <w:szCs w:val="20"/>
              </w:rPr>
              <w:t>Discuss the limitations of the scoping review process.</w:t>
            </w:r>
          </w:p>
        </w:tc>
        <w:sdt>
          <w:sdtPr>
            <w:rPr>
              <w:rFonts w:asciiTheme="minorHAnsi" w:hAnsiTheme="minorHAnsi" w:cstheme="minorHAnsi"/>
              <w:sz w:val="20"/>
              <w:szCs w:val="20"/>
            </w:rPr>
            <w:id w:val="-1476291050"/>
            <w:placeholder>
              <w:docPart w:val="5CA7E6EBABC7384EA0E6EA01EF2A4018"/>
            </w:placeholder>
          </w:sdtPr>
          <w:sdtContent>
            <w:tc>
              <w:tcPr>
                <w:tcW w:w="0" w:type="auto"/>
                <w:vAlign w:val="center"/>
              </w:tcPr>
              <w:p w14:paraId="41E11E32"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11</w:t>
                </w:r>
              </w:p>
            </w:tc>
          </w:sdtContent>
        </w:sdt>
      </w:tr>
      <w:tr w:rsidR="00F9589E" w:rsidRPr="000B4CB4" w14:paraId="6900B6E5" w14:textId="77777777" w:rsidTr="00E05718">
        <w:tc>
          <w:tcPr>
            <w:tcW w:w="0" w:type="auto"/>
            <w:vAlign w:val="center"/>
          </w:tcPr>
          <w:p w14:paraId="4478E8C5"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Conclusions</w:t>
            </w:r>
          </w:p>
        </w:tc>
        <w:tc>
          <w:tcPr>
            <w:tcW w:w="0" w:type="auto"/>
            <w:vAlign w:val="center"/>
          </w:tcPr>
          <w:p w14:paraId="6D86A3CE"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21</w:t>
            </w:r>
          </w:p>
        </w:tc>
        <w:tc>
          <w:tcPr>
            <w:tcW w:w="0" w:type="auto"/>
            <w:vAlign w:val="center"/>
          </w:tcPr>
          <w:p w14:paraId="614718A9"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Provide a general interpretation of the results with respect to the review questions and objectives, as well as potential implications and/or next steps.</w:t>
            </w:r>
          </w:p>
        </w:tc>
        <w:sdt>
          <w:sdtPr>
            <w:rPr>
              <w:rFonts w:asciiTheme="minorHAnsi" w:hAnsiTheme="minorHAnsi" w:cstheme="minorHAnsi"/>
              <w:sz w:val="20"/>
              <w:szCs w:val="20"/>
            </w:rPr>
            <w:id w:val="-1052302124"/>
            <w:placeholder>
              <w:docPart w:val="5CA7E6EBABC7384EA0E6EA01EF2A4018"/>
            </w:placeholder>
          </w:sdtPr>
          <w:sdtContent>
            <w:tc>
              <w:tcPr>
                <w:tcW w:w="0" w:type="auto"/>
                <w:vAlign w:val="center"/>
              </w:tcPr>
              <w:p w14:paraId="7F89EAC6"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Page 12</w:t>
                </w:r>
              </w:p>
            </w:tc>
          </w:sdtContent>
        </w:sdt>
      </w:tr>
      <w:tr w:rsidR="00F9589E" w:rsidRPr="000B4CB4" w14:paraId="4378C4C7" w14:textId="77777777" w:rsidTr="00E05718">
        <w:tc>
          <w:tcPr>
            <w:tcW w:w="0" w:type="auto"/>
            <w:gridSpan w:val="4"/>
            <w:shd w:val="clear" w:color="auto" w:fill="D9E2F3" w:themeFill="accent1" w:themeFillTint="33"/>
            <w:vAlign w:val="center"/>
          </w:tcPr>
          <w:p w14:paraId="5B7570E4" w14:textId="77777777" w:rsidR="00F9589E" w:rsidRPr="000B4CB4" w:rsidRDefault="00F9589E" w:rsidP="00C4493A">
            <w:pPr>
              <w:spacing w:line="240" w:lineRule="auto"/>
              <w:rPr>
                <w:rFonts w:asciiTheme="minorHAnsi" w:hAnsiTheme="minorHAnsi" w:cstheme="minorHAnsi"/>
                <w:b/>
                <w:sz w:val="20"/>
                <w:szCs w:val="20"/>
              </w:rPr>
            </w:pPr>
            <w:r w:rsidRPr="000B4CB4">
              <w:rPr>
                <w:rFonts w:asciiTheme="minorHAnsi" w:hAnsiTheme="minorHAnsi" w:cstheme="minorHAnsi"/>
                <w:b/>
                <w:sz w:val="20"/>
                <w:szCs w:val="20"/>
              </w:rPr>
              <w:t>FUNDING</w:t>
            </w:r>
          </w:p>
        </w:tc>
      </w:tr>
      <w:tr w:rsidR="00F9589E" w:rsidRPr="000B4CB4" w14:paraId="7DE4FC32" w14:textId="77777777" w:rsidTr="00E05718">
        <w:tc>
          <w:tcPr>
            <w:tcW w:w="0" w:type="auto"/>
            <w:vAlign w:val="center"/>
          </w:tcPr>
          <w:p w14:paraId="0B21D9FE" w14:textId="77777777" w:rsidR="00F9589E" w:rsidRPr="000B4CB4" w:rsidRDefault="00F9589E" w:rsidP="00C4493A">
            <w:pPr>
              <w:spacing w:line="240" w:lineRule="auto"/>
              <w:ind w:left="180"/>
              <w:rPr>
                <w:rFonts w:asciiTheme="minorHAnsi" w:hAnsiTheme="minorHAnsi" w:cstheme="minorHAnsi"/>
                <w:sz w:val="20"/>
                <w:szCs w:val="20"/>
              </w:rPr>
            </w:pPr>
            <w:r w:rsidRPr="000B4CB4">
              <w:rPr>
                <w:rFonts w:asciiTheme="minorHAnsi" w:hAnsiTheme="minorHAnsi" w:cstheme="minorHAnsi"/>
                <w:sz w:val="20"/>
                <w:szCs w:val="20"/>
              </w:rPr>
              <w:t>Funding</w:t>
            </w:r>
          </w:p>
        </w:tc>
        <w:tc>
          <w:tcPr>
            <w:tcW w:w="0" w:type="auto"/>
            <w:vAlign w:val="center"/>
          </w:tcPr>
          <w:p w14:paraId="2CB494A1" w14:textId="77777777" w:rsidR="00F9589E" w:rsidRPr="000B4CB4" w:rsidRDefault="00F9589E" w:rsidP="00C4493A">
            <w:pPr>
              <w:spacing w:line="240" w:lineRule="auto"/>
              <w:jc w:val="center"/>
              <w:rPr>
                <w:rFonts w:asciiTheme="minorHAnsi" w:hAnsiTheme="minorHAnsi" w:cstheme="minorHAnsi"/>
                <w:sz w:val="20"/>
                <w:szCs w:val="20"/>
              </w:rPr>
            </w:pPr>
            <w:r w:rsidRPr="000B4CB4">
              <w:rPr>
                <w:rFonts w:asciiTheme="minorHAnsi" w:hAnsiTheme="minorHAnsi" w:cstheme="minorHAnsi"/>
                <w:sz w:val="20"/>
                <w:szCs w:val="20"/>
              </w:rPr>
              <w:t>22</w:t>
            </w:r>
          </w:p>
        </w:tc>
        <w:tc>
          <w:tcPr>
            <w:tcW w:w="0" w:type="auto"/>
            <w:vAlign w:val="center"/>
          </w:tcPr>
          <w:p w14:paraId="26B6B689"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Describe sources of funding for the included sources of evidence, as well as sources of funding for the scoping review. Describe the role of the funders of the scoping review.</w:t>
            </w:r>
          </w:p>
        </w:tc>
        <w:sdt>
          <w:sdtPr>
            <w:rPr>
              <w:rFonts w:asciiTheme="minorHAnsi" w:hAnsiTheme="minorHAnsi" w:cstheme="minorHAnsi"/>
              <w:sz w:val="20"/>
              <w:szCs w:val="20"/>
            </w:rPr>
            <w:id w:val="-1660921886"/>
            <w:placeholder>
              <w:docPart w:val="5CA7E6EBABC7384EA0E6EA01EF2A4018"/>
            </w:placeholder>
          </w:sdtPr>
          <w:sdtContent>
            <w:tc>
              <w:tcPr>
                <w:tcW w:w="0" w:type="auto"/>
                <w:vAlign w:val="center"/>
              </w:tcPr>
              <w:p w14:paraId="4A857BA3" w14:textId="77777777" w:rsidR="00F9589E" w:rsidRPr="000B4CB4" w:rsidRDefault="00F9589E" w:rsidP="00C4493A">
                <w:pPr>
                  <w:spacing w:line="240" w:lineRule="auto"/>
                  <w:rPr>
                    <w:rFonts w:asciiTheme="minorHAnsi" w:hAnsiTheme="minorHAnsi" w:cstheme="minorHAnsi"/>
                    <w:sz w:val="20"/>
                    <w:szCs w:val="20"/>
                  </w:rPr>
                </w:pPr>
                <w:r w:rsidRPr="000B4CB4">
                  <w:rPr>
                    <w:rFonts w:asciiTheme="minorHAnsi" w:hAnsiTheme="minorHAnsi" w:cstheme="minorHAnsi"/>
                    <w:sz w:val="20"/>
                    <w:szCs w:val="20"/>
                  </w:rPr>
                  <w:t>Title page</w:t>
                </w:r>
              </w:p>
            </w:tc>
          </w:sdtContent>
        </w:sdt>
      </w:tr>
    </w:tbl>
    <w:p w14:paraId="54ABFE27" w14:textId="77777777" w:rsidR="00F9589E" w:rsidRPr="000B4CB4" w:rsidRDefault="00F9589E" w:rsidP="00F9589E">
      <w:pPr>
        <w:rPr>
          <w:rFonts w:asciiTheme="minorHAnsi" w:hAnsiTheme="minorHAnsi" w:cstheme="minorHAnsi"/>
          <w:b/>
          <w:bCs/>
          <w:sz w:val="28"/>
          <w:lang w:val="en-US"/>
        </w:rPr>
      </w:pPr>
    </w:p>
    <w:p w14:paraId="6541FEE6" w14:textId="77777777" w:rsidR="00F9589E" w:rsidRPr="000B4CB4" w:rsidRDefault="00F9589E" w:rsidP="00F9589E">
      <w:pPr>
        <w:spacing w:line="288" w:lineRule="auto"/>
        <w:rPr>
          <w:rFonts w:asciiTheme="minorHAnsi" w:hAnsiTheme="minorHAnsi" w:cstheme="minorHAnsi"/>
          <w:sz w:val="20"/>
          <w:lang w:val="en-US"/>
        </w:rPr>
      </w:pPr>
      <w:r w:rsidRPr="000B4CB4">
        <w:rPr>
          <w:rFonts w:asciiTheme="minorHAnsi" w:hAnsiTheme="minorHAnsi" w:cstheme="minorHAnsi"/>
          <w:sz w:val="20"/>
          <w:lang w:val="en-US"/>
        </w:rPr>
        <w:t>JBI = Joanna Briggs Institute; PRISMA-</w:t>
      </w:r>
      <w:proofErr w:type="spellStart"/>
      <w:r w:rsidRPr="000B4CB4">
        <w:rPr>
          <w:rFonts w:asciiTheme="minorHAnsi" w:hAnsiTheme="minorHAnsi" w:cstheme="minorHAnsi"/>
          <w:sz w:val="20"/>
          <w:lang w:val="en-US"/>
        </w:rPr>
        <w:t>ScR</w:t>
      </w:r>
      <w:proofErr w:type="spellEnd"/>
      <w:r w:rsidRPr="000B4CB4">
        <w:rPr>
          <w:rFonts w:asciiTheme="minorHAnsi" w:hAnsiTheme="minorHAnsi" w:cstheme="minorHAnsi"/>
          <w:sz w:val="20"/>
          <w:lang w:val="en-US"/>
        </w:rPr>
        <w:t xml:space="preserve"> = Preferred Reporting Items for Systematic Reviews and Meta-Analyses extension for Scoping Reviews.</w:t>
      </w:r>
    </w:p>
    <w:p w14:paraId="2FDCAA80" w14:textId="77777777" w:rsidR="00F9589E" w:rsidRPr="000B4CB4" w:rsidRDefault="00F9589E" w:rsidP="00F9589E">
      <w:pPr>
        <w:spacing w:line="288" w:lineRule="auto"/>
        <w:rPr>
          <w:rFonts w:asciiTheme="minorHAnsi" w:hAnsiTheme="minorHAnsi" w:cstheme="minorHAnsi"/>
          <w:sz w:val="20"/>
          <w:lang w:val="en-US"/>
        </w:rPr>
      </w:pPr>
      <w:r w:rsidRPr="000B4CB4">
        <w:rPr>
          <w:rFonts w:asciiTheme="minorHAnsi" w:hAnsiTheme="minorHAnsi" w:cstheme="minorHAnsi"/>
          <w:sz w:val="20"/>
          <w:lang w:val="en-US"/>
        </w:rPr>
        <w:t xml:space="preserve">* Where </w:t>
      </w:r>
      <w:r w:rsidRPr="000B4CB4">
        <w:rPr>
          <w:rFonts w:asciiTheme="minorHAnsi" w:hAnsiTheme="minorHAnsi" w:cstheme="minorHAnsi"/>
          <w:i/>
          <w:sz w:val="20"/>
          <w:lang w:val="en-US"/>
        </w:rPr>
        <w:t>sources of evidence</w:t>
      </w:r>
      <w:r w:rsidRPr="000B4CB4">
        <w:rPr>
          <w:rFonts w:asciiTheme="minorHAnsi" w:hAnsiTheme="minorHAnsi" w:cstheme="minorHAnsi"/>
          <w:sz w:val="20"/>
          <w:lang w:val="en-US"/>
        </w:rPr>
        <w:t xml:space="preserve"> (see second footnote) are compiled from, such as bibliographic databases, social media platforms, and Web sites.</w:t>
      </w:r>
    </w:p>
    <w:p w14:paraId="3F85CE63" w14:textId="77777777" w:rsidR="00F9589E" w:rsidRPr="000B4CB4" w:rsidRDefault="00F9589E" w:rsidP="00F9589E">
      <w:pPr>
        <w:spacing w:line="288" w:lineRule="auto"/>
        <w:rPr>
          <w:rFonts w:asciiTheme="minorHAnsi" w:hAnsiTheme="minorHAnsi" w:cstheme="minorHAnsi"/>
          <w:sz w:val="20"/>
          <w:lang w:val="en-US"/>
        </w:rPr>
      </w:pPr>
      <w:r w:rsidRPr="000B4CB4">
        <w:rPr>
          <w:rFonts w:asciiTheme="minorHAnsi" w:hAnsiTheme="minorHAnsi" w:cstheme="minorHAnsi"/>
          <w:sz w:val="20"/>
          <w:lang w:val="en-US"/>
        </w:rPr>
        <w:t xml:space="preserve">† A more inclusive/heterogeneous term used to account for the different types of evidence or data sources (e.g., quantitative and/or qualitative research, expert opinion, and policy documents) that may be eligible in a scoping review instead of only studies. This is not confused with </w:t>
      </w:r>
      <w:r w:rsidRPr="000B4CB4">
        <w:rPr>
          <w:rFonts w:asciiTheme="minorHAnsi" w:hAnsiTheme="minorHAnsi" w:cstheme="minorHAnsi"/>
          <w:i/>
          <w:sz w:val="20"/>
          <w:lang w:val="en-US"/>
        </w:rPr>
        <w:t>information sources</w:t>
      </w:r>
      <w:r w:rsidRPr="000B4CB4">
        <w:rPr>
          <w:rFonts w:asciiTheme="minorHAnsi" w:hAnsiTheme="minorHAnsi" w:cstheme="minorHAnsi"/>
          <w:sz w:val="20"/>
          <w:lang w:val="en-US"/>
        </w:rPr>
        <w:t xml:space="preserve"> (see first footnote).</w:t>
      </w:r>
    </w:p>
    <w:p w14:paraId="0B4B764C" w14:textId="77777777" w:rsidR="00F9589E" w:rsidRPr="000B4CB4" w:rsidRDefault="00F9589E" w:rsidP="00F9589E">
      <w:pPr>
        <w:spacing w:line="288" w:lineRule="auto"/>
        <w:rPr>
          <w:rFonts w:asciiTheme="minorHAnsi" w:hAnsiTheme="minorHAnsi" w:cstheme="minorHAnsi"/>
          <w:sz w:val="20"/>
          <w:lang w:val="en-US"/>
        </w:rPr>
      </w:pPr>
      <w:r w:rsidRPr="000B4CB4">
        <w:rPr>
          <w:rFonts w:asciiTheme="minorHAnsi" w:hAnsiTheme="minorHAnsi" w:cstheme="minorHAnsi"/>
          <w:sz w:val="20"/>
          <w:lang w:val="en-US"/>
        </w:rPr>
        <w:t>‡ The frameworks by Arksey and O’Malley (6) and Levac and colleagues (7) and the JBI guidance (4, 5) refer to the process of data extraction in a scoping review as data charting</w:t>
      </w:r>
      <w:r w:rsidRPr="000B4CB4">
        <w:rPr>
          <w:rFonts w:asciiTheme="minorHAnsi" w:hAnsiTheme="minorHAnsi" w:cstheme="minorHAnsi"/>
          <w:i/>
          <w:sz w:val="20"/>
          <w:lang w:val="en-US"/>
        </w:rPr>
        <w:t>.</w:t>
      </w:r>
    </w:p>
    <w:p w14:paraId="6905FC47" w14:textId="77777777" w:rsidR="00F9589E" w:rsidRPr="000B4CB4" w:rsidRDefault="00F9589E" w:rsidP="00F9589E">
      <w:pPr>
        <w:spacing w:line="288" w:lineRule="auto"/>
        <w:rPr>
          <w:rFonts w:asciiTheme="minorHAnsi" w:hAnsiTheme="minorHAnsi" w:cstheme="minorHAnsi"/>
          <w:sz w:val="20"/>
          <w:lang w:val="en-US"/>
        </w:rPr>
      </w:pPr>
      <w:r w:rsidRPr="000B4CB4">
        <w:rPr>
          <w:rFonts w:asciiTheme="minorHAnsi" w:hAnsiTheme="minorHAnsi" w:cstheme="minorHAnsi"/>
          <w:sz w:val="20"/>
          <w:lang w:val="en-US"/>
        </w:rPr>
        <w:t>§</w:t>
      </w:r>
      <w:r w:rsidRPr="000B4CB4">
        <w:rPr>
          <w:rFonts w:asciiTheme="minorHAnsi" w:hAnsiTheme="minorHAnsi" w:cstheme="minorHAnsi"/>
          <w:i/>
          <w:sz w:val="20"/>
          <w:lang w:val="en-US"/>
        </w:rPr>
        <w:t xml:space="preserve"> </w:t>
      </w:r>
      <w:r w:rsidRPr="000B4CB4">
        <w:rPr>
          <w:rFonts w:asciiTheme="minorHAnsi" w:hAnsiTheme="minorHAnsi" w:cstheme="minorHAnsi"/>
          <w:sz w:val="20"/>
          <w:lang w:val="en-US"/>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25AC1240" w14:textId="77777777" w:rsidR="00F9589E" w:rsidRPr="000B4CB4" w:rsidRDefault="00F9589E" w:rsidP="00F9589E">
      <w:pPr>
        <w:spacing w:line="288" w:lineRule="auto"/>
        <w:rPr>
          <w:rFonts w:asciiTheme="minorHAnsi" w:hAnsiTheme="minorHAnsi" w:cstheme="minorHAnsi"/>
          <w:sz w:val="20"/>
          <w:lang w:val="en-US"/>
        </w:rPr>
      </w:pPr>
    </w:p>
    <w:p w14:paraId="5544EEA6" w14:textId="77777777" w:rsidR="00F9589E" w:rsidRPr="000B4CB4" w:rsidRDefault="00F9589E" w:rsidP="00F9589E">
      <w:pPr>
        <w:spacing w:line="288" w:lineRule="auto"/>
        <w:rPr>
          <w:rFonts w:asciiTheme="minorHAnsi" w:hAnsiTheme="minorHAnsi" w:cstheme="minorHAnsi"/>
          <w:sz w:val="20"/>
          <w:lang w:val="en-US"/>
        </w:rPr>
      </w:pPr>
    </w:p>
    <w:p w14:paraId="5084487F" w14:textId="77777777" w:rsidR="00C4493A" w:rsidRPr="000B4CB4" w:rsidRDefault="00F9589E" w:rsidP="00C4493A">
      <w:pPr>
        <w:widowControl w:val="0"/>
        <w:autoSpaceDE w:val="0"/>
        <w:autoSpaceDN w:val="0"/>
        <w:adjustRightInd w:val="0"/>
        <w:spacing w:line="288" w:lineRule="auto"/>
        <w:rPr>
          <w:rFonts w:asciiTheme="minorHAnsi" w:hAnsiTheme="minorHAnsi" w:cstheme="minorHAnsi"/>
          <w:sz w:val="20"/>
          <w:lang w:val="en-US"/>
        </w:rPr>
      </w:pPr>
      <w:r w:rsidRPr="000B4CB4">
        <w:rPr>
          <w:rFonts w:asciiTheme="minorHAnsi" w:hAnsiTheme="minorHAnsi" w:cstheme="minorHAnsi"/>
          <w:i/>
          <w:sz w:val="20"/>
          <w:lang w:val="en-US"/>
        </w:rPr>
        <w:t>From:</w:t>
      </w:r>
      <w:r w:rsidRPr="000B4CB4">
        <w:rPr>
          <w:rFonts w:asciiTheme="minorHAnsi" w:hAnsiTheme="minorHAnsi" w:cstheme="minorHAnsi"/>
          <w:sz w:val="20"/>
          <w:lang w:val="en-US"/>
        </w:rPr>
        <w:t xml:space="preserve"> </w:t>
      </w:r>
      <w:proofErr w:type="spellStart"/>
      <w:r w:rsidRPr="000B4CB4">
        <w:rPr>
          <w:rFonts w:asciiTheme="minorHAnsi" w:hAnsiTheme="minorHAnsi" w:cstheme="minorHAnsi"/>
          <w:sz w:val="20"/>
          <w:lang w:val="en-US"/>
        </w:rPr>
        <w:t>Tricco</w:t>
      </w:r>
      <w:proofErr w:type="spellEnd"/>
      <w:r w:rsidRPr="000B4CB4">
        <w:rPr>
          <w:rFonts w:asciiTheme="minorHAnsi" w:hAnsiTheme="minorHAnsi" w:cstheme="minorHAnsi"/>
          <w:sz w:val="20"/>
          <w:lang w:val="en-US"/>
        </w:rPr>
        <w:t xml:space="preserve"> AC, Lillie E, Zarin W, O'Brien KK, Colquhoun H, Levac D, et al. PRISMA Extension for Scoping Reviews (</w:t>
      </w:r>
      <w:proofErr w:type="spellStart"/>
      <w:r w:rsidRPr="000B4CB4">
        <w:rPr>
          <w:rFonts w:asciiTheme="minorHAnsi" w:hAnsiTheme="minorHAnsi" w:cstheme="minorHAnsi"/>
          <w:sz w:val="20"/>
          <w:lang w:val="en-US"/>
        </w:rPr>
        <w:t>PRISMAScR</w:t>
      </w:r>
      <w:proofErr w:type="spellEnd"/>
      <w:r w:rsidRPr="000B4CB4">
        <w:rPr>
          <w:rFonts w:asciiTheme="minorHAnsi" w:hAnsiTheme="minorHAnsi" w:cstheme="minorHAnsi"/>
          <w:sz w:val="20"/>
          <w:lang w:val="en-US"/>
        </w:rPr>
        <w:t xml:space="preserve">): Checklist and Explanation. Ann Intern Med. </w:t>
      </w:r>
      <w:proofErr w:type="gramStart"/>
      <w:r w:rsidRPr="000B4CB4">
        <w:rPr>
          <w:rFonts w:asciiTheme="minorHAnsi" w:hAnsiTheme="minorHAnsi" w:cstheme="minorHAnsi"/>
          <w:sz w:val="20"/>
          <w:lang w:val="en-US"/>
        </w:rPr>
        <w:t>2018;169:467</w:t>
      </w:r>
      <w:proofErr w:type="gramEnd"/>
      <w:r w:rsidRPr="000B4CB4">
        <w:rPr>
          <w:rFonts w:asciiTheme="minorHAnsi" w:hAnsiTheme="minorHAnsi" w:cstheme="minorHAnsi"/>
          <w:sz w:val="20"/>
          <w:lang w:val="en-US"/>
        </w:rPr>
        <w:t>–473.</w:t>
      </w:r>
    </w:p>
    <w:p w14:paraId="7DDE0314" w14:textId="77777777" w:rsidR="00D760D2" w:rsidRPr="000B4CB4" w:rsidRDefault="00D760D2" w:rsidP="00C4493A">
      <w:pPr>
        <w:widowControl w:val="0"/>
        <w:autoSpaceDE w:val="0"/>
        <w:autoSpaceDN w:val="0"/>
        <w:adjustRightInd w:val="0"/>
        <w:spacing w:line="288" w:lineRule="auto"/>
        <w:rPr>
          <w:rFonts w:asciiTheme="minorHAnsi" w:hAnsiTheme="minorHAnsi" w:cstheme="minorHAnsi"/>
          <w:b/>
          <w:lang w:val="en-US"/>
        </w:rPr>
      </w:pPr>
      <w:r w:rsidRPr="000B4CB4">
        <w:rPr>
          <w:rFonts w:asciiTheme="minorHAnsi" w:hAnsiTheme="minorHAnsi" w:cstheme="minorHAnsi"/>
          <w:b/>
          <w:lang w:val="en-US"/>
        </w:rPr>
        <w:lastRenderedPageBreak/>
        <w:t xml:space="preserve">Appendix </w:t>
      </w:r>
      <w:r w:rsidR="00F9589E" w:rsidRPr="000B4CB4">
        <w:rPr>
          <w:rFonts w:asciiTheme="minorHAnsi" w:hAnsiTheme="minorHAnsi" w:cstheme="minorHAnsi"/>
          <w:b/>
          <w:lang w:val="en-US"/>
        </w:rPr>
        <w:t>B</w:t>
      </w:r>
      <w:r w:rsidRPr="000B4CB4">
        <w:rPr>
          <w:rFonts w:asciiTheme="minorHAnsi" w:hAnsiTheme="minorHAnsi" w:cstheme="minorHAnsi"/>
          <w:b/>
          <w:lang w:val="en-US"/>
        </w:rPr>
        <w:t>: Search strategy equations</w:t>
      </w:r>
    </w:p>
    <w:p w14:paraId="49291964" w14:textId="77777777" w:rsidR="00C4493A" w:rsidRPr="000B4CB4" w:rsidRDefault="00C4493A" w:rsidP="00C4493A">
      <w:pPr>
        <w:widowControl w:val="0"/>
        <w:autoSpaceDE w:val="0"/>
        <w:autoSpaceDN w:val="0"/>
        <w:adjustRightInd w:val="0"/>
        <w:spacing w:line="288" w:lineRule="auto"/>
        <w:rPr>
          <w:rFonts w:asciiTheme="minorHAnsi" w:hAnsiTheme="minorHAnsi" w:cstheme="minorHAnsi"/>
          <w:sz w:val="20"/>
          <w:lang w:val="en-US"/>
        </w:rPr>
      </w:pPr>
    </w:p>
    <w:p w14:paraId="48BFE639" w14:textId="77777777" w:rsidR="00D760D2" w:rsidRPr="000B4CB4" w:rsidRDefault="00D760D2" w:rsidP="00D760D2">
      <w:pPr>
        <w:pStyle w:val="Paragraphedeliste"/>
        <w:numPr>
          <w:ilvl w:val="0"/>
          <w:numId w:val="1"/>
        </w:numPr>
        <w:spacing w:line="240" w:lineRule="auto"/>
        <w:rPr>
          <w:rFonts w:asciiTheme="minorHAnsi" w:hAnsiTheme="minorHAnsi" w:cstheme="minorHAnsi"/>
          <w:b/>
          <w:sz w:val="22"/>
          <w:szCs w:val="21"/>
          <w:lang w:val="en-US"/>
        </w:rPr>
      </w:pPr>
      <w:r w:rsidRPr="000B4CB4">
        <w:rPr>
          <w:rFonts w:asciiTheme="minorHAnsi" w:hAnsiTheme="minorHAnsi" w:cstheme="minorHAnsi"/>
          <w:b/>
          <w:sz w:val="22"/>
          <w:szCs w:val="21"/>
          <w:lang w:val="en-US"/>
        </w:rPr>
        <w:t xml:space="preserve">PUBMED </w:t>
      </w:r>
    </w:p>
    <w:p w14:paraId="04EFEAD5" w14:textId="77777777" w:rsidR="00D760D2" w:rsidRPr="000B4CB4" w:rsidRDefault="00D760D2" w:rsidP="00D760D2">
      <w:pPr>
        <w:spacing w:line="240" w:lineRule="auto"/>
        <w:rPr>
          <w:rFonts w:asciiTheme="minorHAnsi" w:hAnsiTheme="minorHAnsi" w:cstheme="minorHAnsi"/>
          <w:sz w:val="22"/>
          <w:szCs w:val="21"/>
          <w:lang w:val="en-US"/>
        </w:rPr>
      </w:pPr>
      <w:r w:rsidRPr="000B4CB4">
        <w:rPr>
          <w:rFonts w:asciiTheme="minorHAnsi" w:hAnsiTheme="minorHAnsi" w:cstheme="minorHAnsi"/>
          <w:sz w:val="22"/>
          <w:szCs w:val="21"/>
          <w:lang w:val="en-US"/>
        </w:rPr>
        <w:t xml:space="preserve">("Choice Behavior*"[MAJR] OR "Patient Preference*"[MAJR] OR "patient preference*"[MESH] OR "Stated preference*"[Title/Abstract] OR "Preference-based"[Title/Abstract] OR "Choice experiment*"[Title/Abstract] OR "DCE"[Title/Abstract] OR "Best-worst scaling*"[Title/Abstract] OR "Conjoint analysis"[Title/Abstract] OR "time trade-off"[Title/Abstract] OR "choice-based"[Title/Abstract] OR "contingent valuation*"[Title/Abstract] OR "standard gamble*") </w:t>
      </w:r>
      <w:r w:rsidRPr="000B4CB4">
        <w:rPr>
          <w:rFonts w:asciiTheme="minorHAnsi" w:hAnsiTheme="minorHAnsi" w:cstheme="minorHAnsi"/>
          <w:b/>
          <w:bCs/>
          <w:sz w:val="22"/>
          <w:szCs w:val="21"/>
          <w:lang w:val="en-US"/>
        </w:rPr>
        <w:t>AND</w:t>
      </w:r>
      <w:r w:rsidRPr="000B4CB4">
        <w:rPr>
          <w:rFonts w:asciiTheme="minorHAnsi" w:hAnsiTheme="minorHAnsi" w:cstheme="minorHAnsi"/>
          <w:sz w:val="22"/>
          <w:szCs w:val="21"/>
          <w:lang w:val="en-US"/>
        </w:rPr>
        <w:t xml:space="preserve"> ("Medical innovation*"[Title/Abstract] OR "m-Health"[Title/Abstract] OR "mHealth"[Title/Abstract] OR "eHealth"[Title/Abstract] OR "e-Health"[Title/Abstract] OR "Telehealth system*"[Title/Abstract] OR "Telehealth"[Title/Abstract] OR "Remote monitoring system*"[Title/Abstract] OR "Connected object*"[Title/Abstract] OR "Teleconsultation*"[Title/Abstract] OR "digital therapeutic*"[Title/Abstract] OR "Remote assistance*"[Title/Abstract])</w:t>
      </w:r>
    </w:p>
    <w:p w14:paraId="0310A3DB" w14:textId="77777777" w:rsidR="00D760D2" w:rsidRPr="000B4CB4" w:rsidRDefault="00D760D2" w:rsidP="00D760D2">
      <w:pPr>
        <w:spacing w:line="240" w:lineRule="auto"/>
        <w:rPr>
          <w:rFonts w:asciiTheme="minorHAnsi" w:hAnsiTheme="minorHAnsi" w:cstheme="minorHAnsi"/>
          <w:sz w:val="22"/>
          <w:szCs w:val="21"/>
          <w:lang w:val="en-US"/>
        </w:rPr>
      </w:pPr>
    </w:p>
    <w:p w14:paraId="306ABE0F" w14:textId="77777777" w:rsidR="00D760D2" w:rsidRPr="000B4CB4" w:rsidRDefault="00D760D2" w:rsidP="00D760D2">
      <w:pPr>
        <w:pStyle w:val="Paragraphedeliste"/>
        <w:numPr>
          <w:ilvl w:val="0"/>
          <w:numId w:val="1"/>
        </w:numPr>
        <w:spacing w:line="240" w:lineRule="auto"/>
        <w:rPr>
          <w:rFonts w:asciiTheme="minorHAnsi" w:hAnsiTheme="minorHAnsi" w:cstheme="minorHAnsi"/>
          <w:b/>
          <w:sz w:val="22"/>
          <w:szCs w:val="21"/>
          <w:lang w:val="en-US"/>
        </w:rPr>
      </w:pPr>
      <w:r w:rsidRPr="000B4CB4">
        <w:rPr>
          <w:rFonts w:asciiTheme="minorHAnsi" w:hAnsiTheme="minorHAnsi" w:cstheme="minorHAnsi"/>
          <w:b/>
          <w:sz w:val="22"/>
          <w:szCs w:val="21"/>
          <w:lang w:val="en-US"/>
        </w:rPr>
        <w:t>Web of Science</w:t>
      </w:r>
    </w:p>
    <w:p w14:paraId="0A0A1375" w14:textId="77777777" w:rsidR="00D760D2" w:rsidRPr="000B4CB4" w:rsidRDefault="00D760D2" w:rsidP="00D760D2">
      <w:pPr>
        <w:spacing w:line="240" w:lineRule="auto"/>
        <w:rPr>
          <w:rFonts w:asciiTheme="minorHAnsi" w:hAnsiTheme="minorHAnsi" w:cstheme="minorHAnsi"/>
          <w:sz w:val="22"/>
          <w:szCs w:val="21"/>
          <w:lang w:val="en-US"/>
        </w:rPr>
      </w:pPr>
      <w:r w:rsidRPr="000B4CB4">
        <w:rPr>
          <w:rFonts w:asciiTheme="minorHAnsi" w:hAnsiTheme="minorHAnsi" w:cstheme="minorHAnsi"/>
          <w:sz w:val="22"/>
          <w:szCs w:val="21"/>
          <w:lang w:val="en-US"/>
        </w:rPr>
        <w:t xml:space="preserve">ALL=(("Choice Behavior*"  OR "patient preference*"OR "Stated preference*" OR "Preference-based" OR "Choice experiment*" OR "DCE" OR "Best-worst scaling*" OR "Conjoint analysis" OR "time trade-off" OR "choice-based" OR "contingent valuation*" OR "standard gamble*") </w:t>
      </w:r>
      <w:r w:rsidRPr="000B4CB4">
        <w:rPr>
          <w:rFonts w:asciiTheme="minorHAnsi" w:hAnsiTheme="minorHAnsi" w:cstheme="minorHAnsi"/>
          <w:b/>
          <w:sz w:val="22"/>
          <w:szCs w:val="21"/>
          <w:lang w:val="en-US"/>
        </w:rPr>
        <w:t>AND</w:t>
      </w:r>
      <w:r w:rsidRPr="000B4CB4">
        <w:rPr>
          <w:rFonts w:asciiTheme="minorHAnsi" w:hAnsiTheme="minorHAnsi" w:cstheme="minorHAnsi"/>
          <w:sz w:val="22"/>
          <w:szCs w:val="21"/>
          <w:lang w:val="en-US"/>
        </w:rPr>
        <w:t xml:space="preserve"> ("Medical innovation*" OR "mHealth" OR "m-health" OR "eHealth" OR "e-health" OR "Telehealth system" OR "Telehealth" OR "Remote monitoring systems" OR "Connected object*" OR "Teleconsultation*" OR "digital therapeutic*" OR "Remote assistance*"))</w:t>
      </w:r>
    </w:p>
    <w:p w14:paraId="3F9916FE" w14:textId="77777777" w:rsidR="00D760D2" w:rsidRPr="000B4CB4" w:rsidRDefault="00D760D2" w:rsidP="00D760D2">
      <w:pPr>
        <w:spacing w:line="240" w:lineRule="auto"/>
        <w:rPr>
          <w:rFonts w:asciiTheme="minorHAnsi" w:hAnsiTheme="minorHAnsi" w:cstheme="minorHAnsi"/>
          <w:sz w:val="22"/>
          <w:szCs w:val="21"/>
          <w:lang w:val="en-US"/>
        </w:rPr>
      </w:pPr>
    </w:p>
    <w:p w14:paraId="6F13DD8C" w14:textId="77777777" w:rsidR="00D760D2" w:rsidRPr="000B4CB4" w:rsidRDefault="00D760D2" w:rsidP="00D760D2">
      <w:pPr>
        <w:pStyle w:val="Paragraphedeliste"/>
        <w:numPr>
          <w:ilvl w:val="0"/>
          <w:numId w:val="1"/>
        </w:numPr>
        <w:spacing w:line="240" w:lineRule="auto"/>
        <w:rPr>
          <w:rFonts w:asciiTheme="minorHAnsi" w:hAnsiTheme="minorHAnsi" w:cstheme="minorHAnsi"/>
          <w:b/>
          <w:sz w:val="22"/>
          <w:szCs w:val="21"/>
          <w:lang w:val="en-US"/>
        </w:rPr>
      </w:pPr>
      <w:r w:rsidRPr="000B4CB4">
        <w:rPr>
          <w:rFonts w:asciiTheme="minorHAnsi" w:hAnsiTheme="minorHAnsi" w:cstheme="minorHAnsi"/>
          <w:b/>
          <w:sz w:val="22"/>
          <w:szCs w:val="21"/>
          <w:lang w:val="en-US"/>
        </w:rPr>
        <w:t>SCOPUS</w:t>
      </w:r>
    </w:p>
    <w:p w14:paraId="68272471" w14:textId="77777777" w:rsidR="00D760D2" w:rsidRPr="000B4CB4" w:rsidRDefault="00D760D2" w:rsidP="00D760D2">
      <w:pPr>
        <w:spacing w:line="240" w:lineRule="auto"/>
        <w:rPr>
          <w:rFonts w:asciiTheme="minorHAnsi" w:hAnsiTheme="minorHAnsi" w:cstheme="minorHAnsi"/>
          <w:sz w:val="22"/>
          <w:szCs w:val="21"/>
          <w:lang w:val="en-US"/>
        </w:rPr>
      </w:pPr>
      <w:r w:rsidRPr="000B4CB4">
        <w:rPr>
          <w:rFonts w:asciiTheme="minorHAnsi" w:hAnsiTheme="minorHAnsi" w:cstheme="minorHAnsi"/>
          <w:sz w:val="22"/>
          <w:szCs w:val="21"/>
          <w:lang w:val="en-US"/>
        </w:rPr>
        <w:t xml:space="preserve">( ( "Choice Behavior*" OR "patient preference*" OR "Stated preference*" OR "Preference-based" OR "Choice experiment*" OR "DCE" OR "Best-worst scaling*" OR "Conjoint analysis" OR "time trade-off" OR "choice-based" OR "contingent valuation*" OR "standard gamble*" ) </w:t>
      </w:r>
      <w:r w:rsidRPr="000B4CB4">
        <w:rPr>
          <w:rFonts w:asciiTheme="minorHAnsi" w:hAnsiTheme="minorHAnsi" w:cstheme="minorHAnsi"/>
          <w:b/>
          <w:sz w:val="22"/>
          <w:szCs w:val="21"/>
          <w:lang w:val="en-US"/>
        </w:rPr>
        <w:t>AND</w:t>
      </w:r>
      <w:r w:rsidRPr="000B4CB4">
        <w:rPr>
          <w:rFonts w:asciiTheme="minorHAnsi" w:hAnsiTheme="minorHAnsi" w:cstheme="minorHAnsi"/>
          <w:sz w:val="22"/>
          <w:szCs w:val="21"/>
          <w:lang w:val="en-US"/>
        </w:rPr>
        <w:t xml:space="preserve"> ( "Medical innovation*" OR "mHealth" OR “m-health” OR “e-health” OR "eHealth" OR "Telehealth system*" OR "Telehealth" OR "Remote monitoring system*" OR "Connected object*" OR "Teleconsultation*" OR "digital therapeutic*" OR "Remote assistance*" ) ) </w:t>
      </w:r>
    </w:p>
    <w:p w14:paraId="40ADE223" w14:textId="77777777" w:rsidR="00D760D2" w:rsidRPr="000B4CB4" w:rsidRDefault="00D760D2" w:rsidP="00D760D2">
      <w:pPr>
        <w:spacing w:line="240" w:lineRule="auto"/>
        <w:rPr>
          <w:rFonts w:asciiTheme="minorHAnsi" w:hAnsiTheme="minorHAnsi" w:cstheme="minorHAnsi"/>
          <w:sz w:val="22"/>
          <w:szCs w:val="21"/>
          <w:lang w:val="en-US"/>
        </w:rPr>
      </w:pPr>
    </w:p>
    <w:p w14:paraId="69C91F72" w14:textId="77777777" w:rsidR="00D760D2" w:rsidRPr="000B4CB4" w:rsidRDefault="00D760D2" w:rsidP="00D760D2">
      <w:pPr>
        <w:pStyle w:val="Paragraphedeliste"/>
        <w:numPr>
          <w:ilvl w:val="0"/>
          <w:numId w:val="1"/>
        </w:numPr>
        <w:spacing w:line="240" w:lineRule="auto"/>
        <w:rPr>
          <w:rFonts w:asciiTheme="minorHAnsi" w:hAnsiTheme="minorHAnsi" w:cstheme="minorHAnsi"/>
          <w:b/>
          <w:sz w:val="22"/>
          <w:szCs w:val="21"/>
          <w:lang w:val="en-US"/>
        </w:rPr>
      </w:pPr>
      <w:r w:rsidRPr="000B4CB4">
        <w:rPr>
          <w:rFonts w:asciiTheme="minorHAnsi" w:hAnsiTheme="minorHAnsi" w:cstheme="minorHAnsi"/>
          <w:b/>
          <w:sz w:val="22"/>
          <w:szCs w:val="21"/>
          <w:lang w:val="en-US"/>
        </w:rPr>
        <w:t>EMBASE</w:t>
      </w:r>
    </w:p>
    <w:p w14:paraId="63C8443C" w14:textId="77777777" w:rsidR="00D760D2" w:rsidRPr="000B4CB4" w:rsidRDefault="00D760D2" w:rsidP="00D760D2">
      <w:pPr>
        <w:spacing w:line="240" w:lineRule="auto"/>
        <w:rPr>
          <w:rFonts w:asciiTheme="minorHAnsi" w:hAnsiTheme="minorHAnsi" w:cstheme="minorHAnsi"/>
          <w:sz w:val="22"/>
          <w:szCs w:val="21"/>
          <w:lang w:val="en-US"/>
        </w:rPr>
      </w:pPr>
      <w:r w:rsidRPr="000B4CB4">
        <w:rPr>
          <w:rFonts w:asciiTheme="minorHAnsi" w:hAnsiTheme="minorHAnsi" w:cstheme="minorHAnsi"/>
          <w:sz w:val="22"/>
          <w:szCs w:val="21"/>
          <w:lang w:val="en-US"/>
        </w:rPr>
        <w:t>('choice behavior*':</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'patient preference*':</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'stated preference*':</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'preference-based':</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'choice experiment*':</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w:t>
      </w:r>
      <w:proofErr w:type="spellStart"/>
      <w:r w:rsidRPr="000B4CB4">
        <w:rPr>
          <w:rFonts w:asciiTheme="minorHAnsi" w:hAnsiTheme="minorHAnsi" w:cstheme="minorHAnsi"/>
          <w:sz w:val="22"/>
          <w:szCs w:val="21"/>
          <w:lang w:val="en-US"/>
        </w:rPr>
        <w:t>dce</w:t>
      </w:r>
      <w:proofErr w:type="spellEnd"/>
      <w:r w:rsidRPr="000B4CB4">
        <w:rPr>
          <w:rFonts w:asciiTheme="minorHAnsi" w:hAnsiTheme="minorHAnsi" w:cstheme="minorHAnsi"/>
          <w:sz w:val="22"/>
          <w:szCs w:val="21"/>
          <w:lang w:val="en-US"/>
        </w:rPr>
        <w:t>':</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'best-worst scaling*':</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'conjoint analysis':</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'time trade-off':</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'choice-based':</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'contingent valuation*':</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'standard gamble*':</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w:t>
      </w:r>
      <w:r w:rsidRPr="000B4CB4">
        <w:rPr>
          <w:rFonts w:asciiTheme="minorHAnsi" w:hAnsiTheme="minorHAnsi" w:cstheme="minorHAnsi"/>
          <w:b/>
          <w:sz w:val="22"/>
          <w:szCs w:val="21"/>
          <w:lang w:val="en-US"/>
        </w:rPr>
        <w:t>AND</w:t>
      </w:r>
      <w:r w:rsidRPr="000B4CB4">
        <w:rPr>
          <w:rFonts w:asciiTheme="minorHAnsi" w:hAnsiTheme="minorHAnsi" w:cstheme="minorHAnsi"/>
          <w:sz w:val="22"/>
          <w:szCs w:val="21"/>
          <w:lang w:val="en-US"/>
        </w:rPr>
        <w:t xml:space="preserve"> ('medical innovation*':</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w:t>
      </w:r>
      <w:proofErr w:type="spellStart"/>
      <w:r w:rsidRPr="000B4CB4">
        <w:rPr>
          <w:rFonts w:asciiTheme="minorHAnsi" w:hAnsiTheme="minorHAnsi" w:cstheme="minorHAnsi"/>
          <w:sz w:val="22"/>
          <w:szCs w:val="21"/>
          <w:lang w:val="en-US"/>
        </w:rPr>
        <w:t>mhealth</w:t>
      </w:r>
      <w:proofErr w:type="spellEnd"/>
      <w:r w:rsidRPr="000B4CB4">
        <w:rPr>
          <w:rFonts w:asciiTheme="minorHAnsi" w:hAnsiTheme="minorHAnsi" w:cstheme="minorHAnsi"/>
          <w:sz w:val="22"/>
          <w:szCs w:val="21"/>
          <w:lang w:val="en-US"/>
        </w:rPr>
        <w:t>':</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'm-health':</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w:t>
      </w:r>
      <w:proofErr w:type="spellStart"/>
      <w:r w:rsidRPr="000B4CB4">
        <w:rPr>
          <w:rFonts w:asciiTheme="minorHAnsi" w:hAnsiTheme="minorHAnsi" w:cstheme="minorHAnsi"/>
          <w:sz w:val="22"/>
          <w:szCs w:val="21"/>
          <w:lang w:val="en-US"/>
        </w:rPr>
        <w:t>ehealth</w:t>
      </w:r>
      <w:proofErr w:type="spellEnd"/>
      <w:r w:rsidRPr="000B4CB4">
        <w:rPr>
          <w:rFonts w:asciiTheme="minorHAnsi" w:hAnsiTheme="minorHAnsi" w:cstheme="minorHAnsi"/>
          <w:sz w:val="22"/>
          <w:szCs w:val="21"/>
          <w:lang w:val="en-US"/>
        </w:rPr>
        <w:t>':</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'e-health':</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'telehealth system*':</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'telehealth':</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'remote monitoring system*':</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'connected object*':</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'teleconsultation*':</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'digital therapeutic*':</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 xml:space="preserve"> OR 'remote assistance*':</w:t>
      </w:r>
      <w:proofErr w:type="spellStart"/>
      <w:r w:rsidRPr="000B4CB4">
        <w:rPr>
          <w:rFonts w:asciiTheme="minorHAnsi" w:hAnsiTheme="minorHAnsi" w:cstheme="minorHAnsi"/>
          <w:sz w:val="22"/>
          <w:szCs w:val="21"/>
          <w:lang w:val="en-US"/>
        </w:rPr>
        <w:t>ab,ti</w:t>
      </w:r>
      <w:proofErr w:type="spellEnd"/>
      <w:r w:rsidRPr="000B4CB4">
        <w:rPr>
          <w:rFonts w:asciiTheme="minorHAnsi" w:hAnsiTheme="minorHAnsi" w:cstheme="minorHAnsi"/>
          <w:sz w:val="22"/>
          <w:szCs w:val="21"/>
          <w:lang w:val="en-US"/>
        </w:rPr>
        <w:t>)</w:t>
      </w:r>
    </w:p>
    <w:p w14:paraId="14EE9A40" w14:textId="77777777" w:rsidR="00C4493A" w:rsidRPr="000B4CB4" w:rsidRDefault="00C4493A" w:rsidP="00D760D2">
      <w:pPr>
        <w:spacing w:line="240" w:lineRule="auto"/>
        <w:rPr>
          <w:rFonts w:asciiTheme="minorHAnsi" w:hAnsiTheme="minorHAnsi" w:cstheme="minorHAnsi"/>
          <w:sz w:val="22"/>
          <w:szCs w:val="21"/>
          <w:lang w:val="en-US"/>
        </w:rPr>
      </w:pPr>
    </w:p>
    <w:p w14:paraId="20A044AC" w14:textId="77777777" w:rsidR="00D760D2" w:rsidRPr="000B4CB4" w:rsidRDefault="00D760D2" w:rsidP="00D760D2">
      <w:pPr>
        <w:pStyle w:val="Paragraphedeliste"/>
        <w:numPr>
          <w:ilvl w:val="0"/>
          <w:numId w:val="1"/>
        </w:numPr>
        <w:spacing w:line="240" w:lineRule="auto"/>
        <w:rPr>
          <w:rFonts w:asciiTheme="minorHAnsi" w:hAnsiTheme="minorHAnsi" w:cstheme="minorHAnsi"/>
          <w:b/>
          <w:sz w:val="22"/>
          <w:szCs w:val="21"/>
          <w:lang w:val="en-US"/>
        </w:rPr>
      </w:pPr>
      <w:r w:rsidRPr="000B4CB4">
        <w:rPr>
          <w:rFonts w:asciiTheme="minorHAnsi" w:hAnsiTheme="minorHAnsi" w:cstheme="minorHAnsi"/>
          <w:b/>
          <w:sz w:val="22"/>
          <w:szCs w:val="21"/>
          <w:lang w:val="en-US"/>
        </w:rPr>
        <w:t>CINAHL</w:t>
      </w:r>
    </w:p>
    <w:p w14:paraId="3F772F89" w14:textId="77777777" w:rsidR="00D760D2" w:rsidRPr="000B4CB4" w:rsidRDefault="00D760D2" w:rsidP="00D760D2">
      <w:pPr>
        <w:spacing w:line="240" w:lineRule="auto"/>
        <w:rPr>
          <w:rFonts w:asciiTheme="minorHAnsi" w:hAnsiTheme="minorHAnsi" w:cstheme="minorHAnsi"/>
          <w:b/>
          <w:sz w:val="28"/>
          <w:lang w:val="en-US"/>
        </w:rPr>
      </w:pPr>
      <w:r w:rsidRPr="000B4CB4">
        <w:rPr>
          <w:rFonts w:asciiTheme="minorHAnsi" w:hAnsiTheme="minorHAnsi" w:cstheme="minorHAnsi"/>
          <w:sz w:val="22"/>
          <w:szCs w:val="21"/>
          <w:lang w:val="en-US"/>
        </w:rPr>
        <w:t xml:space="preserve">("Choice Behavior*" OR "patient preference*"OR "Stated preference*" OR "Preference-based" OR "Choice experiment*" OR "DCE" OR "Best-worst scaling*" OR "Conjoint analysis" OR "time trade-off" OR "choice-based" OR "contingent valuation*" OR "standard gamble*") </w:t>
      </w:r>
      <w:r w:rsidRPr="000B4CB4">
        <w:rPr>
          <w:rFonts w:asciiTheme="minorHAnsi" w:hAnsiTheme="minorHAnsi" w:cstheme="minorHAnsi"/>
          <w:b/>
          <w:sz w:val="22"/>
          <w:szCs w:val="21"/>
          <w:lang w:val="en-US"/>
        </w:rPr>
        <w:t>AND</w:t>
      </w:r>
      <w:r w:rsidRPr="000B4CB4">
        <w:rPr>
          <w:rFonts w:asciiTheme="minorHAnsi" w:hAnsiTheme="minorHAnsi" w:cstheme="minorHAnsi"/>
          <w:sz w:val="22"/>
          <w:szCs w:val="21"/>
          <w:lang w:val="en-US"/>
        </w:rPr>
        <w:t xml:space="preserve"> ("Medical innovation*" OR "mHealth" OR "m-Health" OR "e-health"  OR "eHealth" OR "Telehealth system*" OR "Telehealth" OR "Remote monitoring system*" OR "Connected object*" OR "Teleconsultation*" OR "digital therapeutic*" OR "Remote assistance*")</w:t>
      </w:r>
      <w:r w:rsidRPr="000B4CB4">
        <w:rPr>
          <w:rFonts w:asciiTheme="minorHAnsi" w:hAnsiTheme="minorHAnsi" w:cstheme="minorHAnsi"/>
          <w:b/>
          <w:sz w:val="28"/>
          <w:lang w:val="en-US"/>
        </w:rPr>
        <w:br w:type="page"/>
      </w:r>
    </w:p>
    <w:p w14:paraId="5A676552" w14:textId="77777777" w:rsidR="008E7557" w:rsidRPr="000B4CB4" w:rsidRDefault="008E7557">
      <w:pPr>
        <w:spacing w:line="240" w:lineRule="auto"/>
        <w:rPr>
          <w:rFonts w:asciiTheme="minorHAnsi" w:hAnsiTheme="minorHAnsi" w:cstheme="minorHAnsi"/>
          <w:b/>
          <w:lang w:val="en-US"/>
        </w:rPr>
      </w:pPr>
      <w:r w:rsidRPr="000B4CB4">
        <w:rPr>
          <w:rFonts w:asciiTheme="minorHAnsi" w:hAnsiTheme="minorHAnsi" w:cstheme="minorHAnsi"/>
          <w:b/>
          <w:lang w:val="en-US"/>
        </w:rPr>
        <w:lastRenderedPageBreak/>
        <w:t xml:space="preserve">Appendix </w:t>
      </w:r>
      <w:r w:rsidR="00F9589E" w:rsidRPr="000B4CB4">
        <w:rPr>
          <w:rFonts w:asciiTheme="minorHAnsi" w:hAnsiTheme="minorHAnsi" w:cstheme="minorHAnsi"/>
          <w:b/>
          <w:lang w:val="en-US"/>
        </w:rPr>
        <w:t>C</w:t>
      </w:r>
      <w:r w:rsidRPr="000B4CB4">
        <w:rPr>
          <w:rFonts w:asciiTheme="minorHAnsi" w:hAnsiTheme="minorHAnsi" w:cstheme="minorHAnsi"/>
          <w:b/>
          <w:lang w:val="en-US"/>
        </w:rPr>
        <w:t xml:space="preserve"> – </w:t>
      </w:r>
      <w:r w:rsidR="00CD13DF" w:rsidRPr="000B4CB4">
        <w:rPr>
          <w:rFonts w:asciiTheme="minorHAnsi" w:hAnsiTheme="minorHAnsi" w:cstheme="minorHAnsi"/>
          <w:b/>
          <w:lang w:val="en-US"/>
        </w:rPr>
        <w:t>Results of studies included in the Scoping Review</w:t>
      </w:r>
    </w:p>
    <w:p w14:paraId="4BA6F0BA" w14:textId="77777777" w:rsidR="008E7557" w:rsidRPr="000B4CB4" w:rsidRDefault="008E7557">
      <w:pPr>
        <w:spacing w:line="240" w:lineRule="auto"/>
        <w:rPr>
          <w:rFonts w:asciiTheme="minorHAnsi" w:hAnsiTheme="minorHAnsi" w:cstheme="minorHAnsi"/>
          <w:b/>
          <w:sz w:val="28"/>
          <w:lang w:val="en-US"/>
        </w:rPr>
      </w:pPr>
    </w:p>
    <w:p w14:paraId="5E6DE5A9" w14:textId="77777777" w:rsidR="008E7557" w:rsidRPr="000B4CB4" w:rsidRDefault="008E7557" w:rsidP="008E7557">
      <w:pPr>
        <w:spacing w:line="240" w:lineRule="auto"/>
        <w:rPr>
          <w:rFonts w:asciiTheme="minorHAnsi" w:hAnsiTheme="minorHAnsi" w:cstheme="minorHAnsi"/>
          <w:szCs w:val="20"/>
          <w:lang w:val="en-US"/>
        </w:rPr>
      </w:pPr>
      <w:r w:rsidRPr="000B4CB4">
        <w:rPr>
          <w:rFonts w:asciiTheme="minorHAnsi" w:hAnsiTheme="minorHAnsi" w:cstheme="minorHAnsi"/>
          <w:b/>
          <w:szCs w:val="20"/>
          <w:lang w:val="en-US"/>
        </w:rPr>
        <w:t xml:space="preserve">Table </w:t>
      </w:r>
      <w:r w:rsidR="00F9589E" w:rsidRPr="000B4CB4">
        <w:rPr>
          <w:rFonts w:asciiTheme="minorHAnsi" w:hAnsiTheme="minorHAnsi" w:cstheme="minorHAnsi"/>
          <w:b/>
          <w:szCs w:val="20"/>
          <w:lang w:val="en-US"/>
        </w:rPr>
        <w:t>C</w:t>
      </w:r>
      <w:r w:rsidRPr="000B4CB4">
        <w:rPr>
          <w:rFonts w:asciiTheme="minorHAnsi" w:hAnsiTheme="minorHAnsi" w:cstheme="minorHAnsi"/>
          <w:b/>
          <w:szCs w:val="20"/>
          <w:lang w:val="en-US"/>
        </w:rPr>
        <w:t>1</w:t>
      </w:r>
      <w:r w:rsidRPr="000B4CB4">
        <w:rPr>
          <w:rFonts w:asciiTheme="minorHAnsi" w:hAnsiTheme="minorHAnsi" w:cstheme="minorHAnsi"/>
          <w:szCs w:val="20"/>
          <w:lang w:val="en-US"/>
        </w:rPr>
        <w:t>. Quantitative studies included</w:t>
      </w:r>
    </w:p>
    <w:tbl>
      <w:tblPr>
        <w:tblStyle w:val="Tableausimple5"/>
        <w:tblpPr w:leftFromText="141" w:rightFromText="141" w:vertAnchor="text" w:horzAnchor="page" w:tblpX="1151" w:tblpY="451"/>
        <w:tblW w:w="9575" w:type="dxa"/>
        <w:tblLayout w:type="fixed"/>
        <w:tblLook w:val="04A0" w:firstRow="1" w:lastRow="0" w:firstColumn="1" w:lastColumn="0" w:noHBand="0" w:noVBand="1"/>
      </w:tblPr>
      <w:tblGrid>
        <w:gridCol w:w="1227"/>
        <w:gridCol w:w="1576"/>
        <w:gridCol w:w="1025"/>
        <w:gridCol w:w="1275"/>
        <w:gridCol w:w="1302"/>
        <w:gridCol w:w="3160"/>
        <w:gridCol w:w="10"/>
      </w:tblGrid>
      <w:tr w:rsidR="0022555D" w:rsidRPr="0022555D" w14:paraId="28774592" w14:textId="77777777" w:rsidTr="00AB6102">
        <w:trPr>
          <w:gridAfter w:val="1"/>
          <w:cnfStyle w:val="100000000000" w:firstRow="1" w:lastRow="0" w:firstColumn="0" w:lastColumn="0" w:oddVBand="0" w:evenVBand="0" w:oddHBand="0" w:evenHBand="0" w:firstRowFirstColumn="0" w:firstRowLastColumn="0" w:lastRowFirstColumn="0" w:lastRowLastColumn="0"/>
          <w:wAfter w:w="10" w:type="dxa"/>
          <w:trHeight w:val="871"/>
        </w:trPr>
        <w:tc>
          <w:tcPr>
            <w:cnfStyle w:val="001000000100" w:firstRow="0" w:lastRow="0" w:firstColumn="1" w:lastColumn="0" w:oddVBand="0" w:evenVBand="0" w:oddHBand="0" w:evenHBand="0" w:firstRowFirstColumn="1" w:firstRowLastColumn="0" w:lastRowFirstColumn="0" w:lastRowLastColumn="0"/>
            <w:tcW w:w="1227" w:type="dxa"/>
            <w:tcBorders>
              <w:top w:val="double" w:sz="4" w:space="0" w:color="auto"/>
              <w:bottom w:val="double" w:sz="4" w:space="0" w:color="auto"/>
            </w:tcBorders>
          </w:tcPr>
          <w:p w14:paraId="39107949"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bookmarkStart w:id="0" w:name="_Hlk226971541"/>
            <w:r w:rsidRPr="0022555D">
              <w:rPr>
                <w:rFonts w:asciiTheme="minorHAnsi" w:eastAsia="Calibri" w:hAnsiTheme="minorHAnsi" w:cstheme="minorHAnsi"/>
                <w:b/>
                <w:bCs/>
                <w:i w:val="0"/>
                <w:iCs w:val="0"/>
                <w:color w:val="000000" w:themeColor="text1"/>
                <w:sz w:val="16"/>
                <w:szCs w:val="26"/>
                <w:lang w:val="en-US"/>
              </w:rPr>
              <w:t>Authors (date)</w:t>
            </w:r>
          </w:p>
          <w:p w14:paraId="4809A6C8"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country</w:t>
            </w:r>
          </w:p>
        </w:tc>
        <w:tc>
          <w:tcPr>
            <w:tcW w:w="1576" w:type="dxa"/>
            <w:tcBorders>
              <w:top w:val="double" w:sz="4" w:space="0" w:color="auto"/>
              <w:bottom w:val="double" w:sz="4" w:space="0" w:color="auto"/>
            </w:tcBorders>
          </w:tcPr>
          <w:p w14:paraId="35502883" w14:textId="77777777" w:rsidR="0022555D" w:rsidRPr="0022555D" w:rsidRDefault="0022555D" w:rsidP="0022555D">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000000" w:themeColor="text1"/>
                <w:sz w:val="16"/>
                <w:szCs w:val="26"/>
                <w:lang w:val="en-US"/>
              </w:rPr>
            </w:pPr>
            <w:r w:rsidRPr="0022555D">
              <w:rPr>
                <w:rFonts w:asciiTheme="minorHAnsi" w:eastAsia="Calibri" w:hAnsiTheme="minorHAnsi" w:cstheme="minorHAnsi"/>
                <w:b/>
                <w:bCs/>
                <w:color w:val="000000" w:themeColor="text1"/>
                <w:sz w:val="16"/>
                <w:szCs w:val="26"/>
                <w:lang w:val="en-US"/>
              </w:rPr>
              <w:t>Aims</w:t>
            </w:r>
          </w:p>
        </w:tc>
        <w:tc>
          <w:tcPr>
            <w:tcW w:w="1025" w:type="dxa"/>
            <w:tcBorders>
              <w:top w:val="double" w:sz="4" w:space="0" w:color="auto"/>
              <w:bottom w:val="double" w:sz="4" w:space="0" w:color="auto"/>
            </w:tcBorders>
          </w:tcPr>
          <w:p w14:paraId="5F2F0BF8" w14:textId="77777777" w:rsidR="0022555D" w:rsidRPr="0022555D" w:rsidRDefault="0022555D" w:rsidP="0022555D">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000000" w:themeColor="text1"/>
                <w:sz w:val="16"/>
                <w:szCs w:val="26"/>
                <w:lang w:val="en-US"/>
              </w:rPr>
            </w:pPr>
            <w:r w:rsidRPr="0022555D">
              <w:rPr>
                <w:rFonts w:asciiTheme="minorHAnsi" w:eastAsia="Calibri" w:hAnsiTheme="minorHAnsi" w:cstheme="minorHAnsi"/>
                <w:b/>
                <w:bCs/>
                <w:color w:val="000000" w:themeColor="text1"/>
                <w:sz w:val="16"/>
                <w:szCs w:val="26"/>
                <w:lang w:val="en-US"/>
              </w:rPr>
              <w:t>Preference elicitation tool</w:t>
            </w:r>
          </w:p>
        </w:tc>
        <w:tc>
          <w:tcPr>
            <w:tcW w:w="1275" w:type="dxa"/>
            <w:tcBorders>
              <w:top w:val="double" w:sz="4" w:space="0" w:color="auto"/>
              <w:bottom w:val="double" w:sz="4" w:space="0" w:color="auto"/>
            </w:tcBorders>
          </w:tcPr>
          <w:p w14:paraId="2AEB15E4" w14:textId="77777777" w:rsidR="0022555D" w:rsidRPr="0022555D" w:rsidRDefault="0022555D" w:rsidP="0022555D">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000000" w:themeColor="text1"/>
                <w:sz w:val="16"/>
                <w:szCs w:val="26"/>
                <w:lang w:val="en-US"/>
              </w:rPr>
            </w:pPr>
            <w:r w:rsidRPr="0022555D">
              <w:rPr>
                <w:rFonts w:asciiTheme="minorHAnsi" w:eastAsia="Calibri" w:hAnsiTheme="minorHAnsi" w:cstheme="minorHAnsi"/>
                <w:b/>
                <w:bCs/>
                <w:color w:val="000000" w:themeColor="text1"/>
                <w:sz w:val="16"/>
                <w:szCs w:val="26"/>
                <w:lang w:val="en-US"/>
              </w:rPr>
              <w:t>Pre-data collection</w:t>
            </w:r>
          </w:p>
        </w:tc>
        <w:tc>
          <w:tcPr>
            <w:tcW w:w="1302" w:type="dxa"/>
            <w:tcBorders>
              <w:top w:val="double" w:sz="4" w:space="0" w:color="auto"/>
              <w:bottom w:val="double" w:sz="4" w:space="0" w:color="auto"/>
            </w:tcBorders>
          </w:tcPr>
          <w:p w14:paraId="17B39BC8" w14:textId="77777777" w:rsidR="0022555D" w:rsidRPr="0022555D" w:rsidRDefault="0022555D" w:rsidP="0022555D">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000000" w:themeColor="text1"/>
                <w:sz w:val="16"/>
                <w:szCs w:val="26"/>
                <w:lang w:val="en-US"/>
              </w:rPr>
            </w:pPr>
            <w:r w:rsidRPr="0022555D">
              <w:rPr>
                <w:rFonts w:asciiTheme="minorHAnsi" w:eastAsia="Calibri" w:hAnsiTheme="minorHAnsi" w:cstheme="minorHAnsi"/>
                <w:b/>
                <w:bCs/>
                <w:color w:val="000000" w:themeColor="text1"/>
                <w:sz w:val="16"/>
                <w:szCs w:val="26"/>
                <w:lang w:val="en-US"/>
              </w:rPr>
              <w:t>Experience design</w:t>
            </w:r>
          </w:p>
        </w:tc>
        <w:tc>
          <w:tcPr>
            <w:tcW w:w="3160" w:type="dxa"/>
            <w:tcBorders>
              <w:top w:val="double" w:sz="4" w:space="0" w:color="auto"/>
              <w:bottom w:val="double" w:sz="4" w:space="0" w:color="auto"/>
            </w:tcBorders>
          </w:tcPr>
          <w:p w14:paraId="606BF3DD" w14:textId="77777777" w:rsidR="0022555D" w:rsidRPr="0022555D" w:rsidRDefault="0022555D" w:rsidP="0022555D">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000000" w:themeColor="text1"/>
                <w:sz w:val="16"/>
                <w:szCs w:val="26"/>
                <w:lang w:val="en-US"/>
              </w:rPr>
            </w:pPr>
            <w:r w:rsidRPr="0022555D">
              <w:rPr>
                <w:rFonts w:asciiTheme="minorHAnsi" w:eastAsia="Calibri" w:hAnsiTheme="minorHAnsi" w:cstheme="minorHAnsi"/>
                <w:b/>
                <w:bCs/>
                <w:color w:val="000000" w:themeColor="text1"/>
                <w:sz w:val="16"/>
                <w:szCs w:val="26"/>
                <w:lang w:val="en-US"/>
              </w:rPr>
              <w:t>Main findings</w:t>
            </w:r>
          </w:p>
        </w:tc>
      </w:tr>
      <w:tr w:rsidR="0022555D" w:rsidRPr="0022555D" w14:paraId="18F26387"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02B4B52E"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Ahn et al.</w:t>
            </w:r>
          </w:p>
          <w:p w14:paraId="69974F98"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(2014)</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{"citationID":"XFSvUsr4","properties":{"unsorted":false,"formattedCitation":"[102]","plainCitation":"[102]","noteIndex":0},"citationItems":[{"id":2369,"uris":["http://zotero.org/users/4007286/items/K228SYDZ"],"itemData":{"id":2369,"type":"article-journal","abstract":"Objective: The scope of healthcare has been expanding from caring for sick people to keeping people from becoming sick, and telemedicine will play a significant role in this new healthcare paradigm. This study investigated consumer preferences and willingness to pay for attributes of telemedicine services in South Korea. A market simulation was conducted to examine the market shares of alternative services and their relationships to the perceived usefulness of service types and preferred device types. Materials and Methods: Using a conjoint survey, we collected data on consumer preferences for six telemedicine service attributes. Data analysis used the Baysian mixed logit model. The market simulation estimated the probabilities of a specific service alternative being chosen using estimated model coefficients. Results: Wearable devices were the most preferred, followed by smart-home and smartphone devices. Consumers perceived managing blood glucose to be the most useful telemedicine service, followed by monitoring oxygen saturation and blood pressure. The market simulation indicated that consumer preferences for device types were associated with the types of chronic diseases for which management through telemedicine services is perceived to be useful. Conclusions: As the focus of healthcare moves from treating patients to keeping individuals healthy, a key factor for the successful deployment of telemedicine services is understanding consumer perceptions and attitudes. The results of this study revealed the dynamics of consumer preferences with regard to service attributes. © Copyright 2014, Mary Ann Liebert, Inc. 2014.","archive":"Scopus","container-title":"Telemedicine and e-Health","DOI":"10.1089/tmj.2013.0101","issue":"2","page":"168-174","title":"Consumer preferences for telemedicine devices and services in South Korea","volume":"20","author":[{"family":"Ahn","given":"J."},{"family":"Shin","given":"J."},{"family":"Lee","given":"J."},{"family":"Shin","given":"K."},{"family":"Park","given":"H."}],"issued":{"date-parts":[["2014"]]}}}],"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[102]</w:t>
            </w:r>
            <w:r w:rsidRPr="0022555D">
              <w:rPr>
                <w:rFonts w:asciiTheme="minorHAnsi" w:eastAsia="Calibri" w:hAnsiTheme="minorHAnsi" w:cstheme="minorHAnsi"/>
                <w:color w:val="000000" w:themeColor="text1"/>
                <w:sz w:val="16"/>
                <w:szCs w:val="26"/>
                <w:lang w:val="en-US"/>
              </w:rPr>
              <w:fldChar w:fldCharType="end"/>
            </w:r>
          </w:p>
          <w:p w14:paraId="6CD568AA"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South Korea</w:t>
            </w:r>
          </w:p>
        </w:tc>
        <w:tc>
          <w:tcPr>
            <w:tcW w:w="1576" w:type="dxa"/>
          </w:tcPr>
          <w:p w14:paraId="521D288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investigate consumer preferences and willingness to pay for attributes of telemedicine services in South Korea</w:t>
            </w:r>
          </w:p>
        </w:tc>
        <w:tc>
          <w:tcPr>
            <w:tcW w:w="1025" w:type="dxa"/>
          </w:tcPr>
          <w:p w14:paraId="43A9D7E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Conjoint analysis</w:t>
            </w:r>
          </w:p>
        </w:tc>
        <w:tc>
          <w:tcPr>
            <w:tcW w:w="1275" w:type="dxa"/>
          </w:tcPr>
          <w:p w14:paraId="65CBBC16"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Not reported</w:t>
            </w:r>
          </w:p>
        </w:tc>
        <w:tc>
          <w:tcPr>
            <w:tcW w:w="1302" w:type="dxa"/>
          </w:tcPr>
          <w:p w14:paraId="53FB80AB"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6 attributes, 2-3 levels each</w:t>
            </w:r>
          </w:p>
        </w:tc>
        <w:tc>
          <w:tcPr>
            <w:tcW w:w="3170" w:type="dxa"/>
            <w:gridSpan w:val="2"/>
          </w:tcPr>
          <w:p w14:paraId="7283F07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Theme="majorEastAsia" w:hAnsiTheme="minorHAnsi" w:cstheme="minorHAnsi"/>
                <w:color w:val="000000" w:themeColor="text1"/>
                <w:sz w:val="16"/>
                <w:szCs w:val="26"/>
                <w:lang w:val="en-US"/>
              </w:rPr>
            </w:pPr>
            <w:r w:rsidRPr="0022555D">
              <w:rPr>
                <w:rFonts w:asciiTheme="minorHAnsi" w:eastAsiaTheme="majorEastAsia" w:hAnsiTheme="minorHAnsi" w:cstheme="minorHAnsi"/>
                <w:color w:val="000000" w:themeColor="text1"/>
                <w:sz w:val="16"/>
                <w:szCs w:val="26"/>
                <w:lang w:val="en-US"/>
              </w:rPr>
              <w:t>Consumers preferred wearable devices the most, followed by smart-home and smartphone devices.</w:t>
            </w:r>
          </w:p>
          <w:p w14:paraId="4AAC147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Respondents are willing to pay $69 per month for personalized services and consider a 1-hour reduction in reply times worth $3. </w:t>
            </w:r>
          </w:p>
          <w:p w14:paraId="4699E4FC"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7B788B29"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25E0EC90" w14:textId="77777777" w:rsidR="0022555D" w:rsidRPr="0022555D" w:rsidRDefault="0022555D" w:rsidP="0022555D">
            <w:pPr>
              <w:keepNext/>
              <w:keepLines/>
              <w:spacing w:before="40" w:line="240" w:lineRule="auto"/>
              <w:jc w:val="center"/>
              <w:outlineLvl w:val="1"/>
              <w:rPr>
                <w:rFonts w:ascii="Calibri" w:eastAsia="Calibri" w:hAnsi="Calibri" w:cs="Calibri"/>
                <w:color w:val="000000" w:themeColor="text1"/>
                <w:sz w:val="16"/>
                <w:szCs w:val="16"/>
                <w:lang w:val="en-US"/>
              </w:rPr>
            </w:pPr>
            <w:r w:rsidRPr="0022555D">
              <w:rPr>
                <w:rFonts w:ascii="Calibri" w:eastAsia="Calibri" w:hAnsi="Calibri" w:cs="Calibri"/>
                <w:b/>
                <w:bCs/>
                <w:i w:val="0"/>
                <w:iCs w:val="0"/>
                <w:color w:val="000000" w:themeColor="text1"/>
                <w:sz w:val="16"/>
                <w:szCs w:val="16"/>
                <w:lang w:val="en-US"/>
              </w:rPr>
              <w:t>Al-Naher et al. (2025)</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{"citationID":"XIVDXob8","properties":{"unsorted":false,"formattedCitation":"[87]","plainCitation":"[87]","noteIndex":0},"citationItems":[{"id":28231,"uris":["http://zotero.org/users/4007286/items/6FAIP2YY"],"itemData":{"id":28231,"type":"article-journal","abstract":"BACKGROUND: Remote care technology has been used to bridge the gap between health care in a clinical setting and in the community, all the more essential post-COVID. Patients with chronic conditions may benefit from interventions that could provide more continuous and frequent monitoring of their disease process and support self-management. A common barrier, however, is the lack of engagement with technological interventions or devices that provide care remotely, which could lead to loss of resources invested and reduced quality of care.\nOBJECTIVE: This discrete choice experiment elicits the preferences of patients with heart failure with regard to potential remote care technologies that they would be willing to engage with and, in turn, creates a hierarchy of factors that can affect engagement for use within future technology design.\nMETHODS: A survey was created using discrete choice design and with input from a patient and public involvement group. It was distributed online via social media to patients with heart failure and to patient support groups. The attributes used for the experiment were based on a previous systematic review looking at factors that affect engagement in remote care and which generated five central themes, each of which was assigned to an attribute directly: communication (increasing interaction between patients and health care staff/carers/other patients), clinical care (improving the quality of care compared to established practice), education (providing tailored information to help with self-care and reduce uncertainty), ease of use (the technical aspects of the intervention are easy to handle without issues), and convenience (the intervention fits well around the patient's lifestyle and requires minimal effort). Each of the five themes had two levels, positive and negative. The survey presented participants with multiple forced-choice two-alternative scenarios of remote care, which allowed them to trade attributes according to their preference. The results were analyzed using binary logit to obtain preference weights for each attribute.\nRESULTS: A total of 93 completed responses were entered into the analysis. The results of the binary logit created coefficients for each attribute, which equated to the relative preference of the associated themes: clinical care, 2.022; education, 1.252; convenience, 1.245; ease of use, 1.155; communication, 1.040. All calculated coefficients were statistically significant (P&lt;.01).\nCONCLUSIONS: The results show that, in this cohort of patients with heart failure, the most preferred factor, clinical care, has enough value to be traded for approximately any two other factors. It also shows that the factor of communication is the least preferred attribute. Technology designers can use the associated preference weights to determine the relative increase of value perceived by patients by adding in certain attributes, with the greatest gains achieved by prioritizing clinical care. This would result in increased engagement in a chronic heart failure population that would benefit most from remote care.","container-title":"JMIR cardio","DOI":"10.2196/68022","ISSN":"2561-1011","journalAbbreviation":"JMIR Cardio","language":"eng","page":"e68022","PMID":"41191865","PMCID":"PMC12588585","source":"PubMed","title":"Patient Preferences for Using Remote Care Technology in Heart Failure: Discrete Choice Experiment","title-short":"Patient Preferences for Using Remote Care Technology in Heart Failure","volume":"9","author":[{"family":"Al-Naher","given":"Ahmed"},{"family":"Downing","given":"Jennifer"},{"family":"Hughes","given":"Dyfrig"},{"family":"Pirmohamed","given":"Munir"}],"issued":{"date-parts":[["2025",11,5]]}}}],"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[87]</w:t>
            </w:r>
            <w:r w:rsidRPr="0022555D">
              <w:rPr>
                <w:rFonts w:ascii="Calibri" w:eastAsia="Calibri" w:hAnsi="Calibri" w:cs="Calibri"/>
                <w:color w:val="000000" w:themeColor="text1"/>
                <w:sz w:val="16"/>
                <w:szCs w:val="16"/>
                <w:lang w:val="en-US"/>
              </w:rPr>
              <w:fldChar w:fldCharType="end"/>
            </w:r>
            <w:r w:rsidRPr="0022555D">
              <w:rPr>
                <w:rFonts w:ascii="Calibri" w:eastAsia="Calibri" w:hAnsi="Calibri" w:cs="Calibri"/>
                <w:color w:val="000000" w:themeColor="text1"/>
                <w:sz w:val="16"/>
                <w:szCs w:val="16"/>
                <w:lang w:val="en-US"/>
              </w:rPr>
              <w:br/>
              <w:t>UK</w:t>
            </w:r>
          </w:p>
          <w:p w14:paraId="40E024D5"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p>
        </w:tc>
        <w:tc>
          <w:tcPr>
            <w:tcW w:w="1576" w:type="dxa"/>
          </w:tcPr>
          <w:p w14:paraId="71F1D505"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To elicit patient preferences for remote care technologies in heart failure</w:t>
            </w:r>
          </w:p>
        </w:tc>
        <w:tc>
          <w:tcPr>
            <w:tcW w:w="1025" w:type="dxa"/>
          </w:tcPr>
          <w:p w14:paraId="6586124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637747F7"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Systematic review</w:t>
            </w:r>
          </w:p>
        </w:tc>
        <w:tc>
          <w:tcPr>
            <w:tcW w:w="1302" w:type="dxa"/>
          </w:tcPr>
          <w:p w14:paraId="7210AE56"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5 attributes, 2 levels each</w:t>
            </w:r>
          </w:p>
        </w:tc>
        <w:tc>
          <w:tcPr>
            <w:tcW w:w="3170" w:type="dxa"/>
            <w:gridSpan w:val="2"/>
          </w:tcPr>
          <w:p w14:paraId="04FD10C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Theme="majorEastAsia"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 xml:space="preserve">Clinical care was the most important attribute. Education, convenience, and ease of use were moderately valued, while communication was least important. </w:t>
            </w:r>
          </w:p>
        </w:tc>
      </w:tr>
      <w:tr w:rsidR="0022555D" w:rsidRPr="0022555D" w14:paraId="12A78D01"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5A7F95EF"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Ang et al.</w:t>
            </w:r>
          </w:p>
          <w:p w14:paraId="6BA7DD32"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(2023)</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{"citationID":"NSTPvvY3","properties":{"unsorted":false,"formattedCitation":"[104]","plainCitation":"[104]","noteIndex":0},"citationItems":[{"id":583,"uris":["http://zotero.org/users/4007286/items/ZNDN6LQR"],"itemData":{"id":583,"type":"article-journal","abstract":"This study aimed to elicit the preferences and willingness-to-pay for blood pressure (BP) telemonitoring programs. This study also investigated the different factors or participant characteristics that could influence preferences and choice behaviors. Participants with hypertension were identified from an online survey panel demographically representative of Singapore’s general population. Participants completed a discrete choice experiment (DCE) with 12 choice sets, selecting their preferred BP monitoring program differing on five attributes: mode of consultation, BP machine type (with Bluetooth or not), BP machine price, monthly fee, and program duration. The base reference population (male, married, higher income, more formal education years, full-time worker, aged 55 to &lt;65 years, and digital skills score of 36) preferred teleconsultation over in-person consultation, Bluetooth feature, lower machine price, lower monthly fee, and shorter program duration. A subgroup of participants can be considered teleconsultation-resistant, and three demographic factors were associated with lower preference for teleconsultation: female, fewer formal education years, and lower income. Considering the reference population and Bluetooth attribute, participants were willing to pay 66 SGD (~49 USD) additional for the machine to obtain the Bluetooth feature. Considering the reference population and teleconsultation attribute, participants were willing to pay 6.80 SGD (~5.10 USD) extra monthly fee for a program using teleconsultation. Here we report that amongst participants with hypertension, there is strong preference for the use of teleconsultation and a BP machine with Bluetooth feature in a BP monitoring program. However, a subgroup of participants are teleconsultation-resistant and would prefer in-person consultation.","archive":"Embase","container-title":"npj Digital Medicine","DOI":"10.1038/s41746-023-00919-3","ISSN":"2398-6352","issue":"1","journalAbbreviation":"npj Digit. Med.","language":"English","title":"Preferences and willingness-to-pay for a blood pressure telemonitoring program using a discrete choice experiment","URL":"https://www.embase.com/search/results?subaction=viewrecord&amp;id=L2025622747&amp;from=export","volume":"6","author":[{"family":"Ang","given":"I.Y.H."},{"family":"Wang","given":"Y."},{"family":"Tyagi","given":"S."},{"family":"Koh","given":"G.C.H."},{"family":"Cook","given":"A.R."}],"issued":{"date-parts":[["2023"]]}}}],"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[104]</w:t>
            </w:r>
            <w:r w:rsidRPr="0022555D">
              <w:rPr>
                <w:rFonts w:asciiTheme="minorHAnsi" w:eastAsia="Calibri" w:hAnsiTheme="minorHAnsi" w:cstheme="minorHAnsi"/>
                <w:color w:val="000000" w:themeColor="text1"/>
                <w:sz w:val="16"/>
                <w:szCs w:val="26"/>
                <w:lang w:val="en-US"/>
              </w:rPr>
              <w:fldChar w:fldCharType="end"/>
            </w:r>
          </w:p>
          <w:p w14:paraId="21DDAC2B"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Singapore</w:t>
            </w:r>
          </w:p>
        </w:tc>
        <w:tc>
          <w:tcPr>
            <w:tcW w:w="1576" w:type="dxa"/>
          </w:tcPr>
          <w:p w14:paraId="5022C1C4"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elicit the preferences and willingness-to-pay for blood pressure (BP) telemonitoring programs</w:t>
            </w:r>
          </w:p>
        </w:tc>
        <w:tc>
          <w:tcPr>
            <w:tcW w:w="1025" w:type="dxa"/>
          </w:tcPr>
          <w:p w14:paraId="6070555E"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5087D6D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Public </w:t>
            </w:r>
            <w:proofErr w:type="spellStart"/>
            <w:r w:rsidRPr="0022555D">
              <w:rPr>
                <w:rFonts w:asciiTheme="minorHAnsi" w:eastAsia="Calibri" w:hAnsiTheme="minorHAnsi" w:cstheme="minorHAnsi"/>
                <w:color w:val="000000" w:themeColor="text1"/>
                <w:sz w:val="16"/>
                <w:szCs w:val="26"/>
                <w:lang w:val="en-US"/>
              </w:rPr>
              <w:t>programme</w:t>
            </w:r>
            <w:proofErr w:type="spellEnd"/>
            <w:r w:rsidRPr="0022555D">
              <w:rPr>
                <w:rFonts w:asciiTheme="minorHAnsi" w:eastAsia="Calibri" w:hAnsiTheme="minorHAnsi" w:cstheme="minorHAnsi"/>
                <w:color w:val="000000" w:themeColor="text1"/>
                <w:sz w:val="16"/>
                <w:szCs w:val="26"/>
                <w:lang w:val="en-US"/>
              </w:rPr>
              <w:t xml:space="preserve"> features for BP telemonitoring</w:t>
            </w:r>
          </w:p>
        </w:tc>
        <w:tc>
          <w:tcPr>
            <w:tcW w:w="1302" w:type="dxa"/>
          </w:tcPr>
          <w:p w14:paraId="06498180"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5 attributes, 2-4 levels each</w:t>
            </w:r>
          </w:p>
        </w:tc>
        <w:tc>
          <w:tcPr>
            <w:tcW w:w="3170" w:type="dxa"/>
            <w:gridSpan w:val="2"/>
          </w:tcPr>
          <w:p w14:paraId="4CF9AFF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Participants with hypertension show a preference towards teleconsultation. </w:t>
            </w:r>
          </w:p>
          <w:p w14:paraId="21E1685C"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Participants are willing to invest approximately 5 SGD more per month for teleconsultation. </w:t>
            </w:r>
          </w:p>
          <w:p w14:paraId="5F6D570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A subgroup comprising females, individuals with lower income, and fewer years of formal education, show reluctance towards teleconsultation. </w:t>
            </w:r>
          </w:p>
          <w:p w14:paraId="00B09DE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3F9D6EF1"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40D9152A"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Becker et al.</w:t>
            </w:r>
          </w:p>
          <w:p w14:paraId="630DBB45"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(2019)</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{"citationID":"1As6ynrq","properties":{"formattedCitation":"[88]","plainCitation":"[88]","noteIndex":0},"citationItems":[{"id":898,"uris":["http://zotero.org/users/4007286/items/JPLXA74W"],"itemData":{"id":898,"type":"article-journal","abstract":"Aim To understand what service features would sustain patient engagement in early intervention mental health treatment.\nMethods Mental health patients, family members of individuals with mental illness and mental health professionals completed a survey consisting of 18 choice tasks that involved 14 different service attributes. Preferences were ascertained using importance and utility scores. Latent class analysis revealed segments characterized by distinct preferences. Simulations were carried out to estimate utilization of hypothetical clinical services.\nResults Overall, 333 patients and family members and 183 professionals (N = 516) participated. Respondents were distributed between a Professional segment (53%) and a Patient segment (47%) that differed in a number of their preferences including for appointment times, individual vs group sessions and mode of after-hours support. Members of both segments shared preferences for many of the service attributes including having crisis support available 24 h per day, having a choice of different treatment modalities, being offered help for substance use problems and having a focus on improving symptoms rather than functioning. Simulations predicted that 60% of the Patient segment thought patients would remain engaged with a Hospital service, while 69% of the Professional segment thought patients would be most likely to remain engaged with an E-Health service.\nConclusions Patients, family members and professionals shared a number of preferences about what service characteristics will optimize patient engagement in early intervention services but diverged on others. Providing effective crisis support as well as a range of treatment options should be prioritized in the future design of early intervention services.","archive_location":"WOS:000462574000009","container-title":"Early Intervention in Psychiatry","DOI":"10.1111/eip.12470","ISSN":"1751-7885","issue":"2","page":"241-250","title":"Investigating service features to sustain engagement in early intervention mental health services","volume":"13","author":[{"family":"Becker","given":"M"},{"family":"Cunningham","given":"CE"},{"family":"Christensen","given":"BK"},{"family":"Furimsky","given":"I"},{"family":"Rimas","given":"H"},{"family":"Wilson","given":"F"},{"family":"Jeffs","given":"L"},{"family":"Madsen","given":"V"},{"family":"Bieling","given":"P"},{"family":"Chen","given":"Y"},{"family":"Mielko","given":"S"},{"family":"Zipursky","given":"RB"}],"issued":{"date-parts":[["2019",4]]}}}],"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[88]</w:t>
            </w:r>
            <w:r w:rsidRPr="0022555D">
              <w:rPr>
                <w:rFonts w:asciiTheme="minorHAnsi" w:eastAsia="Calibri" w:hAnsiTheme="minorHAnsi" w:cstheme="minorHAnsi"/>
                <w:color w:val="000000" w:themeColor="text1"/>
                <w:sz w:val="16"/>
                <w:szCs w:val="26"/>
                <w:lang w:val="en-US"/>
              </w:rPr>
              <w:fldChar w:fldCharType="end"/>
            </w:r>
          </w:p>
          <w:p w14:paraId="20D6217B"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Canada</w:t>
            </w:r>
          </w:p>
          <w:p w14:paraId="51CF363D"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p>
        </w:tc>
        <w:tc>
          <w:tcPr>
            <w:tcW w:w="1576" w:type="dxa"/>
          </w:tcPr>
          <w:p w14:paraId="156091BD"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understand what service features would sustain patient engagement in early intervention mental health treatment</w:t>
            </w:r>
          </w:p>
        </w:tc>
        <w:tc>
          <w:tcPr>
            <w:tcW w:w="1025" w:type="dxa"/>
          </w:tcPr>
          <w:p w14:paraId="34C3AF64"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522C5DDA"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Literature review and focus groups</w:t>
            </w:r>
          </w:p>
        </w:tc>
        <w:tc>
          <w:tcPr>
            <w:tcW w:w="1302" w:type="dxa"/>
          </w:tcPr>
          <w:p w14:paraId="0B195BD3"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14 attributes, 4 levels each</w:t>
            </w:r>
          </w:p>
        </w:tc>
        <w:tc>
          <w:tcPr>
            <w:tcW w:w="3170" w:type="dxa"/>
            <w:gridSpan w:val="2"/>
          </w:tcPr>
          <w:p w14:paraId="66E46925"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Respondents showed contrasting preferences for appointment times, session format, and after-hours support.</w:t>
            </w:r>
          </w:p>
          <w:p w14:paraId="63A292D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Simulations indicated that 69% of the Professional segment believed patients would prefer an E-Health service for engagement.</w:t>
            </w:r>
          </w:p>
          <w:p w14:paraId="6EE76F15"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71E698A4"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15B5E633"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Boyde et al.</w:t>
            </w:r>
          </w:p>
          <w:p w14:paraId="7E4CF369"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(2018)</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{"citationID":"9lMuFvby","properties":{"formattedCitation":"[61]","plainCitation":"[61]","noteIndex":0},"citationItems":[{"id":2205,"uris":["http://zotero.org/users/4007286/items/7PXWBDI7"],"itemData":{"id":2205,"type":"article-journal","abstract":"Objective: To elicit patients' preferences for cardiac rehabilitation(CR).Methods: A Discrete Choice Experiment was used to quantify patients' preferences for the delivery of CR. This survey-based method elicited the relative importance of different characteristics of a program.Results: 200 in-patients eligible to attend CR completed the survey. Over half of the patients strongly preferred a centre-based compared to a home-based program. Many but not all preferred a program starting within two rather than six weeks of discharge and exercise delivered in a group rather than individual setting, with exercise via the internet using telehealth strongly disliked. Some respondents preferred lifestyle information delivered one-to-one by a health professional, and there was an overall preference against delivery by smart phone Apps. Some preferred a program out of rather than within working hours and a shorter program (four weeks compared to eight weeks).Conclusions: This study provides further insight into patient preferences for a CR program. Although the strongest preferences were for centre-based programs with healthcare professionals facilitating exercise classes and one-on-one education, it is important to offer flexible delivery as one approach will not suit everyone.Practice Implications: There is the potential to improve CR programs by focusing on patient preferences.","archive":"ccm","container-title":"Patient Education &amp; Counseling","DOI":"10.1016/j.pec.2018.07.010","ISSN":"0738-3991","issue":"12","journalAbbreviation":"Patient Education &amp; Counseling","page":"2162-2169","source":"EBSCOhost","title":"Patient preferences for the delivery of cardiac rehabilitation.","volume":"101","author":[{"family":"Boyde","given":"Mary"},{"family":"Rankin","given":"Jenny"},{"family":"Whitty","given":"Jennifer A."},{"family":"Peters","given":"Robyn"},{"family":"Holliday","given":"Julie"},{"family":"Baker","given":"Charmaine"},{"family":"Hwang","given":"Rita"},{"family":"Lynagh","given":"Donna"},{"family":"Korczyk","given":"Dariusz"}],"issued":{"date-parts":[["2018",12]]}}}],"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[61]</w:t>
            </w:r>
            <w:r w:rsidRPr="0022555D">
              <w:rPr>
                <w:rFonts w:asciiTheme="minorHAnsi" w:eastAsia="Calibri" w:hAnsiTheme="minorHAnsi" w:cstheme="minorHAnsi"/>
                <w:color w:val="000000" w:themeColor="text1"/>
                <w:sz w:val="16"/>
                <w:szCs w:val="26"/>
                <w:lang w:val="en-US"/>
              </w:rPr>
              <w:fldChar w:fldCharType="end"/>
            </w:r>
          </w:p>
          <w:p w14:paraId="69230EE2"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Australia</w:t>
            </w:r>
          </w:p>
        </w:tc>
        <w:tc>
          <w:tcPr>
            <w:tcW w:w="1576" w:type="dxa"/>
          </w:tcPr>
          <w:p w14:paraId="00FEEB2B"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elicit patients’ preferences for cardiac rehabilitation</w:t>
            </w:r>
          </w:p>
        </w:tc>
        <w:tc>
          <w:tcPr>
            <w:tcW w:w="1025" w:type="dxa"/>
          </w:tcPr>
          <w:p w14:paraId="4E9075C9"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17037D76"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Literature review</w:t>
            </w:r>
          </w:p>
        </w:tc>
        <w:tc>
          <w:tcPr>
            <w:tcW w:w="1302" w:type="dxa"/>
          </w:tcPr>
          <w:p w14:paraId="7BF0C3D9"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5 attributes, 2-4 levels each</w:t>
            </w:r>
          </w:p>
        </w:tc>
        <w:tc>
          <w:tcPr>
            <w:tcW w:w="3170" w:type="dxa"/>
            <w:gridSpan w:val="2"/>
          </w:tcPr>
          <w:p w14:paraId="5E964D9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Many patients preferred exercise delivered in group, with exercise via de internet using telehealth being strongly disliked. </w:t>
            </w:r>
          </w:p>
          <w:p w14:paraId="472ACFE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Some respondents preferred lifestyle information delivered one-to-one by health professional. </w:t>
            </w:r>
          </w:p>
          <w:p w14:paraId="5076A00B"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31627E0C"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367AB2D5"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Bradford et al.</w:t>
            </w:r>
          </w:p>
          <w:p w14:paraId="1C2B5465"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(2005)</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{"citationID":"ja6fa6FZ","properties":{"formattedCitation":"[37]","plainCitation":"[37]","noteIndex":0},"citationItems":[{"id":840,"uris":["http://zotero.org/users/4007286/items/D3L23DDK"],"itemData":{"id":840,"type":"article-journal","abstract":"This paper presents estimates of the willingness to pay for a new telemedicine technology in the absence of market data. The study utilizes a contingent valuation method to determine patient willingness to pay for access to telemedicine services. Willingness to pay was assessed in two populations: patients who are being treated for chronic heart failure ( CHF) and patients who are being treated for hypertension. Patients who were approached to participate in these studies were asked about their preference for using telemedicine technologies. We find that patient willingness to pay has the expected negative relationship between price and the likelihood of purchase and that patients with CHF are less responsive to price changes than those with hypertension.","archive_location":"WOS:000232228900017","container-title":"TELEMEDICINE JOURNAL AND E-HEALTH","DOI":"10.1089/tmj.2005.11.430","ISSN":"1530-5627","issue":"4","page":"430-438","title":"Comparing willingness to pay for telemedicine across a chronic heart failure and hypertension population","volume":"11","author":[{"family":"Bradford","given":"WD"},{"family":"Kleit","given":"A"},{"family":"Krousel-Wood","given":"MA"},{"family":"Re","given":"RM"}],"issued":{"date-parts":[["2005",8]]}}}],"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[37]</w:t>
            </w:r>
            <w:r w:rsidRPr="0022555D">
              <w:rPr>
                <w:rFonts w:asciiTheme="minorHAnsi" w:eastAsia="Calibri" w:hAnsiTheme="minorHAnsi" w:cstheme="minorHAnsi"/>
                <w:color w:val="000000" w:themeColor="text1"/>
                <w:sz w:val="16"/>
                <w:szCs w:val="26"/>
                <w:lang w:val="en-US"/>
              </w:rPr>
              <w:fldChar w:fldCharType="end"/>
            </w:r>
          </w:p>
          <w:p w14:paraId="45517750"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USA</w:t>
            </w:r>
          </w:p>
        </w:tc>
        <w:tc>
          <w:tcPr>
            <w:tcW w:w="1576" w:type="dxa"/>
          </w:tcPr>
          <w:p w14:paraId="615B22F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estimate the willingness to pay for a new telemedicine technology</w:t>
            </w:r>
          </w:p>
        </w:tc>
        <w:tc>
          <w:tcPr>
            <w:tcW w:w="1025" w:type="dxa"/>
          </w:tcPr>
          <w:p w14:paraId="0059FF1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Contingent valuation</w:t>
            </w:r>
          </w:p>
        </w:tc>
        <w:tc>
          <w:tcPr>
            <w:tcW w:w="1275" w:type="dxa"/>
          </w:tcPr>
          <w:p w14:paraId="179C755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w:t>
            </w:r>
          </w:p>
        </w:tc>
        <w:tc>
          <w:tcPr>
            <w:tcW w:w="1302" w:type="dxa"/>
          </w:tcPr>
          <w:p w14:paraId="684D7B5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w:t>
            </w:r>
          </w:p>
        </w:tc>
        <w:tc>
          <w:tcPr>
            <w:tcW w:w="3170" w:type="dxa"/>
            <w:gridSpan w:val="2"/>
          </w:tcPr>
          <w:p w14:paraId="7F81BBC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Between 30 and 50% of the population are willing to pay at least 30 dollars out of pocket for telemedicine access. </w:t>
            </w:r>
          </w:p>
          <w:p w14:paraId="2F0DF1C0"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Patients with more debilitating diseases, such as CHF, show a higher willingness to pay for telemedicine services.</w:t>
            </w:r>
          </w:p>
          <w:p w14:paraId="4500239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68F6865F"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2A8A678E"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 xml:space="preserve">Broomfield </w:t>
            </w:r>
          </w:p>
          <w:p w14:paraId="1AB37A38"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 xml:space="preserve">et al. (2022)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{"citationID":"wTrGdXco","properties":{"formattedCitation":"[62]","plainCitation":"[62]","noteIndex":0},"citationItems":[{"id":2143,"uris":["http://zotero.org/users/4007286/items/SCGGY5YW"],"itemData":{"id":2143,"type":"article-journal","abstract":"BACKGROUND: The positive impact of parenting programs for youth mental health is undermined by difficulties engaging parents. Low engagement disproportionately impacts parents of lower-socioeconomic positions (SEPs). Internet- and mobile-based interventions hold potential for overcoming barriers to enrolment, but additional research is needed to understand how programs can appropriately meet the needs of parents across SEPs. Consumer preference methods such as discrete choice experiments may be valuable in this endeavour.\nMETHOD: A discrete choice experiment was used to determine the relative influence of modifiable program features on parents' intent to enrol. 329 Australian parents of children aged 0-18 repeatedly selected their preferred program from randomized sets of hypothetical programs in an online survey. Each hypothetical program was unique, varying across four program features: module duration, program platform, user control, and program cost. Cumulative link models were used to predict choices, with education, household income, and community advantage used as indicators of SEP.\nRESULTS: Overall, parents preferred cheaper programs and briefer modules. Parents' preferences differed based on their socioeconomic challenges. Lower-income parents preferred briefer modules, cheaper programs and application-based programs compared to higher-income parents. Parents with less education preferred briefer modules and a predefined module order. Parents living in areas of less advantage preferred website-based programs, user choice of module order, and more expensive programs.\nCONCLUSIONS: This study offers program developers evidence-based strategies for tailoring internet- and mobile-based parenting interventions to increase lower-SEP parent enrolment. Findings also highlight the importance of considering parents' socioeconomic challenges to ensure programs do not perpetuate existing mental health inequalities, as \"one-size-fits-all\" approaches are likely insufficient for reaching lower-SEP parents.","container-title":"Internet Interventions","DOI":"10.1016/j.invent.2022.100522","ISSN":"2214-7829","journalAbbreviation":"Internet Interv","language":"eng","page":"100522","source":"PubMed","title":"Socioeconomic factors and parents' preferences for internet- and mobile-based parenting interventions to prevent youth mental health problems: A discrete choice experiment","title-short":"Socioeconomic factors and parents' preferences for internet- and mobile-based parenting interventions to prevent youth mental health problems","volume":"28","author":[{"family":"Broomfield","given":"Grace"},{"family":"Brown","given":"Scott D."},{"family":"Yap","given":"Marie B. H."}],"issued":{"date-parts":[["2022",4]]}}}],"schema":"https://github.com/citation-style-language/schema/raw/master/csl-citation.json"}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[62]</w:t>
            </w:r>
            <w:r w:rsidRPr="0022555D">
              <w:rPr>
                <w:rFonts w:asciiTheme="minorHAnsi" w:eastAsia="Calibri" w:hAnsiTheme="minorHAnsi" w:cstheme="minorHAnsi"/>
                <w:color w:val="000000" w:themeColor="text1"/>
                <w:sz w:val="16"/>
                <w:szCs w:val="26"/>
                <w:lang w:val="en-US"/>
              </w:rPr>
              <w:fldChar w:fldCharType="end"/>
            </w:r>
          </w:p>
          <w:p w14:paraId="726482B1"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Australia</w:t>
            </w:r>
          </w:p>
        </w:tc>
        <w:tc>
          <w:tcPr>
            <w:tcW w:w="1576" w:type="dxa"/>
          </w:tcPr>
          <w:p w14:paraId="14F6C40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explore how internet- and mobile-based interventions can effectively engage parents in parenting programs aimed at improving youth mental health</w:t>
            </w:r>
          </w:p>
          <w:p w14:paraId="59CB007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025" w:type="dxa"/>
          </w:tcPr>
          <w:p w14:paraId="5BDD600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56B97FA6"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Literature review, individual interviews and discussions with experts</w:t>
            </w:r>
          </w:p>
        </w:tc>
        <w:tc>
          <w:tcPr>
            <w:tcW w:w="1302" w:type="dxa"/>
          </w:tcPr>
          <w:p w14:paraId="2562E95C"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4 attributes, 2-3 levels each</w:t>
            </w:r>
          </w:p>
        </w:tc>
        <w:tc>
          <w:tcPr>
            <w:tcW w:w="3170" w:type="dxa"/>
            <w:gridSpan w:val="2"/>
          </w:tcPr>
          <w:p w14:paraId="5E9F3108"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Lower-income parents favor shorter modules, cost-effective and application-based programs. </w:t>
            </w:r>
          </w:p>
          <w:p w14:paraId="1C28EC1B"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Parents in less advantaged areas show a preference for website-based programs. </w:t>
            </w:r>
          </w:p>
        </w:tc>
      </w:tr>
      <w:tr w:rsidR="0022555D" w:rsidRPr="0022555D" w14:paraId="3F819F78"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548DDE0D"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lastRenderedPageBreak/>
              <w:t>Chang et al.</w:t>
            </w:r>
          </w:p>
          <w:p w14:paraId="618C7602"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(2017)</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{"citationID":"I4lHhK1l","properties":{"formattedCitation":"[38]","plainCitation":"[38]","noteIndex":0},"citationItems":[{"id":2704,"uris":["http://zotero.org/users/4007286/items/G4GJ6XM5"],"itemData":{"id":2704,"type":"article-journal","abstract":"BACKGROUND: Research has outlined the benefits and costs of online health services, but these studies have typically focused on a specific geographic region or disease. Very few studies have estimated consumer demand for online health services.\nOBJECTIVE: This study estimated household's willingness to pay (WTP) for the ability to receive remote diagnosis, treatment, monitoring and consultations online (telehealth).\nMETHODS: WTP was estimated with a random utility model and household data from a US survey employing repeated discrete-choice experiments.\nRESULTS: The representative household was willing to pay $US4.39 per month for telehealth. This valuation increased to $US5.85 for households with higher opportunity costs, as measured by income, and to $US6.22 for households living more than 20 miles away from their nearest medical facility.\nCONCLUSION: WTP estimates offer insights into the potential benefits from policies intended to promote the expansion of online health services into underserved areas. These include the Federal Communications Commission's Rural Healthcare Pilot Program and the Department of Agriculture's Distance Learning and Telemedicine Grants programme.","container-title":"Applied Health Economics and Health Policy","DOI":"10.1007/s40258-017-0316-z","ISSN":"1179-1896","issue":"4","journalAbbreviation":"Appl Health Econ Health Policy","language":"eng","page":"491-500","source":"PubMed","title":"Estimating Willingness to Pay for Online Health Services with Discrete-Choice Experiments","volume":"15","author":[{"family":"Chang","given":"Jieun"},{"family":"Savage","given":"Scott J."},{"family":"Waldman","given":"Donald M."}],"issued":{"date-parts":[["2017",8]]}}}],"schema":"https://github.com/citation-style-language/schema/raw/master/csl-citation.json"}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[38]</w:t>
            </w:r>
            <w:r w:rsidRPr="0022555D">
              <w:rPr>
                <w:rFonts w:asciiTheme="minorHAnsi" w:eastAsia="Calibri" w:hAnsiTheme="minorHAnsi" w:cstheme="minorHAnsi"/>
                <w:color w:val="000000" w:themeColor="text1"/>
                <w:sz w:val="16"/>
                <w:szCs w:val="26"/>
                <w:lang w:val="en-US"/>
              </w:rPr>
              <w:fldChar w:fldCharType="end"/>
            </w:r>
          </w:p>
          <w:p w14:paraId="64980A09"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USA</w:t>
            </w:r>
          </w:p>
        </w:tc>
        <w:tc>
          <w:tcPr>
            <w:tcW w:w="1576" w:type="dxa"/>
          </w:tcPr>
          <w:p w14:paraId="37C5D6E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estimate consumer demand for online health services</w:t>
            </w:r>
          </w:p>
        </w:tc>
        <w:tc>
          <w:tcPr>
            <w:tcW w:w="1025" w:type="dxa"/>
          </w:tcPr>
          <w:p w14:paraId="3BD261BE"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10FC793D"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Marketing programs from various internet service providers, pilot study and focus groups</w:t>
            </w:r>
          </w:p>
        </w:tc>
        <w:tc>
          <w:tcPr>
            <w:tcW w:w="1302" w:type="dxa"/>
          </w:tcPr>
          <w:p w14:paraId="40C3CA04"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4 attributes,</w:t>
            </w:r>
          </w:p>
          <w:p w14:paraId="3229BF6A"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1 with 3 levels</w:t>
            </w:r>
          </w:p>
          <w:p w14:paraId="06A115A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1 with 2 levels</w:t>
            </w:r>
          </w:p>
          <w:p w14:paraId="6CC99BA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1 with 5 levels</w:t>
            </w:r>
          </w:p>
          <w:p w14:paraId="0D6682D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1 with continuous values</w:t>
            </w:r>
          </w:p>
        </w:tc>
        <w:tc>
          <w:tcPr>
            <w:tcW w:w="3170" w:type="dxa"/>
            <w:gridSpan w:val="2"/>
          </w:tcPr>
          <w:p w14:paraId="30B6F62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Rural households are willing to pay $US 5.81 per month for the ability to interact with their health specialists online. </w:t>
            </w:r>
          </w:p>
          <w:p w14:paraId="760F2EC1"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Urban households were willing to pay $US 4.91, and households living more than 20 miles away from their nearest medical facility, $US6.22.  </w:t>
            </w:r>
          </w:p>
        </w:tc>
      </w:tr>
      <w:tr w:rsidR="0022555D" w:rsidRPr="0022555D" w14:paraId="2DC239F6"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6ACF9416" w14:textId="77777777" w:rsidR="0022555D" w:rsidRPr="0022555D" w:rsidRDefault="0022555D" w:rsidP="0022555D">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22555D">
              <w:rPr>
                <w:rFonts w:ascii="Calibri" w:eastAsia="Calibri" w:hAnsi="Calibri" w:cs="Calibri"/>
                <w:b/>
                <w:bCs/>
                <w:i w:val="0"/>
                <w:iCs w:val="0"/>
                <w:color w:val="000000" w:themeColor="text1"/>
                <w:sz w:val="16"/>
                <w:szCs w:val="16"/>
                <w:lang w:val="en-US"/>
              </w:rPr>
              <w:t>Chen et al. (2025)</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{"citationID":"Qv6ZkXcD","properties":{"unsorted":false,"formattedCitation":"[97]","plainCitation":"[97]","noteIndex":0},"citationItems":[{"id":94,"uris":["http://zotero.org/users/4007286/items/9LDV32YH"],"itemData":{"id":94,"type":"article-journal","abstract":"Objective: Internet hospitals as a telehealth platform are rapidly growing in China both in quality and scale. This study aims to explore Chinese patients' preferences, trade-offs and willingness to pay for attributes of online outpatient follow-up clinics. Methods: A discrete choice experiment was designed to elicit respondents' stated preferences for six attributes. The online survey was conducted between November 2023 and December 2023, and mixed logit models were used to analyze the data. Results: A total of 337 valid Chinese respondents were recruited. The results showed that an online outpatient follow-up clinic preferred by respondents could be described as low cost, provided by a tertiary Internet hospital, available same-day appointment, appointment with their own first diagnosing doctor, video appointment consultation, and payment by medical insurance. People with higher e-health literacy were more likely to accept an online outpatient follow-up appointment. Conclusion: Chinese respondents place a high value on waiting time for appointments, online payment methods, and continuity of online doctors. They were willing to pay more to avoid waiting a week for an online appointment. Our study provides valuable information for the telehealth policy-making and operation of Internet hospitals for healthcare sustainability.","archive":"Medline","container-title":"Frontiers in public health","DOI":"10.3389/fpubh.2025.1508369","ISSN":"2296-2565","issue":"(Chen N.; Bai D.; Ning J.) School of Management, Shanghai University, Shanghai, China","journalAbbreviation":"Front Public Health","language":"English","page":"1508369","title":"A determination of patient preferences for China online outpatient follow-up clinics by using discrete choice experiment: an exploratory study","volume":"13","author":[{"family":"Chen","given":"N."},{"family":"Bai","given":"D."},{"family":"Ning","given":"J."}],"issued":{"date-parts":[["2025"]]}}}],"schema":"https://github.com/citation-style-language/schema/raw/master/csl-citation.json"}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[97]</w:t>
            </w:r>
            <w:r w:rsidRPr="0022555D">
              <w:rPr>
                <w:rFonts w:ascii="Calibri" w:eastAsia="Calibri" w:hAnsi="Calibri" w:cs="Calibri"/>
                <w:color w:val="000000" w:themeColor="text1"/>
                <w:sz w:val="16"/>
                <w:szCs w:val="16"/>
                <w:lang w:val="en-US"/>
              </w:rPr>
              <w:fldChar w:fldCharType="end"/>
            </w:r>
          </w:p>
          <w:p w14:paraId="3870F37F" w14:textId="77777777" w:rsidR="0022555D" w:rsidRPr="0022555D" w:rsidRDefault="0022555D" w:rsidP="0022555D">
            <w:pPr>
              <w:keepNext/>
              <w:keepLines/>
              <w:spacing w:before="40" w:line="240" w:lineRule="auto"/>
              <w:jc w:val="center"/>
              <w:outlineLvl w:val="1"/>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China</w:t>
            </w:r>
          </w:p>
        </w:tc>
        <w:tc>
          <w:tcPr>
            <w:tcW w:w="1576" w:type="dxa"/>
          </w:tcPr>
          <w:p w14:paraId="603A315E" w14:textId="77777777" w:rsidR="0022555D" w:rsidRPr="0022555D" w:rsidRDefault="0022555D" w:rsidP="0022555D">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22555D">
              <w:rPr>
                <w:rFonts w:ascii="Calibri" w:hAnsi="Calibri" w:cs="Calibri"/>
                <w:sz w:val="16"/>
                <w:szCs w:val="16"/>
                <w:lang w:val="en-US"/>
              </w:rPr>
              <w:t>To explore patients’ preferences, trade-offs and willingness to pay for attributes of online outpatient follow-up clinics</w:t>
            </w:r>
          </w:p>
        </w:tc>
        <w:tc>
          <w:tcPr>
            <w:tcW w:w="1025" w:type="dxa"/>
          </w:tcPr>
          <w:p w14:paraId="3384C20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DCE</w:t>
            </w:r>
          </w:p>
        </w:tc>
        <w:tc>
          <w:tcPr>
            <w:tcW w:w="1275" w:type="dxa"/>
          </w:tcPr>
          <w:p w14:paraId="07139EEC"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Literature review and interviews of expert</w:t>
            </w:r>
          </w:p>
        </w:tc>
        <w:tc>
          <w:tcPr>
            <w:tcW w:w="1302" w:type="dxa"/>
          </w:tcPr>
          <w:p w14:paraId="16C46F3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6 attributes, 2-3 levels each</w:t>
            </w:r>
          </w:p>
        </w:tc>
        <w:tc>
          <w:tcPr>
            <w:tcW w:w="3170" w:type="dxa"/>
            <w:gridSpan w:val="2"/>
          </w:tcPr>
          <w:p w14:paraId="08EA922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Preferred online follow-up care included low cost, same-day appointments, video consultations, and continuity with the same doctor, ideally through a tertiary internet hospital and covered by insurance.</w:t>
            </w:r>
          </w:p>
          <w:p w14:paraId="29F4C1F9"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Higher eHealth literacy was associated with greater acceptance of online follow-up services.</w:t>
            </w:r>
          </w:p>
        </w:tc>
      </w:tr>
      <w:tr w:rsidR="0022555D" w:rsidRPr="0022555D" w14:paraId="726BC9EA"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0F36574E"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Deverill et al.</w:t>
            </w:r>
          </w:p>
          <w:p w14:paraId="32C00302"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(2010)</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{"citationID":"cEUl7rgo","properties":{"formattedCitation":"[78]","plainCitation":"[78]","noteIndex":0},"citationItems":[{"id":2439,"uris":["http://zotero.org/users/4007286/items/393783RS"],"itemData":{"id":2439,"type":"article-journal","abstract":"Objective: To investigate the views of women in relation to the provision of antenatal care. Methods: A discrete choice experiment using a sample of 100 women who were nulliparous (pregnant for the first time) and attending for routine ultrasound scan in the 20th week of their pregnancy. Results: Women preferred antenatal care visits to be provided by a community midwife at a local clinic and to have 10 visits rather than 7. In addition they favoured the provision of education/preparation for birth, the use of uterine artery Doppler screening, and the provision of a telephone advice line. The results show that women were prepared to trade-off fewer antenatal care visits to ensure access to their packages of antenatal care that reflected their preferences. Conclusions: Whilst the number of antenatal care visits is important to women they may accept fewer visits if antenatal care is provided by midwives and they receive enhanced service provision such as a telephone advice line and uterine artery Doppler screening. © 2010 Elsevier Ireland Ltd. All rights reserved.","archive":"Scopus","container-title":"European Journal of Obstetrics and Gynecology and Reproductive Biology","DOI":"10.1016/j.ejogrb.2010.03.015","issue":"1","page":"33-37","title":"Antenatal care for first time mothers: a discrete choice experiment of women's views on alternative packages of care","volume":"151","author":[{"family":"Deverill","given":"M."},{"family":"Lancsar","given":"E."},{"family":"Snaith","given":"V.B.A."},{"family":"Robson","given":"S.C."}],"issued":{"date-parts":[["2010"]]}}}],"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[78]</w:t>
            </w:r>
            <w:r w:rsidRPr="0022555D">
              <w:rPr>
                <w:rFonts w:asciiTheme="minorHAnsi" w:eastAsia="Calibri" w:hAnsiTheme="minorHAnsi" w:cstheme="minorHAnsi"/>
                <w:color w:val="000000" w:themeColor="text1"/>
                <w:sz w:val="16"/>
                <w:szCs w:val="26"/>
                <w:lang w:val="en-US"/>
              </w:rPr>
              <w:fldChar w:fldCharType="end"/>
            </w:r>
          </w:p>
          <w:p w14:paraId="0B403BFF"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UK</w:t>
            </w:r>
          </w:p>
        </w:tc>
        <w:tc>
          <w:tcPr>
            <w:tcW w:w="1576" w:type="dxa"/>
          </w:tcPr>
          <w:p w14:paraId="3A4A5810"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Investigate the views of women in relation to the provision of antenatal care</w:t>
            </w:r>
          </w:p>
        </w:tc>
        <w:tc>
          <w:tcPr>
            <w:tcW w:w="1025" w:type="dxa"/>
          </w:tcPr>
          <w:p w14:paraId="51214104"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03C8232E"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Literature review and current antenatal care </w:t>
            </w:r>
            <w:proofErr w:type="spellStart"/>
            <w:r w:rsidRPr="0022555D">
              <w:rPr>
                <w:rFonts w:asciiTheme="minorHAnsi" w:eastAsia="Calibri" w:hAnsiTheme="minorHAnsi" w:cstheme="minorHAnsi"/>
                <w:color w:val="000000" w:themeColor="text1"/>
                <w:sz w:val="16"/>
                <w:szCs w:val="26"/>
                <w:lang w:val="en-US"/>
              </w:rPr>
              <w:t>programmes</w:t>
            </w:r>
            <w:proofErr w:type="spellEnd"/>
          </w:p>
        </w:tc>
        <w:tc>
          <w:tcPr>
            <w:tcW w:w="1302" w:type="dxa"/>
          </w:tcPr>
          <w:p w14:paraId="2FFA3E54"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6 attributes, 2-4 levels each</w:t>
            </w:r>
          </w:p>
        </w:tc>
        <w:tc>
          <w:tcPr>
            <w:tcW w:w="3170" w:type="dxa"/>
            <w:gridSpan w:val="2"/>
          </w:tcPr>
          <w:p w14:paraId="2E35F336"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Women were prepared to pay a sum of £368 to have a telephone support service provided.</w:t>
            </w:r>
          </w:p>
          <w:p w14:paraId="66C0182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They might trade fewer visits for improved risk information through telephone advice. </w:t>
            </w:r>
          </w:p>
        </w:tc>
      </w:tr>
      <w:tr w:rsidR="0022555D" w:rsidRPr="0022555D" w14:paraId="26B77F8C"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2C2DFADD" w14:textId="77777777" w:rsidR="0022555D" w:rsidRPr="0022555D" w:rsidRDefault="0022555D" w:rsidP="0022555D">
            <w:pPr>
              <w:keepNext/>
              <w:keepLines/>
              <w:spacing w:before="40" w:line="240" w:lineRule="auto"/>
              <w:jc w:val="center"/>
              <w:outlineLvl w:val="1"/>
              <w:rPr>
                <w:rFonts w:ascii="Calibri" w:eastAsia="Calibri" w:hAnsi="Calibri" w:cs="Calibri"/>
                <w:i w:val="0"/>
                <w:iCs w:val="0"/>
                <w:color w:val="000000" w:themeColor="text1"/>
                <w:sz w:val="16"/>
                <w:szCs w:val="16"/>
                <w:lang w:val="en-US"/>
              </w:rPr>
            </w:pPr>
            <w:proofErr w:type="spellStart"/>
            <w:r w:rsidRPr="0022555D">
              <w:rPr>
                <w:rFonts w:ascii="Calibri" w:eastAsia="Calibri" w:hAnsi="Calibri" w:cs="Calibri"/>
                <w:b/>
                <w:bCs/>
                <w:i w:val="0"/>
                <w:iCs w:val="0"/>
                <w:color w:val="000000" w:themeColor="text1"/>
                <w:sz w:val="16"/>
                <w:szCs w:val="16"/>
                <w:lang w:val="en-US"/>
              </w:rPr>
              <w:t>Enyioha</w:t>
            </w:r>
            <w:proofErr w:type="spellEnd"/>
            <w:r w:rsidRPr="0022555D">
              <w:rPr>
                <w:rFonts w:ascii="Calibri" w:eastAsia="Calibri" w:hAnsi="Calibri" w:cs="Calibri"/>
                <w:b/>
                <w:bCs/>
                <w:i w:val="0"/>
                <w:iCs w:val="0"/>
                <w:color w:val="000000" w:themeColor="text1"/>
                <w:sz w:val="16"/>
                <w:szCs w:val="16"/>
                <w:lang w:val="en-US"/>
              </w:rPr>
              <w:t xml:space="preserve"> et al. (2026)</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{"citationID":"Gc50OzHE","properties":{"unsorted":false,"formattedCitation":"[60]","plainCitation":"[60]","noteIndex":0},"citationItems":[{"id":28233,"uris":["http://zotero.org/users/4007286/items/6488TL4V"],"itemData":{"id":28233,"type":"article-journal","abstract":"BACKGROUND: Although mobile health (mHealth) apps for tobacco cessation augment traditional cessation methods and have contributed to increases in cessation rates, Black adults are underrepresented in mHealth app studies for tobacco cessation. As a result, their mHealth app preferences are not well-known.\nOBJECTIVE: Our goal was to identify features of mHealth apps for cessation that are important to Black adults who use tobacco products.\nMETHODS: We developed an online discrete choice experiment with 12 pairs of hypothetical mHealth apps for tobacco cessation. Inclusion criteria included being 21 years or older, current use of any tobacco product, and identifying as Black or African American. Participants had to be interested in tobacco cessation and have a history of mHealth app use or be willing to use one in the future. From each pair of hypothetical apps within the survey, participants had to choose the app they preferred. Each hypothetical app was made up of 7 features developed from existing mHealth literature and prior qualitative work: graphics, marketing, strategies for quitting, connection with others, personalization, benefits of quitting, and health information. Each feature had up to 4-5 levels (ie, variations of that attribute), and each hypothetical mHealth app was comprised of a random assortment of levels of features. Hierarchical Bayes estimation was used to determine the part-worth utility for each level within each feature for each participant, which was then used to calculate the importance score. Average importance scores across respondents were used to determine overall importance scores for each feature.\nRESULTS: We had 901 adult participants. The mean age was 41 (SD 14.02) years, and about a third of participants (377/901, 42%) were female. Two-thirds of participants (549/901, 61%) had used an mHealth app in the past, and the great majority (786/901, 87%) indicated a willingness to use an app for health purposes in the future. The features had the following importance: graphics (16%), marketing (15%), strategies for quitting (15%), connection with others (14%), personalization (13%), benefits of quitting (13%), and health information (13%). Within features, strategies for quitting had the highest and third-highest levels of \"making a step-by-step quit plan\" and \"recommendations to manage relapse or withdrawal,\" respectively. Marketing had the second-highest level of \"Historically Black Colleges and Universities-endorsed app.\" Graphics had the fourth-highest level of \"short video testimonials from people who successfully quit,\" while connection with others had the fifth-highest level of \"quit buddy program for support and accountability.\"\nCONCLUSIONS: This study identified features of mHealth apps important to Black adult tobacco users. To enhance the appeal of mHealth apps to such adults, prioritizing inclusion of highly preferred levels in apps may lead to higher use and improved cessation.","container-title":"JMIR formative research","DOI":"10.2196/83919","ISSN":"2561-326X","journalAbbreviation":"JMIR Form Res","language":"eng","page":"e83919","PMID":"41824745","PMCID":"PMC12987408","source":"PubMed","title":"Features of mHealth Apps for Tobacco Cessation Important to Black Adults: Discrete Choice Experiment","title-short":"Features of mHealth Apps for Tobacco Cessation Important to Black Adults","volume":"10","author":[{"family":"Enyioha","given":"Chineme"},{"family":"Gorstein","given":"Lauren"},{"family":"Clark","given":"Sonia"},{"family":"Goldstein","given":"Adam O."},{"family":"Vilardaga","given":"Roger"},{"family":"Hightow-Weidman","given":"Lisa B."},{"family":"Kistler","given":"Christine E."}],"issued":{"date-parts":[["2026",3,13]]}}}],"schema":"https://github.com/citation-style-language/schema/raw/master/csl-citation.json"}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[60]</w:t>
            </w:r>
            <w:r w:rsidRPr="0022555D">
              <w:rPr>
                <w:rFonts w:ascii="Calibri" w:eastAsia="Calibri" w:hAnsi="Calibri" w:cs="Calibri"/>
                <w:color w:val="000000" w:themeColor="text1"/>
                <w:sz w:val="16"/>
                <w:szCs w:val="16"/>
                <w:lang w:val="en-US"/>
              </w:rPr>
              <w:fldChar w:fldCharType="end"/>
            </w:r>
          </w:p>
          <w:p w14:paraId="7AFDB67D"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USA</w:t>
            </w:r>
          </w:p>
        </w:tc>
        <w:tc>
          <w:tcPr>
            <w:tcW w:w="1576" w:type="dxa"/>
          </w:tcPr>
          <w:p w14:paraId="724EE12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 xml:space="preserve">To identify features of mHealth app for tobacco cessation that are important to Black adults </w:t>
            </w:r>
          </w:p>
        </w:tc>
        <w:tc>
          <w:tcPr>
            <w:tcW w:w="1025" w:type="dxa"/>
          </w:tcPr>
          <w:p w14:paraId="572180A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3B51192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Literature review and focus groups</w:t>
            </w:r>
          </w:p>
        </w:tc>
        <w:tc>
          <w:tcPr>
            <w:tcW w:w="1302" w:type="dxa"/>
          </w:tcPr>
          <w:p w14:paraId="313FA80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7 attributes, 4- 5 levels each</w:t>
            </w:r>
          </w:p>
        </w:tc>
        <w:tc>
          <w:tcPr>
            <w:tcW w:w="3170" w:type="dxa"/>
            <w:gridSpan w:val="2"/>
          </w:tcPr>
          <w:p w14:paraId="721D8508" w14:textId="77777777" w:rsidR="0022555D" w:rsidRPr="0022555D" w:rsidRDefault="0022555D" w:rsidP="0022555D">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22555D">
              <w:rPr>
                <w:rFonts w:ascii="Calibri" w:eastAsia="Calibri" w:hAnsi="Calibri" w:cs="Calibri"/>
                <w:color w:val="000000" w:themeColor="text1"/>
                <w:sz w:val="16"/>
                <w:szCs w:val="16"/>
                <w:lang w:val="en-US"/>
              </w:rPr>
              <w:t>Black adults are interested in</w:t>
            </w:r>
            <w:r w:rsidRPr="0022555D">
              <w:rPr>
                <w:rFonts w:ascii="Calibri" w:hAnsi="Calibri" w:cs="Calibri"/>
                <w:sz w:val="16"/>
                <w:szCs w:val="16"/>
                <w:lang w:val="en-US"/>
              </w:rPr>
              <w:t xml:space="preserve"> mHealth apps for tobacco cessation. Graphics, marketing, strategies for quitting, and connection with others are the most preferred in a mHealth app.</w:t>
            </w:r>
          </w:p>
          <w:p w14:paraId="71856D1A"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41F1C779"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68A4F67F"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Fletcher et al.</w:t>
            </w:r>
          </w:p>
          <w:p w14:paraId="1B9161C5"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(2019)</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{"citationID":"rVb4sElZ","properties":{"formattedCitation":"[79]","plainCitation":"[79]","noteIndex":0},"citationItems":[{"id":2207,"uris":["http://zotero.org/users/4007286/items/BTU3I56P"],"itemData":{"id":2207,"type":"article-journal","abstract":"Background: With a variety of potentially effective hypertension management options, it is important to determine how patients value different models of care, and the relative importance of factors in their decision-making process.Aim: To explore patient preferences for the management of hypertension in the UK.Design and Setting: Online survey of patients who have hypertension in the UK including an unlabelled discrete choice experiment (DCE).Method: A DCE was developed to assess patient preferences for the management of hypertension based on four attributes: model of care, frequency of blood pressure (BP) measurement, reduction in 5-year cardiovascular risk, and costs to the NHS. A mixed logit model was used to estimate preferences, willingness-to-pay was modelled, and a scenario analysis was conducted to evaluate the impact of changes in attribute levels on the uptake of different models of care.Results: One hundred and sixty-seven participants completed the DCE (aged 61.4 years, 45.0% female, 82.0% &gt;5 years since diagnosis). All four attributes were significant in choice (P&lt;0.05). Reduction in 5-year cardiovascular risk was the main driver of patient preference as evidenced in the scenario and willingness-to-pay analyses. GP management was significantly preferred over self-management. Patients preferred scenarios with more frequent BP measurement, and lower costs to the NHS.Conclusion: Participants had similar preferences for GP management, pharmacist management, and telehealth, but a negative preference for self-management. When introducing new models of care for hypertension to patients, discussion of the potential benefits in terms of risk reduction should be prioritised to maximise uptake.","archive":"ccm","container-title":"British Journal of General Practice","DOI":"10.3399/bjgp19X705101","ISSN":"0960-1643","issue":"686","journalAbbreviation":"British Journal of General Practice","page":"e629-e637","source":"EBSCOhost","title":"Patient preferences for management of high blood pressure in the UK: a discrete choice experiment.","volume":"69","author":[{"family":"Fletcher","given":"Benjamin"},{"family":"Hinton","given":"Lisa"},{"family":"McManus","given":"Richard"},{"family":"Rivero-Arias","given":"Oliver"}],"issued":{"date-parts":[["2019",9]]}}}],"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[79]</w:t>
            </w:r>
            <w:r w:rsidRPr="0022555D">
              <w:rPr>
                <w:rFonts w:asciiTheme="minorHAnsi" w:eastAsia="Calibri" w:hAnsiTheme="minorHAnsi" w:cstheme="minorHAnsi"/>
                <w:color w:val="000000" w:themeColor="text1"/>
                <w:sz w:val="16"/>
                <w:szCs w:val="26"/>
                <w:lang w:val="en-US"/>
              </w:rPr>
              <w:fldChar w:fldCharType="end"/>
            </w:r>
          </w:p>
          <w:p w14:paraId="3360912B"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UK</w:t>
            </w:r>
          </w:p>
        </w:tc>
        <w:tc>
          <w:tcPr>
            <w:tcW w:w="1576" w:type="dxa"/>
          </w:tcPr>
          <w:p w14:paraId="1AADE6DB"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explore patient preferences for the management of hypertension in the UK</w:t>
            </w:r>
          </w:p>
        </w:tc>
        <w:tc>
          <w:tcPr>
            <w:tcW w:w="1025" w:type="dxa"/>
          </w:tcPr>
          <w:p w14:paraId="1C7E16E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2C428B3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Literature review, expert opinion and interviews with patients</w:t>
            </w:r>
          </w:p>
        </w:tc>
        <w:tc>
          <w:tcPr>
            <w:tcW w:w="1302" w:type="dxa"/>
          </w:tcPr>
          <w:p w14:paraId="0FE3A64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4 attributes, 4 levels each</w:t>
            </w:r>
          </w:p>
        </w:tc>
        <w:tc>
          <w:tcPr>
            <w:tcW w:w="3170" w:type="dxa"/>
            <w:gridSpan w:val="2"/>
          </w:tcPr>
          <w:p w14:paraId="2B6DED5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All four attributes were significant factors influencing patient choice. </w:t>
            </w:r>
          </w:p>
          <w:p w14:paraId="3336373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Patients showed similar preferences for GP management, pharmacist management, and telehealth, but a negative preference for self-management.</w:t>
            </w:r>
          </w:p>
        </w:tc>
      </w:tr>
      <w:tr w:rsidR="0022555D" w:rsidRPr="0022555D" w14:paraId="2A80D7C9"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737E3C27"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Folkvord et al.</w:t>
            </w:r>
          </w:p>
          <w:p w14:paraId="4CD6A425"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(2023)</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{"citationID":"kNbkRIoL","properties":{"formattedCitation":"[106]","plainCitation":"[106]","noteIndex":0},"citationItems":[{"id":839,"uris":["http://zotero.org/users/4007286/items/DLG3NF8M"],"itemData":{"id":839,"type":"article-journal","abstract":"Background: Despite the worldwide growth in mobile health (mHealth) tools and the possible benefits for both patients and health care providers, the adoption of mHealth is low, and only a limited number of studies have examined the intention to Objective: In this study, we investigated individuals' preferences in the adoption of a health app. Methods: We conducted a discrete choice experimental study in 3 countries (Spain: n=800, Germany: n=800, and the Netherlands: n=416) with 4 different attributes and levels (ie, price: euro1.99 vs euro4.99 [a currency exchange rate of euro1=US $1.09 is applicable] vs for free, data protection: data protection vs no information, recommendation: patients' association vs doctors, and manufacturer: medical association vs pharmaceutical company). Participants were randomly assigned. For the analyses, we used the conditional logistic model separately for each country. Results: The results showed that price and data protection were considered important factors that significantly increased the probability to download an mHealth app. In general, the source of the recommendation and the manufacturer affected the probability to download the mHealth app less. However, in Germany and the Netherlands, we found that if the app was manufactured by a pharmaceutical company, the probability to download the mHealth app decreased. Conclusions: mHealth tools are highly promising to reduce health care costs and increase the effectiveness of traditional health interventions and therapies. Improving data protection, reducing costs, and creating sound business models are the major driving forces to increase the adoption of mHealth apps in the future. It is thereby essential to create trustworthy standards for mobile apps, whereby prices, legislation concerning data protection, and health professionals can have a leading role to inform the potential consumers.","archive_location":"WOS:001146695400002","container-title":"JMIR FORMATIVE RESEARCH","DOI":"10.2196/48335","ISSN":"2561-326X","title":"Preferences in the Willingness to Download an mHealth App: Discrete Choice Experimental Study in Spain, Germany, and the Netherlands","volume":"7","author":[{"family":"Folkvord","given":"F"},{"family":"Bol","given":"N"},{"family":"Stazi","given":"G"},{"family":"Peschke","given":"L"},{"family":"Lupianez-Villanueva","given":"F"}],"issued":{"date-parts":[["2023"]]}}}],"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[106]</w:t>
            </w:r>
            <w:r w:rsidRPr="0022555D">
              <w:rPr>
                <w:rFonts w:asciiTheme="minorHAnsi" w:eastAsia="Calibri" w:hAnsiTheme="minorHAnsi" w:cstheme="minorHAnsi"/>
                <w:color w:val="000000" w:themeColor="text1"/>
                <w:sz w:val="16"/>
                <w:szCs w:val="26"/>
                <w:lang w:val="en-US"/>
              </w:rPr>
              <w:fldChar w:fldCharType="end"/>
            </w:r>
          </w:p>
          <w:p w14:paraId="61640292"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Spain</w:t>
            </w:r>
          </w:p>
          <w:p w14:paraId="54C380CA"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Germany</w:t>
            </w:r>
          </w:p>
          <w:p w14:paraId="6B30B8D8"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Netherlands</w:t>
            </w:r>
          </w:p>
        </w:tc>
        <w:tc>
          <w:tcPr>
            <w:tcW w:w="1576" w:type="dxa"/>
          </w:tcPr>
          <w:p w14:paraId="47303326"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Investigate individuals’ preferences in the adoption of a health app</w:t>
            </w:r>
          </w:p>
          <w:p w14:paraId="1F271C3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025" w:type="dxa"/>
          </w:tcPr>
          <w:p w14:paraId="3A73050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6995F36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Not reported</w:t>
            </w:r>
          </w:p>
        </w:tc>
        <w:tc>
          <w:tcPr>
            <w:tcW w:w="1302" w:type="dxa"/>
          </w:tcPr>
          <w:p w14:paraId="38A89AC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4 attributes, 2-3 levels each</w:t>
            </w:r>
          </w:p>
        </w:tc>
        <w:tc>
          <w:tcPr>
            <w:tcW w:w="3170" w:type="dxa"/>
            <w:gridSpan w:val="2"/>
          </w:tcPr>
          <w:p w14:paraId="374699A3"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Strong preferences were observed for continuity of care with the same provider, visit incentives, and drop-in visits, while telehealth was not </w:t>
            </w:r>
            <w:proofErr w:type="spellStart"/>
            <w:r w:rsidRPr="0022555D">
              <w:rPr>
                <w:rFonts w:asciiTheme="minorHAnsi" w:eastAsia="Calibri" w:hAnsiTheme="minorHAnsi" w:cstheme="minorHAnsi"/>
                <w:color w:val="000000" w:themeColor="text1"/>
                <w:sz w:val="16"/>
                <w:szCs w:val="26"/>
                <w:lang w:val="en-US"/>
              </w:rPr>
              <w:t>favoured</w:t>
            </w:r>
            <w:proofErr w:type="spellEnd"/>
            <w:r w:rsidRPr="0022555D">
              <w:rPr>
                <w:rFonts w:asciiTheme="minorHAnsi" w:eastAsia="Calibri" w:hAnsiTheme="minorHAnsi" w:cstheme="minorHAnsi"/>
                <w:color w:val="000000" w:themeColor="text1"/>
                <w:sz w:val="16"/>
                <w:szCs w:val="26"/>
                <w:lang w:val="en-US"/>
              </w:rPr>
              <w:t>.</w:t>
            </w:r>
          </w:p>
        </w:tc>
      </w:tr>
      <w:tr w:rsidR="0022555D" w:rsidRPr="0022555D" w14:paraId="0C40053B"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2BE2FE22" w14:textId="77777777" w:rsidR="0022555D" w:rsidRPr="0022555D" w:rsidRDefault="0022555D" w:rsidP="0022555D">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22555D">
              <w:rPr>
                <w:rFonts w:ascii="Calibri" w:eastAsia="Calibri" w:hAnsi="Calibri" w:cs="Calibri"/>
                <w:b/>
                <w:bCs/>
                <w:i w:val="0"/>
                <w:iCs w:val="0"/>
                <w:color w:val="000000" w:themeColor="text1"/>
                <w:sz w:val="16"/>
                <w:szCs w:val="16"/>
                <w:lang w:val="en-US"/>
              </w:rPr>
              <w:t>Hewage et al. (2025)</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{"citationID":"saZQ3WIA","properties":{"unsorted":false,"formattedCitation":"[70]","plainCitation":"[70]","noteIndex":0},"citationItems":[{"id":275,"uris":["http://zotero.org/users/4007286/items/ZIEUXBFQ"],"itemData":{"id":275,"type":"article-journal","abstract":"Background: Using digital health technologies to aid individuals in managing chronic diseases offers a promising solution to overcome health service barriers such as access and affordability. However, their effectiveness depends on adoption and sustained use, influenced by user preferences. Objectives: This study quantifies the preferences of individuals with chronic heart disease (CHD) for features of a mobile health app to self-navigate their disease condition. Methods: We conducted an unlabeled web-based choice survey among adults older than 18 years with CHD living in Australia, recruited via a web-based survey platform. Four app attributes-ease of navigation, monitoring of blood pressure and heart rhythm, health education, and symptom diary maintenance-were systematically chosen through a multistage process. This process involved a literature review, stakeholder interviews, and expert panel discussions. Participants chose a preferred mobile app out of 3 alternatives: app A, app B, or neither. A D-optimal design was developed using Ngene software, informed by Bayesian priors derived from pilot survey data. Latent class model analysis was conducted using Nlogit software (Econometric Software, Inc). We also estimated attribute importance and anticipated adoption rates for 3 app versions. Results: Our sample included 302 participants with a mean age of 50.5 (SD 18.2) years. Latent class model identified 2 classes. Older respondents with education beyond high school, prior experience with mobile health apps, and a positive perception of app usefulness were more likely to be in class 1 (257/303, 85%) than in class 2 (45/303, 15%). Class 1 membership preferred adopting a mobile app (app A: (3 coefficient 0.74, 95% uncertainty interval (UI) 0.41-1.06; app B: (3 coefficient 0.53, 95% UI 0.22-0.85). Participants favored apps providing postmonitoring recommendations ((3 coefficient 1.45, 95% UI 1.26-1.64), tailored health education ((3 coefficient 0.50, 95% UI 0.36-0.64), and unrestricted symptom diary entry ((3 coefficient 0.58, 95% UI 0.41-0.76). Class 2 showed no preference for app adoption (app A: (3 coefficient -1.18, 95% UI -2.36 to 0.006; app B: (3 coefficient -0.78, 95% UI -1.99 to 0.42) or any specific attribute levels. Vital sign monitoring was the most influential attribute among the 4. Scenario analysis revealed an 84% probability of app adoption with basic features, rising to 92% when app features aligned with respondents' preferences. Conclusions: The study's findings suggest that designing preference-informed mobile health apps could significantly enhance adoption rates and engagement among individuals with CHD, potentially leading to improved clinical outcomes. Adoption rates were notably higher when app attributes included easy navigation, vital sign monitoring, feedback provision, personalized health education, and flexible data entry for symptom diary maintenance. Future research to explore factors influencing app adoption among different groups of patients is warranted.","archive_location":"WOS:001481302700001","container-title":"JMIR MHEALTH AND UHEALTH","DOI":"10.2196/58556","ISSN":"2291-5222","language":"English","title":"Preferences for Mobile App Features to Support People Living With Chronic Heart Diseases: Discrete Choice Study","volume":"13","author":[{"family":"Hewage","given":"SA"},{"family":"Senanayake","given":"S"},{"family":"Brain","given":"D"},{"family":"Allen","given":"MJ"},{"family":"McPhail","given":"SM"},{"family":"Parsonage","given":"W"},{"family":"Walters","given":"T"},{"family":"Kularatna","given":"S"}],"issued":{"date-parts":[["2025"]]}}}],"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[70]</w:t>
            </w:r>
            <w:r w:rsidRPr="0022555D">
              <w:rPr>
                <w:rFonts w:ascii="Calibri" w:eastAsia="Calibri" w:hAnsi="Calibri" w:cs="Calibri"/>
                <w:color w:val="000000" w:themeColor="text1"/>
                <w:sz w:val="16"/>
                <w:szCs w:val="16"/>
                <w:lang w:val="en-US"/>
              </w:rPr>
              <w:fldChar w:fldCharType="end"/>
            </w:r>
          </w:p>
          <w:p w14:paraId="3E3C1619"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Australia</w:t>
            </w:r>
          </w:p>
        </w:tc>
        <w:tc>
          <w:tcPr>
            <w:tcW w:w="1576" w:type="dxa"/>
          </w:tcPr>
          <w:p w14:paraId="22289C51"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To identify features of mHealth apps for individuals with chronic health disease</w:t>
            </w:r>
          </w:p>
        </w:tc>
        <w:tc>
          <w:tcPr>
            <w:tcW w:w="1025" w:type="dxa"/>
          </w:tcPr>
          <w:p w14:paraId="0B01A41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5901104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Literature review, stakeholder interviews and expert panel discussions</w:t>
            </w:r>
          </w:p>
        </w:tc>
        <w:tc>
          <w:tcPr>
            <w:tcW w:w="1302" w:type="dxa"/>
          </w:tcPr>
          <w:p w14:paraId="18DB1CD0"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4 attributes, 3 levels each</w:t>
            </w:r>
          </w:p>
        </w:tc>
        <w:tc>
          <w:tcPr>
            <w:tcW w:w="3170" w:type="dxa"/>
            <w:gridSpan w:val="2"/>
          </w:tcPr>
          <w:p w14:paraId="28ED0BF0"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 xml:space="preserve">Adoption rates increase when features </w:t>
            </w:r>
            <w:proofErr w:type="gramStart"/>
            <w:r w:rsidRPr="0022555D">
              <w:rPr>
                <w:rFonts w:ascii="Calibri" w:eastAsia="Calibri" w:hAnsi="Calibri" w:cs="Calibri"/>
                <w:color w:val="000000" w:themeColor="text1"/>
                <w:sz w:val="16"/>
                <w:szCs w:val="16"/>
                <w:lang w:val="en-US"/>
              </w:rPr>
              <w:t>includes</w:t>
            </w:r>
            <w:proofErr w:type="gramEnd"/>
            <w:r w:rsidRPr="0022555D">
              <w:rPr>
                <w:rFonts w:ascii="Calibri" w:eastAsia="Calibri" w:hAnsi="Calibri" w:cs="Calibri"/>
                <w:color w:val="000000" w:themeColor="text1"/>
                <w:sz w:val="16"/>
                <w:szCs w:val="16"/>
                <w:lang w:val="en-US"/>
              </w:rPr>
              <w:t xml:space="preserve"> easy navigation, vital sign monitoring, feedback provision,</w:t>
            </w:r>
          </w:p>
          <w:p w14:paraId="28EFCEC1"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personalized health education, and flexible data entry for symptom diary maintenance.</w:t>
            </w:r>
          </w:p>
          <w:p w14:paraId="12DB906B"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227BC37F"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0F15704B" w14:textId="77777777" w:rsidR="0022555D" w:rsidRPr="0022555D" w:rsidRDefault="0022555D" w:rsidP="0022555D">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22555D">
              <w:rPr>
                <w:rFonts w:ascii="Calibri" w:eastAsia="Calibri" w:hAnsi="Calibri" w:cs="Calibri"/>
                <w:b/>
                <w:bCs/>
                <w:i w:val="0"/>
                <w:iCs w:val="0"/>
                <w:color w:val="000000" w:themeColor="text1"/>
                <w:sz w:val="16"/>
                <w:szCs w:val="16"/>
                <w:lang w:val="en-US"/>
              </w:rPr>
              <w:t>Huang et al. (2025)</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{"citationID":"Zr4rzTv2","properties":{"unsorted":false,"formattedCitation":"[96]","plainCitation":"[96]","noteIndex":0},"citationItems":[{"id":97,"uris":["http://zotero.org/users/4007286/items/XTLDMVQL"],"itemData":{"id":97,"type":"article-journal","abstract":"Background: HIV pre-exposure prophylaxis (PrEP) is highly effective but not widely used by men who have sex with men (MSM; 27%) in China. Methods: In June 2023, an online cross-sectional survey with a discrete choice experiment (DCE) was distributed to PrEP-eligible MSM in China who were at least 18 years old. The DCE explored attributes of PrEP modality (daily pill, on-demand pill, injections, implants), clinical care model (same-day, 2-visit, telehealth prescription), medication pickup (clinic, community health center, pharmacy, MSM-focused community-based organization, home delivery), enhanced support (self-management, smartphone app, text reminder, anonymous peer support group), and cost. Results: A total of 1013 MSM completed the survey; the average age was 31 years, and a quarter had used PrEP. The most influential attributes were cost (relative importance: 64.6%), followed by PrEP modality (27.7%), medication pickup (4.0%), enhanced support (3.5%), and clinical care model (0.2%). The most preferred ways to access PrEP were no-cost on-demand pill, medication home delivery, self-management, and telehealth. The predicted uptake of on-demand PrEP was higher than other modalities, increasing from 22% with no subsidy to 79% with full subsidy, holding the other 3 attributes constant. Conclusions: Chinese MSM have strong preferences regarding accessing PrEP: Low cost is a critical priority, especially important because medication and clinical care are currently entirely unsubsidized in China. Preferences for on-demand PrEP and home delivery indicate methods that the health care system can utilize to best meet the needs of MSM and factors that should be incorporated into future interventions.","archive":"Embase","container-title":"Open Forum Infectious Diseases","DOI":"10.1093/ofid/ofae742","ISSN":"2328-8957","issue":"1","journalAbbreviation":"Open Forum Infect. Dis.","language":"English","title":"Preference for HIV Pre-exposure Prophylaxis Access Among Men who Have Sex With Men in China: A Discrete Choice Experiment","URL":"https://www.embase.com/search/results?subaction=viewrecord&amp;id=L2037086554&amp;from=export","volume":"12","author":[{"family":"Huang","given":"W."},{"family":"Stegmueller","given":"D."},{"family":"Sales","given":"J.M."},{"family":"Mi","given":"G."},{"family":"Yu","given":"F."},{"family":"Liu","given":"Y."},{"family":"Sullivan","given":"P.S."},{"family":"Siegler","given":"A.J."},{"family":"Ong","given":"J.J."}],"issued":{"date-parts":[["2025"]]}}}],"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[96]</w:t>
            </w:r>
            <w:r w:rsidRPr="0022555D">
              <w:rPr>
                <w:rFonts w:ascii="Calibri" w:eastAsia="Calibri" w:hAnsi="Calibri" w:cs="Calibri"/>
                <w:color w:val="000000" w:themeColor="text1"/>
                <w:sz w:val="16"/>
                <w:szCs w:val="16"/>
                <w:lang w:val="en-US"/>
              </w:rPr>
              <w:fldChar w:fldCharType="end"/>
            </w:r>
          </w:p>
          <w:p w14:paraId="4481A824"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China</w:t>
            </w:r>
          </w:p>
        </w:tc>
        <w:tc>
          <w:tcPr>
            <w:tcW w:w="1576" w:type="dxa"/>
          </w:tcPr>
          <w:p w14:paraId="3D1C3E13" w14:textId="77777777" w:rsidR="0022555D" w:rsidRPr="0022555D" w:rsidRDefault="0022555D" w:rsidP="0022555D">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22555D">
              <w:rPr>
                <w:rFonts w:ascii="Calibri" w:eastAsia="Calibri" w:hAnsi="Calibri" w:cs="Calibri"/>
                <w:color w:val="000000" w:themeColor="text1"/>
                <w:sz w:val="16"/>
                <w:szCs w:val="16"/>
                <w:lang w:val="en-US"/>
              </w:rPr>
              <w:t xml:space="preserve">To elicit preferences for HIV </w:t>
            </w:r>
            <w:r w:rsidRPr="0022555D">
              <w:rPr>
                <w:rFonts w:ascii="Calibri" w:hAnsi="Calibri" w:cs="Calibri"/>
                <w:sz w:val="16"/>
                <w:szCs w:val="16"/>
                <w:lang w:val="en-US"/>
              </w:rPr>
              <w:t xml:space="preserve">Pre-exposure Prophylaxis Access </w:t>
            </w:r>
            <w:r w:rsidRPr="0022555D">
              <w:rPr>
                <w:rFonts w:ascii="Calibri" w:eastAsiaTheme="majorEastAsia" w:hAnsi="Calibri" w:cs="Calibri"/>
                <w:color w:val="000000" w:themeColor="text1"/>
                <w:sz w:val="16"/>
                <w:szCs w:val="16"/>
                <w:lang w:val="en-US"/>
              </w:rPr>
              <w:t xml:space="preserve">Among Men </w:t>
            </w:r>
            <w:proofErr w:type="gramStart"/>
            <w:r w:rsidRPr="0022555D">
              <w:rPr>
                <w:rFonts w:ascii="Calibri" w:eastAsiaTheme="majorEastAsia" w:hAnsi="Calibri" w:cs="Calibri"/>
                <w:color w:val="000000" w:themeColor="text1"/>
                <w:sz w:val="16"/>
                <w:szCs w:val="16"/>
                <w:lang w:val="en-US"/>
              </w:rPr>
              <w:t>who</w:t>
            </w:r>
            <w:proofErr w:type="gramEnd"/>
            <w:r w:rsidRPr="0022555D">
              <w:rPr>
                <w:rFonts w:ascii="Calibri" w:eastAsiaTheme="majorEastAsia" w:hAnsi="Calibri" w:cs="Calibri"/>
                <w:color w:val="000000" w:themeColor="text1"/>
                <w:sz w:val="16"/>
                <w:szCs w:val="16"/>
                <w:lang w:val="en-US"/>
              </w:rPr>
              <w:t xml:space="preserve"> Have Sex </w:t>
            </w:r>
            <w:proofErr w:type="gramStart"/>
            <w:r w:rsidRPr="0022555D">
              <w:rPr>
                <w:rFonts w:ascii="Calibri" w:eastAsiaTheme="majorEastAsia" w:hAnsi="Calibri" w:cs="Calibri"/>
                <w:color w:val="000000" w:themeColor="text1"/>
                <w:sz w:val="16"/>
                <w:szCs w:val="16"/>
                <w:lang w:val="en-US"/>
              </w:rPr>
              <w:t>With</w:t>
            </w:r>
            <w:proofErr w:type="gramEnd"/>
            <w:r w:rsidRPr="0022555D">
              <w:rPr>
                <w:rFonts w:ascii="Calibri" w:eastAsiaTheme="majorEastAsia" w:hAnsi="Calibri" w:cs="Calibri"/>
                <w:color w:val="000000" w:themeColor="text1"/>
                <w:sz w:val="16"/>
                <w:szCs w:val="16"/>
                <w:lang w:val="en-US"/>
              </w:rPr>
              <w:t xml:space="preserve"> Men (MSM) in China</w:t>
            </w:r>
          </w:p>
        </w:tc>
        <w:tc>
          <w:tcPr>
            <w:tcW w:w="1025" w:type="dxa"/>
          </w:tcPr>
          <w:p w14:paraId="7F86464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5D43EB49"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 xml:space="preserve">Literature review, clinicians and </w:t>
            </w:r>
            <w:proofErr w:type="spellStart"/>
            <w:r w:rsidRPr="0022555D">
              <w:rPr>
                <w:rFonts w:ascii="Calibri" w:eastAsiaTheme="majorEastAsia" w:hAnsi="Calibri" w:cs="Calibri"/>
                <w:color w:val="000000" w:themeColor="text1"/>
                <w:sz w:val="16"/>
                <w:szCs w:val="16"/>
                <w:lang w:val="en-US"/>
              </w:rPr>
              <w:t>PrEP</w:t>
            </w:r>
            <w:proofErr w:type="spellEnd"/>
            <w:r w:rsidRPr="0022555D">
              <w:rPr>
                <w:rFonts w:ascii="Calibri" w:eastAsiaTheme="majorEastAsia" w:hAnsi="Calibri" w:cs="Calibri"/>
                <w:color w:val="000000" w:themeColor="text1"/>
                <w:sz w:val="16"/>
                <w:szCs w:val="16"/>
                <w:lang w:val="en-US"/>
              </w:rPr>
              <w:t>-eligible Chinese MSM ranked list of attributes</w:t>
            </w:r>
          </w:p>
        </w:tc>
        <w:tc>
          <w:tcPr>
            <w:tcW w:w="1302" w:type="dxa"/>
          </w:tcPr>
          <w:p w14:paraId="11A63E5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5 attributes,3-5 levels each</w:t>
            </w:r>
          </w:p>
        </w:tc>
        <w:tc>
          <w:tcPr>
            <w:tcW w:w="3170" w:type="dxa"/>
            <w:gridSpan w:val="2"/>
          </w:tcPr>
          <w:p w14:paraId="31B25BE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Men</w:t>
            </w:r>
            <w:r w:rsidRPr="0022555D">
              <w:rPr>
                <w:rFonts w:ascii="Calibri" w:eastAsiaTheme="majorEastAsia" w:hAnsi="Calibri" w:cs="Calibri"/>
                <w:color w:val="000000" w:themeColor="text1"/>
                <w:sz w:val="16"/>
                <w:szCs w:val="16"/>
                <w:lang w:val="en-US"/>
              </w:rPr>
              <w:t xml:space="preserve"> favored on-demand </w:t>
            </w:r>
            <w:proofErr w:type="spellStart"/>
            <w:r w:rsidRPr="0022555D">
              <w:rPr>
                <w:rFonts w:ascii="Calibri" w:eastAsiaTheme="majorEastAsia" w:hAnsi="Calibri" w:cs="Calibri"/>
                <w:color w:val="000000" w:themeColor="text1"/>
                <w:sz w:val="16"/>
                <w:szCs w:val="16"/>
                <w:lang w:val="en-US"/>
              </w:rPr>
              <w:t>PrEP</w:t>
            </w:r>
            <w:proofErr w:type="spellEnd"/>
            <w:r w:rsidRPr="0022555D">
              <w:rPr>
                <w:rFonts w:ascii="Calibri" w:eastAsiaTheme="majorEastAsia" w:hAnsi="Calibri" w:cs="Calibri"/>
                <w:color w:val="000000" w:themeColor="text1"/>
                <w:sz w:val="16"/>
                <w:szCs w:val="16"/>
                <w:lang w:val="en-US"/>
              </w:rPr>
              <w:t xml:space="preserve"> (compared to daily or long-duration </w:t>
            </w:r>
            <w:proofErr w:type="spellStart"/>
            <w:r w:rsidRPr="0022555D">
              <w:rPr>
                <w:rFonts w:ascii="Calibri" w:eastAsiaTheme="majorEastAsia" w:hAnsi="Calibri" w:cs="Calibri"/>
                <w:color w:val="000000" w:themeColor="text1"/>
                <w:sz w:val="16"/>
                <w:szCs w:val="16"/>
                <w:lang w:val="en-US"/>
              </w:rPr>
              <w:t>PrEP</w:t>
            </w:r>
            <w:proofErr w:type="spellEnd"/>
            <w:r w:rsidRPr="0022555D">
              <w:rPr>
                <w:rFonts w:ascii="Calibri" w:eastAsiaTheme="majorEastAsia" w:hAnsi="Calibri" w:cs="Calibri"/>
                <w:color w:val="000000" w:themeColor="text1"/>
                <w:sz w:val="16"/>
                <w:szCs w:val="16"/>
                <w:lang w:val="en-US"/>
              </w:rPr>
              <w:t xml:space="preserve">), cost- free </w:t>
            </w:r>
            <w:proofErr w:type="spellStart"/>
            <w:r w:rsidRPr="0022555D">
              <w:rPr>
                <w:rFonts w:ascii="Calibri" w:eastAsiaTheme="majorEastAsia" w:hAnsi="Calibri" w:cs="Calibri"/>
                <w:color w:val="000000" w:themeColor="text1"/>
                <w:sz w:val="16"/>
                <w:szCs w:val="16"/>
                <w:lang w:val="en-US"/>
              </w:rPr>
              <w:t>PrEP</w:t>
            </w:r>
            <w:proofErr w:type="spellEnd"/>
            <w:r w:rsidRPr="0022555D">
              <w:rPr>
                <w:rFonts w:ascii="Calibri" w:eastAsiaTheme="majorEastAsia" w:hAnsi="Calibri" w:cs="Calibri"/>
                <w:color w:val="000000" w:themeColor="text1"/>
                <w:sz w:val="16"/>
                <w:szCs w:val="16"/>
                <w:lang w:val="en-US"/>
              </w:rPr>
              <w:t>, and home delivery of medication.</w:t>
            </w:r>
            <w:r w:rsidRPr="0022555D">
              <w:rPr>
                <w:rFonts w:ascii="Calibri" w:eastAsia="Calibri" w:hAnsi="Calibri" w:cs="Calibri"/>
                <w:color w:val="000000" w:themeColor="text1"/>
                <w:sz w:val="16"/>
                <w:szCs w:val="16"/>
                <w:lang w:val="en-US"/>
              </w:rPr>
              <w:t xml:space="preserve"> Providing subsidies or reducing costs can improve the medication uptake.</w:t>
            </w:r>
          </w:p>
        </w:tc>
      </w:tr>
      <w:tr w:rsidR="0022555D" w:rsidRPr="0022555D" w14:paraId="17E5DA5D"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0107A32D"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Imbert et al.</w:t>
            </w:r>
          </w:p>
          <w:p w14:paraId="1D0BA621"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(2022)</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{"citationID":"xUpF9i7U","properties":{"formattedCitation":"[41]","plainCitation":"[41]","noteIndex":0},"citationItems":[{"id":2406,"uris":["http://zotero.org/users/4007286/items/PKBCFL92"],"itemData":{"id":2406,"type":"article-journal","abstract":"Background/Setting:In San Francisco, HIV viral suppression is 71% among housed individuals but only 20% among unhoused individuals. We conducted a discrete choice experiment at a San Francisco public HIV clinic to evaluate care preferences among people living with HIV (PLH) experiencing homelessness/unstable housing during the COVID-19 pandemic.Methods:From July to November 2020, we conducted a discrete choice experiment among PLH experiencing homelessness/unstable housing who accessed care through (1) an incentivized, drop-in program (POP-UP) or (2) traditional primary care. We investigated 5 program features: Single provider vs team of providers; visit incentives ($0, $10, and $20); location (current site vs current + additional site); drop-in vs scheduled visits; in-person only vs optional telehealth visits; and navigator assistance. We estimated relative preferences using mixed-effects logistic regression and conducted latent class analysis to evaluate preference heterogeneity.Results:We enrolled 115 PLH experiencing homelessness/unstable housing, 40% of whom lived outdoors. The strongest preferences were for the same provider (β = 0.94, 95% CI: 0.48 to 1.41), visit incentives (β = 0.56 per $5; 95% CI: 0.47 to 0.66), and drop-in visits (β = 0.47, 95% CI: 0.12 to 0.82). Telehealth was not preferred. Latent class analysis revealed 2 distinct groups: 78 (68%) preferred a flexible care model, whereas 37 (32%) preferred a single provider.Conclusions:We identified heterogeneous care preferences among PLH experiencing homelessness/unstable housing during the COVID-19 pandemic, with two-thirds preferring greater flexibility and one-third preferring provider continuity. Telehealth was not preferred, even with navigator facilitation. Including patient choice in service delivery design can improve care engagement, particularly for marginalized populations, and is an essential tool for ending the HIV epidemic.","archive":"Embase","container-title":"Journal of Acquired Immune Deficiency Syndromes","DOI":"10.1097/QAI.0000000000002929","ISSN":"1077-9450","issue":"2","journalAbbreviation":"J. Acquired Immune Defic. Syndr.","language":"English","page":"140-145","title":"Brief Report: Heterogeneous Preferences for Care Engagement Among People With HIV Experiencing Homelessness or Unstable Housing During the COVID-19 Pandemic","volume":"90","author":[{"family":"Imbert","given":"E."},{"family":"Hickey","given":"M.D."},{"family":"Del Rosario","given":"J.B."},{"family":"Conte","given":"M."},{"family":"Kerkhoff","given":"A.D."},{"family":"Clemenzi-Allen","given":"A."},{"family":"Riley","given":"E.D."},{"family":"Havlir","given":"D.V."},{"family":"Gandhi","given":"M."}],"issued":{"date-parts":[["2022"]]}}}],"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[41]</w:t>
            </w:r>
            <w:r w:rsidRPr="0022555D">
              <w:rPr>
                <w:rFonts w:asciiTheme="minorHAnsi" w:eastAsia="Calibri" w:hAnsiTheme="minorHAnsi" w:cstheme="minorHAnsi"/>
                <w:color w:val="000000" w:themeColor="text1"/>
                <w:sz w:val="16"/>
                <w:szCs w:val="26"/>
                <w:lang w:val="en-US"/>
              </w:rPr>
              <w:fldChar w:fldCharType="end"/>
            </w:r>
          </w:p>
          <w:p w14:paraId="62F0FCFB"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USA</w:t>
            </w:r>
          </w:p>
        </w:tc>
        <w:tc>
          <w:tcPr>
            <w:tcW w:w="1576" w:type="dxa"/>
          </w:tcPr>
          <w:p w14:paraId="522608FB"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Evaluate care preferences among people living with HIV experiencing homelessness during the COVID-19 pandemic</w:t>
            </w:r>
          </w:p>
        </w:tc>
        <w:tc>
          <w:tcPr>
            <w:tcW w:w="1025" w:type="dxa"/>
          </w:tcPr>
          <w:p w14:paraId="1833549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0441ACD5"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Literature review and current program features reported to increase HIV care management </w:t>
            </w:r>
          </w:p>
          <w:p w14:paraId="669017C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40ED3A8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7 attributes, 2-3 levels each</w:t>
            </w:r>
          </w:p>
        </w:tc>
        <w:tc>
          <w:tcPr>
            <w:tcW w:w="3170" w:type="dxa"/>
            <w:gridSpan w:val="2"/>
          </w:tcPr>
          <w:p w14:paraId="67EB5C4E"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Strong preferences were observed for continuity of care with the same provider visit incentives and drop-in visits.</w:t>
            </w:r>
          </w:p>
          <w:p w14:paraId="4B410190"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Telehealth was not </w:t>
            </w:r>
            <w:proofErr w:type="spellStart"/>
            <w:r w:rsidRPr="0022555D">
              <w:rPr>
                <w:rFonts w:asciiTheme="minorHAnsi" w:eastAsia="Calibri" w:hAnsiTheme="minorHAnsi" w:cstheme="minorHAnsi"/>
                <w:color w:val="000000" w:themeColor="text1"/>
                <w:sz w:val="16"/>
                <w:szCs w:val="26"/>
                <w:lang w:val="en-US"/>
              </w:rPr>
              <w:t>favoured</w:t>
            </w:r>
            <w:proofErr w:type="spellEnd"/>
            <w:r w:rsidRPr="0022555D">
              <w:rPr>
                <w:rFonts w:asciiTheme="minorHAnsi" w:eastAsia="Calibri" w:hAnsiTheme="minorHAnsi" w:cstheme="minorHAnsi"/>
                <w:color w:val="000000" w:themeColor="text1"/>
                <w:sz w:val="16"/>
                <w:szCs w:val="26"/>
                <w:lang w:val="en-US"/>
              </w:rPr>
              <w:t>.</w:t>
            </w:r>
          </w:p>
        </w:tc>
      </w:tr>
      <w:tr w:rsidR="0022555D" w:rsidRPr="0022555D" w14:paraId="5C49234C"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67F6EE96"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proofErr w:type="spellStart"/>
            <w:r w:rsidRPr="0022555D">
              <w:rPr>
                <w:rFonts w:asciiTheme="minorHAnsi" w:eastAsia="Calibri" w:hAnsiTheme="minorHAnsi" w:cstheme="minorHAnsi"/>
                <w:b/>
                <w:bCs/>
                <w:i w:val="0"/>
                <w:iCs w:val="0"/>
                <w:color w:val="000000" w:themeColor="text1"/>
                <w:sz w:val="16"/>
                <w:szCs w:val="26"/>
                <w:lang w:val="en-US"/>
              </w:rPr>
              <w:t>Kaambwa</w:t>
            </w:r>
            <w:proofErr w:type="spellEnd"/>
            <w:r w:rsidRPr="0022555D">
              <w:rPr>
                <w:rFonts w:asciiTheme="minorHAnsi" w:eastAsia="Calibri" w:hAnsiTheme="minorHAnsi" w:cstheme="minorHAnsi"/>
                <w:b/>
                <w:bCs/>
                <w:i w:val="0"/>
                <w:iCs w:val="0"/>
                <w:color w:val="000000" w:themeColor="text1"/>
                <w:sz w:val="16"/>
                <w:szCs w:val="26"/>
                <w:lang w:val="en-US"/>
              </w:rPr>
              <w:t xml:space="preserve"> </w:t>
            </w:r>
          </w:p>
          <w:p w14:paraId="072BD14E"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et al. (2017)</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{"citationID":"KYCFHpGc","properties":{"formattedCitation":"[63]","plainCitation":"[63]","noteIndex":0},"citationItems":[{"id":2255,"uris":["http://zotero.org/users/4007286/items/U59IFWRR"],"itemData":{"id":2255,"type":"article-journal","abstract":"Introduction Telehealth approaches to health care delivery can potentially improve quality of care and clinical outcomes, reduce mortality and hospital utilisation, and complement conventional treatments. However, substantial research into the potential for integrating telehealth within health care in Australia, particularly in the provision of services relevant to older people, including palliative care, aged care and rehabilitation, is lacking. Furthermore, to date, no discrete choice experiment (DCE) studies internationally have sought the views and preferences of older people about the basic features that should make up a telehealth approach to these services. Methods Using a DCE, we investigated the relative importance of six salient features of telehealth (what aspects of care are to be pursued during telehealth sessions, distance to the nearest hospital or clinic, clinicians' attitude to telehealth, patients' experience of using technology, what types of assessments should be conducted face-to-face versus via telehealth sessions and the costs associated with receiving telehealth). Data were obtained from an online panel of older people aged 65 years and above, drawn from the Australian general population. Results The mean age for 330 study participants was 69 years. In general, individuals expressed strong preferences for telehealth services that offered all aspects of care, were relatively inexpensive and targeted specifically at individuals living in remote regions without easy access to a hospital or clinic. Participants also preferred telehealth services to be offered to individuals with some prior experience of using technology, provided by clinicians who were positive about telehealth but wanted all or some pre-telehealth health assessments to take place in a hospital or clinic. Preferences only differed by gender. Additionally, respondents did not feel that telehealth led to loss of privacy and confidentiality. Discussion Our findings indicate a preference amongst respondents for face-to-face pre-telehealth health assessments and, thereafter, a comprehensive telehealth model (in terms of services offered) targeted at those with some technological know-how as a substitute for attendance at hospitals and clinics, especially where these health facilities were far away from older people's homes. The findings may be usefully incorporated into the design of future telehealth models of service delivery for older people.","archive":"ccm","container-title":"Journal of Telemedicine &amp; Telecare","DOI":"10.1177/1357633X16637725","ISSN":"1357-633X","issue":"2","journalAbbreviation":"Journal of Telemedicine &amp; Telecare","page":"301-313","source":"EBSCOhost","title":"Investigating the preferences of older people for telehealth as a new model of health care service delivery: A discrete choice experiment.","volume":"23","author":[{"family":"Kaambwa","given":"Billingsley"},{"family":"Ratcliffe","given":"Julie"},{"family":"Shulver","given":"Wendy"},{"family":"Killington","given":"Maggie"},{"family":"Taylor","given":"Alan"},{"family":"Crotty","given":"Maria"},{"family":"Carati","given":"Colin"},{"family":"Tieman","given":"Jennifer"},{"family":"Wade","given":"Victoria"},{"family":"Kidd","given":"Michael R."}],"issued":{"date-parts":[["2017",2]]}}}],"schema":"https://github.com/citation-style-language/schema/raw/master/csl-citation.json"}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[63]</w:t>
            </w:r>
            <w:r w:rsidRPr="0022555D">
              <w:rPr>
                <w:rFonts w:asciiTheme="minorHAnsi" w:eastAsia="Calibri" w:hAnsiTheme="minorHAnsi" w:cstheme="minorHAnsi"/>
                <w:color w:val="000000" w:themeColor="text1"/>
                <w:sz w:val="16"/>
                <w:szCs w:val="26"/>
                <w:lang w:val="en-US"/>
              </w:rPr>
              <w:fldChar w:fldCharType="end"/>
            </w:r>
          </w:p>
          <w:p w14:paraId="37094486"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Australia</w:t>
            </w:r>
          </w:p>
        </w:tc>
        <w:tc>
          <w:tcPr>
            <w:tcW w:w="1576" w:type="dxa"/>
          </w:tcPr>
          <w:p w14:paraId="7996A27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Utilize discrete choice experiment (DCE) methodology to assess older people's preferences </w:t>
            </w:r>
            <w:r w:rsidRPr="0022555D">
              <w:rPr>
                <w:rFonts w:asciiTheme="minorHAnsi" w:eastAsia="Calibri" w:hAnsiTheme="minorHAnsi" w:cstheme="minorHAnsi"/>
                <w:color w:val="000000" w:themeColor="text1"/>
                <w:sz w:val="16"/>
                <w:szCs w:val="26"/>
                <w:lang w:val="en-US"/>
              </w:rPr>
              <w:lastRenderedPageBreak/>
              <w:t>regarding the key aspects of telehealth care</w:t>
            </w:r>
          </w:p>
          <w:p w14:paraId="22E2BA1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025" w:type="dxa"/>
          </w:tcPr>
          <w:p w14:paraId="6F0AEE7B"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lastRenderedPageBreak/>
              <w:t>DCE</w:t>
            </w:r>
          </w:p>
        </w:tc>
        <w:tc>
          <w:tcPr>
            <w:tcW w:w="1275" w:type="dxa"/>
          </w:tcPr>
          <w:p w14:paraId="116BDFDE"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Prior qualitative study</w:t>
            </w:r>
          </w:p>
        </w:tc>
        <w:tc>
          <w:tcPr>
            <w:tcW w:w="1302" w:type="dxa"/>
          </w:tcPr>
          <w:p w14:paraId="727812CC"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6 attributes, 3 levels each</w:t>
            </w:r>
          </w:p>
        </w:tc>
        <w:tc>
          <w:tcPr>
            <w:tcW w:w="3170" w:type="dxa"/>
            <w:gridSpan w:val="2"/>
          </w:tcPr>
          <w:p w14:paraId="0376236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Patients generally preferred telehealth services that encompassed all aspects of care and were cost-effective. </w:t>
            </w:r>
          </w:p>
          <w:p w14:paraId="663A0E7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lastRenderedPageBreak/>
              <w:t xml:space="preserve">They also showed a preference for clinicians that were supportive of telehealth and experienced in technology. </w:t>
            </w:r>
          </w:p>
        </w:tc>
      </w:tr>
      <w:tr w:rsidR="0022555D" w:rsidRPr="0022555D" w14:paraId="0399910A"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7CDC0C6C" w14:textId="77777777" w:rsidR="0022555D" w:rsidRPr="0022555D" w:rsidRDefault="0022555D" w:rsidP="0022555D">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22555D">
              <w:rPr>
                <w:rFonts w:ascii="Calibri" w:eastAsia="Calibri" w:hAnsi="Calibri" w:cs="Calibri"/>
                <w:b/>
                <w:bCs/>
                <w:i w:val="0"/>
                <w:iCs w:val="0"/>
                <w:color w:val="000000" w:themeColor="text1"/>
                <w:sz w:val="16"/>
                <w:szCs w:val="16"/>
                <w:lang w:val="en-US"/>
              </w:rPr>
              <w:lastRenderedPageBreak/>
              <w:t>Lam et al. (2025)</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K0e3OaYn","properties":{"unsorted":false,"formattedCitation":"[121]","plainCitation":"[121]","noteIndex":0},"citationItems":[{"id":31627,"uris":["http://zotero.org/users/4007286/items/3QZ2GBTC"],"itemData":{"id":31627,"type":"article-journal","archive":"Scopus","container-title":"Journal of primary health care","DOI":"10.1071/HC24158","issue":"3","page":"214-223","title":"Telerehabilitation for mild traumatic brain injury patients: patients' preferences in Aotearoa New Zealand","volume":"17","author":[{"family":"Lam","given":"Q."},{"family":"Clay","given":"L."},{"family":"Taylor","given":"D."},{"family":"Brown","given":"P."}],"issued":{"date-parts":[["2025"]]}}}],"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[121]</w:t>
            </w:r>
            <w:r w:rsidRPr="0022555D">
              <w:rPr>
                <w:rFonts w:ascii="Calibri" w:eastAsia="Calibri" w:hAnsi="Calibri" w:cs="Calibri"/>
                <w:color w:val="000000" w:themeColor="text1"/>
                <w:sz w:val="16"/>
                <w:szCs w:val="16"/>
                <w:lang w:val="en-US"/>
              </w:rPr>
              <w:fldChar w:fldCharType="end"/>
            </w:r>
          </w:p>
          <w:p w14:paraId="20D58811"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New Zealand</w:t>
            </w:r>
          </w:p>
        </w:tc>
        <w:tc>
          <w:tcPr>
            <w:tcW w:w="1576" w:type="dxa"/>
          </w:tcPr>
          <w:p w14:paraId="3AD1BF2E"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To investigate preferences for telerehabilitation for mild traumatic brain injury (</w:t>
            </w:r>
            <w:proofErr w:type="spellStart"/>
            <w:r w:rsidRPr="0022555D">
              <w:rPr>
                <w:rFonts w:ascii="Calibri" w:eastAsia="Calibri" w:hAnsi="Calibri" w:cs="Calibri"/>
                <w:color w:val="000000" w:themeColor="text1"/>
                <w:sz w:val="16"/>
                <w:szCs w:val="16"/>
                <w:lang w:val="en-US"/>
              </w:rPr>
              <w:t>mTBI</w:t>
            </w:r>
            <w:proofErr w:type="spellEnd"/>
            <w:r w:rsidRPr="0022555D">
              <w:rPr>
                <w:rFonts w:ascii="Calibri" w:eastAsia="Calibri" w:hAnsi="Calibri" w:cs="Calibri"/>
                <w:color w:val="000000" w:themeColor="text1"/>
                <w:sz w:val="16"/>
                <w:szCs w:val="16"/>
                <w:lang w:val="en-US"/>
              </w:rPr>
              <w:t>) patients</w:t>
            </w:r>
          </w:p>
        </w:tc>
        <w:tc>
          <w:tcPr>
            <w:tcW w:w="1025" w:type="dxa"/>
          </w:tcPr>
          <w:p w14:paraId="1BA01AB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682E5BA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Semi-structured focus groups/interviews of clinicians and patients</w:t>
            </w:r>
          </w:p>
        </w:tc>
        <w:tc>
          <w:tcPr>
            <w:tcW w:w="1302" w:type="dxa"/>
          </w:tcPr>
          <w:p w14:paraId="557F598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5 attributes, 3-6 levels each</w:t>
            </w:r>
          </w:p>
        </w:tc>
        <w:tc>
          <w:tcPr>
            <w:tcW w:w="3170" w:type="dxa"/>
            <w:gridSpan w:val="2"/>
          </w:tcPr>
          <w:p w14:paraId="119A88E8" w14:textId="77777777" w:rsidR="0022555D" w:rsidRPr="0022555D" w:rsidRDefault="0022555D" w:rsidP="0022555D">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22555D">
              <w:rPr>
                <w:rFonts w:ascii="Calibri" w:eastAsia="Calibri" w:hAnsi="Calibri" w:cs="Calibri"/>
                <w:color w:val="000000" w:themeColor="text1"/>
                <w:sz w:val="16"/>
                <w:szCs w:val="16"/>
                <w:lang w:val="en-US"/>
              </w:rPr>
              <w:t xml:space="preserve">People preferred </w:t>
            </w:r>
            <w:r w:rsidRPr="0022555D">
              <w:rPr>
                <w:rFonts w:ascii="Calibri" w:hAnsi="Calibri" w:cs="Calibri"/>
                <w:sz w:val="16"/>
                <w:szCs w:val="16"/>
                <w:lang w:val="en-US"/>
              </w:rPr>
              <w:t>rehabilitation rather than</w:t>
            </w:r>
          </w:p>
          <w:p w14:paraId="7082DF3B" w14:textId="77777777" w:rsidR="0022555D" w:rsidRPr="0022555D" w:rsidRDefault="0022555D" w:rsidP="0022555D">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22555D">
              <w:rPr>
                <w:rFonts w:ascii="Calibri" w:hAnsi="Calibri" w:cs="Calibri"/>
                <w:sz w:val="16"/>
                <w:szCs w:val="16"/>
                <w:lang w:val="en-US"/>
              </w:rPr>
              <w:t xml:space="preserve">no rehabilitation, with an overall preference for long telerehabilitation sessions. </w:t>
            </w:r>
          </w:p>
          <w:p w14:paraId="67BAC80D"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Theme="majorEastAsia" w:hAnsi="Calibri" w:cs="Calibri"/>
                <w:color w:val="000000" w:themeColor="text1"/>
                <w:sz w:val="16"/>
                <w:szCs w:val="16"/>
                <w:lang w:val="en-US"/>
              </w:rPr>
              <w:t>Older patients preferred consultations with their personal physician and shorter appointment wait times. They value telemedicine visits but prefer consultations in their community.</w:t>
            </w:r>
          </w:p>
        </w:tc>
      </w:tr>
      <w:tr w:rsidR="0022555D" w:rsidRPr="0022555D" w14:paraId="20460A19"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355DD8D7"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proofErr w:type="spellStart"/>
            <w:r w:rsidRPr="0022555D">
              <w:rPr>
                <w:rFonts w:asciiTheme="minorHAnsi" w:eastAsia="Calibri" w:hAnsiTheme="minorHAnsi" w:cstheme="minorHAnsi"/>
                <w:b/>
                <w:bCs/>
                <w:i w:val="0"/>
                <w:iCs w:val="0"/>
                <w:color w:val="000000" w:themeColor="text1"/>
                <w:sz w:val="16"/>
                <w:szCs w:val="26"/>
                <w:lang w:val="en-US"/>
              </w:rPr>
              <w:t>Nittas</w:t>
            </w:r>
            <w:proofErr w:type="spellEnd"/>
            <w:r w:rsidRPr="0022555D">
              <w:rPr>
                <w:rFonts w:asciiTheme="minorHAnsi" w:eastAsia="Calibri" w:hAnsiTheme="minorHAnsi" w:cstheme="minorHAnsi"/>
                <w:b/>
                <w:bCs/>
                <w:i w:val="0"/>
                <w:iCs w:val="0"/>
                <w:color w:val="000000" w:themeColor="text1"/>
                <w:sz w:val="16"/>
                <w:szCs w:val="26"/>
                <w:lang w:val="en-US"/>
              </w:rPr>
              <w:t xml:space="preserve"> et al.</w:t>
            </w:r>
          </w:p>
          <w:p w14:paraId="6C549063"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(2020)</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{"citationID":"XKyW5eHV","properties":{"formattedCitation":"[118]","plainCitation":"[118]","noteIndex":0},"citationItems":[{"id":892,"uris":["http://zotero.org/users/4007286/items/D4ZTTW9T"],"itemData":{"id":892,"type":"article-journal","abstract":"Background: The availability and use of health apps continues to increase, revolutionizing the way mobile health interventions are delivered. Apps are increasingly used to prevent disease, improve well-being, and promote healthy behavior. On a similar rise is the incidence of skin cancers. Much of the underlying risk can be prevented through behavior change and adequate sun protection. Self-monitoring apps have the potential to facilitate prevention by measuring risk (eg, sun intensity) and encouraging protective behavior (eg, seeking shade).\nObjective: Our aim was to assess health care consumer preferences for sun protection with a self-monitoring app that tracks the duration and intensity of sun exposure and provides feedback on when and how to protect the skin.\nMethods: We conducted an unlabeled discrete choice experiment with 8 unique choice tasks, in which participants chose among 2 app alternatives, consisting of 5 preidentified 2-level attributes (self-monitoring method, privacy control, data sharing with health care provides, reminder customizability, and costs) that were the result of a multistep and multistakeholder qualitative approach. Participant preferences, and thus, the relative importance of attributes and their levels were estimated using conditional logit modeling. Analyses consisted of 200 usable surveys, yielding 3196 observations.\nResults: Our respondents strongly preferred automatic over manually operated self-monitoring (odds ratio [OR] 2.37, 95% CI 2.06-2.72) and no cost over a single payment of 3 Swiss francs (OR 1.72, 95% CI 1.49-1.99). They also preferred having over not having the option of sharing their data with a health care provider of their choice (OR 1.66, 95% CI 1.40-1.97), repeated over single user consents, whenever app data are shared with commercial thirds (OR 1.57, 95% CI 1.31-1.88), and customizable over noncustomizable reminders (OR 1.30, 95% CI 1.09-1.54). While most participants favored thorough privacy infrastructures, the attribute of privacy control was a relatively weak driver of app choice. The attribute of self-monitoring method significantly interacted with gender and perceived personal usefulness of health apps, suggesting that female gender and lower perceived usefulness are associated with relatively weaker preferences for automatic self-monitoring.\nConclusions: Based on the preferences of our respondents, we found that the utility of a self-monitoring sun protection app can be increased if the app is simple and adjustable; requires minimal effort, time, or expense; and has an interoperable design and thorough privacy infrastructure. Similar features might be desirable for preventive health apps in other areas, paving the way for future discrete choice experiments. Nonetheless, to fully understand these preference dynamics, further qualitative or mixed method research on mobile self-monitoring-based sun protection and broader preventive mobile self-monitoring is required.","archive_location":"WOS:000602375300001","container-title":"JOURNAL OF MEDICAL INTERNET RESEARCH","DOI":"10.2196/18889","ISSN":"1438-8871","issue":"11","title":"Self-Monitoring App Preferences for Sun Protection: Discrete Choice Experiment Survey Analysis","volume":"22","author":[{"family":"Nittas","given":"V"},{"family":"Mütsch","given":"M"},{"family":"Braun","given":"J"},{"family":"Puhan","given":"MA"}],"issued":{"date-parts":[["2020",11,27]]}}}],"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[118]</w:t>
            </w:r>
            <w:r w:rsidRPr="0022555D">
              <w:rPr>
                <w:rFonts w:asciiTheme="minorHAnsi" w:eastAsia="Calibri" w:hAnsiTheme="minorHAnsi" w:cstheme="minorHAnsi"/>
                <w:color w:val="000000" w:themeColor="text1"/>
                <w:sz w:val="16"/>
                <w:szCs w:val="26"/>
                <w:lang w:val="en-US"/>
              </w:rPr>
              <w:fldChar w:fldCharType="end"/>
            </w:r>
          </w:p>
          <w:p w14:paraId="03340F78"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Switzerland</w:t>
            </w:r>
          </w:p>
        </w:tc>
        <w:tc>
          <w:tcPr>
            <w:tcW w:w="1576" w:type="dxa"/>
          </w:tcPr>
          <w:p w14:paraId="7F42187A"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Asses healthcare consumer preferences for sun protection with self-monitoring app</w:t>
            </w:r>
          </w:p>
        </w:tc>
        <w:tc>
          <w:tcPr>
            <w:tcW w:w="1025" w:type="dxa"/>
          </w:tcPr>
          <w:p w14:paraId="25B1EEC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3621BBEE"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Scoping review, review of systematic reviews and individual interviews with expert and healthcare consumers</w:t>
            </w:r>
          </w:p>
          <w:p w14:paraId="4733746C"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1C0640B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5 attributes, 2 levels each</w:t>
            </w:r>
          </w:p>
        </w:tc>
        <w:tc>
          <w:tcPr>
            <w:tcW w:w="3170" w:type="dxa"/>
            <w:gridSpan w:val="2"/>
          </w:tcPr>
          <w:p w14:paraId="36ED21B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Respondents showed a preference for automatic self-monitoring over manual methods and no cost over single payment. </w:t>
            </w:r>
          </w:p>
          <w:p w14:paraId="4232572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Privacy control was a relatively weak determinant of app choice. </w:t>
            </w:r>
          </w:p>
        </w:tc>
      </w:tr>
      <w:tr w:rsidR="0022555D" w:rsidRPr="0022555D" w14:paraId="2B7160BB"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39FE2AE3"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proofErr w:type="spellStart"/>
            <w:r w:rsidRPr="0022555D">
              <w:rPr>
                <w:rFonts w:asciiTheme="minorHAnsi" w:eastAsia="Calibri" w:hAnsiTheme="minorHAnsi" w:cstheme="minorHAnsi"/>
                <w:b/>
                <w:bCs/>
                <w:i w:val="0"/>
                <w:iCs w:val="0"/>
                <w:color w:val="000000" w:themeColor="text1"/>
                <w:sz w:val="16"/>
                <w:szCs w:val="26"/>
                <w:lang w:val="en-US"/>
              </w:rPr>
              <w:t>O’Philbin</w:t>
            </w:r>
            <w:proofErr w:type="spellEnd"/>
            <w:r w:rsidRPr="0022555D">
              <w:rPr>
                <w:rFonts w:asciiTheme="minorHAnsi" w:eastAsia="Calibri" w:hAnsiTheme="minorHAnsi" w:cstheme="minorHAnsi"/>
                <w:b/>
                <w:bCs/>
                <w:i w:val="0"/>
                <w:iCs w:val="0"/>
                <w:color w:val="000000" w:themeColor="text1"/>
                <w:sz w:val="16"/>
                <w:szCs w:val="26"/>
                <w:lang w:val="en-US"/>
              </w:rPr>
              <w:t xml:space="preserve"> et al. (2018)</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{"citationID":"fBvrY4pX","properties":{"formattedCitation":"[81]","plainCitation":"[81]","noteIndex":0},"citationItems":[{"id":718,"uris":["http://zotero.org/users/4007286/items/4GDJZJ6L"],"itemData":{"id":718,"type":"article-journal","abstract":"Objectives: Little is understood about the optimal way to implement digital life story work (LSW). The aim of this research was to explore the preferences of people with dementia and caregivers in relation to digital LSW in an effort to improve future engagement. Methods: 67 caregivers responded to an online discrete choice experiment (DCE) survey containing 16 pairwise choices. The DCE was analysed using a random effects logit model. Willingness to pay and odds ratios were also calculated. 17 participants with dementia completed an online survey in which they made choices about different aspects of digital LSW services. Results: Caregivers valued four out of five attributes [setting (p = 0.000), price (p = 0.000), elementary usability and accessibility (p = 0.001), and follow-up assistance (p = 0.034)]. In data from participants with dementia, the most preferred setting was individual one-to-one (70.6%), and the most preferred use of digital life storybooks was to share memories with others (64.7%). Marginally more participants with dementia said they would pay for the service (53%) rather than only use it free of charge (47%). Those with advanced ICT skills preferred to learn how to use the digital life storybook (64.7%), while those with elementary/intermediate skills, preferred to have it created for them (35.3%). Conclusions: This exploratory study provides an insight into preferences of people with dementia and caregivers, of how digital LSW is implemented. Results can contribute to future planning and tailoring of these services.","archive":"ccm","container-title":"Aging &amp; Mental Health","DOI":"10.1080/13607863.2018.1525606","ISSN":"1360-7863","issue":"2","journalAbbreviation":"Aging &amp; Mental Health","page":"353-361","source":"EBSCOhost","title":"People with dementia and caregiver preferences for digital life story work service interventions. A discrete choice experiment and digital survey.","volume":"24","author":[{"family":"O'Philbin","given":"Laura"},{"family":"Woods","given":"Bob"},{"family":"Holmes","given":"Emily"}],"issued":{"date-parts":[["2020",2]]}}}],"schema":"https://github.com/citation-style-language/schema/raw/master/csl-citation.json"}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[81]</w:t>
            </w:r>
            <w:r w:rsidRPr="0022555D">
              <w:rPr>
                <w:rFonts w:asciiTheme="minorHAnsi" w:eastAsia="Calibri" w:hAnsiTheme="minorHAnsi" w:cstheme="minorHAnsi"/>
                <w:color w:val="000000" w:themeColor="text1"/>
                <w:sz w:val="16"/>
                <w:szCs w:val="26"/>
                <w:lang w:val="en-US"/>
              </w:rPr>
              <w:fldChar w:fldCharType="end"/>
            </w:r>
          </w:p>
          <w:p w14:paraId="66C01D14"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UK</w:t>
            </w:r>
          </w:p>
        </w:tc>
        <w:tc>
          <w:tcPr>
            <w:tcW w:w="1576" w:type="dxa"/>
          </w:tcPr>
          <w:p w14:paraId="73288791"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explore the preferences of people with dementia and caregivers in</w:t>
            </w:r>
          </w:p>
          <w:p w14:paraId="74E5B6D1"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relation to digital life story work (LSW) in an effort to improve future engagement</w:t>
            </w:r>
          </w:p>
        </w:tc>
        <w:tc>
          <w:tcPr>
            <w:tcW w:w="1025" w:type="dxa"/>
          </w:tcPr>
          <w:p w14:paraId="2BA3546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33E9E396"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Previous research by the authors and discussions with an experienced clinical psychologist and LSW service</w:t>
            </w:r>
          </w:p>
          <w:p w14:paraId="2ECCC81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0125B31E"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5 attributes, 2-3 levels each</w:t>
            </w:r>
          </w:p>
        </w:tc>
        <w:tc>
          <w:tcPr>
            <w:tcW w:w="3170" w:type="dxa"/>
            <w:gridSpan w:val="2"/>
          </w:tcPr>
          <w:p w14:paraId="1E552A51"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Participants with dementia preferred one-to-one sessions at home. </w:t>
            </w:r>
          </w:p>
          <w:p w14:paraId="4445238B"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Preferences varied based on participants' ICT skills, with those having advanced skills opting for independent learning.</w:t>
            </w:r>
          </w:p>
        </w:tc>
      </w:tr>
      <w:tr w:rsidR="0022555D" w:rsidRPr="0022555D" w14:paraId="696767E1"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37989DE8"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Park et al.</w:t>
            </w:r>
          </w:p>
          <w:p w14:paraId="74EE9B0E"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(2011)</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{"citationID":"WQKWnD9Q","properties":{"formattedCitation":"[103]","plainCitation":"[103]","noteIndex":0},"citationItems":[{"id":834,"uris":["http://zotero.org/users/4007286/items/F9WPWQPQ"],"itemData":{"id":834,"type":"article-journal","abstract":"Objective: Attempts to introduce telemedicine in South Korea have failed mostly, leaving critical questions for service developers and providers about whether patients would be willing to pay for the service and how the service should be designed to encourage patient buy-in. In this study, we explore patients' valuations and preferences for each attribute of telemedicine service for diabetes management and evaluate patient willingness to pay for specific service attributes. Materials and Methods: We conducted a conjoint survey to collect data on patients' stated preferences among telemedicine service alternatives. The alternatives for diabetes-related service differed in 10 attributes, including those related to price, type of service provider, and service scope. To estimate the relative importance of attributes, patients' willingness to pay for each attribute, and their probable choice of specific alternatives, we used a rank-ordered logit model. A total of 118 respondents participated in the survey. Results: All 10 attributes significantly affected patients' valuations and preferences, and demographic and disease characteristics, such as existence of complications and comorbidities, significantly affected patients' valuations of the attributes. Price was the most important attribute, followed by comprehensive scope of service, the availability of mobile phone-based delivery, and large general-hospital provided services. Conclusions: The study findings have significant implications for adoption policy and strategy of telemedicine in diabetes management care. Further, the methodology presented in this study can be used to draw knowledge needed to formulate effective policy for adoption of the necessary technology and for the design of services that attract potential beneficiaries.","archive_location":"WOS:000292872100009","container-title":"TELEMEDICINE AND E-HEALTH","DOI":"10.1089/tmj.2010.0201","ISSN":"1530-5627","issue":"6","page":"442-451","title":"Service Design Attributes Affecting Diabetic Patient Preferences of Telemedicine in South Korea","volume":"17","author":[{"family":"Park","given":"H"},{"family":"Chon","given":"Y"},{"family":"Lee","given":"J"},{"family":"Choi","given":"IJ"},{"family":"Yoon","given":"KH"}],"issued":{"date-parts":[["2011",7]]}}}],"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[103]</w:t>
            </w:r>
            <w:r w:rsidRPr="0022555D">
              <w:rPr>
                <w:rFonts w:asciiTheme="minorHAnsi" w:eastAsia="Calibri" w:hAnsiTheme="minorHAnsi" w:cstheme="minorHAnsi"/>
                <w:color w:val="000000" w:themeColor="text1"/>
                <w:sz w:val="16"/>
                <w:szCs w:val="26"/>
                <w:lang w:val="en-US"/>
              </w:rPr>
              <w:fldChar w:fldCharType="end"/>
            </w:r>
          </w:p>
          <w:p w14:paraId="00BF56C2"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South Korea</w:t>
            </w:r>
          </w:p>
        </w:tc>
        <w:tc>
          <w:tcPr>
            <w:tcW w:w="1576" w:type="dxa"/>
          </w:tcPr>
          <w:p w14:paraId="47700EE4"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explore patients’ valuations and preferences for telemedicine attributes in diabetes management and evaluates their willingness to pay for specific services features</w:t>
            </w:r>
          </w:p>
          <w:p w14:paraId="30F8266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025" w:type="dxa"/>
          </w:tcPr>
          <w:p w14:paraId="3AE73AF4"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Conjoint Analysis</w:t>
            </w:r>
          </w:p>
        </w:tc>
        <w:tc>
          <w:tcPr>
            <w:tcW w:w="1275" w:type="dxa"/>
          </w:tcPr>
          <w:p w14:paraId="53CD792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Literature review and discussions with team members, diabetes-care practitioners</w:t>
            </w:r>
          </w:p>
        </w:tc>
        <w:tc>
          <w:tcPr>
            <w:tcW w:w="1302" w:type="dxa"/>
          </w:tcPr>
          <w:p w14:paraId="0CAED20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10 attributes, 2-3 levels each</w:t>
            </w:r>
          </w:p>
        </w:tc>
        <w:tc>
          <w:tcPr>
            <w:tcW w:w="3170" w:type="dxa"/>
            <w:gridSpan w:val="2"/>
          </w:tcPr>
          <w:p w14:paraId="29BCE543"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All 10 attributes impacted patients' valuations, with price being the most important. </w:t>
            </w:r>
          </w:p>
          <w:p w14:paraId="4EB3F91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The only insignificant variable was for hospital-based providers. </w:t>
            </w:r>
          </w:p>
        </w:tc>
      </w:tr>
      <w:tr w:rsidR="0022555D" w:rsidRPr="0022555D" w14:paraId="4BD4B365"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3F0906FE"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Phillips et al.</w:t>
            </w:r>
          </w:p>
          <w:p w14:paraId="585E1976"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(2021)</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{"citationID":"Wd99oSaI","properties":{"formattedCitation":"[114]","plainCitation":"[114]","noteIndex":0},"citationItems":[{"id":891,"uris":["http://zotero.org/users/4007286/items/2S8VJ388"],"itemData":{"id":891,"type":"article-journal","abstract":"Objectives: Recent evidence suggests that e-mental health interventions can be effective at improving mental health but that there is still a notable hesitation among patients to use them. Previous research has revealed that they are perceived by patients as being less helpful than face-to-face psychotherapy. The reasons for this unfavorable perception are, however, not yet well understood. The aim of our study was to address this question by eliciting preferences for individual components of e-mental health interventions in a discrete choice experiment.Methods: Using a stepwise qualitative approach, we developed the following 5 attributes of eMHIs: introductory training, human contact, peer support, proven effectiveness, content delivery, and price. Additionally, we asked questions about respondents' demographics, attitudes, and previous experience of traditional psychotherapy, as well as their distress level.Results: A total of 1984 respondents completed the survey. Using mixed logit models, we found that personal contact with a psychotherapist in blended care, proven effectiveness, and low price were highly valued by participants. Participants were indifferent toward the mode of content delivery but showed a slight preference for introductory training via phone, as well as for peer support via online forum alongside coach-led group meetings on site.Discussion: Our results suggest a clear preference for blended care that includes face-to-face contact with a psychotherapist. This preference remained stable irrespective of sociodemographics, previous experience of psychotherapy, distress level, and the 2 context scenarios used in our discrete choice experiment. Further investigations looking at the potential benefits and risks of blended care are needed.","archive":"ccm","container-title":"Value in Health","DOI":"10.1016/j.jval.2020.09.018","ISSN":"1098-3015","issue":"3","journalAbbreviation":"Value in Health","page":"421-430","source":"EBSCOhost","title":"Preferences for e-Mental Health Interventions in Germany: A Discrete Choice Experiment.","volume":"24","author":[{"family":"Phillips","given":"Elena A."},{"family":"Himmler","given":"Sebastian F."},{"family":"Schreyögg","given":"Jonas"}],"issued":{"date-parts":[["2021",3]]}}}],"schema":"https://github.com/citation-style-language/schema/raw/master/csl-citation.json"}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[114]</w:t>
            </w:r>
            <w:r w:rsidRPr="0022555D">
              <w:rPr>
                <w:rFonts w:asciiTheme="minorHAnsi" w:eastAsia="Calibri" w:hAnsiTheme="minorHAnsi" w:cstheme="minorHAnsi"/>
                <w:color w:val="000000" w:themeColor="text1"/>
                <w:sz w:val="16"/>
                <w:szCs w:val="26"/>
                <w:lang w:val="en-US"/>
              </w:rPr>
              <w:fldChar w:fldCharType="end"/>
            </w:r>
          </w:p>
          <w:p w14:paraId="2D039FE1"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Germany</w:t>
            </w:r>
          </w:p>
        </w:tc>
        <w:tc>
          <w:tcPr>
            <w:tcW w:w="1576" w:type="dxa"/>
          </w:tcPr>
          <w:p w14:paraId="7F1956A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To understand why </w:t>
            </w:r>
            <w:proofErr w:type="gramStart"/>
            <w:r w:rsidRPr="0022555D">
              <w:rPr>
                <w:rFonts w:asciiTheme="minorHAnsi" w:eastAsia="Calibri" w:hAnsiTheme="minorHAnsi" w:cstheme="minorHAnsi"/>
                <w:color w:val="000000" w:themeColor="text1"/>
                <w:sz w:val="16"/>
                <w:szCs w:val="26"/>
                <w:lang w:val="en-US"/>
              </w:rPr>
              <w:t>patients</w:t>
            </w:r>
            <w:proofErr w:type="gramEnd"/>
            <w:r w:rsidRPr="0022555D">
              <w:rPr>
                <w:rFonts w:asciiTheme="minorHAnsi" w:eastAsia="Calibri" w:hAnsiTheme="minorHAnsi" w:cstheme="minorHAnsi"/>
                <w:color w:val="000000" w:themeColor="text1"/>
                <w:sz w:val="16"/>
                <w:szCs w:val="26"/>
                <w:lang w:val="en-US"/>
              </w:rPr>
              <w:t xml:space="preserve"> perceive e-mental health interventions as less helpful than face-to-face psychotherapy by eliciting preferences for individual components of e-mental health interventions</w:t>
            </w:r>
          </w:p>
        </w:tc>
        <w:tc>
          <w:tcPr>
            <w:tcW w:w="1025" w:type="dxa"/>
          </w:tcPr>
          <w:p w14:paraId="0A1EFFD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DCE </w:t>
            </w:r>
          </w:p>
        </w:tc>
        <w:tc>
          <w:tcPr>
            <w:tcW w:w="1275" w:type="dxa"/>
          </w:tcPr>
          <w:p w14:paraId="6248CE04"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Literature review and individual interviews with</w:t>
            </w:r>
            <w:r w:rsidRPr="0022555D">
              <w:rPr>
                <w:rFonts w:asciiTheme="minorHAnsi" w:eastAsiaTheme="majorEastAsia" w:hAnsiTheme="minorHAnsi" w:cstheme="minorHAnsi"/>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t>experts from research and practice in mental health</w:t>
            </w:r>
          </w:p>
          <w:p w14:paraId="1E14482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0B2175DD"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6 attributes, 2-4 levels each</w:t>
            </w:r>
          </w:p>
        </w:tc>
        <w:tc>
          <w:tcPr>
            <w:tcW w:w="3170" w:type="dxa"/>
            <w:gridSpan w:val="2"/>
          </w:tcPr>
          <w:p w14:paraId="1DB34367"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There is a consistent preference for blended care, including face-to-face interaction. </w:t>
            </w:r>
          </w:p>
          <w:p w14:paraId="012D8F07"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Additional results included a preference for phone communication and a strong inclination towards reduced or no monthly costs. </w:t>
            </w:r>
          </w:p>
        </w:tc>
      </w:tr>
      <w:tr w:rsidR="0022555D" w:rsidRPr="0022555D" w14:paraId="649418A3"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39F2F7D8"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Qureshi et al.</w:t>
            </w:r>
          </w:p>
          <w:p w14:paraId="391AE9B8"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(2006)</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{"citationID":"RLEmtq8B","properties":{"formattedCitation":"[50]","plainCitation":"[50]","noteIndex":0},"citationItems":[{"id":832,"uris":["http://zotero.org/users/4007286/items/PNJRUAEH"],"itemData":{"id":832,"type":"article-journal","abstract":"The objective of this study was to evaluate willingness-to-pay stated preferences for telemedicine versus in-person clinic visits in patients with a history of psoriasis or melanoma. Face-to-face interviews were conducted with 92 (n = 92) adult participants with a history of psoriasis or melanoma recruited primarily from hospital-based dermatology practices. Data were collected on patient demographics and willingness-to-pay responses. In a combined analysis for patients with melanoma and psoriasis, 73% of participants preferred telemedicine over in-person visits if access to the physician was quicker. The majority of those choosing telemedicine (95%) were also willing to pay a median of $25 ($5 -$500) out-of-pocket. When time to see a physician was held constant for telemedicine and in-person visits, 19% of participants preferred telemedicine and about 58% of these participants were willing to pay a median of $25 ($10-$125) out-of-pocket. This preliminary work suggests that dermatology patients prefer telemedicine if this modality provides quicker access to their physician.","archive_location":"WOS:000243752700020","container-title":"TELEMEDICINE JOURNAL AND E-HEALTH","DOI":"10.1089/tmj.2006.12.639","ISSN":"1530-5627","issue":"6","page":"639-643","title":"Willingness-to-pay stated preferences for telemedicine versus in-person visits in patients with a history of psoriasis or melanoma","volume":"12","author":[{"family":"Qureshi","given":"AA"},{"family":"Brandling-Bennett","given":"HA"},{"family":"Wittenberg","given":"E"},{"family":"Chen","given":"SC"},{"family":"Sober","given":"AJ"},{"family":"Kvedar","given":"JC"}],"issued":{"date-parts":[["2006",12]]}}}],"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[50]</w:t>
            </w:r>
            <w:r w:rsidRPr="0022555D">
              <w:rPr>
                <w:rFonts w:asciiTheme="minorHAnsi" w:eastAsia="Calibri" w:hAnsiTheme="minorHAnsi" w:cstheme="minorHAnsi"/>
                <w:color w:val="000000" w:themeColor="text1"/>
                <w:sz w:val="16"/>
                <w:szCs w:val="26"/>
                <w:lang w:val="en-US"/>
              </w:rPr>
              <w:fldChar w:fldCharType="end"/>
            </w:r>
          </w:p>
          <w:p w14:paraId="5884FFEC"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USA</w:t>
            </w:r>
          </w:p>
        </w:tc>
        <w:tc>
          <w:tcPr>
            <w:tcW w:w="1576" w:type="dxa"/>
          </w:tcPr>
          <w:p w14:paraId="015AF6E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evaluate willingness-to-pay stated preferences for telemedicine versus in-person clinic in patients with a history of psoriasis or melanoma</w:t>
            </w:r>
          </w:p>
          <w:p w14:paraId="19BE9A3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025" w:type="dxa"/>
          </w:tcPr>
          <w:p w14:paraId="402E0BF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Contingent valuation</w:t>
            </w:r>
          </w:p>
        </w:tc>
        <w:tc>
          <w:tcPr>
            <w:tcW w:w="1275" w:type="dxa"/>
          </w:tcPr>
          <w:p w14:paraId="418DD09E"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7889235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3170" w:type="dxa"/>
            <w:gridSpan w:val="2"/>
          </w:tcPr>
          <w:p w14:paraId="401EFBE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73% of patients preferred telemedicine to in-person visits for quicker access to a physician.</w:t>
            </w:r>
          </w:p>
          <w:p w14:paraId="7FB1D70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When physician access time was the same for both telemedicine and in-person visits, 19% preferred telemedicine.</w:t>
            </w:r>
          </w:p>
        </w:tc>
      </w:tr>
      <w:tr w:rsidR="0022555D" w:rsidRPr="0022555D" w14:paraId="2F774575"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20821C47" w14:textId="77777777" w:rsidR="0022555D" w:rsidRPr="0022555D" w:rsidRDefault="0022555D" w:rsidP="0022555D">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22555D">
              <w:rPr>
                <w:rFonts w:ascii="Calibri" w:eastAsia="Calibri" w:hAnsi="Calibri" w:cs="Calibri"/>
                <w:b/>
                <w:bCs/>
                <w:i w:val="0"/>
                <w:iCs w:val="0"/>
                <w:color w:val="000000" w:themeColor="text1"/>
                <w:sz w:val="16"/>
                <w:szCs w:val="16"/>
                <w:lang w:val="en-US"/>
              </w:rPr>
              <w:lastRenderedPageBreak/>
              <w:t xml:space="preserve">Ride et al. (2025)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{"citationID":"ADtZgkR7","properties":{"unsorted":false,"formattedCitation":"[71]","plainCitation":"[71]","noteIndex":0},"citationItems":[{"id":120,"uris":["http://zotero.org/users/4007286/items/DP86YEAX"],"itemData":{"id":120,"type":"article-journal","abstract":"Objectives: This study examines the role of mental health in consumer healthcare choices, using a discrete choice experiment to analyze choices regarding routine primary care visits in Australia. It captures mental health through 3 variables: self-reported current mental health condition and clinically validated measures of depression and anxiety symptoms, the Patient Health Questionnaire-9 capturing depression, and the Generalized Anxiety Disorder 7-item scale capturing anxiety. Methods: Data were collected during November and December 2021 from a sample (N = 568) representative of the Australian population in age, gender, and location. Participants made hypothetical choices between in-person and telehealth alternatives or a no-visit alternative. Alternatives were described in terms of general practitioner familiarity, out-of-pocket cost, wait time, waiting area size, mask requirements, and modality of telehealth. Results: The results suggest that symptoms of depression and anxiety could affect healthcare choices with opposite direction of effect on uptake and distinct from the presence of a mental health condition. Conclusions: These findings support the need for more careful consideration of the role of mental health in the analysis of discrete choice experiments, particularly in healthcare, including a better understanding of the mechanisms and time-varying nature of any effect.","archive":"Embase","container-title":"Value in Health","DOI":"10.1016/j.jval.2025.03.001","ISSN":"1524-4733","issue":"7","journalAbbreviation":"Value Health","language":"English","page":"1100-1109","title":"The Role of Mental Health in Healthcare Choices: A Discrete Choice Experiment Examining Preferences for Primary Care","volume":"28","author":[{"family":"Ride","given":"J."},{"family":"Lancsar","given":"E."},{"family":"Ozols","given":"I."}],"issued":{"date-parts":[["2025"]]}}}],"schema":"https://github.com/citation-style-language/schema/raw/master/csl-citation.json"}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[71]</w:t>
            </w:r>
            <w:r w:rsidRPr="0022555D">
              <w:rPr>
                <w:rFonts w:ascii="Calibri" w:eastAsia="Calibri" w:hAnsi="Calibri" w:cs="Calibri"/>
                <w:color w:val="000000" w:themeColor="text1"/>
                <w:sz w:val="16"/>
                <w:szCs w:val="16"/>
                <w:lang w:val="en-US"/>
              </w:rPr>
              <w:fldChar w:fldCharType="end"/>
            </w:r>
          </w:p>
          <w:p w14:paraId="3A839B52"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Australia</w:t>
            </w:r>
          </w:p>
        </w:tc>
        <w:tc>
          <w:tcPr>
            <w:tcW w:w="1576" w:type="dxa"/>
          </w:tcPr>
          <w:p w14:paraId="65EA763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To assess how mental health influences individuals’ preferences among healthcare utilization options, (in-person visits, telehealth services, and foregoing care)</w:t>
            </w:r>
          </w:p>
        </w:tc>
        <w:tc>
          <w:tcPr>
            <w:tcW w:w="1025" w:type="dxa"/>
          </w:tcPr>
          <w:p w14:paraId="6EC655F3"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49DC450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Literature review, qualitative interviews</w:t>
            </w:r>
          </w:p>
        </w:tc>
        <w:tc>
          <w:tcPr>
            <w:tcW w:w="1302" w:type="dxa"/>
          </w:tcPr>
          <w:p w14:paraId="22514A8E"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6 attributes, 2-4 levels each</w:t>
            </w:r>
          </w:p>
        </w:tc>
        <w:tc>
          <w:tcPr>
            <w:tcW w:w="3170" w:type="dxa"/>
            <w:gridSpan w:val="2"/>
          </w:tcPr>
          <w:p w14:paraId="23A5ECB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 xml:space="preserve">Higher depression levels were associated with a lower preference for telehealth. </w:t>
            </w:r>
            <w:r w:rsidRPr="0022555D">
              <w:rPr>
                <w:rFonts w:ascii="Calibri" w:eastAsiaTheme="majorEastAsia" w:hAnsi="Calibri" w:cs="Calibri"/>
                <w:color w:val="000000"/>
                <w:sz w:val="16"/>
                <w:szCs w:val="16"/>
                <w:lang w:val="en-US"/>
              </w:rPr>
              <w:t xml:space="preserve"> </w:t>
            </w:r>
            <w:r w:rsidRPr="0022555D">
              <w:rPr>
                <w:rFonts w:ascii="Calibri" w:eastAsia="Calibri" w:hAnsi="Calibri" w:cs="Calibri"/>
                <w:color w:val="000000" w:themeColor="text1"/>
                <w:sz w:val="16"/>
                <w:szCs w:val="16"/>
                <w:lang w:val="en-US"/>
              </w:rPr>
              <w:t>Anxiety increased the likelihood of choosing telehealth and possibly in-person care.</w:t>
            </w:r>
            <w:r w:rsidRPr="0022555D">
              <w:rPr>
                <w:rFonts w:ascii="Calibri" w:eastAsiaTheme="majorEastAsia" w:hAnsi="Calibri" w:cs="Calibri"/>
                <w:color w:val="000000"/>
                <w:sz w:val="16"/>
                <w:szCs w:val="16"/>
                <w:lang w:val="en-US"/>
              </w:rPr>
              <w:t xml:space="preserve"> </w:t>
            </w:r>
            <w:r w:rsidRPr="0022555D">
              <w:rPr>
                <w:rFonts w:ascii="Calibri" w:eastAsia="Calibri" w:hAnsi="Calibri" w:cs="Calibri"/>
                <w:color w:val="000000" w:themeColor="text1"/>
                <w:sz w:val="16"/>
                <w:szCs w:val="16"/>
                <w:lang w:val="en-US"/>
              </w:rPr>
              <w:t>Individuals with a mental health condition were less willing to wait for care. Overall, individuals showed a preference for telehealth over opting out of care.</w:t>
            </w:r>
          </w:p>
        </w:tc>
      </w:tr>
      <w:tr w:rsidR="0022555D" w:rsidRPr="0022555D" w14:paraId="338194B9"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0DB06197"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Calibri" w:eastAsia="Calibri" w:hAnsi="Calibri" w:cs="Calibri"/>
                <w:b/>
                <w:bCs/>
                <w:i w:val="0"/>
                <w:iCs w:val="0"/>
                <w:color w:val="000000" w:themeColor="text1"/>
                <w:sz w:val="16"/>
                <w:szCs w:val="16"/>
                <w:lang w:val="en-US"/>
              </w:rPr>
              <w:t>Ross et al. (2026)</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{"citationID":"FUpsObZl","properties":{"unsorted":false,"formattedCitation":"[76]","plainCitation":"[76]","noteIndex":0},"citationItems":[{"id":385,"uris":["http://zotero.org/users/4007286/items/Q4T38X8F"],"itemData":{"id":385,"type":"article-journal","abstract":"Objective:To investigate the key factors that influence patients' preferences for telerehabilitation consultations in comparison to traditional in-person physiotherapy consultations and explore how these factors vary across different patient demographic characteristics. Methods: A binary discrete choice experiment was conducted with 152 participants who had participated in physiotherapy. The primary outcome measures were the attributes related to telerehabilitation and in-person consultations, including appointment duration, cost, distance, purpose, therapist, time of day, and wait time. Participants' preferences were assessed based on their choices in the binary choice experiment. Results: The study did not identify any attributes of consultations that clearly influenced patients' preference for telerehabilitation versus in-person physiotherapy. There was a trend towards preferring telerehabilitation with decreased appointment wait times and lower monetary costs. Patient demographics revealed that individuals with a single chronic health condition were clearly less inclined towards telerehabilitation (OR = 0.5, 95% CI 0.27-0.93), as were those located in outer regional locations (OR = 0.34, 95% CI 0.12-0.99). Additionally, respondents preferring a short 5 km travel distance showed markedly lower preference for telerehabilitation (beta TelerehabxDistance_5km = -0.94, 95% CI -4.34 to -0.51, p &lt; 0.001). Conclusion: To enable broader access to physiotherapy via telerehabilitation, clinicians, and policymakers should prioritize offering timely and cost-effective sessions. The results of this study can then inform the development of telerehabilitation offerings that are better matched to patient preferences.","archive_location":"WOS:001433012300001","container-title":"PHYSIOTHERAPY RESEARCH INTERNATIONAL","DOI":"10.1002/pri.70042","ISSN":"1358-2267","issue":"2","language":"English","title":"Patient Preferences for Telerehabilitation Compared to In-Person Physiotherapy: A Binary Discrete Choice Experiment","volume":"30","author":[{"family":"Ross","given":"MH"},{"family":"Simmich","given":"J"},{"family":"Magor","given":"T"},{"family":"Russell","given":"T"}],"issued":{"date-parts":[["2025",4]]}}}],"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[76]</w:t>
            </w:r>
            <w:r w:rsidRPr="0022555D">
              <w:rPr>
                <w:rFonts w:ascii="Calibri" w:eastAsia="Calibri" w:hAnsi="Calibri" w:cs="Calibri"/>
                <w:color w:val="000000" w:themeColor="text1"/>
                <w:sz w:val="16"/>
                <w:szCs w:val="16"/>
                <w:lang w:val="en-US"/>
              </w:rPr>
              <w:fldChar w:fldCharType="end"/>
            </w:r>
            <w:r w:rsidRPr="0022555D">
              <w:rPr>
                <w:rFonts w:ascii="Calibri" w:eastAsia="Calibri" w:hAnsi="Calibri" w:cs="Calibri"/>
                <w:color w:val="000000" w:themeColor="text1"/>
                <w:sz w:val="16"/>
                <w:szCs w:val="16"/>
                <w:lang w:val="en-US"/>
              </w:rPr>
              <w:br/>
              <w:t>Australia</w:t>
            </w:r>
          </w:p>
        </w:tc>
        <w:tc>
          <w:tcPr>
            <w:tcW w:w="1576" w:type="dxa"/>
          </w:tcPr>
          <w:p w14:paraId="429C874A"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To investigate patients' preferences for telerehabilitation consultations versus traditional in‐person physiotherapy consultations</w:t>
            </w:r>
          </w:p>
        </w:tc>
        <w:tc>
          <w:tcPr>
            <w:tcW w:w="1025" w:type="dxa"/>
          </w:tcPr>
          <w:p w14:paraId="09FF0CE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189DFC44"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Literature review</w:t>
            </w:r>
          </w:p>
        </w:tc>
        <w:tc>
          <w:tcPr>
            <w:tcW w:w="1302" w:type="dxa"/>
          </w:tcPr>
          <w:p w14:paraId="7FE37F16"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7 attributes, 2-4 levels each</w:t>
            </w:r>
          </w:p>
        </w:tc>
        <w:tc>
          <w:tcPr>
            <w:tcW w:w="3170" w:type="dxa"/>
            <w:gridSpan w:val="2"/>
          </w:tcPr>
          <w:p w14:paraId="558F6CA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 xml:space="preserve">No consultation attributes clearly drove preferences between telerehabilitation and in-person physiotherapy. </w:t>
            </w:r>
          </w:p>
          <w:p w14:paraId="7A47E74E"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 xml:space="preserve">Tendency to prefer telerehabilitation when wait times and costs were lower. </w:t>
            </w:r>
          </w:p>
        </w:tc>
      </w:tr>
      <w:tr w:rsidR="0022555D" w:rsidRPr="0022555D" w14:paraId="657BE7D1"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0D333A94"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Savira et al.</w:t>
            </w:r>
          </w:p>
          <w:p w14:paraId="015AEA2E"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(2023)</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{"citationID":"5jvexUZv","properties":{"formattedCitation":"[64]","plainCitation":"[64]","noteIndex":0},"citationItems":[{"id":2279,"uris":["http://zotero.org/users/4007286/items/Q5V949S4"],"itemData":{"id":2279,"type":"article-journal","abstract":"This study aims to elicit consumer preferences regarding telehealth and face-to-face consultations in Australia. It used a discrete choice experiment, presenting participants with a series of hypothetical choices, and based on their responses, infer what is most important to them. Data were analysed using conditional logit regression and latent class analysis. A total of 1,025 participants completed the survey, considering four different clinical scenarios. Face-to-face contacts were, on average, preferred to either telephone or video services. However, telehealth was identified as an attractive option if it prevents significant travel and can be conducted with a familiar doctor. Participants were strongly driven by cost, particularly greater than $30. Telehealth was least preferred for situations involving a new and unknown physical symptom, and relatively more preferred for surgical follow-up. The latent class analysis demonstrates only 15.9% of participants appeared unwilling to consider telehealth. The findings of this study suggest that meeting the needs of the Australian population requires a blended approach to service delivery, with telehealth being valued in a range of clinical scenarios. Price sensitivity was evident, therefore if telehealth services can be delivered with lower patient cost, then they are likely to be attractive.","archive":"Embase","container-title":"PLoS ONE","DOI":"10.1371/journal.pone.0283821","ISSN":"1932-6203","issue":"3 MARCH","journalAbbreviation":"PLoS ONE","language":"English","title":"Consumer preferences for telehealth in Australia: A discrete choice experiment","URL":"https://www.embase.com/search/results?subaction=viewrecord&amp;id=L2023670457&amp;from=export","volume":"18","author":[{"family":"Savira","given":"F."},{"family":"Robinson","given":"S."},{"family":"Toll","given":"K."},{"family":"Spark","given":"L."},{"family":"Thomas","given":"E."},{"family":"Nesbitt","given":"J."},{"family":"Frean","given":"I."},{"family":"Norman","given":"R."}],"issued":{"date-parts":[["2023"]]}}}],"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[64]</w:t>
            </w:r>
            <w:r w:rsidRPr="0022555D">
              <w:rPr>
                <w:rFonts w:asciiTheme="minorHAnsi" w:eastAsia="Calibri" w:hAnsiTheme="minorHAnsi" w:cstheme="minorHAnsi"/>
                <w:color w:val="000000" w:themeColor="text1"/>
                <w:sz w:val="16"/>
                <w:szCs w:val="26"/>
                <w:lang w:val="en-US"/>
              </w:rPr>
              <w:fldChar w:fldCharType="end"/>
            </w:r>
          </w:p>
          <w:p w14:paraId="17D692D9"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Australia</w:t>
            </w:r>
          </w:p>
        </w:tc>
        <w:tc>
          <w:tcPr>
            <w:tcW w:w="1576" w:type="dxa"/>
          </w:tcPr>
          <w:p w14:paraId="1DCC41C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elicit consumer preferences regarding telehealth and face-to-face consultations in Australia</w:t>
            </w:r>
          </w:p>
          <w:p w14:paraId="40048EC7"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025" w:type="dxa"/>
          </w:tcPr>
          <w:p w14:paraId="09E646D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62378BFA"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Analyses of qualitative data and clinical input </w:t>
            </w:r>
          </w:p>
        </w:tc>
        <w:tc>
          <w:tcPr>
            <w:tcW w:w="1302" w:type="dxa"/>
          </w:tcPr>
          <w:p w14:paraId="0801DDAD"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8 attributes, 3-4 levels each</w:t>
            </w:r>
          </w:p>
        </w:tc>
        <w:tc>
          <w:tcPr>
            <w:tcW w:w="3170" w:type="dxa"/>
            <w:gridSpan w:val="2"/>
          </w:tcPr>
          <w:p w14:paraId="4AA1DFE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Patients preferred face-to-face to phone or video services on average. Only 16% of participants appeared unwilling to consider telehealth. </w:t>
            </w:r>
          </w:p>
          <w:p w14:paraId="3F16B71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Price sensitivity was evident. </w:t>
            </w:r>
          </w:p>
        </w:tc>
      </w:tr>
      <w:tr w:rsidR="0022555D" w:rsidRPr="0022555D" w14:paraId="3C8AD7FA"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5D7928AC" w14:textId="77777777" w:rsidR="0022555D" w:rsidRPr="0022555D" w:rsidRDefault="0022555D" w:rsidP="0022555D">
            <w:pPr>
              <w:keepNext/>
              <w:keepLines/>
              <w:spacing w:before="40" w:line="240" w:lineRule="auto"/>
              <w:jc w:val="center"/>
              <w:outlineLvl w:val="1"/>
              <w:rPr>
                <w:rFonts w:ascii="Calibri" w:eastAsia="Calibri" w:hAnsi="Calibri" w:cs="Calibri"/>
                <w:color w:val="000000" w:themeColor="text1"/>
                <w:sz w:val="16"/>
                <w:szCs w:val="16"/>
                <w:lang w:val="en-US"/>
              </w:rPr>
            </w:pPr>
            <w:proofErr w:type="spellStart"/>
            <w:r w:rsidRPr="0022555D">
              <w:rPr>
                <w:rFonts w:ascii="Calibri" w:eastAsia="Calibri" w:hAnsi="Calibri" w:cs="Calibri"/>
                <w:b/>
                <w:bCs/>
                <w:i w:val="0"/>
                <w:iCs w:val="0"/>
                <w:color w:val="000000" w:themeColor="text1"/>
                <w:sz w:val="16"/>
                <w:szCs w:val="16"/>
                <w:lang w:val="en-US"/>
              </w:rPr>
              <w:t>Seghieri</w:t>
            </w:r>
            <w:proofErr w:type="spellEnd"/>
            <w:r w:rsidRPr="0022555D">
              <w:rPr>
                <w:rFonts w:ascii="Calibri" w:eastAsia="Calibri" w:hAnsi="Calibri" w:cs="Calibri"/>
                <w:b/>
                <w:bCs/>
                <w:i w:val="0"/>
                <w:iCs w:val="0"/>
                <w:color w:val="000000" w:themeColor="text1"/>
                <w:sz w:val="16"/>
                <w:szCs w:val="16"/>
                <w:lang w:val="en-US"/>
              </w:rPr>
              <w:t xml:space="preserve"> et al. (2026)</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p5B3r4y0","properties":{"unsorted":false,"formattedCitation":"[113]","plainCitation":"[113]","noteIndex":0},"citationItems":[{"id":28215,"uris":["http://zotero.org/users/4007286/items/JQV5REGS"],"itemData":{"id":28215,"type":"article-journal","abstract":"BACKGROUND: Health apps designed to monitor, motivate, and educate people towards their health goals are getting more users and features each time. These apps offer valuable support for self-managing health behaviors and achieving long-term objectives. However, there is limited understanding of user preferences regarding essential app features. The aim of the study is to get insights about potential users' preferences, in order to tailor better apps for lifestyle management.\nMETHODS: We conducted a three-part web survey with 389 respondents from four countries as part of the DigiCare4You European Union (EU) project. In the first part, we collected the socioeconomic characteristics and health status of each respondent. In the following stage, we asked five questions on a Likert scale to ascertain the individual level of usage and general attitude towards technology. Finally, we performed a discrete choice experiment (DCE) using an unlabeled design and estimated the odds ratio for each feature using conditional logit analysis. We also ran alternative estimations stratifying by non-communicable disease (NCD) patients and non-NCD patients, and explored latent profile analysis (LPA) to understand whether the general attitude towards technology impacts the preference pattern between users.\nRESULTS: The DCE revealed that respondents showed a clear preference for monitoring physical health over emotional status. They favored receiving lifestyle achievement notifications weekly rather than daily, and daily rather than more frequently. Similarly, respondents preferred uploading body weight measurements on a weekly or monthly basis rather than daily. Users expressed a preference for collaborating with their doctors to set exercise and diet goals, rather than either deciding independently or delegating entirely to their doctors. End-users also show a pattern of preferring notifications for goals instead of challenging other users. Preferences regarding the subjects of health content between workout routines, food recipes, and new scientific evidence were not significant; also, no statistical significance was found for the decision between follow-up visits with their doctor in person or remotely. LPA returned two groups regarding their general attitude towards technology: a lower, an intermediate, and a higher usage in their private life based on their responses to the questionnaire. Stratified DCEs have shown heterogeneity of users' preferences according to their specific attitude towards technology.\nCONCLUSIONS: Our study indicates that potential mobile health (mHealth) app users managing chronic conditions prefer platforms that enable shared responsibility with their doctors in defining health goals while having an intermediate level of interaction frequency with the app. These findings are key to tailoring mHealth apps that can optimize motivation triggers, support healthier lifestyles, and empower patients with chronic conditions.","container-title":"mHealth","DOI":"10.21037/mhealth-25-30","ISSN":"2306-9740","journalAbbreviation":"Mhealth","language":"eng","page":"3","PMID":"41675093","PMCID":"PMC12885856","source":"PubMed","title":"Tailoring mobile health apps for lifestyle management: a discrete choice experiment","title-short":"Tailoring mobile health apps for lifestyle management","volume":"12","author":[{"family":"Seghieri","given":"Chiara"},{"family":"Feldens","given":"Tallys"},{"family":"Tortù","given":"Costanza"},{"family":"Usheva","given":"Natalya"},{"family":"Toti","given":"Florian"},{"family":"Doracaj","given":"Ditila"},{"family":"Giménez-Legarre","given":"Natalia"},{"family":"Karaglani","given":"Eva"},{"family":"Manios","given":"Yannis"}],"issued":{"date-parts":[["2026"]]}}}],"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[113]</w:t>
            </w:r>
            <w:r w:rsidRPr="0022555D">
              <w:rPr>
                <w:rFonts w:ascii="Calibri" w:eastAsia="Calibri" w:hAnsi="Calibri" w:cs="Calibri"/>
                <w:color w:val="000000" w:themeColor="text1"/>
                <w:sz w:val="16"/>
                <w:szCs w:val="16"/>
                <w:lang w:val="en-US"/>
              </w:rPr>
              <w:fldChar w:fldCharType="end"/>
            </w:r>
            <w:r w:rsidRPr="0022555D">
              <w:rPr>
                <w:rFonts w:ascii="Calibri" w:eastAsia="Calibri" w:hAnsi="Calibri" w:cs="Calibri"/>
                <w:color w:val="000000" w:themeColor="text1"/>
                <w:sz w:val="16"/>
                <w:szCs w:val="16"/>
                <w:lang w:val="en-US"/>
              </w:rPr>
              <w:br/>
              <w:t>Albania Bulgaria</w:t>
            </w:r>
            <w:r w:rsidRPr="0022555D">
              <w:rPr>
                <w:rFonts w:ascii="Calibri" w:eastAsia="Calibri" w:hAnsi="Calibri" w:cs="Calibri"/>
                <w:color w:val="000000" w:themeColor="text1"/>
                <w:sz w:val="16"/>
                <w:szCs w:val="16"/>
                <w:lang w:val="en-US"/>
              </w:rPr>
              <w:br/>
              <w:t xml:space="preserve"> Spain </w:t>
            </w:r>
            <w:r w:rsidRPr="0022555D">
              <w:rPr>
                <w:rFonts w:ascii="Calibri" w:eastAsia="Calibri" w:hAnsi="Calibri" w:cs="Calibri"/>
                <w:color w:val="000000" w:themeColor="text1"/>
                <w:sz w:val="16"/>
                <w:szCs w:val="16"/>
                <w:lang w:val="en-US"/>
              </w:rPr>
              <w:br/>
              <w:t>Greece</w:t>
            </w:r>
          </w:p>
        </w:tc>
        <w:tc>
          <w:tcPr>
            <w:tcW w:w="1576" w:type="dxa"/>
          </w:tcPr>
          <w:p w14:paraId="0C1A2FF8"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To identify preferences for features of mobile health apps for lifestyle management</w:t>
            </w:r>
          </w:p>
        </w:tc>
        <w:tc>
          <w:tcPr>
            <w:tcW w:w="1025" w:type="dxa"/>
          </w:tcPr>
          <w:p w14:paraId="63AEFCA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4B1EADE4"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Literature review, expert recommendations and focus groups</w:t>
            </w:r>
          </w:p>
        </w:tc>
        <w:tc>
          <w:tcPr>
            <w:tcW w:w="1302" w:type="dxa"/>
          </w:tcPr>
          <w:p w14:paraId="7301D1E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7 attributes, 2-3 levels each</w:t>
            </w:r>
          </w:p>
        </w:tc>
        <w:tc>
          <w:tcPr>
            <w:tcW w:w="3170" w:type="dxa"/>
            <w:gridSpan w:val="2"/>
          </w:tcPr>
          <w:p w14:paraId="27DE6F19"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Monitoring physical health is preferred over emotional status. Most users prefer less frequent notifications and data imputation</w:t>
            </w:r>
          </w:p>
          <w:p w14:paraId="1B58E66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than more. Attitude towards technology plays a role in explaining the appetite for notifications.</w:t>
            </w:r>
          </w:p>
        </w:tc>
      </w:tr>
      <w:tr w:rsidR="0022555D" w:rsidRPr="0022555D" w14:paraId="77D9339F"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358C6943"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proofErr w:type="spellStart"/>
            <w:r w:rsidRPr="0022555D">
              <w:rPr>
                <w:rFonts w:asciiTheme="minorHAnsi" w:eastAsia="Calibri" w:hAnsiTheme="minorHAnsi" w:cstheme="minorHAnsi"/>
                <w:b/>
                <w:bCs/>
                <w:i w:val="0"/>
                <w:iCs w:val="0"/>
                <w:color w:val="000000" w:themeColor="text1"/>
                <w:sz w:val="16"/>
                <w:szCs w:val="26"/>
                <w:lang w:val="en-US"/>
              </w:rPr>
              <w:t>Simblett</w:t>
            </w:r>
            <w:proofErr w:type="spellEnd"/>
            <w:r w:rsidRPr="0022555D">
              <w:rPr>
                <w:rFonts w:asciiTheme="minorHAnsi" w:eastAsia="Calibri" w:hAnsiTheme="minorHAnsi" w:cstheme="minorHAnsi"/>
                <w:b/>
                <w:bCs/>
                <w:i w:val="0"/>
                <w:iCs w:val="0"/>
                <w:color w:val="000000" w:themeColor="text1"/>
                <w:sz w:val="16"/>
                <w:szCs w:val="26"/>
                <w:lang w:val="en-US"/>
              </w:rPr>
              <w:t xml:space="preserve"> et al.</w:t>
            </w:r>
          </w:p>
          <w:p w14:paraId="66AF0834"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(2022)</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{"citationID":"fefo8Kj7","properties":{"formattedCitation":"[84]","plainCitation":"[84]","noteIndex":0},"citationItems":[{"id":2270,"uris":["http://zotero.org/users/4007286/items/9ZBUTX9T"],"itemData":{"id":2270,"type":"article-journal","abstract":"BACKGROUND: There is increasing interest in the potential uses of mobile health (mHealth) technologies, such as wearable biosensors, as supplements for the care of people with neurological conditions. However, adherence is low, especially over long periods. If people are to benefit from these resources, we need a better long-term understanding of what influences patient engagement. Previous research suggests that engagement is moderated by several barriers and facilitators, but their relative importance is unknown.\nOBJECTIVE: To determine preferences and the relative importance of user-generated factors influencing engagement with mHealth technologies for 2 common neurological conditions with a relapsing-remitting course: multiple sclerosis (MS) and epilepsy.\nMETHODS: In a discrete choice experiment, people with a diagnosis of MS (n=141) or epilepsy (n=175) were asked to select their preferred technology from a series of 8 vignettes with 4 characteristics: privacy, clinical support, established benefit, and device accuracy; each of these characteristics was greater or lower in each vignette. These characteristics had previously been emphasized by people with MS and or epilepsy as influencing engagement with technology. Mixed multinomial logistic regression models were used to establish which characteristics were most likely to affect engagement. Subgroup analyses explored the effects of demographic factors (such as age, gender, and education), acceptance of and familiarity with mobile technology, neurological diagnosis (MS or epilepsy), and symptoms that could influence motivation (such as depression).\nRESULTS: Analysis of the responses to the discrete choice experiment validated previous qualitative findings that a higher level of privacy, greater clinical support, increased perceived benefit, and better device accuracy are important to people with a neurological condition. Accuracy was perceived as the most important factor, followed by privacy. Clinical support was the least valued of the attributes. People were prepared to trade a modest amount of accuracy to achieve an improvement in privacy, but less likely to make this compromise for other factors. The type of neurological condition (epilepsy or MS) did not influence these preferences, nor did the age, gender, or mental health status of the participants. Those who were less accepting of technology were the most concerned about privacy and those with a lower level of education were prepared to trade accuracy for more clinical support.\nCONCLUSIONS: For people with neurological conditions such as epilepsy and MS, accuracy (ie, the ability to detect symptoms) is of the greatest interest. However, there are individual differences, and people who are less accepting of technology may need far greater reassurance about data privacy. People with lower levels of education value greater clinician involvement. These patient preferences should be considered when designing mHealth technologies.","container-title":"JMIR formative research","DOI":"10.2196/29509","ISSN":"2561-326X","issue":"5","journalAbbreviation":"JMIR Form Res","language":"eng","page":"e29509","source":"PubMed","title":"Key Drivers and Facilitators of the Choice to Use mHealth Technology in People With Neurological Conditions: Observational Study","title-short":"Key Drivers and Facilitators of the Choice to Use mHealth Technology in People With Neurological Conditions","volume":"6","author":[{"family":"Simblett","given":"Sara"},{"family":"Pennington","given":"Mark"},{"family":"Quaife","given":"Matthew"},{"family":"Theochari","given":"Evangelia"},{"family":"Burke","given":"Patrick"},{"family":"Brichetto","given":"Giampaolo"},{"family":"Devonshire","given":"Julie"},{"family":"Lees","given":"Simon"},{"family":"Little","given":"Ann"},{"family":"Pullen","given":"Angie"},{"family":"Stoneman","given":"Amanda"},{"family":"Thorpe","given":"Sarah"},{"family":"Weyer","given":"Janice"},{"family":"Polhemus","given":"Ashley"},{"family":"Novak","given":"Jan"},{"family":"Dawe-Lane","given":"Erin"},{"family":"Morris","given":"Daniel"},{"family":"Mutepua","given":"Magano"},{"family":"Odoi","given":"Clarissa"},{"family":"Wilson","given":"Emma"},{"family":"Wykes","given":"Til"}],"issued":{"date-parts":[["2022",5,23]]}}}],"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[84]</w:t>
            </w:r>
            <w:r w:rsidRPr="0022555D">
              <w:rPr>
                <w:rFonts w:asciiTheme="minorHAnsi" w:eastAsia="Calibri" w:hAnsiTheme="minorHAnsi" w:cstheme="minorHAnsi"/>
                <w:color w:val="000000" w:themeColor="text1"/>
                <w:sz w:val="16"/>
                <w:szCs w:val="26"/>
                <w:lang w:val="en-US"/>
              </w:rPr>
              <w:fldChar w:fldCharType="end"/>
            </w:r>
          </w:p>
          <w:p w14:paraId="63DA9D10"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UK</w:t>
            </w:r>
          </w:p>
        </w:tc>
        <w:tc>
          <w:tcPr>
            <w:tcW w:w="1576" w:type="dxa"/>
          </w:tcPr>
          <w:p w14:paraId="54C8576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determine preferences and the relative importance of user generated factors influencing engagement with mHealth technologies for 2 common neurological conditions</w:t>
            </w:r>
          </w:p>
          <w:p w14:paraId="24CE46DD"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 </w:t>
            </w:r>
          </w:p>
        </w:tc>
        <w:tc>
          <w:tcPr>
            <w:tcW w:w="1025" w:type="dxa"/>
          </w:tcPr>
          <w:p w14:paraId="18815F75"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3637D6C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Systematic review and focus groups</w:t>
            </w:r>
          </w:p>
          <w:p w14:paraId="17388BB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Final choice by patient advisory groups</w:t>
            </w:r>
          </w:p>
        </w:tc>
        <w:tc>
          <w:tcPr>
            <w:tcW w:w="1302" w:type="dxa"/>
          </w:tcPr>
          <w:p w14:paraId="6F55582D"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4 attributes, 2-3 levels each</w:t>
            </w:r>
          </w:p>
        </w:tc>
        <w:tc>
          <w:tcPr>
            <w:tcW w:w="3170" w:type="dxa"/>
            <w:gridSpan w:val="2"/>
          </w:tcPr>
          <w:p w14:paraId="3824AEF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Individuals with neurological conditions found significant privacy, clinical support, perceived benefit and device accuracy. </w:t>
            </w:r>
          </w:p>
          <w:p w14:paraId="7259BDF4"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Individuals less accepting of technology expressed greater concern about privacy. </w:t>
            </w:r>
          </w:p>
        </w:tc>
      </w:tr>
      <w:tr w:rsidR="0022555D" w:rsidRPr="0022555D" w14:paraId="52DE3A03"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629E4FDF"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proofErr w:type="spellStart"/>
            <w:r w:rsidRPr="0022555D">
              <w:rPr>
                <w:rFonts w:asciiTheme="minorHAnsi" w:eastAsia="Calibri" w:hAnsiTheme="minorHAnsi" w:cstheme="minorHAnsi"/>
                <w:b/>
                <w:bCs/>
                <w:i w:val="0"/>
                <w:iCs w:val="0"/>
                <w:color w:val="000000" w:themeColor="text1"/>
                <w:sz w:val="16"/>
                <w:szCs w:val="26"/>
                <w:lang w:val="en-US"/>
              </w:rPr>
              <w:t>Simblett</w:t>
            </w:r>
            <w:proofErr w:type="spellEnd"/>
            <w:r w:rsidRPr="0022555D">
              <w:rPr>
                <w:rFonts w:asciiTheme="minorHAnsi" w:eastAsia="Calibri" w:hAnsiTheme="minorHAnsi" w:cstheme="minorHAnsi"/>
                <w:b/>
                <w:bCs/>
                <w:i w:val="0"/>
                <w:iCs w:val="0"/>
                <w:color w:val="000000" w:themeColor="text1"/>
                <w:sz w:val="16"/>
                <w:szCs w:val="26"/>
                <w:lang w:val="en-US"/>
              </w:rPr>
              <w:t xml:space="preserve"> et al.</w:t>
            </w:r>
          </w:p>
          <w:p w14:paraId="6E6B1A9D"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(2023)</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{"citationID":"zSenAJOU","properties":{"formattedCitation":"[85]","plainCitation":"[85]","noteIndex":0},"citationItems":[{"id":2196,"uris":["http://zotero.org/users/4007286/items/NF3LRT8V"],"itemData":{"id":2196,"type":"article-journal","abstract":"Background: In time, we may be able to detect the early onset of symptoms of depression and even predict relapse using behavioural data gathered through mobile technologies. However, barriers to adoption exist and understanding the importance of these factors to users is vital to ensure maximum adoption. Method: In a discrete choice experiment, people with a history of depression (N = 171) were asked to select their preferred technology from a series of vignettes containing four characteristics: privacy, clinical support, established benefit and device accuracy (i.e., ability to detect symptoms), with different levels. Mixed logit models were used to establish what was most likely to affect adoption. Sub-group analyses explored effects of age, gender, education, technology acceptance and familiarity, and nationality. Results: Higher level of privacy, greater clinical support, increased perceived benefit and better device accuracy were important. Accuracy was the most important, with only modest compromises willing to be made to increase other factors such as privacy. Established benefit was the least valued of the attributes with participants happy with technology that had possible but unknown benefits. Preferences were moderated by technology acceptance, age, nationality, and educational background. Conclusion: For people with a history of depression, adoption of technology may be driven by the desire for accurate detection of symptoms. However, people with lower technology acceptance and educational attainment, those who were younger, and specific nationalities may be willing to compromise on some accuracy for more privacy and clinical support. These preferences should help shape design of mHealth tools.","archive":"Embase","container-title":"Journal of Affective Disorders","DOI":"10.1016/j.jad.2023.03.030","ISSN":"1573-2517","issue":"(Simblett S.K., sara.simblett@kcl.ac.uk; Dawe-Lane E.; Morris D.; Mutepua M.; Odoi C.; Wilson E.; Wykes T.) Department of Psychology, King's College London, London, United Kingdom","journalAbbreviation":"J. Affective Disord.","language":"English","page":"334-341","title":"Patient preferences for key drivers and facilitators of adoption of mHealth technology to manage depression: A discrete choice experiment","volume":"331","author":[{"family":"Simblett","given":"S.K."},{"family":"Pennington","given":"M."},{"family":"Quaife","given":"M."},{"family":"Siddi","given":"S."},{"family":"Lombardini","given":"F."},{"family":"Haro","given":"J.M."},{"family":"Peñarrubia-Maria","given":"M.T."},{"family":"Bruce","given":"S."},{"family":"Nica","given":"R."},{"family":"Zorbas","given":"S."},{"family":"Polhemus","given":"A."},{"family":"Novak","given":"J."},{"family":"Dawe-Lane","given":"E."},{"family":"Morris","given":"D."},{"family":"Mutepua","given":"M."},{"family":"Odoi","given":"C."},{"family":"Wilson","given":"E."},{"family":"Matcham","given":"F."},{"family":"White","given":"K.M."},{"family":"Hotopf","given":"M."},{"family":"Wykes","given":"T."}],"issued":{"date-parts":[["2023"]]}}}],"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[85]</w:t>
            </w:r>
            <w:r w:rsidRPr="0022555D">
              <w:rPr>
                <w:rFonts w:asciiTheme="minorHAnsi" w:eastAsia="Calibri" w:hAnsiTheme="minorHAnsi" w:cstheme="minorHAnsi"/>
                <w:color w:val="000000" w:themeColor="text1"/>
                <w:sz w:val="16"/>
                <w:szCs w:val="26"/>
                <w:lang w:val="en-US"/>
              </w:rPr>
              <w:fldChar w:fldCharType="end"/>
            </w:r>
          </w:p>
          <w:p w14:paraId="1DE8FBDD"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UK</w:t>
            </w:r>
          </w:p>
          <w:p w14:paraId="0E13064F"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Spain</w:t>
            </w:r>
          </w:p>
        </w:tc>
        <w:tc>
          <w:tcPr>
            <w:tcW w:w="1576" w:type="dxa"/>
          </w:tcPr>
          <w:p w14:paraId="0AE5C0F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explore the relative importance of several dimensions that affect mobile technology adoption for people with a history of depression</w:t>
            </w:r>
          </w:p>
          <w:p w14:paraId="2B27B8E4"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025" w:type="dxa"/>
          </w:tcPr>
          <w:p w14:paraId="2DECC66A"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6F84A433"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Systematic review and focus groups</w:t>
            </w:r>
          </w:p>
          <w:p w14:paraId="4E9C349C"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p w14:paraId="599B16B8"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Final choice by patient and public advisory groups</w:t>
            </w:r>
          </w:p>
          <w:p w14:paraId="2DC366B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3C48341A"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4 attributes, 2-3 levels each</w:t>
            </w:r>
          </w:p>
        </w:tc>
        <w:tc>
          <w:tcPr>
            <w:tcW w:w="3170" w:type="dxa"/>
            <w:gridSpan w:val="2"/>
          </w:tcPr>
          <w:p w14:paraId="3903971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Participants prioritized accuracy, valuing it the most among attributes such as privacy.  </w:t>
            </w:r>
          </w:p>
          <w:p w14:paraId="59C76E4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Preferences were influenced by technology acceptance, age, nationality, and educational background.</w:t>
            </w:r>
          </w:p>
        </w:tc>
      </w:tr>
      <w:tr w:rsidR="0022555D" w:rsidRPr="0022555D" w14:paraId="24DB8A74"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326462FA"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proofErr w:type="spellStart"/>
            <w:r w:rsidRPr="0022555D">
              <w:rPr>
                <w:rFonts w:asciiTheme="minorHAnsi" w:eastAsia="Calibri" w:hAnsiTheme="minorHAnsi" w:cstheme="minorHAnsi"/>
                <w:b/>
                <w:bCs/>
                <w:i w:val="0"/>
                <w:iCs w:val="0"/>
                <w:color w:val="000000" w:themeColor="text1"/>
                <w:sz w:val="16"/>
                <w:szCs w:val="26"/>
                <w:lang w:val="en-US"/>
              </w:rPr>
              <w:t>Snoswell</w:t>
            </w:r>
            <w:proofErr w:type="spellEnd"/>
            <w:r w:rsidRPr="0022555D">
              <w:rPr>
                <w:rFonts w:asciiTheme="minorHAnsi" w:eastAsia="Calibri" w:hAnsiTheme="minorHAnsi" w:cstheme="minorHAnsi"/>
                <w:b/>
                <w:bCs/>
                <w:i w:val="0"/>
                <w:iCs w:val="0"/>
                <w:color w:val="000000" w:themeColor="text1"/>
                <w:sz w:val="16"/>
                <w:szCs w:val="26"/>
                <w:lang w:val="en-US"/>
              </w:rPr>
              <w:t xml:space="preserve"> et al. (2022)</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{"citationID":"ClRE9gwg","properties":{"formattedCitation":"[66]","plainCitation":"[66]","noteIndex":0},"citationItems":[{"id":2606,"uris":["http://zotero.org/users/4007286/items/JUIWSMGS"],"itemData":{"id":2606,"type":"article-journal","abstract":"Objective: To investigate consumer preference and willingness to pay for mobile teledermoscopy services in Australia. Methods: Consumers who were taking part in a randomised controlled trial comparing mobile teledermoscopy and skin self-examination were asked to complete a survey which incorporated a discrete choice experiment (DCE) and a contingent valuation question. Responses were used to determine their willingness to pay for mobile teledermoscopy services in Australia and their overall service preferences. Results: The 199 consumers who responded were 71% female and had a mean age of 42 years (range, 18-73). The DCE results showed that consumers prefer a trained medical professional to be involved in their skin cancer screening. Consumers were willing to pay AUD 41 to change from a general practitioner reviewing their lesions in-person to having a dermatologist reviewing the teledermoscopy images. Additionally, they were willing to pay for services that had shorter waiting times, that reduced the time away from their usual activities, and that have higher accuracy and lower likelihood of unnecessary excision of a skin lesion. When asked directly about their willingness to pay for a teledermoscopy service using a contingent valuation question, the majority (73%) of consumers selected the lowest two value brackets of AUD 1-20 or AUD 21-40. Conclusion: Consumers are willing to pay out of pocket to access services with attributes such as a dermatologist review, improved accuracy, and fewer excisions.  © 2021 The Author(s) Published by S. Karger AG, Basel.","archive":"Scopus","container-title":"Dermatology","DOI":"10.1159/000517257","issue":"2","page":"358-367","title":"Consumer Preference and Willingness to Pay for Direct-to-Consumer Mobile Teledermoscopy Services in Australia","volume":"238","author":[{"family":"Snoswell","given":"C.L."},{"family":"Whitty","given":"J.A."},{"family":"Caffery","given":"L.J."},{"family":"Kho","given":"J."},{"family":"Horsham","given":"C."},{"family":"Loescher","given":"L.J."},{"family":"Vagenas","given":"D."},{"family":"Gillespie","given":"N."},{"family":"Soyer","given":"H.P."},{"family":"Janda","given":"M."}],"issued":{"date-parts":[["2022"]]}}}],"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[66]</w:t>
            </w:r>
            <w:r w:rsidRPr="0022555D">
              <w:rPr>
                <w:rFonts w:asciiTheme="minorHAnsi" w:eastAsia="Calibri" w:hAnsiTheme="minorHAnsi" w:cstheme="minorHAnsi"/>
                <w:color w:val="000000" w:themeColor="text1"/>
                <w:sz w:val="16"/>
                <w:szCs w:val="26"/>
                <w:lang w:val="en-US"/>
              </w:rPr>
              <w:fldChar w:fldCharType="end"/>
            </w:r>
          </w:p>
          <w:p w14:paraId="5035DB26"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Australia</w:t>
            </w:r>
          </w:p>
        </w:tc>
        <w:tc>
          <w:tcPr>
            <w:tcW w:w="1576" w:type="dxa"/>
          </w:tcPr>
          <w:p w14:paraId="3D2521D6"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examine preferences and willingness to pay of consumers regarding tele-</w:t>
            </w:r>
            <w:proofErr w:type="spellStart"/>
            <w:r w:rsidRPr="0022555D">
              <w:rPr>
                <w:rFonts w:asciiTheme="minorHAnsi" w:eastAsia="Calibri" w:hAnsiTheme="minorHAnsi" w:cstheme="minorHAnsi"/>
                <w:color w:val="000000" w:themeColor="text1"/>
                <w:sz w:val="16"/>
                <w:szCs w:val="26"/>
                <w:lang w:val="en-US"/>
              </w:rPr>
              <w:t>dermoscopy</w:t>
            </w:r>
            <w:proofErr w:type="spellEnd"/>
            <w:r w:rsidRPr="0022555D">
              <w:rPr>
                <w:rFonts w:asciiTheme="minorHAnsi" w:eastAsia="Calibri" w:hAnsiTheme="minorHAnsi" w:cstheme="minorHAnsi"/>
                <w:color w:val="000000" w:themeColor="text1"/>
                <w:sz w:val="16"/>
                <w:szCs w:val="26"/>
                <w:lang w:val="en-US"/>
              </w:rPr>
              <w:t xml:space="preserve"> services</w:t>
            </w:r>
          </w:p>
        </w:tc>
        <w:tc>
          <w:tcPr>
            <w:tcW w:w="1025" w:type="dxa"/>
          </w:tcPr>
          <w:p w14:paraId="548FF13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DCE </w:t>
            </w:r>
          </w:p>
          <w:p w14:paraId="3124FEEE"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275" w:type="dxa"/>
          </w:tcPr>
          <w:p w14:paraId="7354BC4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Authors’ previous research cited</w:t>
            </w:r>
          </w:p>
        </w:tc>
        <w:tc>
          <w:tcPr>
            <w:tcW w:w="1302" w:type="dxa"/>
          </w:tcPr>
          <w:p w14:paraId="14C835D5"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7 attributes, 2-3 levels each</w:t>
            </w:r>
          </w:p>
        </w:tc>
        <w:tc>
          <w:tcPr>
            <w:tcW w:w="3170" w:type="dxa"/>
            <w:gridSpan w:val="2"/>
          </w:tcPr>
          <w:p w14:paraId="5FC5E2DA"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Consumers have a preference for screening services involving health professionals over self-examination or no screening. </w:t>
            </w:r>
          </w:p>
          <w:p w14:paraId="459CA10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Consumers showed a willingness to pay out of pocket for direct-to-consumer tele-</w:t>
            </w:r>
            <w:proofErr w:type="spellStart"/>
            <w:r w:rsidRPr="0022555D">
              <w:rPr>
                <w:rFonts w:asciiTheme="minorHAnsi" w:eastAsia="Calibri" w:hAnsiTheme="minorHAnsi" w:cstheme="minorHAnsi"/>
                <w:color w:val="000000" w:themeColor="text1"/>
                <w:sz w:val="16"/>
                <w:szCs w:val="26"/>
                <w:lang w:val="en-US"/>
              </w:rPr>
              <w:t>dermoscopy</w:t>
            </w:r>
            <w:proofErr w:type="spellEnd"/>
            <w:r w:rsidRPr="0022555D">
              <w:rPr>
                <w:rFonts w:asciiTheme="minorHAnsi" w:eastAsia="Calibri" w:hAnsiTheme="minorHAnsi" w:cstheme="minorHAnsi"/>
                <w:color w:val="000000" w:themeColor="text1"/>
                <w:sz w:val="16"/>
                <w:szCs w:val="26"/>
                <w:lang w:val="en-US"/>
              </w:rPr>
              <w:t xml:space="preserve">. </w:t>
            </w:r>
          </w:p>
        </w:tc>
      </w:tr>
      <w:tr w:rsidR="0022555D" w:rsidRPr="0022555D" w14:paraId="09EAE0DA"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155B3AFE"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proofErr w:type="spellStart"/>
            <w:r w:rsidRPr="0022555D">
              <w:rPr>
                <w:rFonts w:asciiTheme="minorHAnsi" w:eastAsia="Calibri" w:hAnsiTheme="minorHAnsi" w:cstheme="minorHAnsi"/>
                <w:b/>
                <w:bCs/>
                <w:i w:val="0"/>
                <w:iCs w:val="0"/>
                <w:color w:val="000000" w:themeColor="text1"/>
                <w:sz w:val="16"/>
                <w:szCs w:val="26"/>
                <w:lang w:val="en-US"/>
              </w:rPr>
              <w:t>Snoswell</w:t>
            </w:r>
            <w:proofErr w:type="spellEnd"/>
            <w:r w:rsidRPr="0022555D">
              <w:rPr>
                <w:rFonts w:asciiTheme="minorHAnsi" w:eastAsia="Calibri" w:hAnsiTheme="minorHAnsi" w:cstheme="minorHAnsi"/>
                <w:b/>
                <w:bCs/>
                <w:i w:val="0"/>
                <w:iCs w:val="0"/>
                <w:color w:val="000000" w:themeColor="text1"/>
                <w:sz w:val="16"/>
                <w:szCs w:val="26"/>
                <w:lang w:val="en-US"/>
              </w:rPr>
              <w:t xml:space="preserve"> et al. (2021)</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{"citationID":"KAAXdx6z","properties":{"formattedCitation":"[65]","plainCitation":"[65]","noteIndex":0},"citationItems":[{"id":2204,"uris":["http://zotero.org/users/4007286/items/FPV34272"],"itemData":{"id":2204,"type":"article-journal","abstract":"INTRODUCTION: Telehealth has been shown to improve access to care, reduce personal expenses and reduce the need for travel. Despite these benefits, patients may be less inclined to seek a telehealth service, if they consider it inferior to an in-person encounter. The aims of this study were to identify patient preferences for attributes of a healthcare service and to quantify the value of these attributes. METHODS: We surveyed patients who had taken an outpatient telehealth consult in the previous year using a survey that included a discrete choice experiment. We investigated patient preferences for attributes of healthcare delivery and their willingness to pay for out-of-pocket costs. RESULTS: Patients (n = 62) preferred to have a consultation, regardless of type, than no consultation at all. Patients preferred healthcare services with lower out-of-pocket costs, higher levels of perceived benefit and less time away from usual activities (p &lt; 0.008). Most patients preferred specialist care over in-person general practitioner care. Their order of preference to obtain specialist care was a videoconsultation into the patient's local general practitioner practice or hospital (p &lt; 0.003), a videoconsultation into the home, and finally travelling for in-person appointment. Patients were willing to pay out-of-pocket costs for attributes they valued: to be seen by a specialist over videoconference ($129) and to reduce time away from usual activities ($160). CONCLUSION: Patients value specialist care, lower out-of-pocket costs and less time away from usual activities. Telehealth is more likely than in-person care to cater to these preferences in many instances.","archive":"Medline","container-title":"Journal of telemedicine and telecare","DOI":"10.1177/1357633X211022898","ISSN":"1758-1109","issue":"(Snoswell C.L.; Smith A.C.; Caffery L.J.) Centre for Online Health, 1974The University of Queensland, Australia","journalAbbreviation":"J Telemed Telecare","language":"English","page":"1357633X211022898","title":"Patient preferences for specialist outpatient video consultations: A discrete choice experiment","author":[{"family":"Snoswell","given":"C.L."},{"family":"Smith","given":"A.C."},{"family":"Page","given":"M."},{"family":"Caffery","given":"L.J."}],"issued":{"date-parts":[["2021"]]}}}],"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[65]</w:t>
            </w:r>
            <w:r w:rsidRPr="0022555D">
              <w:rPr>
                <w:rFonts w:asciiTheme="minorHAnsi" w:eastAsia="Calibri" w:hAnsiTheme="minorHAnsi" w:cstheme="minorHAnsi"/>
                <w:color w:val="000000" w:themeColor="text1"/>
                <w:sz w:val="16"/>
                <w:szCs w:val="26"/>
                <w:lang w:val="en-US"/>
              </w:rPr>
              <w:fldChar w:fldCharType="end"/>
            </w:r>
          </w:p>
          <w:p w14:paraId="67F2D440"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Australia</w:t>
            </w:r>
          </w:p>
        </w:tc>
        <w:tc>
          <w:tcPr>
            <w:tcW w:w="1576" w:type="dxa"/>
          </w:tcPr>
          <w:p w14:paraId="69C57B0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identify patient preferences for specialist outpatient video consultations</w:t>
            </w:r>
          </w:p>
        </w:tc>
        <w:tc>
          <w:tcPr>
            <w:tcW w:w="1025" w:type="dxa"/>
          </w:tcPr>
          <w:p w14:paraId="580CDAC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0033244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Expert opinions and previous qualitative research conducted by the research team</w:t>
            </w:r>
          </w:p>
          <w:p w14:paraId="45043D1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4EA79DA0"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4 attributes, 3-4 levels each</w:t>
            </w:r>
          </w:p>
        </w:tc>
        <w:tc>
          <w:tcPr>
            <w:tcW w:w="3170" w:type="dxa"/>
            <w:gridSpan w:val="2"/>
          </w:tcPr>
          <w:p w14:paraId="0F56F34C"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Patients had an inclination towards healthcare services with lower out-of-pocket costs and minimized disruptions to their regular activities. </w:t>
            </w:r>
          </w:p>
          <w:p w14:paraId="15C05ADE"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They demonstrated a willingness to pay out-of-pocket costs for attributes they valued. </w:t>
            </w:r>
          </w:p>
          <w:p w14:paraId="0F6AA93A"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7E292A67"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12C0C950"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lastRenderedPageBreak/>
              <w:t>Somers et al.</w:t>
            </w:r>
          </w:p>
          <w:p w14:paraId="08F7CBCC"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(2019)</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{"citationID":"m0HvravR","properties":{"formattedCitation":"[54]","plainCitation":"[54]","noteIndex":0},"citationItems":[{"id":2221,"uris":["http://zotero.org/users/4007286/items/LHKP83EW"],"itemData":{"id":2221,"type":"article-journal","abstract":"BACKGROUND: Changing population demographics and technology developments have resulted in growing interest in the potential of consumer-facing digital health. In the United Kingdom, a £37 million (US $49 million) national digital health program delivering assisted living lifestyles at scale (dallas) aimed to deploy such technologies at scale. However, little is known about how consumers value such digital health opportunities.\nOBJECTIVE: This study explored consumers' perspectives on the potential value of digital health technologies, particularly mobile health (mHealth), to promote well-being by examining their willingness-to-pay (WTP) for such health solutions.\nMETHODS: A contingent valuation study involving a UK-wide survey that asked participants to report open-ended absolute and marginal WTP or willingness-to-accept for the gain or loss of a hypothetical mHealth app, Healthy Connections.\nRESULTS: A UK-representative cohort (n=1697) and a dallas-like (representative of dallas intervention communities) cohort (n=305) were surveyed. Positive absolute and marginal WTP valuations of the app were identified across both cohorts (absolute WTP: UK-representative cohort £196 or US $258 and dallas-like cohort £162 or US $214; marginal WTP: UK-representative cohort £160 or US $211 and dallas-like cohort £151 or US $199). Among both cohorts, there was a high prevalence of zeros for both the absolute WTP (UK-representative cohort: 467/1697, 27.52% and dallas-like cohort: 95/305, 31.15%) and marginal WTP (UK-representative cohort: 487/1697, 28.70% and dallas-like cohort: 99/305, 32.5%). In both cohorts, better general health, previous amount spent on health apps (UK-representative cohort 0.64, 95% CI 0.27 to 1.01; dallas-like cohort: 1.27, 95% CI 0.32 to 2.23), and age had a significant (P&gt;.00) association with WTP (UK-representative cohort: -0.1, 95% CI -0.02 to -0.01; dallas-like cohort: -0.02, 95% CI -0.03 to -0.01), with younger participants willing to pay more for the app. In the UK-representative cohort, as expected, higher WTP was positively associated with income up to £30,000 or US $39,642 (0.21, 95% CI 0.14 to 0.4) and increased spending on existing phone and internet services (0.52, 95% CI 0.30 to 0.74). The amount spent on existing health apps was shown to be a positive indicator of WTP across cohorts, although the effect was marginal (UK-representative cohort 0.01, 95% CI 0.01 to 0.01; dallas-like cohort 0.01, 95% CI 0.01 to 0.02).\nCONCLUSIONS: This study demonstrates that consumers value mHealth solutions that promote well-being, social connectivity, and health care control, but it is not universally embraced. For mHealth to achieve its potential, apps need to be tailored to user accessibility and health needs, and more understanding of what hinders frequent users of digital technologies and those with long-term conditions is required. This novel application of WTP in a digital health context demonstrates an economic argument for investing in upskilling the population to promote access and expedite uptake and utilization of such digital health and well-being apps.","container-title":"JMIR mHealth and uHealth","DOI":"10.2196/mhealth.9990","ISSN":"2291-5222","issue":"1","journalAbbreviation":"JMIR Mhealth Uhealth","language":"eng","page":"e3","source":"PubMed","title":"Valuing Mobile Health: An Open-Ended Contingent Valuation Survey of a National Digital Health Program","title-short":"Valuing Mobile Health","volume":"7","author":[{"family":"Somers","given":"Camilla"},{"family":"Grieve","given":"Eleanor"},{"family":"Lennon","given":"Marilyn"},{"family":"Bouamrane","given":"Matt-Mouley"},{"family":"Mair","given":"Frances S."},{"family":"McIntosh","given":"Emma"}],"issued":{"date-parts":[["2019",1,17]]}}}],"schema":"https://github.com/citation-style-language/schema/raw/master/csl-citation.json"}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[54]</w:t>
            </w:r>
            <w:r w:rsidRPr="0022555D">
              <w:rPr>
                <w:rFonts w:asciiTheme="minorHAnsi" w:eastAsia="Calibri" w:hAnsiTheme="minorHAnsi" w:cstheme="minorHAnsi"/>
                <w:color w:val="000000" w:themeColor="text1"/>
                <w:sz w:val="16"/>
                <w:szCs w:val="26"/>
                <w:lang w:val="en-US"/>
              </w:rPr>
              <w:fldChar w:fldCharType="end"/>
            </w:r>
          </w:p>
          <w:p w14:paraId="2551FA66"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UK</w:t>
            </w:r>
          </w:p>
          <w:p w14:paraId="54FFD1C0"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USA</w:t>
            </w:r>
          </w:p>
        </w:tc>
        <w:tc>
          <w:tcPr>
            <w:tcW w:w="1576" w:type="dxa"/>
          </w:tcPr>
          <w:p w14:paraId="751EA384"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explore consumers’ perspectives on the potential value of digital health (mHealth) to promote well-being by examining their willingness-to-pay for such health solutions</w:t>
            </w:r>
          </w:p>
          <w:p w14:paraId="3373E6F4"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025" w:type="dxa"/>
          </w:tcPr>
          <w:p w14:paraId="006FFCFB"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Contingent valuation</w:t>
            </w:r>
          </w:p>
        </w:tc>
        <w:tc>
          <w:tcPr>
            <w:tcW w:w="1275" w:type="dxa"/>
          </w:tcPr>
          <w:p w14:paraId="6348D09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7B7745E3"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3170" w:type="dxa"/>
            <w:gridSpan w:val="2"/>
          </w:tcPr>
          <w:p w14:paraId="29C105A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Factors such as better general health, previous expenditure on health apps, and younger age were significantly associated with higher WTP. </w:t>
            </w:r>
          </w:p>
          <w:p w14:paraId="6D01EE8B"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Additionally, income and spending on phone and internet services were positively correlated with WTP. </w:t>
            </w:r>
          </w:p>
        </w:tc>
      </w:tr>
      <w:tr w:rsidR="0022555D" w:rsidRPr="0022555D" w14:paraId="0817E005"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0C4C9E71"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Spinks et al.</w:t>
            </w:r>
          </w:p>
          <w:p w14:paraId="7267139D"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(2016)</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{"citationID":"rSfB0LQ9","properties":{"formattedCitation":"[67]","plainCitation":"[67]","noteIndex":0},"citationItems":[{"id":2426,"uris":["http://zotero.org/users/4007286/items/9T5Y3WWR"],"itemData":{"id":2426,"type":"article-journal","abstract":"Introduction: 'Store and forward' teledermoscopy is a technology with potential advantages for melanoma screening. Any large-scale implementation of this technology is dependent on consumer acceptance. Aim: To investigate preferences for melanoma screening options compared with skin self-examination in adults considered to be at increased risk of developing skin cancer. Methods: A discrete choice experiment was completed by 35 consumers, all of whom had prior experience with the use of teledermoscopy, in Queensland, Australia. Participants made 12 choices between screening alternatives described by seven attributes including monetary cost. A mixed logit model was used to estimate the relative weights that consumers place on different aspects of screening, along with the marginal willingness to pay for teledermoscopy as opposed to screening at a clinic. Results: Overall, participants preferred screening/diagnosis by a health professional rather than skin self-examination. Key drivers of screening choice were for results to be reviewed by a dermatologist; a higher detection rate; fewer non-cancerous moles being removed in relation to every skin cancer detected; and less time spent away from usual activities. On average, participants were willing to pay AUD110 to have teledermoscopy with dermatologist review available to them as a screening option. Discussion and Conclusions: Consumers preferentially value aspects of care that are more feasible with a teledermoscopy screening model, as compared with other skin cancer screening and diagnosis options. This study adds to previous literature in the area which has relied on the use of consumer satisfaction scales to assess the acceptability of teledermoscopy.","archive":"ccm","container-title":"Journal of Telemedicine &amp; Telecare","DOI":"10.1177/1357633X15586701","ISSN":"1357-633X","issue":"1","journalAbbreviation":"Journal of Telemedicine &amp; Telecare","page":"39-46","source":"EBSCOhost","title":"Consumer preferences for teledermoscopy screening to detect melanoma early.","volume":"22","author":[{"family":"Spinks","given":"Jean"},{"family":"Janda","given":"Monika"},{"family":"Soyer","given":"H. Peter"},{"family":"Whitty","given":"Jennifer A."}],"issued":{"date-parts":[["2016",1]]}}}],"schema":"https://github.com/citation-style-language/schema/raw/master/csl-citation.json"}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[67]</w:t>
            </w:r>
            <w:r w:rsidRPr="0022555D">
              <w:rPr>
                <w:rFonts w:asciiTheme="minorHAnsi" w:eastAsia="Calibri" w:hAnsiTheme="minorHAnsi" w:cstheme="minorHAnsi"/>
                <w:color w:val="000000" w:themeColor="text1"/>
                <w:sz w:val="16"/>
                <w:szCs w:val="26"/>
                <w:lang w:val="en-US"/>
              </w:rPr>
              <w:fldChar w:fldCharType="end"/>
            </w:r>
          </w:p>
          <w:p w14:paraId="77686192"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Australia</w:t>
            </w:r>
          </w:p>
        </w:tc>
        <w:tc>
          <w:tcPr>
            <w:tcW w:w="1576" w:type="dxa"/>
          </w:tcPr>
          <w:p w14:paraId="7A7421A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investigate preferences for melanoma screening options compared with skin self-examination</w:t>
            </w:r>
          </w:p>
        </w:tc>
        <w:tc>
          <w:tcPr>
            <w:tcW w:w="1025" w:type="dxa"/>
          </w:tcPr>
          <w:p w14:paraId="543D3C5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4C3FF878"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Previous survey in the target group and literature review</w:t>
            </w:r>
          </w:p>
        </w:tc>
        <w:tc>
          <w:tcPr>
            <w:tcW w:w="1302" w:type="dxa"/>
          </w:tcPr>
          <w:p w14:paraId="4D2BF5E6"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7 attributes, 2-3 levels each</w:t>
            </w:r>
          </w:p>
        </w:tc>
        <w:tc>
          <w:tcPr>
            <w:tcW w:w="3170" w:type="dxa"/>
            <w:gridSpan w:val="2"/>
          </w:tcPr>
          <w:p w14:paraId="2A855E6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Participating in a screening service involving a doctor’s opinion either during a face-to-face visit or by tele-diagnosis was strongly preferred.</w:t>
            </w:r>
          </w:p>
          <w:p w14:paraId="5982A9AB"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On average, participants were willing to pay AUD110 to have tele-</w:t>
            </w:r>
            <w:proofErr w:type="spellStart"/>
            <w:r w:rsidRPr="0022555D">
              <w:rPr>
                <w:rFonts w:asciiTheme="minorHAnsi" w:eastAsia="Calibri" w:hAnsiTheme="minorHAnsi" w:cstheme="minorHAnsi"/>
                <w:color w:val="000000" w:themeColor="text1"/>
                <w:sz w:val="16"/>
                <w:szCs w:val="26"/>
                <w:lang w:val="en-US"/>
              </w:rPr>
              <w:t>dermoscopy</w:t>
            </w:r>
            <w:proofErr w:type="spellEnd"/>
            <w:r w:rsidRPr="0022555D">
              <w:rPr>
                <w:rFonts w:asciiTheme="minorHAnsi" w:eastAsia="Calibri" w:hAnsiTheme="minorHAnsi" w:cstheme="minorHAnsi"/>
                <w:color w:val="000000" w:themeColor="text1"/>
                <w:sz w:val="16"/>
                <w:szCs w:val="26"/>
                <w:lang w:val="en-US"/>
              </w:rPr>
              <w:t xml:space="preserve">. </w:t>
            </w:r>
          </w:p>
          <w:p w14:paraId="04B3FDA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0EFDAAFD"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16F9D132"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Suzuki et al.</w:t>
            </w:r>
          </w:p>
          <w:p w14:paraId="08DB398B"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(2019)</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{"citationID":"TcizyVd4","properties":{"formattedCitation":"[100]","plainCitation":"[100]","noteIndex":0},"citationItems":[{"id":2147,"uris":["http://zotero.org/users/4007286/items/D69XHQTD"],"itemData":{"id":2147,"type":"article-journal","abstract":"Background: We previously conducted a survey on users of tele-health consultations system to investigate their willingness to pay (WTP). To assess the economic value of the tele-health system, we need to investigate the demand and value of the tele-health in another way. Therefore, the purpose of this study is to submit basic information to create a sustainable business model and to investigate the economic value of the tele-health consultation system. Methods: The 480 respondents were instructed to assume an environment where a tele-health consultation system is implemented in a region with no prior experience with such a service. This study adopted a Contingent Valuation Method to measure the demand and value of tele-health. A WTP fee for using the tele-health consultation system for 10 min was calculated using a Double-Bounded Dichotomous Choice and a Random Utility Logit Model. Results: The median and average amount of the WTP fee for using the tele-health consultation system for 10 min was ¥ 367 (US$ 3.30) and ¥ 495 (US$ 4.40) respectively. Further analysis indicates that the WTP fee tends to be higher when a certain factor is present, namely, intention to use the service. Conclusion: To gather basic information concerning the economic value of the tele-health consultation system, we clarified the appropriate WTP fee and the factors leading to a higher WTP fee. In future research, we will conduct follow-up research and consider adding more information concerning the advantages and limitations of implementing remote health consulting to build a clearer scenario.","archive":"Embase","container-title":"Health Policy and Technology","DOI":"10.1016/j.hlpt.2019.07.004","ISSN":"2211-8845","issue":"3","journalAbbreviation":"Health Policy Technol.","language":"English","page":"248-253","title":"Survey on the willingness to pay for tele-health consultation","volume":"8","author":[{"family":"Suzuki","given":"T."},{"family":"Abe","given":"T."},{"family":"Tsuji","given":"S."},{"family":"Shimoda","given":"T."},{"family":"Yoshimura","given":"S."},{"family":"Ogasawara","given":"K."}],"issued":{"date-parts":[["2019"]]}}}],"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[100]</w:t>
            </w:r>
            <w:r w:rsidRPr="0022555D">
              <w:rPr>
                <w:rFonts w:asciiTheme="minorHAnsi" w:eastAsia="Calibri" w:hAnsiTheme="minorHAnsi" w:cstheme="minorHAnsi"/>
                <w:color w:val="000000" w:themeColor="text1"/>
                <w:sz w:val="16"/>
                <w:szCs w:val="26"/>
                <w:lang w:val="en-US"/>
              </w:rPr>
              <w:fldChar w:fldCharType="end"/>
            </w:r>
          </w:p>
          <w:p w14:paraId="5D3B3CD2"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Japan</w:t>
            </w:r>
          </w:p>
        </w:tc>
        <w:tc>
          <w:tcPr>
            <w:tcW w:w="1576" w:type="dxa"/>
          </w:tcPr>
          <w:p w14:paraId="44992E63"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provide essential data to establish a viable business model and explore the economic viability of the telehealth consultation system.</w:t>
            </w:r>
          </w:p>
        </w:tc>
        <w:tc>
          <w:tcPr>
            <w:tcW w:w="1025" w:type="dxa"/>
          </w:tcPr>
          <w:p w14:paraId="43956D9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Contingent valuation</w:t>
            </w:r>
          </w:p>
        </w:tc>
        <w:tc>
          <w:tcPr>
            <w:tcW w:w="1275" w:type="dxa"/>
          </w:tcPr>
          <w:p w14:paraId="569A540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7997963E"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3170" w:type="dxa"/>
            <w:gridSpan w:val="2"/>
          </w:tcPr>
          <w:p w14:paraId="476BBDB6"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The median and average WTP fee for a 10-minute telehealth consultation system usage were ¥ 367 (US$ 3.30) and ¥ 495 (US$ 4.40) respectively.</w:t>
            </w:r>
          </w:p>
          <w:p w14:paraId="0B59CC4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Analysis also shows a tendency for WTP fees to increase with the intention to use the service.</w:t>
            </w:r>
          </w:p>
        </w:tc>
      </w:tr>
      <w:tr w:rsidR="0022555D" w:rsidRPr="0022555D" w14:paraId="0B355D9D"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3495696D"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Calibri" w:eastAsia="Calibri" w:hAnsi="Calibri" w:cs="Calibri"/>
                <w:b/>
                <w:bCs/>
                <w:i w:val="0"/>
                <w:iCs w:val="0"/>
                <w:color w:val="000000" w:themeColor="text1"/>
                <w:sz w:val="16"/>
                <w:szCs w:val="16"/>
                <w:lang w:val="en-US"/>
              </w:rPr>
              <w:t>Szinay et al. (2026)</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{"citationID":"cIRA6osJ","properties":{"unsorted":false,"formattedCitation":"[86]","plainCitation":"[86]","noteIndex":0},"citationItems":[{"id":374,"uris":["http://zotero.org/users/4007286/items/76L9747D"],"itemData":{"id":374,"type":"article-journal","abstract":"Background: If the most evidence-based and effective smoking cessation apps are not selected by smokers wanting to quit, their potential to support cessation is limited. Objective: This study sought to determine the attributes that influence smoking cessation app uptake and understand their relative importance to support future efforts to present evidence-based apps more effectively to maximize uptake. Methods: Adult smokers from the United Kingdom were invited to participate in a discrete choice experiment. Participants made 12 choices between two hypothetical smoking cessation app alternatives, with five predefined attributes reflecting domains from the theoretical domains framework: (1) monthly price of the app (environmental resources), (2) credible source as app developer (social influence), (3) social proof as star rating (social influence), (4) app description type (beliefs about consequences), and (5) images shown (beliefs about consequences); or opting out (choosing neither app). Preferences and the relative importance of attributes were estimated using mixed logit modeling. Willingness to pay and predicted uptake of the most and least preferred app were also calculated. Results: A total of 337 adult smokers completed the survey (n=168, 49.8% female; mean age 35, SD 11 years). Participants selected a smoking cessation app rather than opting out for 90% of the choices. Relative to other attributes, a 4.8-star user rating, representing social proof, was the strongest driver of app selection (mean preference parameter 2.27, SD 1.55; 95% CI 1.95-2.59). Participants preferred an app developed by health care-orientated trusted organization (credible source) over a hypothetical company (mean preference parameter 0.93, SD 1.23; 95% CI 0.72-1.15), with a logo and screenshots over logo only (mean preference parameter 0.39, SD 0.96; 95% CI 0.19-0.59), and with a lower monthly cost (mean preference parameter -0.38, SD 0.33; 95% CI -0.44 to -0.32). App description did not influence preferences. The uptake estimate for the best hypothetical app was 93% and for the worst, 3%. Participants were willing to pay a single payment of up to an additional US $6.96 (UK 5.49) pound for 4.8-star ratings, US $3.58 (UK 2.82) pound for 4-star ratings, and US $2.61(UK 2.06) pound for an app developed by a trusted organization. Conclusions: On average, social proof appeared to be the most influential factor in app uptake, followed by credible source, one perceived as most likely to provide evidence-based apps. These attributes may support the selection of evidence-based apps.","archive_location":"WOS:001412550600006","container-title":"JOURNAL OF MEDICAL INTERNET RESEARCH","DOI":"10.2196/37083","ISSN":"1438-8871","language":"English","title":"Eliciting Preferences for the Uptake of Smoking Cessation Apps: Discrete Choice Experiment","volume":"27","author":[{"family":"Szinay","given":"D"},{"family":"Cameron","given":"RA"},{"family":"Jones","given":"A"},{"family":"Whitty","given":"JA"},{"family":"Chadborn","given":"T"},{"family":"Brown","given":"J"},{"family":"Naughton","given":"F"}],"issued":{"date-parts":[["2025",1,14]]}}}],"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[86]</w:t>
            </w:r>
            <w:r w:rsidRPr="0022555D">
              <w:rPr>
                <w:rFonts w:ascii="Calibri" w:eastAsia="Calibri" w:hAnsi="Calibri" w:cs="Calibri"/>
                <w:color w:val="000000" w:themeColor="text1"/>
                <w:sz w:val="16"/>
                <w:szCs w:val="16"/>
                <w:lang w:val="en-US"/>
              </w:rPr>
              <w:fldChar w:fldCharType="end"/>
            </w:r>
            <w:r w:rsidRPr="0022555D">
              <w:rPr>
                <w:rFonts w:ascii="Calibri" w:eastAsia="Calibri" w:hAnsi="Calibri" w:cs="Calibri"/>
                <w:color w:val="000000" w:themeColor="text1"/>
                <w:sz w:val="16"/>
                <w:szCs w:val="16"/>
                <w:lang w:val="en-US"/>
              </w:rPr>
              <w:br/>
              <w:t>UK</w:t>
            </w:r>
          </w:p>
        </w:tc>
        <w:tc>
          <w:tcPr>
            <w:tcW w:w="1576" w:type="dxa"/>
          </w:tcPr>
          <w:p w14:paraId="62FA594E"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To elicit preference for the uptake of smoking cessation apps</w:t>
            </w:r>
          </w:p>
        </w:tc>
        <w:tc>
          <w:tcPr>
            <w:tcW w:w="1025" w:type="dxa"/>
          </w:tcPr>
          <w:p w14:paraId="3940F5F4"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0C286BB5"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Systematic review, interview and think-aloud study</w:t>
            </w:r>
          </w:p>
        </w:tc>
        <w:tc>
          <w:tcPr>
            <w:tcW w:w="1302" w:type="dxa"/>
          </w:tcPr>
          <w:p w14:paraId="05B8BEF9"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5 attributes, 3-4 levels each</w:t>
            </w:r>
          </w:p>
        </w:tc>
        <w:tc>
          <w:tcPr>
            <w:tcW w:w="3170" w:type="dxa"/>
            <w:gridSpan w:val="2"/>
          </w:tcPr>
          <w:p w14:paraId="1B82FD1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Theme="majorEastAsia" w:hAnsi="Calibri" w:cs="Calibri"/>
                <w:color w:val="000000" w:themeColor="text1"/>
                <w:sz w:val="16"/>
                <w:szCs w:val="16"/>
                <w:lang w:val="en-US"/>
              </w:rPr>
              <w:t>Excellent rating user is the strongest driver of app selection. Participants preferred an app developed by health care–orientated trusted organization (credible source) over a hypothetical company, with a logo and screenshots over logo only, and with a lower monthly cost.</w:t>
            </w:r>
          </w:p>
        </w:tc>
      </w:tr>
      <w:tr w:rsidR="0022555D" w:rsidRPr="0022555D" w14:paraId="78576C44"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1955113A"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Tatar et al.</w:t>
            </w:r>
          </w:p>
          <w:p w14:paraId="6F829298"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(2023</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{"citationID":"AOyA5mt0","properties":{"formattedCitation":"[90]","plainCitation":"[90]","noteIndex":0},"citationItems":[{"id":2709,"uris":["http://zotero.org/users/4007286/items/VSCS3QW3"],"itemData":{"id":2709,"type":"article-journal","abstract":"Innovative technology-based solutions have the potential to improve access to clinically proven interventions for cannabis use disorder (CUD) in individuals with first episode psychosis (FEP). High patient engagement with app-based interventions is critical for achieving optimal outcomes. 104 individuals 18 to 35 years old with FEP and CUD from three Canadian provinces completed an electronic survey to evaluate preferences for online psychological intervention intensity, participation autonomy, feedback related to cannabis use, and technology platforms and app functionalities. The development of the questionnaire was informed by a qualitative study that included patients and clinicians. We used Best-Worst Scaling (BWS) and item ranking methodologies to measure preferences. Conditional logistic regression models for BWS data revealed high preferences for moderate intervention intensity (e.g., modules with a length of 15 min) and treatment autonomy that included preferences for using technology-based interventions and receiving feedback related to cannabis use once a week. Luce regression models for rank items revealed high preferences for smartphone-based apps, video intervention components, and having access to synchronous communications with clinicians and gamification elements. Results informed the development of iCanChange (iCC), a smartphone-based intervention for the treatment of CUD in individuals with FEP that is undergoing clinical testing.","container-title":"Psychiatry Research","DOI":"10.1016/j.psychres.2023.115276","ISSN":"1872-7123","journalAbbreviation":"Psychiatry Res","language":"eng","page":"115276","source":"PubMed","title":"Evaluating preferences for online psychological interventions to decrease cannabis use in young adults with psychosis: An observational study","title-short":"Evaluating preferences for online psychological interventions to decrease cannabis use in young adults with psychosis","volume":"326","author":[{"family":"Tatar","given":"Ovidiu"},{"family":"Abdel-Baki","given":"Amal"},{"family":"Dyachenko","given":"Alina"},{"family":"Bakouni","given":"Hamzah"},{"family":"Bahremand","given":"Arash"},{"family":"Tibbo","given":"Philip G."},{"family":"Crockford","given":"David"},{"family":"Roy","given":"Marc-André"},{"family":"Copeland","given":"Jan"},{"family":"Fischer","given":"Benedikt"},{"family":"Lecomte","given":"Tania"},{"family":"Côté","given":"José"},{"family":"Ouellet-Plamondon","given":"Clairélaine"},{"family":"L'Heureux","given":"Sophie"},{"family":"Villeneuve","given":"Marie"},{"family":"Jutras-Aswad","given":"Didier"}],"issued":{"date-parts":[["2023",8]]}}}],"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[90]</w:t>
            </w:r>
            <w:r w:rsidRPr="0022555D">
              <w:rPr>
                <w:rFonts w:asciiTheme="minorHAnsi" w:eastAsia="Calibri" w:hAnsiTheme="minorHAnsi" w:cstheme="minorHAnsi"/>
                <w:color w:val="000000" w:themeColor="text1"/>
                <w:sz w:val="16"/>
                <w:szCs w:val="26"/>
                <w:lang w:val="en-US"/>
              </w:rPr>
              <w:fldChar w:fldCharType="end"/>
            </w:r>
          </w:p>
          <w:p w14:paraId="7F3EB7B8"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Canada</w:t>
            </w:r>
          </w:p>
        </w:tc>
        <w:tc>
          <w:tcPr>
            <w:tcW w:w="1576" w:type="dxa"/>
          </w:tcPr>
          <w:p w14:paraId="241AFA44"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evaluate patient preferences regarding the structure and content of app-based psychological interventions for the treatment of Cannabis Use Disorder (CUD)</w:t>
            </w:r>
          </w:p>
          <w:p w14:paraId="39FFD640"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025" w:type="dxa"/>
          </w:tcPr>
          <w:p w14:paraId="26CB1D0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BWS case 2</w:t>
            </w:r>
          </w:p>
          <w:p w14:paraId="5925963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(profile case)</w:t>
            </w:r>
          </w:p>
        </w:tc>
        <w:tc>
          <w:tcPr>
            <w:tcW w:w="1275" w:type="dxa"/>
          </w:tcPr>
          <w:p w14:paraId="11FFD14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Previous qualitative study conducted by the authors</w:t>
            </w:r>
          </w:p>
        </w:tc>
        <w:tc>
          <w:tcPr>
            <w:tcW w:w="1302" w:type="dxa"/>
          </w:tcPr>
          <w:p w14:paraId="1E0C9E2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3 attributes, 3 levels </w:t>
            </w:r>
          </w:p>
        </w:tc>
        <w:tc>
          <w:tcPr>
            <w:tcW w:w="3170" w:type="dxa"/>
            <w:gridSpan w:val="2"/>
          </w:tcPr>
          <w:p w14:paraId="651D418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The study showed higher preferences for moderate intervention intensity and treatment autonomy that included preferences for using technology-based interventions.</w:t>
            </w:r>
          </w:p>
          <w:p w14:paraId="2E6874D9"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It also showed preferences for smartphone-based apps. </w:t>
            </w:r>
          </w:p>
        </w:tc>
      </w:tr>
      <w:tr w:rsidR="0022555D" w:rsidRPr="0022555D" w14:paraId="6B7B5B40"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4CE158D3"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Tauscher et al.</w:t>
            </w:r>
          </w:p>
          <w:p w14:paraId="7C1974AF"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(2023</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{"citationID":"LB1Euraz","properties":{"formattedCitation":"[56]","plainCitation":"[56]","noteIndex":0},"citationItems":[{"id":884,"uris":["http://zotero.org/users/4007286/items/UR7PSW5I"],"itemData":{"id":884,"type":"article-journal","abstract":"Introduction: Access to substance use disorder (SUD) treatment remains a significant issue in the United States. Telehealth has potential for increasing access to services; however, it is underutilized in SUD treatment compared to mental health treatment. This study uses a discrete choice experiment (DCE) to examine stated preferences for telehealth (videoconferencing, text-based + video, text only) versus in-person SUD treatment (community-based, in-home) and the attributes (location, cost, therapist choice, wait time, evidence-based practices) most important when choosing between modalities. Subgroup analyses are reported about preference differences based on type of substance and substance use severity. Methods: Four hundred participants completed a survey containing a DCE with eighteen choice sets, the alcohol use disorders inventory test, drug abuse screening test, and a brief demographic questionnaire. The study collected data between April 15, 2020, and April 22, 2020. Conditional logit regression provided a measure of strength for participant preferences for technology-assisted treatment compared to in-person care. The study provides willingness to pay estimates as a real-world measure for the importance of each attribute in participants' decision-making. Results: Telehealth options that include a video conference option were equally preferrable to in-person care modalities. Text-only treatment was significantly less preferable to all other modalities of care. The ability to choose one's own therapist was a significant driver of treatment preference beyond modality, while wait time did not appear significant in making decisions. Participants with the most severe substance use differed in that they were open to text-based care without video conferencing, did not express a preference for evidence-based care, and valued therapist choice significantly more than those with only moderate substance use. Conclusions: Telehealth for SUD treatment is equally preferable to in-person care offered in the community or at home, signifying preference is not a barrier for utilization. Text-only modalities may be enhanced by offering videoconference options for most individuals. Individuals with the most severe substance use issues may be willing to engage in text-based support without synchronous meetings with a provider. This approach may offer a less intensive method to engage individuals in treatment who may not otherwise access services.","archive_location":"WOS:001081795900001","container-title":"JOURNAL OF SUBSTANCE USE &amp; ADDICTION TREATMENT","DOI":"10.1016/j.josat.2022.208938","ISSN":"2949-8767","title":"Determinants of preference for telehealth versus in-person treatment for substance use disorders: A discrete choice experiment","volume":"146","author":[{"family":"Tauscher","given":"JS"},{"family":"DePue","given":"MK"},{"family":"Swank","given":"J"},{"family":"Salloum","given":"RG"}],"issued":{"date-parts":[["2023",3]]}}}],"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[56]</w:t>
            </w:r>
            <w:r w:rsidRPr="0022555D">
              <w:rPr>
                <w:rFonts w:asciiTheme="minorHAnsi" w:eastAsia="Calibri" w:hAnsiTheme="minorHAnsi" w:cstheme="minorHAnsi"/>
                <w:color w:val="000000" w:themeColor="text1"/>
                <w:sz w:val="16"/>
                <w:szCs w:val="26"/>
                <w:lang w:val="en-US"/>
              </w:rPr>
              <w:fldChar w:fldCharType="end"/>
            </w:r>
          </w:p>
          <w:p w14:paraId="779E5C33"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USA</w:t>
            </w:r>
          </w:p>
        </w:tc>
        <w:tc>
          <w:tcPr>
            <w:tcW w:w="1576" w:type="dxa"/>
          </w:tcPr>
          <w:p w14:paraId="11440FA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examine stated preferences for telehealth versus in-person substance use disorder treatment</w:t>
            </w:r>
          </w:p>
        </w:tc>
        <w:tc>
          <w:tcPr>
            <w:tcW w:w="1025" w:type="dxa"/>
          </w:tcPr>
          <w:p w14:paraId="7B1A697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3F4DD41A"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Literature review</w:t>
            </w:r>
          </w:p>
        </w:tc>
        <w:tc>
          <w:tcPr>
            <w:tcW w:w="1302" w:type="dxa"/>
          </w:tcPr>
          <w:p w14:paraId="27CEAE4E"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5 attributes 2-6 levels</w:t>
            </w:r>
          </w:p>
        </w:tc>
        <w:tc>
          <w:tcPr>
            <w:tcW w:w="3170" w:type="dxa"/>
            <w:gridSpan w:val="2"/>
          </w:tcPr>
          <w:p w14:paraId="3F01BD67"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Telehealth options that include a video conference option were equally preferable to in-person care modalities.</w:t>
            </w:r>
          </w:p>
          <w:p w14:paraId="40CBF4CE"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Men were less likely than women to choose an in-person option. </w:t>
            </w:r>
          </w:p>
        </w:tc>
      </w:tr>
      <w:tr w:rsidR="0022555D" w:rsidRPr="0022555D" w14:paraId="400063BA"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76688CF9"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Tsuji et al.</w:t>
            </w:r>
          </w:p>
          <w:p w14:paraId="23F52DDC"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(2006)</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{"citationID":"FIVfGtJs","properties":{"formattedCitation":"[101]","plainCitation":"[101]","noteIndex":0},"citationItems":[{"id":8993,"uris":["http://zotero.org/groups/5230117/items/F9A9C4GM"],"itemData":{"id":8993,"type":"article-journal","abstract":"Many countries in the world are faced with rapidly escalating healthcare costs due to an increasingly aging population. To help address this problem, new and innovative methods of delivering healthcare are necessary and one of these is e-health. Although this has the potential to significantly reduce long-term healthcare costs, a major drawback associated with implementation is the high capital costs. This burden would be greatly eased if citizens were prepared to pay some of the costs themselves, rather than having it all provided free by governments. Previously we have used the Contingent Valuation Method (CVM) to determine the willingness of citizens to pay for e-health services in four regions of Japan where e-health systems had already been implemented. Based on the benefits obtained from the services, we found that citizens were willing to pay a significant proportion of the costs of e-health and in one region almost twice the actual charges. Following on from these studies we have attempted to do a 'Benefits Transfer' study using the data from our previous study to determine the willingness of citizens to pay for e-health services on the basis of perceived benefits, i.e. before e-health services are actually implemented. The study was conducted in a town of almost 6,500 citizens of which nearly 30% were aged 65 years or older. It demonstrated that citizens were willing to pay a monthly sum of 2,825 Yen (approximately 20 Euros or 25 US dollars) for e-health services. This figure is comparable to those obtained from our previous CVM studies. Further analysis identified that the two most important demographic factors influencing willingness to pay were age and income. The results of this study may be useful for local governments planning to implement e-health services. It can assist them in determining the likelihood of citizens wanting e-health services and also provide a guide as to the amount that they may be willing to pay for e-health services. © The Journal on Information Technology in Healthcare 2006.","archive":"Embase","container-title":"Journal on Information Technology in Healthcare","ISSN":"1479-649X","issue":"2","journalAbbreviation":"J. Inf. Technol. Healthc.","language":"English","page":"103-110","title":"The willingness of Japanese citizens to pay for e-health systems","volume":"4","author":[{"family":"Tsuji","given":"M."},{"family":"Taoka","given":"F."},{"family":"Iizuka","given":"C."},{"family":"Teshima","given":"M."}],"issued":{"date-parts":[["2006"]]}}}],"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[101]</w:t>
            </w:r>
            <w:r w:rsidRPr="0022555D">
              <w:rPr>
                <w:rFonts w:asciiTheme="minorHAnsi" w:eastAsia="Calibri" w:hAnsiTheme="minorHAnsi" w:cstheme="minorHAnsi"/>
                <w:color w:val="000000" w:themeColor="text1"/>
                <w:sz w:val="16"/>
                <w:szCs w:val="26"/>
                <w:lang w:val="en-US"/>
              </w:rPr>
              <w:fldChar w:fldCharType="end"/>
            </w:r>
          </w:p>
          <w:p w14:paraId="0FED1F13"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Japan</w:t>
            </w:r>
          </w:p>
        </w:tc>
        <w:tc>
          <w:tcPr>
            <w:tcW w:w="1576" w:type="dxa"/>
          </w:tcPr>
          <w:p w14:paraId="16CDE0B0"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determine the willingness of citizens to pay for e-health services on the basis of perceived</w:t>
            </w:r>
          </w:p>
          <w:p w14:paraId="7331900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Benefits</w:t>
            </w:r>
          </w:p>
          <w:p w14:paraId="4F6F89C7"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025" w:type="dxa"/>
          </w:tcPr>
          <w:p w14:paraId="05056F56"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Contingent valuation</w:t>
            </w:r>
          </w:p>
        </w:tc>
        <w:tc>
          <w:tcPr>
            <w:tcW w:w="1275" w:type="dxa"/>
          </w:tcPr>
          <w:p w14:paraId="3C8CFA21"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07648D32"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3170" w:type="dxa"/>
            <w:gridSpan w:val="2"/>
          </w:tcPr>
          <w:p w14:paraId="37897C66"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The figure obtained by the study is 2,825 yen per month. </w:t>
            </w:r>
          </w:p>
          <w:p w14:paraId="3076289A"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The analysis demonstrated that the most important demographic factors determining WTP were increasing age and income.</w:t>
            </w:r>
          </w:p>
        </w:tc>
      </w:tr>
      <w:tr w:rsidR="0022555D" w:rsidRPr="0022555D" w14:paraId="72C3F1ED"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69FEB0DB" w14:textId="77777777" w:rsidR="0022555D" w:rsidRPr="0022555D" w:rsidRDefault="0022555D" w:rsidP="0022555D">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22555D">
              <w:rPr>
                <w:rFonts w:ascii="Calibri" w:eastAsia="Calibri" w:hAnsi="Calibri" w:cs="Calibri"/>
                <w:b/>
                <w:bCs/>
                <w:i w:val="0"/>
                <w:iCs w:val="0"/>
                <w:color w:val="000000" w:themeColor="text1"/>
                <w:sz w:val="16"/>
                <w:szCs w:val="16"/>
                <w:lang w:val="en-US"/>
              </w:rPr>
              <w:t>Vo et al. (2025)</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{"citationID":"n7VNX7q5","properties":{"unsorted":false,"formattedCitation":"[73]","plainCitation":"[73]","noteIndex":0},"citationItems":[{"id":451,"uris":["http://zotero.org/users/4007286/items/6EWMV4H4"],"itemData":{"id":451,"type":"article-journal","abstract":"OBJECTIVE: To explore public opinion on the factors that drive the use of Artificial Intelligence (AI) mobile health (mHealth) applications for heart disease and mental health, with a particular emphasis on diagnostics and virtual health assistance (VHA).\nMETHODS: This study adopted a discrete choice experiment (DCE) to investigate the preferences of the Australian general public for heart disease and depression. Five attributes were considered, including anonymised data sharing, human-AI interaction, accuracy of AI results, explanation of results provided by AI, and funding source. Mixed logit and latent class logit models were used to investigate potential preference heterogeneity among respondents.\nRESULTS: Respondents (n=1,176) showed that AI accuracy was the most crucial factor in AI mHealth applications, followed by human doctor - AI interaction. Preferences for not sharing anonymised data were reported in depression while there were no statistically significant results for heart disease. Results explained by AI and funding source were generally less important. Those who expressed fear of AI were less likely to opt for AI diagnostics and VHA in heart disease. Older adults (60+) were less likely to use AI in both health conditions, while younger adults (18-29) were more inclined to use VHA for heart disease.\nCONCLUSIONS: It is evident that beyond the technical feasibility of AI applications, there are nuanced differences in public preferences for AI mHealth applications in Australia. Understanding factors leading to these discrepancies would be valuable to ensuring safe and equitable acceptance and harnessing the full potential of AI in healthcare delivery and outcomes.","container-title":"Value in Health: The Journal of the International Society for Pharmacoeconomics and Outcomes Research","DOI":"10.1016/j.jval.2025.06.013","ISSN":"1524-4733","journalAbbreviation":"Value Health","language":"eng","page":"S1098-3015(25)02428-3","PMID":"40633727","source":"PubMed","title":"Unravelling public preferences for the use of Artificial Intelligence mobile health applications in Australia","author":[{"family":"Vo","given":"Vinh"},{"family":"Woode","given":"Maame E."},{"family":"Carter","given":"Stacy M."},{"family":"Degeling","given":"Chris"},{"family":"Chen","given":"Gang"}],"issued":{"date-parts":[["2025",7,7]]}}}],"schema":"https://github.com/citation-style-language/schema/raw/master/csl-citation.json"}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[73]</w:t>
            </w:r>
            <w:r w:rsidRPr="0022555D">
              <w:rPr>
                <w:rFonts w:ascii="Calibri" w:eastAsia="Calibri" w:hAnsi="Calibri" w:cs="Calibri"/>
                <w:color w:val="000000" w:themeColor="text1"/>
                <w:sz w:val="16"/>
                <w:szCs w:val="16"/>
                <w:lang w:val="en-US"/>
              </w:rPr>
              <w:fldChar w:fldCharType="end"/>
            </w:r>
          </w:p>
          <w:p w14:paraId="6AD3BD0A"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Australia</w:t>
            </w:r>
          </w:p>
        </w:tc>
        <w:tc>
          <w:tcPr>
            <w:tcW w:w="1576" w:type="dxa"/>
          </w:tcPr>
          <w:p w14:paraId="58080FA8"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To explore public opinion on the factors that drive the use of artificial intelligence (AI) mobile health (mHealth) apps for heart disease and mental health</w:t>
            </w:r>
          </w:p>
        </w:tc>
        <w:tc>
          <w:tcPr>
            <w:tcW w:w="1025" w:type="dxa"/>
          </w:tcPr>
          <w:p w14:paraId="484D96F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63A47F8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Systematic review, discussion with experts</w:t>
            </w:r>
          </w:p>
        </w:tc>
        <w:tc>
          <w:tcPr>
            <w:tcW w:w="1302" w:type="dxa"/>
          </w:tcPr>
          <w:p w14:paraId="38BC5D8B"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5 attributes, 2-3 levels each</w:t>
            </w:r>
          </w:p>
        </w:tc>
        <w:tc>
          <w:tcPr>
            <w:tcW w:w="3170" w:type="dxa"/>
            <w:gridSpan w:val="2"/>
          </w:tcPr>
          <w:p w14:paraId="2D5D63A1"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Theme="majorEastAsia" w:hAnsi="Calibri" w:cs="Calibri"/>
                <w:color w:val="000000" w:themeColor="text1"/>
                <w:sz w:val="16"/>
                <w:szCs w:val="16"/>
                <w:lang w:val="en-US"/>
              </w:rPr>
              <w:t>AI accuracy and human doctor-AI interaction are the most 2 important factors across application types and health conditions.  Preferences for not sharing anonymized data were reported in depression. Older adults were less likely to use AI in both health conditions, whereas younger adults were more inclined to use virtual health assistance for heart disease.</w:t>
            </w:r>
          </w:p>
        </w:tc>
      </w:tr>
      <w:tr w:rsidR="0022555D" w:rsidRPr="0022555D" w14:paraId="0CF53B08"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6224F427"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lastRenderedPageBreak/>
              <w:t>Wang et al.</w:t>
            </w:r>
          </w:p>
          <w:p w14:paraId="3EB75AF4"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(2023)</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{"citationID":"ko3SU9AQ","properties":{"formattedCitation":"[92]","plainCitation":"[92]","noteIndex":0},"citationItems":[{"id":831,"uris":["http://zotero.org/users/4007286/items/N3STQWP8"],"itemData":{"id":831,"type":"article-journal","abstract":"BackgroundOnline medical consultation (OMC) is significant to promote the utilization and accessibility of healthcare resources and save time on consultation. However, the usage and public acceptance rates of it are still low in China. Meanwhile, few studies have focused on consumers' demand of OMC services. This study aims to identify attributes that influence users' preference for OMC services, quantify the value of these characteristics, and compare their relative importance.MethodsA nationwide discrete choice experiment was conducted to survey Chinese residents' preference choices for six attributes of OMC services. Conditional logit model and mixed logit model were used to analyze respondents' preference. Willingness to pay and heterogeneity were estimated by the mixed logit model.ResultsA total of 856 respondents completed the study, and 668 questionnaires passed the consistency test. All of 6 attributes in the study were statistically significant except for \"Doctor's professional title - Associate Senior.\" When choosing OMC services, respondents preferred to spend as little time and money as possible on a large online medical platform to consult a high-rated physician with a senior title from a well-known Grade-A tertiary hospital. Besides, respondents valued doctor's evaluation score most and were willing to pay yen 107 to obtain the services of higher-scored doctors.ConclusionThe study measured Chinese residents' preferences for six attributes of OMC and showed the heterogeneity of attributes among subgroups. Our findings suggested that OMC services providers should reduce the customers' waiting time, improve the quality of services and enhance professional skills to meet the customers' requirements. More research on preferences for OMC needs to be conducted in China, especially for key populations such as patients with chronic diseases.","archive_location":"WOS:001135886300001","container-title":"FRONTIERS IN PUBLIC HEALTH","DOI":"10.3389/fpubh.2023.1282387","ISSN":"2296-2565","title":"Public preferences for online medical consultations in China: a discrete choice experiment","volume":"11","author":[{"family":"Wang","given":"P"},{"family":"Huang","given":"YK"},{"family":"Li","given":"HT"},{"family":"Xi","given":"XY"}],"issued":{"date-parts":[["2023",12,13]]}}}],"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[92]</w:t>
            </w:r>
            <w:r w:rsidRPr="0022555D">
              <w:rPr>
                <w:rFonts w:asciiTheme="minorHAnsi" w:eastAsia="Calibri" w:hAnsiTheme="minorHAnsi" w:cstheme="minorHAnsi"/>
                <w:color w:val="000000" w:themeColor="text1"/>
                <w:sz w:val="16"/>
                <w:szCs w:val="26"/>
                <w:lang w:val="en-US"/>
              </w:rPr>
              <w:fldChar w:fldCharType="end"/>
            </w:r>
          </w:p>
          <w:p w14:paraId="1B2913DE"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China</w:t>
            </w:r>
          </w:p>
        </w:tc>
        <w:tc>
          <w:tcPr>
            <w:tcW w:w="1576" w:type="dxa"/>
          </w:tcPr>
          <w:p w14:paraId="11EBDB3B"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identify attributes that influence users’ preference for OMC services</w:t>
            </w:r>
          </w:p>
        </w:tc>
        <w:tc>
          <w:tcPr>
            <w:tcW w:w="1025" w:type="dxa"/>
          </w:tcPr>
          <w:p w14:paraId="20462706"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3E53DAA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Literature review and qualitative studies (individual interviews, expert consultations and focus group discussions)</w:t>
            </w:r>
          </w:p>
          <w:p w14:paraId="31F94CA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c>
          <w:tcPr>
            <w:tcW w:w="1302" w:type="dxa"/>
          </w:tcPr>
          <w:p w14:paraId="43FF98A3"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6 attributes 3 levels </w:t>
            </w:r>
          </w:p>
        </w:tc>
        <w:tc>
          <w:tcPr>
            <w:tcW w:w="3170" w:type="dxa"/>
            <w:gridSpan w:val="2"/>
          </w:tcPr>
          <w:p w14:paraId="3F8F6E7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All attributes were significant except associate senior in terms of doctor’s professional title. </w:t>
            </w:r>
          </w:p>
          <w:p w14:paraId="7C8ECA56"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Respondents preferred to spend as little time and money as possible on a large online medical platform. </w:t>
            </w:r>
          </w:p>
        </w:tc>
      </w:tr>
      <w:tr w:rsidR="0022555D" w:rsidRPr="0022555D" w14:paraId="1E2AE743"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36E66A10" w14:textId="77777777" w:rsidR="0022555D" w:rsidRPr="0022555D" w:rsidRDefault="0022555D" w:rsidP="0022555D">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22555D">
              <w:rPr>
                <w:rFonts w:ascii="Calibri" w:eastAsia="Calibri" w:hAnsi="Calibri" w:cs="Calibri"/>
                <w:b/>
                <w:bCs/>
                <w:i w:val="0"/>
                <w:iCs w:val="0"/>
                <w:color w:val="000000" w:themeColor="text1"/>
                <w:sz w:val="16"/>
                <w:szCs w:val="16"/>
                <w:lang w:val="en-US"/>
              </w:rPr>
              <w:t>Wang et al. (2026)</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{"citationID":"PuOlR7F1","properties":{"unsorted":false,"formattedCitation":"[69]","plainCitation":"[69]","noteIndex":0},"citationItems":[{"id":28613,"uris":["http://zotero.org/users/4007286/items/9BENSG56"],"itemData":{"id":28613,"type":"article-journal","abstract":"Context: Mobile health (mHealth) applications are widely used for chronic disease management, but usability and accessibility challenges persist due to the diverse needs of users. Adaptive User Interfaces (AUIs) offer a promising approach to personalizing interactions and improving user experience. However, their adoption remains limited, partly due to a lack of understanding of how users perceive and evaluate different adaptation strategies. Addressing this gap is crucial for advancing user-centered design and requirements engineering in software systems for health contexts. Objective: This study identifies key factors influencing user preferences and trade-offs in mHealth adaptation design. Method: A Discrete Choice Experiment (DCE) was conducted with 186 participants living with chronic conditions who regularly use mHealth applications. Each participant completed a series of choice tasks, selecting their preferred adaptation designs from scenarios composed of six attributes with varying levels. A mixed logit model was applied to examine preference heterogeneity. Subgroup analyses were also conducted to explore variations in preferences across age, gender, health condition, and coping mechanism. Results: Participants preferred adaptation designs that preserved usability, offered controllability, introduced changes infrequently, and applied small-scale modifications. Conversely, adaptations affecting frequently used functions and those involving caregiver input were generally viewed less favorably. These findings highlight key trade-offs that influence user acceptance of adaptive mHealth interfaces. Conclusion: This study employs a data-driven approach to quantify user preferences, identify key tradeoffs, and reveal variations across demographic and behavioral subgroups through preference heterogeneity modeling. These insights provide actionable guidance for designing more user-centered adaptive interfaces and contribute to advancing requirements prioritization practices in software engineering-particularly in the context of health technologies.","archive_location":"WOS:001664955900001","container-title":"INFORMATION AND SOFTWARE TECHNOLOGY","DOI":"10.1016/j.infsof.2026.108014","ISSN":"0950-5849","language":"English","title":"User-centric requirements prioritization in mHealth applications: Insights from a Discrete Choice Experiment","volume":"192","author":[{"family":"Wang","given":"W"},{"family":"Khalajzadeh","given":"H"},{"family":"Grundy","given":"J"},{"family":"Madugalla","given":"A"},{"family":"Obie","given":"HO"}],"issued":{"date-parts":[["2026",4]]}}}],"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[69]</w:t>
            </w:r>
            <w:r w:rsidRPr="0022555D">
              <w:rPr>
                <w:rFonts w:ascii="Calibri" w:eastAsia="Calibri" w:hAnsi="Calibri" w:cs="Calibri"/>
                <w:color w:val="000000" w:themeColor="text1"/>
                <w:sz w:val="16"/>
                <w:szCs w:val="16"/>
                <w:lang w:val="en-US"/>
              </w:rPr>
              <w:fldChar w:fldCharType="end"/>
            </w:r>
          </w:p>
          <w:p w14:paraId="407FBE94"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Australia</w:t>
            </w:r>
          </w:p>
        </w:tc>
        <w:tc>
          <w:tcPr>
            <w:tcW w:w="1576" w:type="dxa"/>
          </w:tcPr>
          <w:p w14:paraId="7FBF1AA3"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To identify key factors influencing user preferences in mHealth adaptation design</w:t>
            </w:r>
          </w:p>
        </w:tc>
        <w:tc>
          <w:tcPr>
            <w:tcW w:w="1025" w:type="dxa"/>
          </w:tcPr>
          <w:p w14:paraId="616DEE7A"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DCE</w:t>
            </w:r>
          </w:p>
        </w:tc>
        <w:tc>
          <w:tcPr>
            <w:tcW w:w="1275" w:type="dxa"/>
          </w:tcPr>
          <w:p w14:paraId="5162A38C"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Systematic review, interviews and focus groups</w:t>
            </w:r>
          </w:p>
        </w:tc>
        <w:tc>
          <w:tcPr>
            <w:tcW w:w="1302" w:type="dxa"/>
          </w:tcPr>
          <w:p w14:paraId="50291AE8"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6 attributes, 2-3 levels each</w:t>
            </w:r>
          </w:p>
        </w:tc>
        <w:tc>
          <w:tcPr>
            <w:tcW w:w="3170" w:type="dxa"/>
            <w:gridSpan w:val="2"/>
          </w:tcPr>
          <w:p w14:paraId="53FA297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 xml:space="preserve">Usability was the most important attribute driving preferences for adaptive mHealth applications. </w:t>
            </w:r>
          </w:p>
          <w:p w14:paraId="3F14DB39"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Calibri" w:eastAsia="Calibri" w:hAnsi="Calibri" w:cs="Calibri"/>
                <w:color w:val="000000" w:themeColor="text1"/>
                <w:sz w:val="16"/>
                <w:szCs w:val="16"/>
                <w:lang w:val="en-US"/>
              </w:rPr>
              <w:t>Users also valued controllability and stable, small-scale adaptations, while frequent changes were less preferred. In contrast, caregiver involvement and adaptations affecting frequently used functions were generally disliked.</w:t>
            </w:r>
          </w:p>
        </w:tc>
      </w:tr>
      <w:tr w:rsidR="0022555D" w:rsidRPr="0022555D" w14:paraId="37FC2239"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6EF6A8BD" w14:textId="77777777" w:rsidR="0022555D" w:rsidRPr="0022555D" w:rsidRDefault="0022555D" w:rsidP="0022555D">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22555D">
              <w:rPr>
                <w:rFonts w:ascii="Calibri" w:eastAsia="Calibri" w:hAnsi="Calibri" w:cs="Calibri"/>
                <w:b/>
                <w:bCs/>
                <w:i w:val="0"/>
                <w:iCs w:val="0"/>
                <w:color w:val="000000" w:themeColor="text1"/>
                <w:sz w:val="16"/>
                <w:szCs w:val="16"/>
                <w:lang w:val="en-US"/>
              </w:rPr>
              <w:t>Woode et al. (2025)</w:t>
            </w:r>
            <w:r w:rsidRPr="0022555D">
              <w:rPr>
                <w:rFonts w:ascii="Calibri" w:eastAsia="Calibri" w:hAnsi="Calibri" w:cs="Calibri"/>
                <w:i w:val="0"/>
                <w:iCs w:val="0"/>
                <w:color w:val="000000" w:themeColor="text1"/>
                <w:sz w:val="16"/>
                <w:szCs w:val="16"/>
                <w:lang w:val="en-US"/>
              </w:rPr>
              <w:t xml:space="preserve"> </w:t>
            </w:r>
            <w:r w:rsidRPr="0022555D">
              <w:rPr>
                <w:rFonts w:ascii="Calibri" w:eastAsia="Calibri" w:hAnsi="Calibri" w:cs="Calibri"/>
                <w:color w:val="000000" w:themeColor="text1"/>
                <w:sz w:val="16"/>
                <w:szCs w:val="16"/>
                <w:lang w:val="en-US"/>
              </w:rPr>
              <w:fldChar w:fldCharType="begin"/>
            </w:r>
            <w:r w:rsidRPr="0022555D">
              <w:rPr>
                <w:rFonts w:ascii="Calibri" w:eastAsia="Calibri" w:hAnsi="Calibri" w:cs="Calibri"/>
                <w:i w:val="0"/>
                <w:iCs w:val="0"/>
                <w:color w:val="000000" w:themeColor="text1"/>
                <w:sz w:val="16"/>
                <w:szCs w:val="16"/>
                <w:lang w:val="en-US"/>
              </w:rPr>
              <w:instrText xml:space="preserve"> ADDIN ZOTERO_ITEM CSL_CITATION {"citationID":"O7MS3B69","properties":{"unsorted":false,"formattedCitation":"[74]","plainCitation":"[74]","noteIndex":0},"citationItems":[{"id":28619,"uris":["http://zotero.org/users/4007286/items/YUPCYVAV"],"itemData":{"id":28619,"type":"article-journal","abstract":"Question: What do people with chronic knee pain value in physiotherapy consultations and how much are they willing to pay for a telerehabilitation consultation as opposed to an in-person consultation? Design: Discrete choice experiment and contingent valuation. Participants: A total of 844 Australian adults with a clinical diagnosis of knee osteoarthritis were recruited in April 2021. Data collection: Participants were presented with a series of hypothetical scenarios and asked to choose between telerehabilitation (videoconferencing) or in-person physiotherapy consultations. Seven attributes (listening and discussion time; choice of physiotherapist; consultation security/privacy; travel time; pain improvement; waiting time; and consultation cost) with varying levels presented in each scenario. Data analysis: A generalised mixed multinomial logit model was used to estimate the strength of preferences across attributes, the implied monetary willingness to pay for telerehabilitation consultations, and the likely uptake of telerehabilitation in the population. Results: Participants were willing to pay AU$38.68 less for a telerehabilitation consultation compared with an in-person consultation. For a plausible set of base case attribute values, 40% of participants chose telerehabilitation. However, preferences for telerehabilitation consults increased when there was less waiting and travel time, more communication time, and when offered at a lower fee. Younger adults, females, those not working, those more confident using videoconferencing technology and those with less knee pain were more likely to prefer telerehabilitation. Conclusion: People with chronic knee pain prefer in-person consultations but there is a demand for telerehabilitation physiotherapy consultations, particularly if offered at a lower fee, if there is a substantial amount of travel and waiting time for an inperson consultation, or if telerehabilitation offers more communication time with the physiotherapist. [Woode ME, Hinman RS, Harris A, Bennell KL, Lawford BJ (2025) People with chronic knee pain are willing to pay for telerehabilitation physiotherapy consultations if they offer more communication time, greater pain improvement and less travel and waiting time: a discrete choice experiment. Journal of Physiotherapy 71:268-275] (c) 2025 Australian Physiotherapy Association. Published by Elsevier B.V. This is an open access article under the CC BY-NC-ND license (http://creativecommons.org/licenses/by-nc-nd/4.0/).","archive_location":"WOS:001592502000006","container-title":"JOURNAL OF PHYSIOTHERAPY","DOI":"10.1016/j.jphys.2025.09.006","ISSN":"1836-9553","issue":"4","language":"English","page":"268-275","title":"People with chronic knee pain are willing to pay for telerehabilitation physiotherapy consultations if they offer more communication time, greater pain improvement and less travel and waiting time: a discrete choice experiment","volume":"71","author":[{"family":"Woode","given":"ME"},{"family":"Hinman","given":"RS"},{"family":"Harris","given":"A"},{"family":"Bennell","given":"KL"},{"family":"Lawford","given":"BJ"}],"issued":{"date-parts":[["2025",10]]}}}],"schema":"https://github.com/citation-style-language/schema/raw/master/csl-citation.json"} </w:instrText>
            </w:r>
            <w:r w:rsidRPr="0022555D">
              <w:rPr>
                <w:rFonts w:ascii="Calibri" w:eastAsia="Calibri" w:hAnsi="Calibri" w:cs="Calibri"/>
                <w:color w:val="000000" w:themeColor="text1"/>
                <w:sz w:val="16"/>
                <w:szCs w:val="16"/>
                <w:lang w:val="en-US"/>
              </w:rPr>
              <w:fldChar w:fldCharType="separate"/>
            </w:r>
            <w:r w:rsidRPr="0022555D">
              <w:rPr>
                <w:rFonts w:ascii="Calibri" w:eastAsia="Calibri" w:hAnsi="Calibri" w:cs="Calibri"/>
                <w:i w:val="0"/>
                <w:iCs w:val="0"/>
                <w:noProof/>
                <w:color w:val="000000" w:themeColor="text1"/>
                <w:sz w:val="16"/>
                <w:szCs w:val="16"/>
                <w:lang w:val="en-US"/>
              </w:rPr>
              <w:t>[74]</w:t>
            </w:r>
            <w:r w:rsidRPr="0022555D">
              <w:rPr>
                <w:rFonts w:ascii="Calibri" w:eastAsia="Calibri" w:hAnsi="Calibri" w:cs="Calibri"/>
                <w:color w:val="000000" w:themeColor="text1"/>
                <w:sz w:val="16"/>
                <w:szCs w:val="16"/>
                <w:lang w:val="en-US"/>
              </w:rPr>
              <w:fldChar w:fldCharType="end"/>
            </w:r>
          </w:p>
          <w:p w14:paraId="07B44BBB" w14:textId="77777777" w:rsidR="0022555D" w:rsidRPr="0022555D" w:rsidRDefault="0022555D" w:rsidP="0022555D">
            <w:pPr>
              <w:keepNext/>
              <w:keepLines/>
              <w:spacing w:before="40" w:line="240" w:lineRule="auto"/>
              <w:jc w:val="center"/>
              <w:outlineLvl w:val="1"/>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Australia</w:t>
            </w:r>
          </w:p>
        </w:tc>
        <w:tc>
          <w:tcPr>
            <w:tcW w:w="1576" w:type="dxa"/>
          </w:tcPr>
          <w:p w14:paraId="2AC9FC2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To investigate patients' preferences for telerehabilitation consultations versus traditional in‐person physiotherapy consultations</w:t>
            </w:r>
          </w:p>
        </w:tc>
        <w:tc>
          <w:tcPr>
            <w:tcW w:w="1025" w:type="dxa"/>
          </w:tcPr>
          <w:p w14:paraId="21DB5F5A"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 xml:space="preserve">DCE </w:t>
            </w:r>
          </w:p>
        </w:tc>
        <w:tc>
          <w:tcPr>
            <w:tcW w:w="1275" w:type="dxa"/>
          </w:tcPr>
          <w:p w14:paraId="77E5CAD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Literature review and experts feedback</w:t>
            </w:r>
          </w:p>
        </w:tc>
        <w:tc>
          <w:tcPr>
            <w:tcW w:w="1302" w:type="dxa"/>
          </w:tcPr>
          <w:p w14:paraId="45A3C7CA"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7 attributes,2-4 levels each</w:t>
            </w:r>
          </w:p>
        </w:tc>
        <w:tc>
          <w:tcPr>
            <w:tcW w:w="3170" w:type="dxa"/>
            <w:gridSpan w:val="2"/>
          </w:tcPr>
          <w:p w14:paraId="37346BDF"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 xml:space="preserve">Participants showed an overall preference for in-person physiotherapy. However, telerehabilitation became more attractive when it reduced travel and waiting time, increased communication time, and had lower costs. </w:t>
            </w:r>
          </w:p>
          <w:p w14:paraId="711B1B8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22555D">
              <w:rPr>
                <w:rFonts w:ascii="Calibri" w:eastAsia="Calibri" w:hAnsi="Calibri" w:cs="Calibri"/>
                <w:color w:val="000000" w:themeColor="text1"/>
                <w:sz w:val="16"/>
                <w:szCs w:val="16"/>
                <w:lang w:val="en-US"/>
              </w:rPr>
              <w:t>The most valued attribute was pain improvement, followed by waiting time, travel time, communication time, and privacy/security.</w:t>
            </w:r>
          </w:p>
        </w:tc>
      </w:tr>
      <w:tr w:rsidR="0022555D" w:rsidRPr="0022555D" w14:paraId="53305A1E"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Pr>
          <w:p w14:paraId="5EB9BB3F"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Xie et al. (2023)</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{"citationID":"i8Iv3fdT","properties":{"formattedCitation":"[93]","plainCitation":"[93]","noteIndex":0},"citationItems":[{"id":2441,"uris":["http://zotero.org/users/4007286/items/HDJ7SV8M"],"itemData":{"id":2441,"type":"article-journal","abstract":"BACKGROUND: The benefits of health apps can only be realized when consumers purchase them for use. Thus, it is important to understand what factors influence consumers' willingness to purchase health apps. Therefore, this study aimed to examine the influence of health app attributes and sociodemographic characteristics on consumers' willingness to purchase health apps, and how the value of the health app attributes varies for individuals with different sociodemographic characteristics.\nMETHODS: A questionnaire-based discrete choice experiment (DCE) was conducted with a random sample of 561 adults. A standard logit regression was applied to assess the influence of health app attributes and sociodemographic characteristics on consumers' willingness to purchase health apps, and marginal willingness to pay (MWTP) was calculated for each factor using regression coefficients. Interaction effects were also examined to determine how the value of health app attributes varies by sociodemographic characteristics.\nRESULTS: Usefulness, ease of use, security and privacy, and attitudes of healthcare professionals toward consumers' use of health apps were the attributes of health apps that positively influenced consumers' willingness to purchase them. Conversely, smartphone storage consumption, mobile Internet data consumption, and app price negatively influenced consumers' willingness to purchase the apps. For sociodemographic characteristics, being male, having a household size greater than three, having a monthly household income of HK$30,000 or more, having a lower education level (below diploma), having previously used health apps, and having previously purchased health apps were associated with a higher willingness to purchase health apps.\nCONCLUSIONS: Health app attributes that influenced consumers' willingness to purchase the apps and populations that were less willing to purchase health apps were identified. Efforts should be made to improve health app attributes and enhance the promotion of health apps among these underserved populations.","container-title":"mHealth","DOI":"10.21037/mhealth-22-39","ISSN":"2306-9740","journalAbbreviation":"Mhealth","language":"eng","page":"21","source":"PubMed","title":"A discrete choice experiment to examine the factors influencing consumers' willingness to purchase health apps","volume":"9","author":[{"family":"Xie","given":"Zhenzhen"},{"family":"Liu","given":"Hao"},{"family":"Or","given":"Calvin"}],"issued":{"date-parts":[["2023"]]}}}],"schema":"https://github.com/citation-style-language/schema/raw/master/csl-citation.json"}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[93]</w:t>
            </w:r>
            <w:r w:rsidRPr="0022555D">
              <w:rPr>
                <w:rFonts w:asciiTheme="minorHAnsi" w:eastAsia="Calibri" w:hAnsiTheme="minorHAnsi" w:cstheme="minorHAnsi"/>
                <w:color w:val="000000" w:themeColor="text1"/>
                <w:sz w:val="16"/>
                <w:szCs w:val="26"/>
                <w:lang w:val="en-US"/>
              </w:rPr>
              <w:fldChar w:fldCharType="end"/>
            </w:r>
          </w:p>
          <w:p w14:paraId="16515839"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China</w:t>
            </w:r>
          </w:p>
        </w:tc>
        <w:tc>
          <w:tcPr>
            <w:tcW w:w="1576" w:type="dxa"/>
          </w:tcPr>
          <w:p w14:paraId="49B2519B"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To examine consumer preferences for health apps </w:t>
            </w:r>
          </w:p>
        </w:tc>
        <w:tc>
          <w:tcPr>
            <w:tcW w:w="1025" w:type="dxa"/>
          </w:tcPr>
          <w:p w14:paraId="58F18B69"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457E2EC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Literature review</w:t>
            </w:r>
          </w:p>
        </w:tc>
        <w:tc>
          <w:tcPr>
            <w:tcW w:w="1302" w:type="dxa"/>
          </w:tcPr>
          <w:p w14:paraId="14D4ACBC"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7 attributes 3 levels </w:t>
            </w:r>
          </w:p>
        </w:tc>
        <w:tc>
          <w:tcPr>
            <w:tcW w:w="3170" w:type="dxa"/>
            <w:gridSpan w:val="2"/>
          </w:tcPr>
          <w:p w14:paraId="3DF35D1F"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Cost was the most influential attribute affecting consumers' choice of health apps. </w:t>
            </w:r>
          </w:p>
          <w:p w14:paraId="3C484A46"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Differences in sociodemographic characteristics and purchase experiences influenced consumers' preferences for health apps. </w:t>
            </w:r>
          </w:p>
          <w:p w14:paraId="3C563B5E"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45A340A6"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227" w:type="dxa"/>
          </w:tcPr>
          <w:p w14:paraId="00FE09FE"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Xie and Or (2023)</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{"citationID":"YtlTiO3m","properties":{"formattedCitation":"[94]","plainCitation":"[94]","noteIndex":0},"citationItems":[{"id":2240,"uris":["http://zotero.org/users/4007286/items/TRWHWPQM"],"itemData":{"id":2240,"type":"article-journal","abstract":"Background: There is growing interest in mobile health apps; however, not all of them have been successful. The most common issue has been users' nonadoption or abandonment of health apps because the app designs do not meet their preferences. Therefore, to facilitate design-preference fit, understanding consumers' preferences for health apps is necessary, which can be accomplished by using a discrete choice experiment. Objective: This study aims to examine consumer preferences for health apps and how these preferences differ across individuals with different sociodemographic characteristics and health app usage and purchase experiences. Methods: A cross-sectional discrete choice experiment questionnaire survey was conducted with 593 adults living in Hong Kong. A total of 7 health app attributes that might affect consumers' preferences for health apps were examined, including usefulness, ease of use, security and privacy, health care professionals' attitudes, smartphone storage consumption, mobile data consumption, and cost. Mixed-effect logit regressions were used to examine how these attributes affected consumer preferences for health apps. Fixed effects (coefficient β) of the attributes and random effects of individual differences were modeled. Subgroup analyses of consumer preferences by sex, age, household income, education level, and health app usage and purchase experiences were conducted. Results: Cost was the attribute that had the greatest effect on consumers' choice of health apps (compared to HK $10 [US $1.27]-HK $50 [US $6.37]: β=-1.064; P&lt;.001; HK $100 [US $12.75]: β=-2.053; P&lt;.001), followed by security and privacy (compared to no security insurance-some security policies: β=.782; P&lt;.001; complete security system: β=1.164; P&lt;.001) and usefulness (compared to slightly useful-moderately useful: β=.234; P&lt;.001; very useful: β=.979; P=.007), mobile data consumption (compared to data-consuming-a bit data-consuming: β=.647; P&lt;.001; data-saving: β=.815; P&lt;.001), smartphone storage consumption (compared to &gt;100 MB-around 38 MB: β=.334; P&lt;.001; &lt;10 MB: β=.511; P&lt;.001), and attitudes of health care professionals (compared to neutral-moderately supportive: β=.301; P&lt;.001; very supportive: β=.324; P&lt;.001). In terms of ease of use, consumers preferred health apps that were moderately easy to use (compared to not easy to use-moderately easy to use: β=.761; P&lt;.001; very easy to use: β=.690; P&lt;.001). Our results also showed that consumers with different sociodemographic characteristics and different usage and purchase experiences with health apps differed in their preferences for health apps. Conclusions: It is recommended that future health apps keep their mobile data and phone storage consumption low, include a complete security system to protect personal health information, provide useful content and features, adopt user-friendly interfaces, and involve health care professionals. In addition, health app developers should identify the characteristics of their intended users and design and develop health apps to fit the preferences of the intended users.","archive":"Medline","container-title":"JMIR mHealth and uHealth","DOI":"10.2196/25908","ISSN":"2291-5222","issue":"(Xie Z.; Or C.K.) Department of Industrial and Manufacturing Systems Engineering, University of Hong Kong, Hong Kong, China","journalAbbreviation":"JMIR Mhealth Uhealth","language":"English","page":"e25908","title":"Consumers' Preferences for Purchasing mHealth Apps: Discrete Choice Experiment","volume":"11","author":[{"family":"Xie","given":"Z."},{"family":"Or","given":"C.K."}],"issued":{"date-parts":[["2023"]]}}}],"schema":"https://github.com/citation-style-language/schema/raw/master/csl-citation.json"}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[94]</w:t>
            </w:r>
            <w:r w:rsidRPr="0022555D">
              <w:rPr>
                <w:rFonts w:asciiTheme="minorHAnsi" w:eastAsia="Calibri" w:hAnsiTheme="minorHAnsi" w:cstheme="minorHAnsi"/>
                <w:color w:val="000000" w:themeColor="text1"/>
                <w:sz w:val="16"/>
                <w:szCs w:val="26"/>
                <w:lang w:val="en-US"/>
              </w:rPr>
              <w:fldChar w:fldCharType="end"/>
            </w:r>
          </w:p>
          <w:p w14:paraId="2CD207A0"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China</w:t>
            </w:r>
          </w:p>
        </w:tc>
        <w:tc>
          <w:tcPr>
            <w:tcW w:w="1576" w:type="dxa"/>
          </w:tcPr>
          <w:p w14:paraId="107B615E"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To examine the influence of health app attributes and sociodemographic characteristics on consumers’ willingness to purchase health apps</w:t>
            </w:r>
          </w:p>
        </w:tc>
        <w:tc>
          <w:tcPr>
            <w:tcW w:w="1025" w:type="dxa"/>
          </w:tcPr>
          <w:p w14:paraId="685302C3"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DCE</w:t>
            </w:r>
          </w:p>
        </w:tc>
        <w:tc>
          <w:tcPr>
            <w:tcW w:w="1275" w:type="dxa"/>
          </w:tcPr>
          <w:p w14:paraId="539DF075"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Authors’ previous research including a systematic review</w:t>
            </w:r>
          </w:p>
        </w:tc>
        <w:tc>
          <w:tcPr>
            <w:tcW w:w="1302" w:type="dxa"/>
          </w:tcPr>
          <w:p w14:paraId="6D1E932A"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7 attributes</w:t>
            </w:r>
          </w:p>
          <w:p w14:paraId="4900AA38"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3 levels </w:t>
            </w:r>
          </w:p>
        </w:tc>
        <w:tc>
          <w:tcPr>
            <w:tcW w:w="3170" w:type="dxa"/>
            <w:gridSpan w:val="2"/>
          </w:tcPr>
          <w:p w14:paraId="398EF8D7"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Positive factors include usefulness, ease of use, security and privacy, and healthcare professionals' attitudes toward these apps.</w:t>
            </w:r>
          </w:p>
          <w:p w14:paraId="3CED296C"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Negative factors include smartphone storage consumption, mobile Internet data consumption, and app price.</w:t>
            </w:r>
          </w:p>
          <w:p w14:paraId="715ADB7D" w14:textId="77777777" w:rsidR="0022555D" w:rsidRPr="0022555D" w:rsidRDefault="0022555D" w:rsidP="0022555D">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z w:val="16"/>
                <w:szCs w:val="26"/>
                <w:lang w:val="en-US"/>
              </w:rPr>
            </w:pPr>
          </w:p>
        </w:tc>
      </w:tr>
      <w:tr w:rsidR="0022555D" w:rsidRPr="0022555D" w14:paraId="2BC0EED0"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227" w:type="dxa"/>
            <w:tcBorders>
              <w:bottom w:val="double" w:sz="4" w:space="0" w:color="auto"/>
            </w:tcBorders>
          </w:tcPr>
          <w:p w14:paraId="22F3EBE9"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22555D">
              <w:rPr>
                <w:rFonts w:asciiTheme="minorHAnsi" w:eastAsia="Calibri" w:hAnsiTheme="minorHAnsi" w:cstheme="minorHAnsi"/>
                <w:b/>
                <w:bCs/>
                <w:i w:val="0"/>
                <w:iCs w:val="0"/>
                <w:color w:val="000000" w:themeColor="text1"/>
                <w:sz w:val="16"/>
                <w:szCs w:val="26"/>
                <w:lang w:val="en-US"/>
              </w:rPr>
              <w:t>Xu et al. (2023)</w:t>
            </w:r>
            <w:r w:rsidRPr="0022555D">
              <w:rPr>
                <w:rFonts w:asciiTheme="minorHAnsi" w:eastAsia="Calibri" w:hAnsiTheme="minorHAnsi" w:cstheme="minorHAnsi"/>
                <w:i w:val="0"/>
                <w:iCs w:val="0"/>
                <w:color w:val="000000" w:themeColor="text1"/>
                <w:sz w:val="16"/>
                <w:szCs w:val="26"/>
                <w:lang w:val="en-US"/>
              </w:rPr>
              <w:t xml:space="preserve"> </w:t>
            </w:r>
            <w:r w:rsidRPr="0022555D">
              <w:rPr>
                <w:rFonts w:asciiTheme="minorHAnsi" w:eastAsia="Calibri" w:hAnsiTheme="minorHAnsi" w:cstheme="minorHAnsi"/>
                <w:color w:val="000000" w:themeColor="text1"/>
                <w:sz w:val="16"/>
                <w:szCs w:val="26"/>
                <w:lang w:val="en-US"/>
              </w:rPr>
              <w:fldChar w:fldCharType="begin"/>
            </w:r>
            <w:r w:rsidRPr="0022555D">
              <w:rPr>
                <w:rFonts w:asciiTheme="minorHAnsi" w:eastAsia="Calibri" w:hAnsiTheme="minorHAnsi" w:cstheme="minorHAnsi"/>
                <w:i w:val="0"/>
                <w:iCs w:val="0"/>
                <w:color w:val="000000" w:themeColor="text1"/>
                <w:sz w:val="16"/>
                <w:szCs w:val="26"/>
                <w:lang w:val="en-US"/>
              </w:rPr>
              <w:instrText xml:space="preserve"> ADDIN ZOTERO_ITEM CSL_CITATION {"citationID":"r0dxDrBb","properties":{"formattedCitation":"[95]","plainCitation":"[95]","noteIndex":0},"citationItems":[{"id":824,"uris":["http://zotero.org/users/4007286/items/EHLA2ENC"],"itemData":{"id":824,"type":"article-journal","abstract":"Background: Smartphone apps have been beneficial in controlling and preventing the COVID-19 pandemic. However, there is a gap in research surrounding the importance of smartphone app functions from a user's perspective. Although the insights and opinions of different stakeholders, such as policymakers and medical professionals, can influence the success of a public health policy, any strategy will face difficulty in achieving the expected effect if it is not based on a method that users can accept.\nObjective: This study aimed to assess the importance of a hypothetical smartphone app's functions for managing health during a pandemic based on the perspective of user preferences.\nMethods: A cross-sectional and web-based survey using the best-worst scaling (BWS) method was used to investigate the general population's preferences for important smartphone app functions. Participants were recruited from a professional surveying company's web-based surveying panel. The attributes of the BWS questionnaire were developed based on a robust process, including literature review, interviews, and expert discussion. A balanced incomplete block design was used to construct the choice task to ensure the effectiveness of the research design. Count analysis, conditional logit model analysis, and mixed logit analysis were used to estimate preference heterogeneity among respondents.\nResults: The responses of 2153 participants were eligible for analysis. Nearly 55% (1192/2153) were female, and the mean age was 31.4 years. Most participants (1765/2153, 81.9%) had completed tertiary or higher education, and approximately 70% (1523/2153) were urban residents. The 3 most vital functions according to their selection were \"surveillance and monitoring of infected cases,\" \"quick self-screening,\" and \"early detection of infected cases.\" The mixed logit regression model identified significant heterogeneity in preferences among respondents, and stratified analysis showed that some heterogeneities varied in respondents by demographics and COVID-19-related characteristics. Participants who preferred to use the app were more likely to assign a high weight to the preventive functions than those who did not prefer to use it. Conversely, participants who showed lower willingness to use the app tended to indicate a higher preference for supportive functions than those who preferred to use it.\nConclusions: This study ranks the importance of smartphone app features that provide health care services during a pandemic based on the general population's preferences in China. It provides empirical evidence for decision-makers to develop eHealth policies and strategies that address future public health crises from a person-centered care perspective. Continued use of apps and smart investment in digital health can help improve health outcomes and reduce the burden of disease on individuals and communities.","archive_location":"WOS:001062195600002","container-title":"JOURNAL OF MEDICAL INTERNET RESEARCH","DOI":"10.2196/48308","ISSN":"1438-8871","title":"Investigating Individuals' Preferences in Determining the Functions of Smartphone Apps for Fighting Pandemics: Best-Worst Scaling Survey Study","volume":"25","author":[{"family":"Xu","given":"RH"},{"family":"Shi","given":"L"},{"family":"Shi","given":"ZP"},{"family":"Li","given":"T"},{"family":"Wang","given":"D"}],"issued":{"date-parts":[["2023",8,15]]}}}],"schema":"https://github.com/citation-style-language/schema/raw/master/csl-citation.json"} </w:instrText>
            </w:r>
            <w:r w:rsidRPr="0022555D">
              <w:rPr>
                <w:rFonts w:asciiTheme="minorHAnsi" w:eastAsia="Calibri" w:hAnsiTheme="minorHAnsi" w:cstheme="minorHAnsi"/>
                <w:color w:val="000000" w:themeColor="text1"/>
                <w:sz w:val="16"/>
                <w:szCs w:val="26"/>
                <w:lang w:val="en-US"/>
              </w:rPr>
              <w:fldChar w:fldCharType="separate"/>
            </w:r>
            <w:r w:rsidRPr="0022555D">
              <w:rPr>
                <w:rFonts w:asciiTheme="minorHAnsi" w:eastAsiaTheme="majorEastAsia" w:hAnsiTheme="minorHAnsi" w:cstheme="minorHAnsi"/>
                <w:i w:val="0"/>
                <w:iCs w:val="0"/>
                <w:color w:val="000000" w:themeColor="text1"/>
                <w:sz w:val="16"/>
                <w:szCs w:val="26"/>
                <w:lang w:val="en-US"/>
              </w:rPr>
              <w:t>[95]</w:t>
            </w:r>
            <w:r w:rsidRPr="0022555D">
              <w:rPr>
                <w:rFonts w:asciiTheme="minorHAnsi" w:eastAsia="Calibri" w:hAnsiTheme="minorHAnsi" w:cstheme="minorHAnsi"/>
                <w:color w:val="000000" w:themeColor="text1"/>
                <w:sz w:val="16"/>
                <w:szCs w:val="26"/>
                <w:lang w:val="en-US"/>
              </w:rPr>
              <w:fldChar w:fldCharType="end"/>
            </w:r>
          </w:p>
          <w:p w14:paraId="02AE07B0" w14:textId="77777777" w:rsidR="0022555D" w:rsidRPr="0022555D" w:rsidRDefault="0022555D" w:rsidP="0022555D">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China</w:t>
            </w:r>
          </w:p>
        </w:tc>
        <w:tc>
          <w:tcPr>
            <w:tcW w:w="1576" w:type="dxa"/>
            <w:tcBorders>
              <w:bottom w:val="double" w:sz="4" w:space="0" w:color="auto"/>
            </w:tcBorders>
          </w:tcPr>
          <w:p w14:paraId="6969ADB2"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To evaluate the importance of various features within a hypothetical smartphone app designed for health management during the pandemic </w:t>
            </w:r>
          </w:p>
        </w:tc>
        <w:tc>
          <w:tcPr>
            <w:tcW w:w="1025" w:type="dxa"/>
            <w:tcBorders>
              <w:bottom w:val="double" w:sz="4" w:space="0" w:color="auto"/>
            </w:tcBorders>
          </w:tcPr>
          <w:p w14:paraId="16397FC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BWS case 1</w:t>
            </w:r>
          </w:p>
          <w:p w14:paraId="36E8A8C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(object case)</w:t>
            </w:r>
          </w:p>
        </w:tc>
        <w:tc>
          <w:tcPr>
            <w:tcW w:w="1275" w:type="dxa"/>
            <w:tcBorders>
              <w:bottom w:val="double" w:sz="4" w:space="0" w:color="auto"/>
            </w:tcBorders>
          </w:tcPr>
          <w:p w14:paraId="16A08556"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Literature review, individual interviews of medical university students and discussions with public health researchers, health policymakers, and a mobile app developer</w:t>
            </w:r>
          </w:p>
        </w:tc>
        <w:tc>
          <w:tcPr>
            <w:tcW w:w="1302" w:type="dxa"/>
            <w:tcBorders>
              <w:bottom w:val="double" w:sz="4" w:space="0" w:color="auto"/>
            </w:tcBorders>
          </w:tcPr>
          <w:p w14:paraId="2727E4F3"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5 attributes</w:t>
            </w:r>
          </w:p>
          <w:p w14:paraId="4086F44D"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p>
          <w:p w14:paraId="14570664"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 </w:t>
            </w:r>
          </w:p>
        </w:tc>
        <w:tc>
          <w:tcPr>
            <w:tcW w:w="3170" w:type="dxa"/>
            <w:gridSpan w:val="2"/>
            <w:tcBorders>
              <w:bottom w:val="double" w:sz="4" w:space="0" w:color="auto"/>
            </w:tcBorders>
          </w:tcPr>
          <w:p w14:paraId="699CEAB0"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Surveillance and monitoring, quick self-screening and early detection were the three most vital functions. </w:t>
            </w:r>
          </w:p>
          <w:p w14:paraId="43E46344" w14:textId="77777777" w:rsidR="0022555D" w:rsidRPr="0022555D" w:rsidRDefault="0022555D" w:rsidP="0022555D">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6"/>
                <w:szCs w:val="26"/>
                <w:lang w:val="en-US"/>
              </w:rPr>
            </w:pPr>
            <w:r w:rsidRPr="0022555D">
              <w:rPr>
                <w:rFonts w:asciiTheme="minorHAnsi" w:eastAsia="Calibri" w:hAnsiTheme="minorHAnsi" w:cstheme="minorHAnsi"/>
                <w:color w:val="000000" w:themeColor="text1"/>
                <w:sz w:val="16"/>
                <w:szCs w:val="26"/>
                <w:lang w:val="en-US"/>
              </w:rPr>
              <w:t xml:space="preserve">Participants who demonstrated a preference for utilizing the app tended to assign greater importance to preventive functionalities.  </w:t>
            </w:r>
          </w:p>
        </w:tc>
      </w:tr>
    </w:tbl>
    <w:bookmarkEnd w:id="0"/>
    <w:p w14:paraId="23966380" w14:textId="77777777" w:rsidR="008E7557" w:rsidRPr="000B4CB4" w:rsidRDefault="008E7557" w:rsidP="008E7557">
      <w:pPr>
        <w:rPr>
          <w:rFonts w:asciiTheme="minorHAnsi" w:hAnsiTheme="minorHAnsi" w:cstheme="minorHAnsi"/>
          <w:i/>
          <w:sz w:val="20"/>
          <w:szCs w:val="20"/>
          <w:lang w:val="en-US"/>
        </w:rPr>
      </w:pPr>
      <w:r w:rsidRPr="000B4CB4">
        <w:rPr>
          <w:rFonts w:asciiTheme="minorHAnsi" w:hAnsiTheme="minorHAnsi" w:cstheme="minorHAnsi"/>
          <w:i/>
          <w:sz w:val="20"/>
          <w:szCs w:val="20"/>
          <w:lang w:val="en-US"/>
        </w:rPr>
        <w:t>Abbreviations: DCE, Discrete Choice Experiment; BWS, Best-Worst Scaling; mHealth, mobile health.</w:t>
      </w:r>
    </w:p>
    <w:p w14:paraId="5B73F958" w14:textId="77777777" w:rsidR="00EF17A1" w:rsidRPr="00EF17A1" w:rsidRDefault="00EF17A1" w:rsidP="00EF17A1">
      <w:pPr>
        <w:spacing w:line="240" w:lineRule="auto"/>
        <w:rPr>
          <w:rFonts w:asciiTheme="minorHAnsi" w:hAnsiTheme="minorHAnsi" w:cstheme="minorHAnsi"/>
          <w:sz w:val="20"/>
          <w:szCs w:val="22"/>
          <w:lang w:val="en-US"/>
        </w:rPr>
      </w:pPr>
      <w:r w:rsidRPr="000B4CB4">
        <w:rPr>
          <w:rFonts w:asciiTheme="minorHAnsi" w:hAnsiTheme="minorHAnsi" w:cstheme="minorHAnsi"/>
          <w:sz w:val="20"/>
          <w:szCs w:val="22"/>
          <w:lang w:val="en-US"/>
        </w:rPr>
        <w:t xml:space="preserve">Note: </w:t>
      </w:r>
      <w:r w:rsidRPr="00EF17A1">
        <w:rPr>
          <w:rFonts w:asciiTheme="minorHAnsi" w:hAnsiTheme="minorHAnsi" w:cstheme="minorHAnsi"/>
          <w:sz w:val="20"/>
          <w:szCs w:val="22"/>
          <w:lang w:val="en-US"/>
        </w:rPr>
        <w:t>References cited in the tables correspond to those listed in the main manuscript (see References section).</w:t>
      </w:r>
    </w:p>
    <w:p w14:paraId="0B3188A0" w14:textId="77777777" w:rsidR="00EF17A1" w:rsidRPr="000B4CB4" w:rsidRDefault="00EF17A1" w:rsidP="008E7557">
      <w:pPr>
        <w:rPr>
          <w:rFonts w:asciiTheme="minorHAnsi" w:hAnsiTheme="minorHAnsi" w:cstheme="minorHAnsi"/>
          <w:i/>
          <w:sz w:val="20"/>
          <w:szCs w:val="20"/>
          <w:lang w:val="en-US"/>
        </w:rPr>
      </w:pPr>
    </w:p>
    <w:p w14:paraId="06532BEF" w14:textId="77777777" w:rsidR="00916FC0" w:rsidRPr="000B4CB4" w:rsidRDefault="00916FC0">
      <w:pPr>
        <w:spacing w:line="240" w:lineRule="auto"/>
        <w:rPr>
          <w:rFonts w:asciiTheme="minorHAnsi" w:hAnsiTheme="minorHAnsi" w:cstheme="minorHAnsi"/>
          <w:b/>
          <w:lang w:val="en-US"/>
        </w:rPr>
      </w:pPr>
      <w:r w:rsidRPr="000B4CB4">
        <w:rPr>
          <w:rFonts w:asciiTheme="minorHAnsi" w:hAnsiTheme="minorHAnsi" w:cstheme="minorHAnsi"/>
          <w:b/>
          <w:lang w:val="en-US"/>
        </w:rPr>
        <w:br w:type="page"/>
      </w:r>
    </w:p>
    <w:p w14:paraId="3FC92014" w14:textId="77777777" w:rsidR="008E7557" w:rsidRPr="000B4CB4" w:rsidRDefault="008E7557" w:rsidP="00367E3C">
      <w:pPr>
        <w:spacing w:line="276" w:lineRule="auto"/>
        <w:rPr>
          <w:rFonts w:asciiTheme="minorHAnsi" w:hAnsiTheme="minorHAnsi" w:cstheme="minorHAnsi"/>
          <w:lang w:val="en-US"/>
        </w:rPr>
      </w:pPr>
      <w:r w:rsidRPr="000B4CB4">
        <w:rPr>
          <w:rFonts w:asciiTheme="minorHAnsi" w:hAnsiTheme="minorHAnsi" w:cstheme="minorHAnsi"/>
          <w:b/>
          <w:lang w:val="en-US"/>
        </w:rPr>
        <w:lastRenderedPageBreak/>
        <w:t xml:space="preserve">Table </w:t>
      </w:r>
      <w:r w:rsidR="00F9589E" w:rsidRPr="000B4CB4">
        <w:rPr>
          <w:rFonts w:asciiTheme="minorHAnsi" w:hAnsiTheme="minorHAnsi" w:cstheme="minorHAnsi"/>
          <w:b/>
          <w:lang w:val="en-US"/>
        </w:rPr>
        <w:t>C</w:t>
      </w:r>
      <w:r w:rsidRPr="000B4CB4">
        <w:rPr>
          <w:rFonts w:asciiTheme="minorHAnsi" w:hAnsiTheme="minorHAnsi" w:cstheme="minorHAnsi"/>
          <w:b/>
          <w:lang w:val="en-US"/>
        </w:rPr>
        <w:t>2</w:t>
      </w:r>
      <w:r w:rsidRPr="000B4CB4">
        <w:rPr>
          <w:rFonts w:asciiTheme="minorHAnsi" w:hAnsiTheme="minorHAnsi" w:cstheme="minorHAnsi"/>
          <w:lang w:val="en-US"/>
        </w:rPr>
        <w:t>. Qualitative studies included</w:t>
      </w:r>
    </w:p>
    <w:tbl>
      <w:tblPr>
        <w:tblStyle w:val="Tableausimple5"/>
        <w:tblpPr w:leftFromText="141" w:rightFromText="141" w:vertAnchor="text" w:horzAnchor="page" w:tblpX="1151" w:tblpY="451"/>
        <w:tblW w:w="9590" w:type="dxa"/>
        <w:tblLayout w:type="fixed"/>
        <w:tblLook w:val="04A0" w:firstRow="1" w:lastRow="0" w:firstColumn="1" w:lastColumn="0" w:noHBand="0" w:noVBand="1"/>
      </w:tblPr>
      <w:tblGrid>
        <w:gridCol w:w="1247"/>
        <w:gridCol w:w="1752"/>
        <w:gridCol w:w="1156"/>
        <w:gridCol w:w="1108"/>
        <w:gridCol w:w="1177"/>
        <w:gridCol w:w="2914"/>
        <w:gridCol w:w="236"/>
      </w:tblGrid>
      <w:tr w:rsidR="00402F7C" w:rsidRPr="00402F7C" w14:paraId="1C2DE597" w14:textId="77777777" w:rsidTr="00AB6102">
        <w:trPr>
          <w:cnfStyle w:val="100000000000" w:firstRow="1" w:lastRow="0" w:firstColumn="0" w:lastColumn="0" w:oddVBand="0" w:evenVBand="0" w:oddHBand="0" w:evenHBand="0" w:firstRowFirstColumn="0" w:firstRowLastColumn="0" w:lastRowFirstColumn="0" w:lastRowLastColumn="0"/>
          <w:trHeight w:val="1055"/>
        </w:trPr>
        <w:tc>
          <w:tcPr>
            <w:cnfStyle w:val="001000000100" w:firstRow="0" w:lastRow="0" w:firstColumn="1" w:lastColumn="0" w:oddVBand="0" w:evenVBand="0" w:oddHBand="0" w:evenHBand="0" w:firstRowFirstColumn="1" w:firstRowLastColumn="0" w:lastRowFirstColumn="0" w:lastRowLastColumn="0"/>
            <w:tcW w:w="1247" w:type="dxa"/>
            <w:tcBorders>
              <w:top w:val="double" w:sz="4" w:space="0" w:color="auto"/>
              <w:bottom w:val="double" w:sz="4" w:space="0" w:color="auto"/>
            </w:tcBorders>
          </w:tcPr>
          <w:p w14:paraId="21E07835"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color w:val="000000" w:themeColor="text1"/>
                <w:sz w:val="16"/>
                <w:szCs w:val="16"/>
                <w:lang w:val="en-US"/>
              </w:rPr>
            </w:pPr>
            <w:bookmarkStart w:id="1" w:name="_Hlk226971045"/>
            <w:r w:rsidRPr="00402F7C">
              <w:rPr>
                <w:rFonts w:ascii="Calibri" w:eastAsiaTheme="majorEastAsia" w:hAnsi="Calibri" w:cs="Calibri"/>
                <w:b/>
                <w:bCs/>
                <w:color w:val="000000" w:themeColor="text1"/>
                <w:kern w:val="2"/>
                <w:sz w:val="16"/>
                <w:szCs w:val="16"/>
                <w:lang w:val="en-US"/>
              </w:rPr>
              <w:t>Authors</w:t>
            </w:r>
          </w:p>
          <w:p w14:paraId="3B705408"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color w:val="000000" w:themeColor="text1"/>
                <w:sz w:val="16"/>
                <w:szCs w:val="16"/>
                <w:lang w:val="en-US"/>
              </w:rPr>
            </w:pPr>
            <w:r w:rsidRPr="00402F7C">
              <w:rPr>
                <w:rFonts w:ascii="Calibri" w:eastAsiaTheme="majorEastAsia" w:hAnsi="Calibri" w:cs="Calibri"/>
                <w:b/>
                <w:bCs/>
                <w:color w:val="000000" w:themeColor="text1"/>
                <w:kern w:val="2"/>
                <w:sz w:val="16"/>
                <w:szCs w:val="16"/>
                <w:lang w:val="en-US"/>
              </w:rPr>
              <w:t>(date)</w:t>
            </w:r>
          </w:p>
          <w:p w14:paraId="5F549B62"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Country</w:t>
            </w:r>
          </w:p>
        </w:tc>
        <w:tc>
          <w:tcPr>
            <w:tcW w:w="1752" w:type="dxa"/>
            <w:tcBorders>
              <w:top w:val="double" w:sz="4" w:space="0" w:color="auto"/>
              <w:bottom w:val="double" w:sz="4" w:space="0" w:color="auto"/>
            </w:tcBorders>
          </w:tcPr>
          <w:p w14:paraId="4BD9EEB2" w14:textId="77777777" w:rsidR="00402F7C" w:rsidRPr="00402F7C" w:rsidRDefault="00402F7C" w:rsidP="00402F7C">
            <w:pPr>
              <w:keepNext/>
              <w:keepLines/>
              <w:suppressAutoHyphen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402F7C">
              <w:rPr>
                <w:rFonts w:ascii="Calibri" w:eastAsiaTheme="majorEastAsia" w:hAnsi="Calibri" w:cs="Calibri"/>
                <w:b/>
                <w:bCs/>
                <w:color w:val="000000" w:themeColor="text1"/>
                <w:kern w:val="2"/>
                <w:sz w:val="16"/>
                <w:szCs w:val="16"/>
                <w:lang w:val="en-US"/>
              </w:rPr>
              <w:t>Aims</w:t>
            </w:r>
          </w:p>
        </w:tc>
        <w:tc>
          <w:tcPr>
            <w:tcW w:w="1156" w:type="dxa"/>
            <w:tcBorders>
              <w:top w:val="double" w:sz="4" w:space="0" w:color="auto"/>
              <w:bottom w:val="double" w:sz="4" w:space="0" w:color="auto"/>
            </w:tcBorders>
          </w:tcPr>
          <w:p w14:paraId="02A6F251" w14:textId="77777777" w:rsidR="00402F7C" w:rsidRPr="00402F7C" w:rsidRDefault="00402F7C" w:rsidP="00402F7C">
            <w:pPr>
              <w:keepNext/>
              <w:keepLines/>
              <w:suppressAutoHyphen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402F7C">
              <w:rPr>
                <w:rFonts w:ascii="Calibri" w:eastAsiaTheme="majorEastAsia" w:hAnsi="Calibri" w:cs="Calibri"/>
                <w:b/>
                <w:bCs/>
                <w:color w:val="000000" w:themeColor="text1"/>
                <w:kern w:val="2"/>
                <w:sz w:val="16"/>
                <w:szCs w:val="16"/>
                <w:lang w:val="en-US"/>
              </w:rPr>
              <w:t>Sample</w:t>
            </w:r>
          </w:p>
        </w:tc>
        <w:tc>
          <w:tcPr>
            <w:tcW w:w="1108" w:type="dxa"/>
            <w:tcBorders>
              <w:top w:val="double" w:sz="4" w:space="0" w:color="auto"/>
              <w:bottom w:val="double" w:sz="4" w:space="0" w:color="auto"/>
            </w:tcBorders>
          </w:tcPr>
          <w:p w14:paraId="59AAC41F" w14:textId="77777777" w:rsidR="00402F7C" w:rsidRPr="00402F7C" w:rsidRDefault="00402F7C" w:rsidP="00402F7C">
            <w:pPr>
              <w:keepNext/>
              <w:keepLines/>
              <w:suppressAutoHyphen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402F7C">
              <w:rPr>
                <w:rFonts w:ascii="Calibri" w:eastAsiaTheme="majorEastAsia" w:hAnsi="Calibri" w:cs="Calibri"/>
                <w:b/>
                <w:bCs/>
                <w:color w:val="000000" w:themeColor="text1"/>
                <w:kern w:val="2"/>
                <w:sz w:val="16"/>
                <w:szCs w:val="16"/>
                <w:lang w:val="en-US"/>
              </w:rPr>
              <w:t>Data collection method</w:t>
            </w:r>
          </w:p>
        </w:tc>
        <w:tc>
          <w:tcPr>
            <w:tcW w:w="1177" w:type="dxa"/>
            <w:tcBorders>
              <w:top w:val="double" w:sz="4" w:space="0" w:color="auto"/>
              <w:bottom w:val="double" w:sz="4" w:space="0" w:color="auto"/>
            </w:tcBorders>
          </w:tcPr>
          <w:p w14:paraId="0732CA09" w14:textId="77777777" w:rsidR="00402F7C" w:rsidRPr="00402F7C" w:rsidRDefault="00402F7C" w:rsidP="00402F7C">
            <w:pPr>
              <w:keepNext/>
              <w:keepLines/>
              <w:suppressAutoHyphen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402F7C">
              <w:rPr>
                <w:rFonts w:ascii="Calibri" w:eastAsiaTheme="majorEastAsia" w:hAnsi="Calibri" w:cs="Calibri"/>
                <w:b/>
                <w:bCs/>
                <w:color w:val="000000" w:themeColor="text1"/>
                <w:kern w:val="2"/>
                <w:sz w:val="16"/>
                <w:szCs w:val="16"/>
                <w:lang w:val="en-US"/>
              </w:rPr>
              <w:t>Data analysis method</w:t>
            </w:r>
          </w:p>
        </w:tc>
        <w:tc>
          <w:tcPr>
            <w:tcW w:w="2914" w:type="dxa"/>
            <w:tcBorders>
              <w:top w:val="double" w:sz="4" w:space="0" w:color="auto"/>
              <w:bottom w:val="double" w:sz="4" w:space="0" w:color="auto"/>
            </w:tcBorders>
          </w:tcPr>
          <w:p w14:paraId="427D6D8C" w14:textId="77777777" w:rsidR="00402F7C" w:rsidRPr="00402F7C" w:rsidRDefault="00402F7C" w:rsidP="00402F7C">
            <w:pPr>
              <w:keepNext/>
              <w:keepLines/>
              <w:suppressAutoHyphen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402F7C">
              <w:rPr>
                <w:rFonts w:ascii="Calibri" w:eastAsiaTheme="majorEastAsia" w:hAnsi="Calibri" w:cs="Calibri"/>
                <w:b/>
                <w:bCs/>
                <w:color w:val="000000" w:themeColor="text1"/>
                <w:kern w:val="2"/>
                <w:sz w:val="16"/>
                <w:szCs w:val="16"/>
                <w:lang w:val="en-US"/>
              </w:rPr>
              <w:t>Main findings</w:t>
            </w:r>
          </w:p>
        </w:tc>
        <w:tc>
          <w:tcPr>
            <w:tcW w:w="236" w:type="dxa"/>
          </w:tcPr>
          <w:p w14:paraId="60E06920" w14:textId="77777777" w:rsidR="00402F7C" w:rsidRPr="00402F7C" w:rsidRDefault="00402F7C" w:rsidP="00402F7C">
            <w:pPr>
              <w:suppressAutoHyphens/>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bCs/>
                <w:kern w:val="2"/>
                <w:sz w:val="16"/>
                <w:szCs w:val="16"/>
                <w:lang w:val="en-US"/>
              </w:rPr>
            </w:pPr>
          </w:p>
        </w:tc>
      </w:tr>
      <w:tr w:rsidR="00402F7C" w:rsidRPr="00402F7C" w14:paraId="5DF95248" w14:textId="77777777" w:rsidTr="00AB6102">
        <w:trPr>
          <w:cnfStyle w:val="000000100000" w:firstRow="0" w:lastRow="0" w:firstColumn="0" w:lastColumn="0" w:oddVBand="0" w:evenVBand="0" w:oddHBand="1" w:evenHBand="0" w:firstRowFirstColumn="0" w:firstRowLastColumn="0" w:lastRowFirstColumn="0" w:lastRowLastColumn="0"/>
          <w:trHeight w:val="1434"/>
        </w:trPr>
        <w:tc>
          <w:tcPr>
            <w:cnfStyle w:val="001000000000" w:firstRow="0" w:lastRow="0" w:firstColumn="1" w:lastColumn="0" w:oddVBand="0" w:evenVBand="0" w:oddHBand="0" w:evenHBand="0" w:firstRowFirstColumn="0" w:firstRowLastColumn="0" w:lastRowFirstColumn="0" w:lastRowLastColumn="0"/>
            <w:tcW w:w="1247" w:type="dxa"/>
          </w:tcPr>
          <w:p w14:paraId="27CD9A17"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i w:val="0"/>
                <w:iCs w:val="0"/>
                <w:color w:val="000000" w:themeColor="text1"/>
                <w:kern w:val="2"/>
                <w:sz w:val="16"/>
                <w:szCs w:val="16"/>
                <w:lang w:val="en-US"/>
              </w:rPr>
            </w:pPr>
            <w:proofErr w:type="spellStart"/>
            <w:r w:rsidRPr="00402F7C">
              <w:rPr>
                <w:rFonts w:ascii="Calibri" w:eastAsiaTheme="majorEastAsia" w:hAnsi="Calibri" w:cs="Calibri"/>
                <w:b/>
                <w:bCs/>
                <w:i w:val="0"/>
                <w:iCs w:val="0"/>
                <w:color w:val="000000" w:themeColor="text1"/>
                <w:kern w:val="2"/>
                <w:sz w:val="16"/>
                <w:szCs w:val="16"/>
                <w:lang w:val="en-US"/>
              </w:rPr>
              <w:t>Anglès</w:t>
            </w:r>
            <w:proofErr w:type="spellEnd"/>
            <w:r w:rsidRPr="00402F7C">
              <w:rPr>
                <w:rFonts w:ascii="Calibri" w:eastAsiaTheme="majorEastAsia" w:hAnsi="Calibri" w:cs="Calibri"/>
                <w:b/>
                <w:bCs/>
                <w:i w:val="0"/>
                <w:iCs w:val="0"/>
                <w:color w:val="000000" w:themeColor="text1"/>
                <w:kern w:val="2"/>
                <w:sz w:val="16"/>
                <w:szCs w:val="16"/>
                <w:lang w:val="en-US"/>
              </w:rPr>
              <w:t xml:space="preserve">-Acedo et al. (2021)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{"citationID":"lfVVfSPv","properties":{"unsorted":false,"formattedCitation":"[117]","plainCitation":"[117]","noteIndex":0},"citationItems":[{"id":2749,"uris":["http://zotero.org/users/4007286/items/39N8GDUY"],"itemData":{"id":2749,"type":"article-journal","abstract":"e-Health may enhance self-management of pelvic floor muscle training (PFMT) to treat stress urinary incontinence (SUI). It is crucial to involve patients in planning, developing and monitoring the optimal e-Health solution. This research aims to describe patient-centered innovation in an early developmental stage of the WOMEN-UP solution. We conducted a qualitative study through a self-developed questionnaire in 22 women with SUI, to define system requirements from a patient’s perspective. The first prototype of the WOMEN-UP solution was developed. It was tested by 9 patients in a usability study (think-aloud protocol and retrospective interviews). Patient preferences regarding the possible use of an e-Health solution with serious games for PFMT were: (1) to receive feedback about PFMT; (2) convenient home-use; (3) increasing motivation; (4) available in medical centers. Identified usability aids (31) reassured our design-development plan, which considered the biofeedback and serious games as key factors. Patient’s perspective detected some unexpected issues related to the calibration and serious games, involving a change in the ongoing development to get an improved WOMEN-UP solution; the value of patient-centered innovation during the development of an e-Health solution for PFMT (WOMEN-UP solution). To identify patients’ unmet needs, we proposed a longitudinal approach for the future eHealth-related patient-centered innovations.","archive":"Embase","container-title":"International Journal of Environmental Research and Public Health","DOI":"10.3390/ijerph18157800","ISSN":"1660-4601","issue":"15","journalAbbreviation":"Int. J. Environ. Res. Public Health","language":"English","title":"The women-up solution, a patient-centered innovative e-health tool for pelvic floor muscle training: Qualitative and usability study during early-stage development","URL":"https://www.embase.com/search/results?subaction=viewrecord&amp;id=L2007872234&amp;from=export","volume":"18","author":[{"family":"Anglès-Acedo","given":"S."},{"family":"López-Frías","given":"L."},{"family":"Soler","given":"V."},{"family":"Alonso","given":"J.F."},{"family":"Kastelein","given":"A.W."},{"family":"Graaf","given":"B.C.","non-dropping-particle":"de"},{"family":"Vodegel","given":"E.V."},{"family":"Tervo","given":"J."},{"family":"Baban","given":"A."},{"family":"Espuña-Pons","given":"M."}],"issued":{"date-parts":[["2021"]]}}}],"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[117]</w:t>
            </w:r>
            <w:r w:rsidRPr="00402F7C">
              <w:rPr>
                <w:rFonts w:ascii="Calibri" w:eastAsiaTheme="majorEastAsia" w:hAnsi="Calibri" w:cs="Calibri"/>
                <w:color w:val="000000" w:themeColor="text1"/>
                <w:kern w:val="2"/>
                <w:sz w:val="16"/>
                <w:szCs w:val="16"/>
                <w:lang w:val="en-US"/>
              </w:rPr>
              <w:fldChar w:fldCharType="end"/>
            </w:r>
          </w:p>
          <w:p w14:paraId="159D1BBB"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Netherlands Spain</w:t>
            </w:r>
          </w:p>
          <w:p w14:paraId="473D9153"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Finland</w:t>
            </w:r>
          </w:p>
        </w:tc>
        <w:tc>
          <w:tcPr>
            <w:tcW w:w="1752" w:type="dxa"/>
          </w:tcPr>
          <w:p w14:paraId="1FFD066E"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describe preferences of a Patient-Centered Innovative e-Health Tool for Pelvic Floor Muscle Training</w:t>
            </w:r>
          </w:p>
        </w:tc>
        <w:tc>
          <w:tcPr>
            <w:tcW w:w="1156" w:type="dxa"/>
          </w:tcPr>
          <w:p w14:paraId="48EC654E"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N=9</w:t>
            </w:r>
          </w:p>
          <w:p w14:paraId="2FF735C8"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41</w:t>
            </w:r>
          </w:p>
          <w:p w14:paraId="39D70855"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kern w:val="2"/>
                <w:sz w:val="16"/>
                <w:szCs w:val="16"/>
                <w:lang w:val="en-US"/>
              </w:rPr>
              <w:t>Age range</w:t>
            </w:r>
          </w:p>
          <w:p w14:paraId="09677415"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[25-61]</w:t>
            </w:r>
          </w:p>
        </w:tc>
        <w:tc>
          <w:tcPr>
            <w:tcW w:w="1108" w:type="dxa"/>
          </w:tcPr>
          <w:p w14:paraId="60DCFCE1"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Individual interviews</w:t>
            </w:r>
          </w:p>
        </w:tc>
        <w:tc>
          <w:tcPr>
            <w:tcW w:w="1177" w:type="dxa"/>
          </w:tcPr>
          <w:p w14:paraId="18DE26DF"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Thematic content analysis</w:t>
            </w:r>
          </w:p>
        </w:tc>
        <w:tc>
          <w:tcPr>
            <w:tcW w:w="3150" w:type="dxa"/>
            <w:gridSpan w:val="2"/>
          </w:tcPr>
          <w:p w14:paraId="1D85F86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prefer to use the e-Health tool with professional healthcare that could give feedback on their performance.</w:t>
            </w:r>
          </w:p>
          <w:p w14:paraId="37975485"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However, they find the tool convenient for home use, and it increased their motivation.</w:t>
            </w:r>
          </w:p>
          <w:p w14:paraId="439248A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7D8791D7" w14:textId="77777777" w:rsidTr="00AB6102">
        <w:trPr>
          <w:trHeight w:val="589"/>
        </w:trPr>
        <w:tc>
          <w:tcPr>
            <w:cnfStyle w:val="001000000000" w:firstRow="0" w:lastRow="0" w:firstColumn="1" w:lastColumn="0" w:oddVBand="0" w:evenVBand="0" w:oddHBand="0" w:evenHBand="0" w:firstRowFirstColumn="0" w:firstRowLastColumn="0" w:lastRowFirstColumn="0" w:lastRowLastColumn="0"/>
            <w:tcW w:w="1247" w:type="dxa"/>
          </w:tcPr>
          <w:p w14:paraId="40D66F6B"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i w:val="0"/>
                <w:iCs w:val="0"/>
                <w:color w:val="000000" w:themeColor="text1"/>
                <w:sz w:val="16"/>
                <w:szCs w:val="16"/>
                <w:lang w:val="en-US"/>
              </w:rPr>
            </w:pPr>
            <w:r w:rsidRPr="00402F7C">
              <w:rPr>
                <w:rFonts w:ascii="Calibri" w:eastAsiaTheme="majorEastAsia" w:hAnsi="Calibri" w:cs="Calibri"/>
                <w:b/>
                <w:bCs/>
                <w:i w:val="0"/>
                <w:iCs w:val="0"/>
                <w:color w:val="000000" w:themeColor="text1"/>
                <w:sz w:val="16"/>
                <w:szCs w:val="16"/>
                <w:lang w:val="en-US"/>
              </w:rPr>
              <w:t>Bartram et al. (2026)</w:t>
            </w:r>
            <w:r w:rsidRPr="00402F7C">
              <w:rPr>
                <w:rFonts w:ascii="Calibri" w:eastAsiaTheme="majorEastAsia" w:hAnsi="Calibri" w:cs="Calibri"/>
                <w:i w:val="0"/>
                <w:iCs w:val="0"/>
                <w:color w:val="000000" w:themeColor="text1"/>
                <w:sz w:val="16"/>
                <w:szCs w:val="16"/>
                <w:lang w:val="en-US"/>
              </w:rPr>
              <w:t xml:space="preserve"> </w:t>
            </w:r>
            <w:r w:rsidRPr="00402F7C">
              <w:rPr>
                <w:rFonts w:ascii="Calibri" w:eastAsiaTheme="majorEastAsia" w:hAnsi="Calibri" w:cs="Calibri"/>
                <w:b/>
                <w:bCs/>
                <w:color w:val="000000" w:themeColor="text1"/>
                <w:sz w:val="16"/>
                <w:szCs w:val="16"/>
                <w:lang w:val="en-US"/>
              </w:rPr>
              <w:fldChar w:fldCharType="begin"/>
            </w:r>
            <w:r w:rsidRPr="00402F7C">
              <w:rPr>
                <w:rFonts w:ascii="Calibri" w:eastAsiaTheme="majorEastAsia" w:hAnsi="Calibri" w:cs="Calibri"/>
                <w:i w:val="0"/>
                <w:iCs w:val="0"/>
                <w:color w:val="000000" w:themeColor="text1"/>
                <w:sz w:val="16"/>
                <w:szCs w:val="16"/>
                <w:lang w:val="en-US"/>
              </w:rPr>
              <w:instrText xml:space="preserve"> ADDIN ZOTERO_ITEM CSL_CITATION {"citationID":"TbojzS87","properties":{"unsorted":false,"formattedCitation":"[75]","plainCitation":"[75]","noteIndex":0},"citationItems":[{"id":28263,"uris":["http://zotero.org/users/4007286/items/IFBF2XK2"],"itemData":{"id":28263,"type":"article-journal","abstract":"INTRODUCTION: Telehealth-the delivery of services via phone or video-has the potential to overcome barriers to attending alcohol and other drug (AOD) counselling by removing the need to physically attend appointments. However, it may raise other barriers related to technical difficulties, privacy concerns, or challenges developing a therapeutic relationship. Little is known regarding client preferences when both face-to-face and telehealth services are available. This study aimed to explore clients' views on the benefits and drawbacks of accessing AOD counselling via telehealth in comparison to face-to-face.\nMETHODS: This qualitative study involved semi-structured interviews with 22 Australians who had received AOD counselling services via telehealth and face-to-face within the past 12 months. Data were analysed using an inductive thematic approach.\nRESULTS: All participants indicated they would be open to accessing AOD counselling via telehealth again in the future in at least some circumstances, although their preferences for telehealth or face-to-face sessions varied. Participants' discussion of preferences reflected five themes: (i) telehealth helps to overcome barriers to accessing counselling; (ii) telehealth can increase confidence to engage in counselling; (iii) telehealth can limit rapport; (iv) privacy concerns with telehealth counselling; and (v) increasing awareness of telehealth can support client choice.\nDISCUSSIONS AND CONCLUSIONS: Participants viewed availability and awareness of the option to access AOD counselling via telehealth as important to client-centred care. Service providers may need to invest in clinician training and systems development to ensure that they can provide safe, secure and effective counselling via telehealth.","container-title":"Drug and Alcohol Review","DOI":"10.1111/dar.70129","ISSN":"1465-3362","issue":"2","journalAbbreviation":"Drug Alcohol Rev","language":"eng","page":"e70129","PMID":"41714902","PMCID":"PMC12920781","source":"PubMed","title":"Australian Clients' Perspectives on Accessing Alcohol and Other Drug Counselling via Telehealth: A Qualitative Study","title-short":"Australian Clients' Perspectives on Accessing Alcohol and Other Drug Counselling via Telehealth","volume":"45","author":[{"family":"Bartram","given":"Ashlea"},{"family":"Ahad","given":"Md Abdul"},{"family":"Lubman","given":"Dan I."},{"family":"Long","given":"April"},{"family":"Morrison","given":"Ele"},{"family":"Rundle","given":"Jill"},{"family":"Lee","given":"Nicole"},{"family":"Wilson","given":"Scott"},{"family":"Bowden","given":"Jacqueline"}],"issued":{"date-parts":[["2026",2]]}}}],"schema":"https://github.com/citation-style-language/schema/raw/master/csl-citation.json"} </w:instrText>
            </w:r>
            <w:r w:rsidRPr="00402F7C">
              <w:rPr>
                <w:rFonts w:ascii="Calibri" w:eastAsiaTheme="majorEastAsia" w:hAnsi="Calibri" w:cs="Calibri"/>
                <w:b/>
                <w:bCs/>
                <w:color w:val="000000" w:themeColor="text1"/>
                <w:sz w:val="16"/>
                <w:szCs w:val="16"/>
                <w:lang w:val="en-US"/>
              </w:rPr>
              <w:fldChar w:fldCharType="separate"/>
            </w:r>
            <w:r w:rsidRPr="00402F7C">
              <w:rPr>
                <w:rFonts w:ascii="Calibri" w:eastAsiaTheme="majorEastAsia" w:hAnsi="Calibri" w:cs="Calibri"/>
                <w:i w:val="0"/>
                <w:iCs w:val="0"/>
                <w:noProof/>
                <w:color w:val="000000" w:themeColor="text1"/>
                <w:sz w:val="16"/>
                <w:szCs w:val="16"/>
                <w:lang w:val="en-US"/>
              </w:rPr>
              <w:t>[75]</w:t>
            </w:r>
            <w:r w:rsidRPr="00402F7C">
              <w:rPr>
                <w:rFonts w:ascii="Calibri" w:eastAsiaTheme="majorEastAsia" w:hAnsi="Calibri" w:cs="Calibri"/>
                <w:b/>
                <w:bCs/>
                <w:color w:val="000000" w:themeColor="text1"/>
                <w:sz w:val="16"/>
                <w:szCs w:val="16"/>
                <w:lang w:val="en-US"/>
              </w:rPr>
              <w:fldChar w:fldCharType="end"/>
            </w:r>
          </w:p>
          <w:p w14:paraId="7D7D3ED9"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color w:val="000000" w:themeColor="text1"/>
                <w:kern w:val="2"/>
                <w:sz w:val="16"/>
                <w:szCs w:val="16"/>
                <w:lang w:val="en-US"/>
              </w:rPr>
            </w:pPr>
            <w:r w:rsidRPr="00402F7C">
              <w:rPr>
                <w:rFonts w:ascii="Calibri" w:eastAsiaTheme="majorEastAsia" w:hAnsi="Calibri" w:cs="Calibri"/>
                <w:color w:val="000000" w:themeColor="text1"/>
                <w:sz w:val="16"/>
                <w:szCs w:val="16"/>
                <w:lang w:val="en-US"/>
              </w:rPr>
              <w:t>Australia</w:t>
            </w:r>
          </w:p>
        </w:tc>
        <w:tc>
          <w:tcPr>
            <w:tcW w:w="1752" w:type="dxa"/>
          </w:tcPr>
          <w:p w14:paraId="48E10903"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To explore clients' views on the benefits and drawbacks of accessing Alcohol and Other Drug (AOD) counselling via telehealth in comparison to face-</w:t>
            </w:r>
            <w:r w:rsidRPr="00402F7C">
              <w:rPr>
                <w:rFonts w:ascii="Calibri" w:eastAsiaTheme="majorEastAsia" w:hAnsi="Calibri" w:cs="Calibri"/>
                <w:color w:val="000000" w:themeColor="text1"/>
                <w:sz w:val="16"/>
                <w:szCs w:val="16"/>
                <w:lang w:val="en-US"/>
              </w:rPr>
              <w:softHyphen/>
              <w:t>to-</w:t>
            </w:r>
            <w:r w:rsidRPr="00402F7C">
              <w:rPr>
                <w:rFonts w:ascii="Calibri" w:eastAsiaTheme="majorEastAsia" w:hAnsi="Calibri" w:cs="Calibri"/>
                <w:color w:val="000000" w:themeColor="text1"/>
                <w:sz w:val="16"/>
                <w:szCs w:val="16"/>
                <w:lang w:val="en-US"/>
              </w:rPr>
              <w:softHyphen/>
              <w:t xml:space="preserve"> face</w:t>
            </w:r>
          </w:p>
        </w:tc>
        <w:tc>
          <w:tcPr>
            <w:tcW w:w="1156" w:type="dxa"/>
          </w:tcPr>
          <w:p w14:paraId="7C238D6E"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N=22</w:t>
            </w:r>
            <w:r w:rsidRPr="00402F7C">
              <w:rPr>
                <w:rFonts w:ascii="Calibri" w:eastAsiaTheme="majorEastAsia" w:hAnsi="Calibri" w:cs="Calibri"/>
                <w:color w:val="000000" w:themeColor="text1"/>
                <w:sz w:val="16"/>
                <w:szCs w:val="16"/>
                <w:lang w:val="en-US"/>
              </w:rPr>
              <w:br/>
              <w:t>Age range [22,65]</w:t>
            </w:r>
          </w:p>
        </w:tc>
        <w:tc>
          <w:tcPr>
            <w:tcW w:w="1108" w:type="dxa"/>
          </w:tcPr>
          <w:p w14:paraId="7AF5B0E4"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Individual interviews</w:t>
            </w:r>
          </w:p>
        </w:tc>
        <w:tc>
          <w:tcPr>
            <w:tcW w:w="1177" w:type="dxa"/>
          </w:tcPr>
          <w:p w14:paraId="3E90054D"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Inductive approach</w:t>
            </w:r>
          </w:p>
        </w:tc>
        <w:tc>
          <w:tcPr>
            <w:tcW w:w="3150" w:type="dxa"/>
            <w:gridSpan w:val="2"/>
          </w:tcPr>
          <w:p w14:paraId="36283929" w14:textId="77777777" w:rsidR="00402F7C" w:rsidRPr="00402F7C" w:rsidRDefault="00402F7C" w:rsidP="00402F7C">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402F7C">
              <w:rPr>
                <w:rFonts w:ascii="Calibri" w:eastAsiaTheme="majorEastAsia" w:hAnsi="Calibri" w:cs="Calibri"/>
                <w:color w:val="000000" w:themeColor="text1"/>
                <w:sz w:val="16"/>
                <w:szCs w:val="16"/>
                <w:lang w:val="en-US"/>
              </w:rPr>
              <w:t xml:space="preserve">Participants </w:t>
            </w:r>
            <w:r w:rsidRPr="00402F7C">
              <w:rPr>
                <w:rFonts w:ascii="Calibri" w:hAnsi="Calibri" w:cs="Calibri"/>
                <w:sz w:val="16"/>
                <w:szCs w:val="16"/>
                <w:lang w:val="en-US"/>
              </w:rPr>
              <w:t>would be open to accessing AOD counselling via telehealth again in the future. Participants' discussion of</w:t>
            </w:r>
          </w:p>
          <w:p w14:paraId="402599B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preferences reflected five themes: (</w:t>
            </w:r>
            <w:proofErr w:type="spellStart"/>
            <w:r w:rsidRPr="00402F7C">
              <w:rPr>
                <w:rFonts w:ascii="Calibri" w:eastAsiaTheme="majorEastAsia" w:hAnsi="Calibri" w:cs="Calibri"/>
                <w:color w:val="000000" w:themeColor="text1"/>
                <w:sz w:val="16"/>
                <w:szCs w:val="16"/>
                <w:lang w:val="en-US"/>
              </w:rPr>
              <w:t>i</w:t>
            </w:r>
            <w:proofErr w:type="spellEnd"/>
            <w:r w:rsidRPr="00402F7C">
              <w:rPr>
                <w:rFonts w:ascii="Calibri" w:eastAsiaTheme="majorEastAsia" w:hAnsi="Calibri" w:cs="Calibri"/>
                <w:color w:val="000000" w:themeColor="text1"/>
                <w:sz w:val="16"/>
                <w:szCs w:val="16"/>
                <w:lang w:val="en-US"/>
              </w:rPr>
              <w:t xml:space="preserve">) telehealth helps to overcome barriers to accessing counselling; (ii) telehealth can increase confidence to engage in counselling; (iii) </w:t>
            </w:r>
            <w:bookmarkStart w:id="2" w:name="_Hlk226922450"/>
            <w:r w:rsidRPr="00402F7C">
              <w:rPr>
                <w:rFonts w:ascii="Calibri" w:eastAsiaTheme="majorEastAsia" w:hAnsi="Calibri" w:cs="Calibri"/>
                <w:color w:val="000000" w:themeColor="text1"/>
                <w:sz w:val="16"/>
                <w:szCs w:val="16"/>
                <w:lang w:val="en-US"/>
              </w:rPr>
              <w:t>telehealth can limit rapport</w:t>
            </w:r>
            <w:bookmarkEnd w:id="2"/>
            <w:r w:rsidRPr="00402F7C">
              <w:rPr>
                <w:rFonts w:ascii="Calibri" w:eastAsiaTheme="majorEastAsia" w:hAnsi="Calibri" w:cs="Calibri"/>
                <w:color w:val="000000" w:themeColor="text1"/>
                <w:sz w:val="16"/>
                <w:szCs w:val="16"/>
                <w:lang w:val="en-US"/>
              </w:rPr>
              <w:t>; (iv) privacy concerns with telehealth counselling; and (v) increasing awareness of telehealth can support client choice.</w:t>
            </w:r>
          </w:p>
        </w:tc>
      </w:tr>
      <w:tr w:rsidR="00402F7C" w:rsidRPr="00402F7C" w14:paraId="2FB28E4A"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54F2EF6C"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Chen et al.</w:t>
            </w:r>
          </w:p>
          <w:p w14:paraId="06D7E7EA"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(2021)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{"citationID":"HQUBsNKq","properties":{"formattedCitation":"[39]","plainCitation":"[39]","noteIndex":0},"citationItems":[{"id":2131,"uris":["http://zotero.org/users/4007286/items/9S9YAAI8"],"itemData":{"id":2131,"type":"article-journal","abstract":"Background: As the use of telemental health-mental health care delivered through video or phone-has increased in the era of COVID, it is important to understand patients' preferences and perspectives regarding the use of video for telehealth visits. A new web-based treatment program for veterans uses video visits with mental health experts to supplement its online cognitive behavioral therapy to treat clinically significant symptoms of depression and/or post-traumatic stress disorder. Objective: As part of the program evaluation, Veterans were asked, \"How important was it for you to be able to physically see your provider through video telehealth?\"to understand whether they thought using video was important and why it may or may not be important. Materials and Methods: The study uses data from the program's exit survey and exit interview. The surveys and interviews were conducted over a 19-month period. Surveys and interviews were conducted over the phone with note taking. Matrix and content analyses were used to analyze the qualitative data-predetermined themes and emergent themes were analyzed and inform findings. Results: Seventy-three veterans completed a survey. Of these, 64 completed an interview. The majority of veterans surveyed (75%) said that it was \"very important\"to physically see their provider through video telehealth, 23% said that it was at least \"somewhat important\"or \"not at all important.\"This study highlights three main themes found in the qualitative data: Patients discuss (1) advantages of using video, (2) why they dislike video, and (3) technological barriers to using video. Conclusions: Being able to visually see a provider, and be seen by a provider, has distinct benefits for care and relationship building that are difficult to achieve over the phone. This has important implications for the future delivery of telemental health care and deserves consideration as patients and providers decide whether to use phone or video for remotely delivered care.","archive":"Embase","container-title":"Telemedicine Reports","DOI":"10.1089/tmr.2021.0005","ISSN":"2692-4366","issue":"1","journalAbbreviation":"Telemed. Rep.","language":"English","page":"156-162","title":"Seeing the Value of Video: A Qualitative Study on Patient Preference for Using Video in a Veteran Affairs Telemental Health Program Evaluation","volume":"2","author":[{"family":"Chen","given":"P.V."},{"family":"Helm","given":"A."},{"family":"Fletcher","given":"T."},{"family":"Wassef","given":"M."},{"family":"Hogan","given":"J."},{"family":"Amspoker","given":"A."},{"family":"Cloitre","given":"M."},{"family":"Lindsay","given":"J."}],"issued":{"date-parts":[["2021"]]}}}],"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[39]</w:t>
            </w:r>
            <w:r w:rsidRPr="00402F7C">
              <w:rPr>
                <w:rFonts w:ascii="Calibri" w:eastAsiaTheme="majorEastAsia" w:hAnsi="Calibri" w:cs="Calibri"/>
                <w:color w:val="000000" w:themeColor="text1"/>
                <w:kern w:val="2"/>
                <w:sz w:val="16"/>
                <w:szCs w:val="16"/>
                <w:lang w:val="en-US"/>
              </w:rPr>
              <w:fldChar w:fldCharType="end"/>
            </w:r>
          </w:p>
          <w:p w14:paraId="23E8C225"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336CB985"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understand patients’ preferences for using telemental health videos</w:t>
            </w:r>
          </w:p>
        </w:tc>
        <w:tc>
          <w:tcPr>
            <w:tcW w:w="1156" w:type="dxa"/>
          </w:tcPr>
          <w:p w14:paraId="6D15E00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N=64</w:t>
            </w:r>
          </w:p>
          <w:p w14:paraId="7B3F8B8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46</w:t>
            </w:r>
          </w:p>
          <w:p w14:paraId="4FD7F1E3"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Age range [25-78]</w:t>
            </w:r>
          </w:p>
        </w:tc>
        <w:tc>
          <w:tcPr>
            <w:tcW w:w="1108" w:type="dxa"/>
          </w:tcPr>
          <w:p w14:paraId="2A676E74"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Individual interviews</w:t>
            </w:r>
          </w:p>
        </w:tc>
        <w:tc>
          <w:tcPr>
            <w:tcW w:w="1177" w:type="dxa"/>
          </w:tcPr>
          <w:p w14:paraId="5D051B93"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Thematic content analysis</w:t>
            </w:r>
          </w:p>
        </w:tc>
        <w:tc>
          <w:tcPr>
            <w:tcW w:w="3150" w:type="dxa"/>
            <w:gridSpan w:val="2"/>
          </w:tcPr>
          <w:p w14:paraId="27FFC28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preferred to see their therapist in person for more connection, more privacy and less discomfort.</w:t>
            </w:r>
          </w:p>
          <w:p w14:paraId="19D66CA4"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Technical issues with videos are the principal barrier to using video telehealth.</w:t>
            </w:r>
          </w:p>
          <w:p w14:paraId="5212A0E0"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10CE6094"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70096959"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proofErr w:type="spellStart"/>
            <w:r w:rsidRPr="00402F7C">
              <w:rPr>
                <w:rFonts w:ascii="Calibri" w:eastAsiaTheme="majorEastAsia" w:hAnsi="Calibri" w:cs="Calibri"/>
                <w:b/>
                <w:bCs/>
                <w:i w:val="0"/>
                <w:iCs w:val="0"/>
                <w:color w:val="000000" w:themeColor="text1"/>
                <w:kern w:val="2"/>
                <w:sz w:val="16"/>
                <w:szCs w:val="16"/>
                <w:lang w:val="en-US"/>
              </w:rPr>
              <w:t>Haegens</w:t>
            </w:r>
            <w:proofErr w:type="spellEnd"/>
            <w:r w:rsidRPr="00402F7C">
              <w:rPr>
                <w:rFonts w:ascii="Calibri" w:eastAsiaTheme="majorEastAsia" w:hAnsi="Calibri" w:cs="Calibri"/>
                <w:b/>
                <w:bCs/>
                <w:i w:val="0"/>
                <w:iCs w:val="0"/>
                <w:color w:val="000000" w:themeColor="text1"/>
                <w:kern w:val="2"/>
                <w:sz w:val="16"/>
                <w:szCs w:val="16"/>
                <w:lang w:val="en-US"/>
              </w:rPr>
              <w:t xml:space="preserve"> et al.</w:t>
            </w:r>
          </w:p>
          <w:p w14:paraId="341B6B93"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(2023)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{"citationID":"ff3eUuqi","properties":{"formattedCitation":"[107]","plainCitation":"[107]","noteIndex":0},"citationItems":[{"id":2726,"uris":["http://zotero.org/users/4007286/items/BCAC42J8"],"itemData":{"id":2726,"type":"article-journal","abstract":"Background: Patients with rheumatic diseases are known to experience drug-related problems at various times during their treatment. As these problems can negatively influence patients' health, they should be prevented or resolved as soon as possible, for which patients might benefit from additional support. Telehealth has the potential to continuously provide information and offers the possibility to easily contact a health care provider in order to support patients with medication use. Knowledge of factors influencing the patient's preference for telehealth channels can improve the actual use of telehealth channels. Objective: This study aims to identify factors that influence the preferences of patients with rheumatic diseases regarding telehealth channels for support with medication use. Methods: A qualitative study with face-to-face interviews was performed among patients with an inflammatory rheumatic disease in the Netherlands. A total of 4 telehealth channels were used: a frequently asked questions page, a digital human, an app for SMS text messaging with health care providers, and an app for video-calling with health care providers. Using a semistructured interview guide based on domains of the Capability, Opportunity, Motivation, and Behavior (COM-B) model, participants were questioned about (1) their general opinion on the 4 telehealth channels, (2) factors influencing preference for individual telehealth channels, and (3) factors influencing preference for individual telehealth channels in relation to the other available channels. Interviews were recorded, transcribed, and categorically analyzed. Results: A total of 15 patients were interviewed (female: n=8, 53%; male: n=7, 47%; mean age 55, SD 16.8 years; median treatment duration of 41, IQR 12-106 months). The following 3 categories of factors influencing patient preference regarding telehealth channels were identified: (1) problem-related factors included problems needing a visual check, problems specifically related to the patient, and urgency of the problem; (2) patient-related factors included personal communication preference and patient characteristics; and (3) channel-related factors included familiarity with the telehealth channel, direct communication with a health care provider, methods of searching, and conversation history. Conclusions: Preference for telehealth channels is influenced by factors related to the problem experienced, the patient experiencing the problem, and telehealth channel characteristics. As the preference for telehealth channels varies between these categories, multiple telehealth channels should be offered to enable patients to tailor the support with their medication use to their needs. © 2023 The Author(s).","archive":"Scopus","container-title":"JMIR Formative Research","DOI":"10.2196/45086","title":"Factors Influencing Preferences of Patients With Rheumatic Diseases Regarding Telehealth Channels for Support With Medication Use: Qualitative Study","URL":"https://www.scopus.com/inward/record.uri?eid=2-s2.0-85166002758&amp;doi=10.2196%2f45086&amp;partnerID=40&amp;md5=9a3cabc80764ce02ce5b09b4c04067be","volume":"7","author":[{"family":"Haegens","given":"L.L."},{"family":"Huiskes","given":"V.J.B."},{"family":"Ven","given":"J.","non-dropping-particle":"van der"},{"family":"Bemt","given":"B.J.F.","non-dropping-particle":"van den"},{"family":"Bekker","given":"C.L."}],"issued":{"date-parts":[["2023"]]}}}],"schema":"https://github.com/citation-style-language/schema/raw/master/csl-citation.json"}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[107]</w:t>
            </w:r>
            <w:r w:rsidRPr="00402F7C">
              <w:rPr>
                <w:rFonts w:ascii="Calibri" w:eastAsiaTheme="majorEastAsia" w:hAnsi="Calibri" w:cs="Calibri"/>
                <w:color w:val="000000" w:themeColor="text1"/>
                <w:kern w:val="2"/>
                <w:sz w:val="16"/>
                <w:szCs w:val="16"/>
                <w:lang w:val="en-US"/>
              </w:rPr>
              <w:fldChar w:fldCharType="end"/>
            </w:r>
          </w:p>
          <w:p w14:paraId="1AFAC3FE"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Netherlands</w:t>
            </w:r>
          </w:p>
        </w:tc>
        <w:tc>
          <w:tcPr>
            <w:tcW w:w="1752" w:type="dxa"/>
          </w:tcPr>
          <w:p w14:paraId="213D95BB"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identify factors that influence the preferences of patients with rheumatic diseases regarding telehealth channels for support with medication use</w:t>
            </w:r>
          </w:p>
        </w:tc>
        <w:tc>
          <w:tcPr>
            <w:tcW w:w="1156" w:type="dxa"/>
          </w:tcPr>
          <w:p w14:paraId="52A5F216"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N=15</w:t>
            </w:r>
          </w:p>
          <w:p w14:paraId="434516F3"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55</w:t>
            </w:r>
          </w:p>
          <w:p w14:paraId="4C8E43C4"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108" w:type="dxa"/>
          </w:tcPr>
          <w:p w14:paraId="08CA87BB"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Individual interviews</w:t>
            </w:r>
          </w:p>
        </w:tc>
        <w:tc>
          <w:tcPr>
            <w:tcW w:w="1177" w:type="dxa"/>
          </w:tcPr>
          <w:p w14:paraId="5CC5B606"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Deductive approach</w:t>
            </w:r>
          </w:p>
        </w:tc>
        <w:tc>
          <w:tcPr>
            <w:tcW w:w="3150" w:type="dxa"/>
            <w:gridSpan w:val="2"/>
          </w:tcPr>
          <w:p w14:paraId="27E4DAA6"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generally favor telehealth for broad issues and prefer texting for urgent concerns. Older patients lean towards FAQs over apps, seeking familiar telehealth options.</w:t>
            </w:r>
          </w:p>
          <w:p w14:paraId="11A4DD50"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Most patients opt for digital human assistance for direct answers rather than searching themselves. They use telehealth to ask questions, avoiding feeling bothersome to healthcare providers.</w:t>
            </w:r>
          </w:p>
          <w:p w14:paraId="7CCAF2B7"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6171AE87"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585BB840"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402F7C">
              <w:rPr>
                <w:rFonts w:ascii="Calibri" w:eastAsiaTheme="majorEastAsia" w:hAnsi="Calibri" w:cs="Calibri"/>
                <w:b/>
                <w:bCs/>
                <w:i w:val="0"/>
                <w:iCs w:val="0"/>
                <w:color w:val="000000" w:themeColor="text1"/>
                <w:kern w:val="2"/>
                <w:sz w:val="16"/>
                <w:szCs w:val="16"/>
                <w:lang w:val="en-US"/>
              </w:rPr>
              <w:t>Haun et al.</w:t>
            </w:r>
          </w:p>
          <w:p w14:paraId="51B848B7"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402F7C">
              <w:rPr>
                <w:rFonts w:ascii="Calibri" w:eastAsiaTheme="majorEastAsia" w:hAnsi="Calibri" w:cs="Calibri"/>
                <w:b/>
                <w:bCs/>
                <w:i w:val="0"/>
                <w:iCs w:val="0"/>
                <w:color w:val="000000" w:themeColor="text1"/>
                <w:kern w:val="2"/>
                <w:sz w:val="16"/>
                <w:szCs w:val="16"/>
                <w:lang w:val="en-US"/>
              </w:rPr>
              <w:t>(2016)</w:t>
            </w:r>
            <w:r w:rsidRPr="00402F7C">
              <w:rPr>
                <w:rFonts w:ascii="Calibri" w:eastAsiaTheme="majorEastAsia" w:hAnsi="Calibri" w:cs="Calibri"/>
                <w:i w:val="0"/>
                <w:iCs w:val="0"/>
                <w:color w:val="000000" w:themeColor="text1"/>
                <w:kern w:val="2"/>
                <w:sz w:val="16"/>
                <w:szCs w:val="16"/>
                <w:lang w:val="en-US"/>
              </w:rPr>
              <w:t xml:space="preserve">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{"citationID":"Fn4KGOLM","properties":{"formattedCitation":"[40]","plainCitation":"[40]","noteIndex":0},"citationItems":[{"id":2280,"uris":["http://zotero.org/users/4007286/items/SHY2GLQC"],"itemData":{"id":2280,"type":"article-journal","abstract":"BACKGROUND: The US Department of Veterans Affairs (VA) has developed various health information technology (HIT) resources to provide accessible veteran-centered health care. Currently, the VA is undergoing a major reorganization of VA HIT to develop a fully integrated system to meet consumer needs. Although extensive system documentation exists for various VA HIT systems, a more centralized and integrated perspective with clear documentation is needed in order to support effective analysis, strategy, planning, and use. Such a tool would enable a novel view of what is currently available and support identifying and effectively capturing the consumer's vision for the future.\nOBJECTIVE: The objective of this study was to develop the VA HIT Systems Matrix, a novel tool designed to describe the existing VA HIT system and identify consumers' vision for the future of an integrated VA HIT system.\nMETHODS: This study utilized an expert panel and veteran informant focus groups with self-administered surveys. The study employed participatory research methods to define the current system and understand how stakeholders and veterans envision the future of VA HIT and interface design (eg, look, feel, and function). Directed content analysis was used to analyze focus group data.\nRESULTS: The HIT Systems Matrix was developed with input from 47 veterans, an informal caregiver, and an expert panel to provide a descriptive inventory of existing and emerging VA HIT in four worksheets: (1) access and function, (2) benefits and barriers, (3) system preferences, and (4) tasks. Within each worksheet is a two-axis inventory. The VA's existing and emerging HIT platforms (eg, My HealtheVet, Mobile Health, VetLink Kiosks, Telehealth), My HealtheVet features (eg, Blue Button, secure messaging, appointment reminders, prescription refill, vet library, spotlight, vitals tracker), and non-VA platforms (eg, phone/mobile phone, texting, non-VA mobile apps, non-VA mobile electronic devices, non-VA websites) are organized by row. Columns are titled with thematic and functional domains (eg, access, function, benefits, barriers, authentication, delegation, user tasks). Cells for each sheet include descriptions and details that reflect factors relevant to domains and the topic of each worksheet.\nCONCLUSIONS: This study provides documentation of the current VA HIT system and efforts for consumers' vision of an integrated system redesign. The HIT Systems Matrix provides a consumer preference blueprint to inform the current VA HIT system and the vision for future development to integrate electronic resources within VA and beyond with non-VA resources. The data presented in the HIT Systems Matrix are relevant for VA administrators and developers as well as other large health care organizations seeking to document and organize their consumer-facing HIT resources.","container-title":"Journal of Medical Internet Research","DOI":"10.2196/jmir.6499","ISSN":"1438-8871","issue":"10","journalAbbreviation":"J Med Internet Res","language":"eng","page":"e266","source":"PubMed","title":"Developing a Health Information Technology Systems Matrix: A Qualitative Participatory Approach","title-short":"Developing a Health Information Technology Systems Matrix","volume":"18","author":[{"family":"Haun","given":"Jolie N."},{"family":"Chavez","given":"Margeaux"},{"family":"Nazi","given":"Kim M."},{"family":"Antinori","given":"Nicole"}],"issued":{"date-parts":[["2016",10,6]]}}}],"schema":"https://github.com/citation-style-language/schema/raw/master/csl-citation.json"}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[40]</w:t>
            </w:r>
            <w:r w:rsidRPr="00402F7C">
              <w:rPr>
                <w:rFonts w:ascii="Calibri" w:eastAsiaTheme="majorEastAsia" w:hAnsi="Calibri" w:cs="Calibri"/>
                <w:color w:val="000000" w:themeColor="text1"/>
                <w:kern w:val="2"/>
                <w:sz w:val="16"/>
                <w:szCs w:val="16"/>
                <w:lang w:val="en-US"/>
              </w:rPr>
              <w:fldChar w:fldCharType="end"/>
            </w:r>
          </w:p>
          <w:p w14:paraId="25CA69AD"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6144D97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identify preferences for Health information technology systems matrix for veterans</w:t>
            </w:r>
          </w:p>
        </w:tc>
        <w:tc>
          <w:tcPr>
            <w:tcW w:w="1156" w:type="dxa"/>
          </w:tcPr>
          <w:p w14:paraId="2958100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N=48</w:t>
            </w:r>
          </w:p>
          <w:p w14:paraId="326C06A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63</w:t>
            </w:r>
          </w:p>
          <w:p w14:paraId="754734C3"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Age range [43,83]</w:t>
            </w:r>
          </w:p>
        </w:tc>
        <w:tc>
          <w:tcPr>
            <w:tcW w:w="1108" w:type="dxa"/>
          </w:tcPr>
          <w:p w14:paraId="47C01AB8"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Focus groups</w:t>
            </w:r>
          </w:p>
        </w:tc>
        <w:tc>
          <w:tcPr>
            <w:tcW w:w="1177" w:type="dxa"/>
          </w:tcPr>
          <w:p w14:paraId="2FCDE4AE"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Deductive approach</w:t>
            </w:r>
          </w:p>
        </w:tc>
        <w:tc>
          <w:tcPr>
            <w:tcW w:w="3150" w:type="dxa"/>
            <w:gridSpan w:val="2"/>
          </w:tcPr>
          <w:p w14:paraId="08CAA6E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Veterans want access to personalized, proactive, and patient-driven virtual care to manage their care.</w:t>
            </w:r>
          </w:p>
        </w:tc>
      </w:tr>
      <w:tr w:rsidR="00402F7C" w:rsidRPr="00402F7C" w14:paraId="4504AF6C"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61415D3D"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proofErr w:type="spellStart"/>
            <w:r w:rsidRPr="00402F7C">
              <w:rPr>
                <w:rFonts w:ascii="Calibri" w:eastAsiaTheme="majorEastAsia" w:hAnsi="Calibri" w:cs="Calibri"/>
                <w:b/>
                <w:bCs/>
                <w:i w:val="0"/>
                <w:iCs w:val="0"/>
                <w:color w:val="000000" w:themeColor="text1"/>
                <w:kern w:val="2"/>
                <w:sz w:val="16"/>
                <w:szCs w:val="16"/>
                <w:lang w:val="en-US"/>
              </w:rPr>
              <w:t>Ivankova</w:t>
            </w:r>
            <w:proofErr w:type="spellEnd"/>
            <w:r w:rsidRPr="00402F7C">
              <w:rPr>
                <w:rFonts w:ascii="Calibri" w:eastAsiaTheme="majorEastAsia" w:hAnsi="Calibri" w:cs="Calibri"/>
                <w:b/>
                <w:bCs/>
                <w:i w:val="0"/>
                <w:iCs w:val="0"/>
                <w:color w:val="000000" w:themeColor="text1"/>
                <w:kern w:val="2"/>
                <w:sz w:val="16"/>
                <w:szCs w:val="16"/>
                <w:lang w:val="en-US"/>
              </w:rPr>
              <w:t xml:space="preserve"> et al.</w:t>
            </w:r>
          </w:p>
          <w:p w14:paraId="23A2D217"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(2021)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{"citationID":"6mcNEEhM","properties":{"formattedCitation":"[42]","plainCitation":"[42]","noteIndex":0},"citationItems":[{"id":2653,"uris":["http://zotero.org/users/4007286/items/ZFNAP6P9"],"itemData":{"id":2653,"type":"article-journal","abstract":"Background: With the increasing number of older cancer survivors, it is imperative to optimize the reach of interventions that promote healthy lifestyles. Web-based delivery holds promise for increasing the reach of such interventions with the rapid increase in internet use among older adults. However, few studies have explored the views of middle-aged and older cancer survivors on this approach and potential variations in these views by gender or rural and urban residence. Objective: The aim of this study was to explore the views of middle-aged and older cancer survivors regarding the features of web-based healthy lifestyle programs to inform the development of a web-based diet and exercise intervention. Methods: Using a qualitative descriptive approach, we conducted 10 focus groups with 57 cancer survivors recruited from hospital cancer registries in 1 southeastern US state. Data were analyzed using inductive thematic and content analyses with NVivo (version 12.5, QSR International). Results: A total of 29 male and 28 female urban and rural dwelling Black and White survivors, with a mean age of 65 (SD 8.27) years, shared their views about a web-based healthy lifestyle program for cancer survivors. Five themes emerged related to program content, design, delivery, participation, technology training, and receiving feedback. Cancer survivors felt that web-based healthy lifestyle programs for cancer survivors must deliver credible, high-quality, and individually tailored information, as recommended by health care professionals or content experts. Urban survivors were more concerned about information reliability, whereas women were more likely to trust physicians' recommendations. Male and rural survivors wanted information to be tailored to the cancer type and age group. Privacy, usability, interaction frequency, and session length were important factors for engaging cancer survivors with a web-based program. Female and rural participants liked the interactive nature and visual appeal of the e-learning sessions. Learning from experts, an attractive design, flexible schedule, and opportunity to interact with other cancer survivors in Facebook closed groups emerged as factors promoting program participation. Low computer literacy, lack of experience with web program features, and concerns about Facebook group privacy were important concerns influencing cancer survivors' potential participation. Participants noted the importance of technology training, preferring individualized help to standardized computer classes. More rural cancer survivors acknowledged the need to learn how to use computers. The receipt of regular feedback about progress was noted as encouragement toward goal achievement, whereas women were particularly interested in receiving immediate feedback to stay motivated. Conclusions: Important considerations for designing web-based healthy lifestyle interventions for middle-aged and older cancer survivors include program quality, participants' privacy, ease of use, attractive design, and the prominent role of health care providers and content experts. Cancer survivors' preferences based on gender and residence should be considered to promote program participation. © 2021 National Research Center Kurchatov Institute. All rights reserved.","archive":"Scopus","container-title":"JMIR Cancer","DOI":"10.2196/26226","issue":"4","title":"Features that middle-aged and older cancer survivors want in web-based healthy lifestyle interventions: Qualitative descriptive study","URL":"https://www.scopus.com/inward/record.uri?eid=2-s2.0-85117622185&amp;doi=10.2196%2f26226&amp;partnerID=40&amp;md5=93a25f13eaab59ec283e2126e447b39c","volume":"7","author":[{"family":"Ivankova","given":"N.V."},{"family":"Rogers","given":"L.Q."},{"family":"Herbey","given":"I.I."},{"family":"Martin","given":"M.Y."},{"family":"Pisu","given":"M."},{"family":"Pekmezi","given":"D."},{"family":"Thompson","given":"L."},{"family":"Schoenberger-Godwin","given":"Y.-M.M."},{"family":"Oster","given":"R.A."},{"family":"Fontaine","given":"K."},{"family":"Anderson","given":"J.L."},{"family":"Kenzik","given":"K."},{"family":"Farrell","given":"D."},{"family":"Demark-Wahnefried","given":"W."}],"issued":{"date-parts":[["2021"]]}}}],"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[42]</w:t>
            </w:r>
            <w:r w:rsidRPr="00402F7C">
              <w:rPr>
                <w:rFonts w:ascii="Calibri" w:eastAsiaTheme="majorEastAsia" w:hAnsi="Calibri" w:cs="Calibri"/>
                <w:color w:val="000000" w:themeColor="text1"/>
                <w:kern w:val="2"/>
                <w:sz w:val="16"/>
                <w:szCs w:val="16"/>
                <w:lang w:val="en-US"/>
              </w:rPr>
              <w:fldChar w:fldCharType="end"/>
            </w:r>
          </w:p>
          <w:p w14:paraId="38628988"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374303B1"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identify preferences regarding the features of web-based healthy lifestyle programs for middle-aged older cancer survivors</w:t>
            </w:r>
          </w:p>
        </w:tc>
        <w:tc>
          <w:tcPr>
            <w:tcW w:w="1156" w:type="dxa"/>
          </w:tcPr>
          <w:p w14:paraId="20F17C9D"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N=57</w:t>
            </w:r>
          </w:p>
          <w:p w14:paraId="6B46484F"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65</w:t>
            </w:r>
          </w:p>
          <w:p w14:paraId="0250DE29"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p w14:paraId="73678E1A"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108" w:type="dxa"/>
          </w:tcPr>
          <w:p w14:paraId="66C37907"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Focus groups</w:t>
            </w:r>
          </w:p>
        </w:tc>
        <w:tc>
          <w:tcPr>
            <w:tcW w:w="1177" w:type="dxa"/>
          </w:tcPr>
          <w:p w14:paraId="7406DC6E"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Inductive approach</w:t>
            </w:r>
          </w:p>
        </w:tc>
        <w:tc>
          <w:tcPr>
            <w:tcW w:w="3150" w:type="dxa"/>
            <w:gridSpan w:val="2"/>
          </w:tcPr>
          <w:p w14:paraId="46434E76"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seek personalized, high-quality healthcare advice via secure, easy-to-use online platforms featuring engaging design and interactive learning opportunities.</w:t>
            </w:r>
          </w:p>
          <w:p w14:paraId="1F25F14A"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They also value computer skills training at the time of cancer diagnosis.</w:t>
            </w:r>
          </w:p>
          <w:p w14:paraId="0DA6775B"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However, preferences vary by gender and location, highlighting the importance of demographic considerations in health technology solutions.</w:t>
            </w:r>
          </w:p>
          <w:p w14:paraId="463D9EDF"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1A976036"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5FCA96FA"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Lauffenburger et al. (2021)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{"citationID":"InpqAXVQ","properties":{"formattedCitation":"[43]","plainCitation":"[43]","noteIndex":0},"citationItems":[{"id":2676,"uris":["http://zotero.org/users/4007286/items/6A5YZ4LX"],"itemData":{"id":2676,"type":"article-journal","abstract":"Background: Individuals with diabetes need regular support to help them manage their diabetes on their own, ideally delivered via mechanisms that they already use, such as their mobile phones. One reason for the modest effectiveness of prior technology-based interventions may be that the patient perspective has been insufficiently incorporated. Objective: This study aims to understand patients' preferences for mobile health (mHealth) technology and how that technology can be integrated into patients' routines, especially with regard to medication use. Methods: We conducted semistructured qualitative individual interviews with patients with type 2 diabetes from an urban health care system to elicit and explore their perspectives on diabetes medication-taking behaviors, daily patterns of using mobile technology, use of mHealth technology for diabetes care, acceptability of text messages to support medication adherence, and preferred framing of information within text messages to support diabetes care. The interviews were digitally recorded and transcribed. The data were analyzed using codes developed by the study team to generate themes, with representative quotations selected as illustrations. Results: We conducted interviews with 20 participants, of whom 12 (60%) were female and 9 (45%) were White; in addition, the participants' mean glycated hemoglobin A1c control was 7.8 (SD 1.1). Overall, 5 key themes were identified: patients try to incorporate cues into their routines to help them with consistent medication taking; many patients leverage some form of technology as a cue to support adherence to medication taking and diabetes self-management behaviors; patients value simplicity and integration of technology solutions used for diabetes care, managing medications, and communicating with health care providers; some patients express reluctance to rely on mobile technology for these diabetes care behaviors; and patients believe they prefer positively framed communication, but communication preferences are highly individualized. Conclusions: The participants expressed some hesitation about using mobile technology in supporting diabetes self-management but have largely incorporated it or are open to incorporating it as a cue to make medication taking more automatic and less burdensome. When using technology to support diabetes self-management, participants exhibited individualized preferences, but overall, they preferred simple and positively framed communication. mHealth interventions may be improved by focusing on integrating them easily into daily routines and increasing the customization of content. © 2021 Journal of Medical Internet Research. All rights reserved.","archive":"Scopus","container-title":"Journal of Medical Internet Research","DOI":"10.2196/25958","issue":"6","title":"Preferences for mhealth technology and text messaging communication in patients with type 2 diabetes: Qualitative interview study","URL":"https://www.scopus.com/inward/record.uri?eid=2-s2.0-85107846307&amp;doi=10.2196%2f25958&amp;partnerID=40&amp;md5=de5a2549476699cda1733cd46ba6b2cb","volume":"23","author":[{"family":"Lauffenburger","given":"J.C."},{"family":"Barlev","given":"R.A."},{"family":"Sears","given":"E.S."},{"family":"Keller","given":"P.A."},{"family":"McDonnell","given":"M.E."},{"family":"Yom-Tov","given":"E."},{"family":"Fontanet","given":"C.P."},{"family":"Hanken","given":"K."},{"family":"Haff","given":"N."},{"family":"Choudhry","given":"N.K."}],"issued":{"date-parts":[["2021"]]}}}],"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[43]</w:t>
            </w:r>
            <w:r w:rsidRPr="00402F7C">
              <w:rPr>
                <w:rFonts w:ascii="Calibri" w:eastAsiaTheme="majorEastAsia" w:hAnsi="Calibri" w:cs="Calibri"/>
                <w:color w:val="000000" w:themeColor="text1"/>
                <w:kern w:val="2"/>
                <w:sz w:val="16"/>
                <w:szCs w:val="16"/>
                <w:lang w:val="en-US"/>
              </w:rPr>
              <w:fldChar w:fldCharType="end"/>
            </w:r>
          </w:p>
          <w:p w14:paraId="7A0EDF5D"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279BFE3B"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understand patients’ preferences for mHealth technology for diabetes</w:t>
            </w:r>
          </w:p>
        </w:tc>
        <w:tc>
          <w:tcPr>
            <w:tcW w:w="1156" w:type="dxa"/>
          </w:tcPr>
          <w:p w14:paraId="2674D243"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N=20</w:t>
            </w:r>
          </w:p>
          <w:p w14:paraId="6AB309FC"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age:54</w:t>
            </w:r>
          </w:p>
          <w:p w14:paraId="71930AD8"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Age range [21,78]</w:t>
            </w:r>
          </w:p>
        </w:tc>
        <w:tc>
          <w:tcPr>
            <w:tcW w:w="1108" w:type="dxa"/>
          </w:tcPr>
          <w:p w14:paraId="3113FBCD"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Individual interviews </w:t>
            </w:r>
          </w:p>
        </w:tc>
        <w:tc>
          <w:tcPr>
            <w:tcW w:w="1177" w:type="dxa"/>
          </w:tcPr>
          <w:p w14:paraId="66AFC08F"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Immersion-crystallization approach</w:t>
            </w:r>
          </w:p>
        </w:tc>
        <w:tc>
          <w:tcPr>
            <w:tcW w:w="3150" w:type="dxa"/>
            <w:gridSpan w:val="2"/>
          </w:tcPr>
          <w:p w14:paraId="7F7B2D06"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use their phone as a cue for diabetes self-management. However, some are concerned to become obsessed with improving their diabetes management.</w:t>
            </w:r>
          </w:p>
          <w:p w14:paraId="337B41C8"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Patients would like simple and positively framed communication on their mobile </w:t>
            </w:r>
            <w:r w:rsidRPr="00402F7C">
              <w:rPr>
                <w:rFonts w:ascii="Calibri" w:eastAsiaTheme="majorEastAsia" w:hAnsi="Calibri" w:cs="Calibri"/>
                <w:color w:val="000000" w:themeColor="text1"/>
                <w:kern w:val="2"/>
                <w:sz w:val="16"/>
                <w:szCs w:val="16"/>
                <w:lang w:val="en-US"/>
              </w:rPr>
              <w:lastRenderedPageBreak/>
              <w:t>phone.</w:t>
            </w:r>
            <w:r w:rsidRPr="00402F7C">
              <w:rPr>
                <w:rFonts w:ascii="Calibri" w:eastAsiaTheme="majorEastAsia" w:hAnsi="Calibri" w:cs="Calibri"/>
                <w:color w:val="000000" w:themeColor="text1"/>
                <w:kern w:val="2"/>
                <w:sz w:val="16"/>
                <w:szCs w:val="16"/>
                <w:lang w:val="en-US"/>
              </w:rPr>
              <w:br/>
            </w:r>
          </w:p>
        </w:tc>
      </w:tr>
      <w:tr w:rsidR="00402F7C" w:rsidRPr="00402F7C" w14:paraId="3EAEB3CC"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3C52C731"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i w:val="0"/>
                <w:iCs w:val="0"/>
                <w:color w:val="000000" w:themeColor="text1"/>
                <w:sz w:val="16"/>
                <w:szCs w:val="16"/>
                <w:lang w:val="en-US"/>
              </w:rPr>
            </w:pPr>
            <w:r w:rsidRPr="00402F7C">
              <w:rPr>
                <w:rFonts w:ascii="Calibri" w:eastAsiaTheme="majorEastAsia" w:hAnsi="Calibri" w:cs="Calibri"/>
                <w:b/>
                <w:bCs/>
                <w:i w:val="0"/>
                <w:iCs w:val="0"/>
                <w:color w:val="000000" w:themeColor="text1"/>
                <w:sz w:val="16"/>
                <w:szCs w:val="16"/>
                <w:lang w:val="en-US"/>
              </w:rPr>
              <w:lastRenderedPageBreak/>
              <w:t>Li et al. (2025)</w:t>
            </w:r>
            <w:r w:rsidRPr="00402F7C">
              <w:rPr>
                <w:rFonts w:ascii="Calibri" w:eastAsiaTheme="majorEastAsia" w:hAnsi="Calibri" w:cs="Calibri"/>
                <w:i w:val="0"/>
                <w:iCs w:val="0"/>
                <w:color w:val="000000" w:themeColor="text1"/>
                <w:sz w:val="16"/>
                <w:szCs w:val="16"/>
                <w:lang w:val="en-US"/>
              </w:rPr>
              <w:t xml:space="preserve"> </w:t>
            </w:r>
            <w:r w:rsidRPr="00402F7C">
              <w:rPr>
                <w:rFonts w:ascii="Calibri" w:eastAsiaTheme="majorEastAsia" w:hAnsi="Calibri" w:cs="Calibri"/>
                <w:b/>
                <w:bCs/>
                <w:color w:val="000000" w:themeColor="text1"/>
                <w:sz w:val="16"/>
                <w:szCs w:val="16"/>
                <w:lang w:val="en-US"/>
              </w:rPr>
              <w:fldChar w:fldCharType="begin"/>
            </w:r>
            <w:r w:rsidRPr="00402F7C">
              <w:rPr>
                <w:rFonts w:ascii="Calibri" w:eastAsiaTheme="majorEastAsia" w:hAnsi="Calibri" w:cs="Calibri"/>
                <w:i w:val="0"/>
                <w:iCs w:val="0"/>
                <w:color w:val="000000" w:themeColor="text1"/>
                <w:sz w:val="16"/>
                <w:szCs w:val="16"/>
                <w:lang w:val="en-US"/>
              </w:rPr>
              <w:instrText xml:space="preserve"> ADDIN ZOTERO_ITEM CSL_CITATION {"citationID":"FLCiln7f","properties":{"unsorted":false,"formattedCitation":"[98]","plainCitation":"[98]","noteIndex":0},"citationItems":[{"id":28283,"uris":["http://zotero.org/users/4007286/items/TXCBWED3"],"itemData":{"id":28283,"type":"article-journal","abstract":"BACKGROUND: Mobile health (mHealth) for breast cancer care can greatly benefit patients' symptom management. Although research supports the effectiveness of mHealth, older adult patients with breast cancer often face difficulties using it, hindering them from accessing effective symptom management possibilities. Understanding the preference for mHealth among this population is crucial for providing insights into effective mHealth design.\nOBJECTIVE: This study aimed to better understand the symptom management preference using mHealth for Chinese older adult patients with breast cancer and use the approach of personas to inform the mHealth design.\nMETHODS: This was a descriptive qualitative study. In total, 17 patients with breast cancer aged 60 years and older were recruited from tertiary hospitals in Shanghai, China, using purposive sampling. Data were collected through one-on-one interviews. Content analysis was used to identify the factors that influence participants' symptom management preference using mHealth. The categories of influencing factors of preference informed the persona template and guided the development of the persona.\nRESULTS: We identified 3 major categories affecting participants' preference for mHealth, including social interaction patterns, mHealth literacy, and symptoms. The following five personas were developed: (1) Positive Manager, (2) Dependent Parent, (3) Management Isolationist, (4) Image Manager, and (5) Clinician Dependent. We provide insights into how these personas can be used when designing and implementing mHealth for symptom management support.\nCONCLUSIONS: Key factors influencing symptom management preference using mHealth among Chinese older adult patients with breast cancer and personas developed based on that can foster a better understanding of this population and initiate future mHealth design and implementation.","container-title":"JMIR human factors","DOI":"10.2196/71448","ISSN":"2292-9495","journalAbbreviation":"JMIR Hum Factors","language":"eng","page":"e71448","PMID":"40857593","PMCID":"PMC12380362","source":"PubMed","title":"Symptom Management Preference and Persona Development for Mobile Health Design Targeting Chinese Older Adult Patients With Breast Cancer: Descriptive Qualitative Study","title-short":"Symptom Management Preference and Persona Development for Mobile Health Design Targeting Chinese Older Adult Patients With Breast Cancer","volume":"12","author":[{"family":"Li","given":"Danyu"},{"family":"Zhu","given":"Yanlin"},{"family":"Yuan","given":"Changrong"},{"family":"Huang","given":"Qingmei"},{"family":"Yang","given":"Yang"},{"family":"Geng","given":"Zhaohui"},{"family":"Yuan","given":"Xiaotong"},{"family":"Wu","given":"Fulei"}],"issued":{"date-parts":[["2025",8,26]]}}}],"schema":"https://github.com/citation-style-language/schema/raw/master/csl-citation.json"} </w:instrText>
            </w:r>
            <w:r w:rsidRPr="00402F7C">
              <w:rPr>
                <w:rFonts w:ascii="Calibri" w:eastAsiaTheme="majorEastAsia" w:hAnsi="Calibri" w:cs="Calibri"/>
                <w:b/>
                <w:bCs/>
                <w:color w:val="000000" w:themeColor="text1"/>
                <w:sz w:val="16"/>
                <w:szCs w:val="16"/>
                <w:lang w:val="en-US"/>
              </w:rPr>
              <w:fldChar w:fldCharType="separate"/>
            </w:r>
            <w:r w:rsidRPr="00402F7C">
              <w:rPr>
                <w:rFonts w:ascii="Calibri" w:eastAsiaTheme="majorEastAsia" w:hAnsi="Calibri" w:cs="Calibri"/>
                <w:i w:val="0"/>
                <w:iCs w:val="0"/>
                <w:noProof/>
                <w:color w:val="000000" w:themeColor="text1"/>
                <w:sz w:val="16"/>
                <w:szCs w:val="16"/>
                <w:lang w:val="en-US"/>
              </w:rPr>
              <w:t>[98]</w:t>
            </w:r>
            <w:r w:rsidRPr="00402F7C">
              <w:rPr>
                <w:rFonts w:ascii="Calibri" w:eastAsiaTheme="majorEastAsia" w:hAnsi="Calibri" w:cs="Calibri"/>
                <w:b/>
                <w:bCs/>
                <w:color w:val="000000" w:themeColor="text1"/>
                <w:sz w:val="16"/>
                <w:szCs w:val="16"/>
                <w:lang w:val="en-US"/>
              </w:rPr>
              <w:fldChar w:fldCharType="end"/>
            </w:r>
          </w:p>
          <w:p w14:paraId="4EB078E5"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color w:val="000000" w:themeColor="text1"/>
                <w:kern w:val="2"/>
                <w:sz w:val="16"/>
                <w:szCs w:val="16"/>
                <w:lang w:val="en-US"/>
              </w:rPr>
            </w:pPr>
            <w:r w:rsidRPr="00402F7C">
              <w:rPr>
                <w:rFonts w:ascii="Calibri" w:eastAsiaTheme="majorEastAsia" w:hAnsi="Calibri" w:cs="Calibri"/>
                <w:color w:val="000000" w:themeColor="text1"/>
                <w:sz w:val="16"/>
                <w:szCs w:val="16"/>
                <w:lang w:val="en-US"/>
              </w:rPr>
              <w:t>China</w:t>
            </w:r>
          </w:p>
        </w:tc>
        <w:tc>
          <w:tcPr>
            <w:tcW w:w="1752" w:type="dxa"/>
          </w:tcPr>
          <w:p w14:paraId="631AB7B7"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To understand preferences for mHealth design among Chinese older adult patients with breast cancer</w:t>
            </w:r>
          </w:p>
        </w:tc>
        <w:tc>
          <w:tcPr>
            <w:tcW w:w="1156" w:type="dxa"/>
          </w:tcPr>
          <w:p w14:paraId="1306CF1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N=17</w:t>
            </w:r>
          </w:p>
          <w:p w14:paraId="074420AB"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Mean Age: 69</w:t>
            </w:r>
            <w:r w:rsidRPr="00402F7C">
              <w:rPr>
                <w:rFonts w:ascii="Calibri" w:eastAsiaTheme="majorEastAsia" w:hAnsi="Calibri" w:cs="Calibri"/>
                <w:color w:val="000000" w:themeColor="text1"/>
                <w:sz w:val="16"/>
                <w:szCs w:val="16"/>
                <w:lang w:val="en-US"/>
              </w:rPr>
              <w:br/>
              <w:t>Age range [61,80]</w:t>
            </w:r>
          </w:p>
          <w:p w14:paraId="5BA5FC23"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p>
        </w:tc>
        <w:tc>
          <w:tcPr>
            <w:tcW w:w="1108" w:type="dxa"/>
          </w:tcPr>
          <w:p w14:paraId="09C6B784"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Individual interviews</w:t>
            </w:r>
          </w:p>
        </w:tc>
        <w:tc>
          <w:tcPr>
            <w:tcW w:w="1177" w:type="dxa"/>
          </w:tcPr>
          <w:p w14:paraId="277AEC8A"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Inductive approach</w:t>
            </w:r>
          </w:p>
        </w:tc>
        <w:tc>
          <w:tcPr>
            <w:tcW w:w="3150" w:type="dxa"/>
            <w:gridSpan w:val="2"/>
          </w:tcPr>
          <w:p w14:paraId="31D13CB4"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 xml:space="preserve">Three key factors shape preferences for mHealth symptom management: social interaction patterns, mHealth literacy, and symptom burden (diversity and severity). </w:t>
            </w:r>
          </w:p>
          <w:p w14:paraId="4312A5A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There is strong heterogeneity in preferences, leading to five distinct patient profiles (personas) ranging from highly autonomous users to fully dependent or clinician-oriented users.</w:t>
            </w:r>
          </w:p>
          <w:p w14:paraId="3D6AA0F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Preferences for mHealth vary from active self-management and peer interaction to reliance on caregivers or clinicians, and in some cases rejection of digital tools.</w:t>
            </w:r>
          </w:p>
        </w:tc>
      </w:tr>
      <w:tr w:rsidR="00402F7C" w:rsidRPr="00402F7C" w14:paraId="59B84306"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4F346131"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proofErr w:type="spellStart"/>
            <w:r w:rsidRPr="00402F7C">
              <w:rPr>
                <w:rFonts w:ascii="Calibri" w:eastAsiaTheme="majorEastAsia" w:hAnsi="Calibri" w:cs="Calibri"/>
                <w:b/>
                <w:bCs/>
                <w:i w:val="0"/>
                <w:iCs w:val="0"/>
                <w:color w:val="000000" w:themeColor="text1"/>
                <w:kern w:val="2"/>
                <w:sz w:val="16"/>
                <w:szCs w:val="16"/>
                <w:lang w:val="en-US"/>
              </w:rPr>
              <w:t>Mogoba</w:t>
            </w:r>
            <w:proofErr w:type="spellEnd"/>
            <w:r w:rsidRPr="00402F7C">
              <w:rPr>
                <w:rFonts w:ascii="Calibri" w:eastAsiaTheme="majorEastAsia" w:hAnsi="Calibri" w:cs="Calibri"/>
                <w:b/>
                <w:bCs/>
                <w:i w:val="0"/>
                <w:iCs w:val="0"/>
                <w:color w:val="000000" w:themeColor="text1"/>
                <w:kern w:val="2"/>
                <w:sz w:val="16"/>
                <w:szCs w:val="16"/>
                <w:lang w:val="en-US"/>
              </w:rPr>
              <w:t xml:space="preserve"> et al.</w:t>
            </w:r>
          </w:p>
          <w:p w14:paraId="2781649A"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(2019)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{"citationID":"1QOMZd0e","properties":{"formattedCitation":"[91]","plainCitation":"[91]","noteIndex":0},"citationItems":[{"id":2138,"uris":["http://zotero.org/users/4007286/items/ECIM2CCB"],"itemData":{"id":2138,"type":"article-journal","abstract":"In South Africa, HIV-positive women receiving antiretroviral therapy often are lost to care postpartum; strategies to support long-term engagement are needed. Mobile health (mHealth) interventions are emerging as a possible solution for supporting long-term engagement in the prevention of mother-to-child transmission (PMTCT) of HIV care continuum. In order to explore acceptability and feasibility of mobile health (mHealth) interventions in this context, we conducted focus group discussions (FGDs) to assess trends in smartphone usage in postpartum women. In six FGDs, we interviewed 27 HIV-positive, postpartum women who attended regular care at the Gugulethu Community Health Centre in Cape Town, South Africa, and who use a smartphone. Questions assessed the respondent's general trends in smartphone use, as well as their exposure to and perceptions of mHealth interventions. We found little turnover in phones and phone numbers, and about half the participants shared their devices with family and friends. Respondents reported high familiarity with smartphone applications, including WhatsApp, Facebook, YouTube, and Twitter, with WhatsApp as their preferred method of smartphone communication. Data bundles were most often used to connect to the internet, motivated by the perception that data bundles last longer and are cheaper than airtime, but respondents were adept at locating Wi-Fi sources at work or other public spaces. Nearly all participants were familiar with MomConnect, a national mHealth text support service in South Africa, and most described it positively. Respondents expressed interest in future HIV mHealth applications including complementary health information on physical activity, nutrition, mental health and basic social services. Participants were active and engaged smartphone users with reliable internet connections and a positive attitude towards mHealth platforms. Future mHealth interventions show promise in this population.","container-title":"AIDS care","DOI":"10.1080/09540121.2018.1563283","ISSN":"1360-0451","issue":"6","journalAbbreviation":"AIDS Care","language":"eng","page":"723-729","source":"PubMed","title":"Smartphone usage and preferences among postpartum HIV-positive women in South Africa","volume":"31","author":[{"family":"Mogoba","given":"Phepo"},{"family":"Phillips","given":"Tamsin K."},{"family":"Myer","given":"Landon"},{"family":"Ndlovu","given":"Linda"},{"family":"Were","given":"Martin C."},{"family":"Clouse","given":"Kate"}],"issued":{"date-parts":[["2019",6]]}}}],"schema":"https://github.com/citation-style-language/schema/raw/master/csl-citation.json"}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[91]</w:t>
            </w:r>
            <w:r w:rsidRPr="00402F7C">
              <w:rPr>
                <w:rFonts w:ascii="Calibri" w:eastAsiaTheme="majorEastAsia" w:hAnsi="Calibri" w:cs="Calibri"/>
                <w:color w:val="000000" w:themeColor="text1"/>
                <w:kern w:val="2"/>
                <w:sz w:val="16"/>
                <w:szCs w:val="16"/>
                <w:lang w:val="en-US"/>
              </w:rPr>
              <w:fldChar w:fldCharType="end"/>
            </w:r>
          </w:p>
          <w:p w14:paraId="29FD2C95"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South Africa</w:t>
            </w:r>
          </w:p>
        </w:tc>
        <w:tc>
          <w:tcPr>
            <w:tcW w:w="1752" w:type="dxa"/>
          </w:tcPr>
          <w:p w14:paraId="70A4124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understand preferences of smartphone usage among postpartum HIV-positive women</w:t>
            </w:r>
          </w:p>
        </w:tc>
        <w:tc>
          <w:tcPr>
            <w:tcW w:w="1156" w:type="dxa"/>
          </w:tcPr>
          <w:p w14:paraId="615E89A1"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N=27</w:t>
            </w:r>
          </w:p>
          <w:p w14:paraId="02D2E326"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30</w:t>
            </w:r>
          </w:p>
        </w:tc>
        <w:tc>
          <w:tcPr>
            <w:tcW w:w="1108" w:type="dxa"/>
          </w:tcPr>
          <w:p w14:paraId="6F60CD5E"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Focus groups</w:t>
            </w:r>
          </w:p>
        </w:tc>
        <w:tc>
          <w:tcPr>
            <w:tcW w:w="1177" w:type="dxa"/>
          </w:tcPr>
          <w:p w14:paraId="6FB38190"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Thematic content analysis</w:t>
            </w:r>
          </w:p>
        </w:tc>
        <w:tc>
          <w:tcPr>
            <w:tcW w:w="3150" w:type="dxa"/>
            <w:gridSpan w:val="2"/>
          </w:tcPr>
          <w:p w14:paraId="547E702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are familiar with smartphone apps and preferred texting than making voice calls.</w:t>
            </w:r>
          </w:p>
          <w:p w14:paraId="11A1E908"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want more to interact with the application and not only receive (</w:t>
            </w:r>
            <w:proofErr w:type="spellStart"/>
            <w:r w:rsidRPr="00402F7C">
              <w:rPr>
                <w:rFonts w:ascii="Calibri" w:eastAsiaTheme="majorEastAsia" w:hAnsi="Calibri" w:cs="Calibri"/>
                <w:color w:val="000000" w:themeColor="text1"/>
                <w:kern w:val="2"/>
                <w:sz w:val="16"/>
                <w:szCs w:val="16"/>
                <w:lang w:val="en-US"/>
              </w:rPr>
              <w:t>unpersonnal</w:t>
            </w:r>
            <w:proofErr w:type="spellEnd"/>
            <w:r w:rsidRPr="00402F7C">
              <w:rPr>
                <w:rFonts w:ascii="Calibri" w:eastAsiaTheme="majorEastAsia" w:hAnsi="Calibri" w:cs="Calibri"/>
                <w:color w:val="000000" w:themeColor="text1"/>
                <w:kern w:val="2"/>
                <w:sz w:val="16"/>
                <w:szCs w:val="16"/>
                <w:lang w:val="en-US"/>
              </w:rPr>
              <w:t>) information.</w:t>
            </w:r>
          </w:p>
          <w:p w14:paraId="0B758F5B"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They want not only information on health but also assistance to finance it.</w:t>
            </w:r>
          </w:p>
          <w:p w14:paraId="3809596C"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2A148FED"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0CF01F44"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Nielsen et al.</w:t>
            </w:r>
          </w:p>
          <w:p w14:paraId="72EC1E42"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(2020)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{"citationID":"Nw0fYcu2","properties":{"formattedCitation":"[46]","plainCitation":"[46]","noteIndex":0},"citationItems":[{"id":2545,"uris":["http://zotero.org/users/4007286/items/VBK7CRW8"],"itemData":{"id":2545,"type":"article-journal","abstract":"Purpose: Physical activity has been shown to decline over the course of chemotherapy in breast cancer survivors; yet it may reduce treatment-related side effects and emerging evidence indicates it may improve disease outcomes. Mobile health (mHealth) interventions may be an effective, scalable strategy to increase physical activity during treatment. However, little is known about breast cancer patients’ interests and preferences for these interventions. It is important to understand patients’ interests and preferences prior to development of mHealth physical activity interventions to increase their relevance and efficacy. Methods: Breast cancer survivors (n = 30) participated in a semi-structured phone interview and were asked about barriers and facilitators to physical activity during chemotherapy as well as their preferences on a range of potential mHealth intervention features. Transcribed interviews were coded and key themes were analyzed using an iterative, inductive approach. Results: Five key themes were extracted from the interviews: (1) need for education about physical activity during chemotherapy; (2) treatment side effects inhibit physical activity; (3) a structured, home-based, tech-supported program with in-person elements is most feasible; (4) need for a personalized, highly tailored intervention; and (5) importance of social support from other breast cancer survivors, friends, and family. Conclusions: Breast cancer survivors are interested in mHealth physical activity interventions during chemotherapy, but preferences for intervention content and delivery varied. Future work should engage patients and survivors in intervention development and testing. © 2019, Springer-Verlag GmbH Germany, part of Springer Nature.","archive":"Scopus","container-title":"Supportive Care in Cancer","DOI":"10.1007/s00520-019-05002-w","issue":"4","page":"1919-1928","title":"Preferences for mHealth physical activity interventions during chemotherapy for breast cancer: a qualitative evaluation","volume":"28","author":[{"family":"Nielsen","given":"A.M."},{"family":"Welch","given":"W.A."},{"family":"Gavin","given":"K.L."},{"family":"Cottrell","given":"A.M."},{"family":"Solk","given":"P."},{"family":"Torre","given":"E.A."},{"family":"Blanch-Hartigan","given":"D."},{"family":"Phillips","given":"S.M."}],"issued":{"date-parts":[["2020"]]}}}],"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[46]</w:t>
            </w:r>
            <w:r w:rsidRPr="00402F7C">
              <w:rPr>
                <w:rFonts w:ascii="Calibri" w:eastAsiaTheme="majorEastAsia" w:hAnsi="Calibri" w:cs="Calibri"/>
                <w:color w:val="000000" w:themeColor="text1"/>
                <w:kern w:val="2"/>
                <w:sz w:val="16"/>
                <w:szCs w:val="16"/>
                <w:lang w:val="en-US"/>
              </w:rPr>
              <w:fldChar w:fldCharType="end"/>
            </w:r>
          </w:p>
          <w:p w14:paraId="6751D0C5"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48C30D14"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understand patients’ interest and preferences prior to development of mHealth physical activity during chemotherapy for breast cancer</w:t>
            </w:r>
          </w:p>
        </w:tc>
        <w:tc>
          <w:tcPr>
            <w:tcW w:w="1156" w:type="dxa"/>
          </w:tcPr>
          <w:p w14:paraId="7DD9873D"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N=30</w:t>
            </w:r>
          </w:p>
          <w:p w14:paraId="1D261A3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45</w:t>
            </w:r>
          </w:p>
        </w:tc>
        <w:tc>
          <w:tcPr>
            <w:tcW w:w="1108" w:type="dxa"/>
          </w:tcPr>
          <w:p w14:paraId="59C93900"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Individual interviews</w:t>
            </w:r>
          </w:p>
          <w:p w14:paraId="179CA09A"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177" w:type="dxa"/>
          </w:tcPr>
          <w:p w14:paraId="6EC9E120"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Inductive approach</w:t>
            </w:r>
          </w:p>
        </w:tc>
        <w:tc>
          <w:tcPr>
            <w:tcW w:w="3150" w:type="dxa"/>
            <w:gridSpan w:val="2"/>
          </w:tcPr>
          <w:p w14:paraId="51CE76C5"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want a hybrid physical activity program, tailored to their needs.</w:t>
            </w:r>
          </w:p>
          <w:p w14:paraId="78AF3DDA"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They want technology to be easy to use, personalized and encouraging for self-monitoring.</w:t>
            </w:r>
          </w:p>
          <w:p w14:paraId="75E4CFAD"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 application can be also a platform where cancer survivors could exchange and has to be also a source of information for relatives.</w:t>
            </w:r>
          </w:p>
          <w:p w14:paraId="660006DF"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29EF62AA"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71E234B0"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Paskins et al.</w:t>
            </w:r>
          </w:p>
          <w:p w14:paraId="0E0C299E"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(2022)</w:t>
            </w:r>
            <w:r w:rsidRPr="00402F7C">
              <w:rPr>
                <w:rFonts w:ascii="Calibri" w:eastAsiaTheme="majorEastAsia" w:hAnsi="Calibri" w:cs="Calibri"/>
                <w:i w:val="0"/>
                <w:iCs w:val="0"/>
                <w:color w:val="000000" w:themeColor="text1"/>
                <w:kern w:val="2"/>
                <w:sz w:val="16"/>
                <w:szCs w:val="16"/>
                <w:lang w:val="en-US"/>
              </w:rPr>
              <w:t xml:space="preserve">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{"citationID":"fKsL5Z5N","properties":{"formattedCitation":"[82]","plainCitation":"[82]","noteIndex":0},"citationItems":[{"id":2647,"uris":["http://zotero.org/users/4007286/items/BHQLZ5HL"],"itemData":{"id":2647,"type":"article-journal","abstract":"Background: Guidance for choosing face-to-face vs remote consultations (RCs) encourages clinicians to consider patient preferences, however, little is known about acceptability of, and preferences for RCs, particularly amongst patients with musculoskeletal conditions. This study aimed to explore the acceptability of, and preferences for, RC among patients with osteoporosis and rheumatoid arthritis. Methods: Three UK qualitative studies, exploring patient experiences of accessing and receiving healthcare, undertaken during the pandemic, with people with osteoporosis and rheumatoid arthritis. Study team members agreed a consistent approach to conduct rapid deductive analysis using the Theoretical Framework of Acceptability (TFA) on transcripts from each data set relating to RC, facilitated by group meetings to discuss interpretations. Findings from the three studies were pooled. Results: Findings from 1 focus group and 64 interviews with 35 people were included in the analysis. Participants’ attitudes to RC, views on fairness (ethicality) and sense-making (intervention coherence) varied according to their needs within the consultation and views of the pandemic. Some participants valued the reduced burden associated with RC, while others highly valued non-verbal communication and physical examination associated with face-to-face consults (opportunity costs). Some participants described low confidence (self-efficacy) in being able to communicate in RCs and others perceived RCs as ineffective, in part due to suboptimal communication. Conclusions: Acceptability of, and preferences for RC appear to be influenced by societal, healthcare provider and personal factors and in this study, were not condition-dependant. Remote care by default has the potential to exacerbate health inequalities and needs nuanced implementation. © 2022, The Author(s).","archive":"Scopus","container-title":"BMC Musculoskeletal Disorders","DOI":"10.1186/s12891-022-05273-1","issue":"1","title":"Acceptability of, and preferences for, remote consulting during COVID-19 among older patients with two common long-term musculoskeletal conditions: findings from three qualitative studies and recommendations for practice","URL":"https://www.scopus.com/inward/record.uri?eid=2-s2.0-85127534731&amp;doi=10.1186%2fs12891-022-05273-1&amp;partnerID=40&amp;md5=eed9e255adb25d890d48ba080f3156ca","volume":"23","author":[{"family":"Paskins","given":"Z."},{"family":"Bullock","given":"L."},{"family":"Manning","given":"F."},{"family":"Bishop","given":"S."},{"family":"Campbell","given":"P."},{"family":"Cottrell","given":"E."},{"family":"Partner","given":"G.P."},{"family":"Jinks","given":"C."},{"family":"Narayanasamy","given":"M."},{"family":"Scott","given":"I.C."},{"family":"Sahota","given":"O."},{"family":"Ryan","given":"S."}],"issued":{"date-parts":[["2022"]]}}}],"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[82]</w:t>
            </w:r>
            <w:r w:rsidRPr="00402F7C">
              <w:rPr>
                <w:rFonts w:ascii="Calibri" w:eastAsiaTheme="majorEastAsia" w:hAnsi="Calibri" w:cs="Calibri"/>
                <w:color w:val="000000" w:themeColor="text1"/>
                <w:kern w:val="2"/>
                <w:sz w:val="16"/>
                <w:szCs w:val="16"/>
                <w:lang w:val="en-US"/>
              </w:rPr>
              <w:fldChar w:fldCharType="end"/>
            </w:r>
          </w:p>
          <w:p w14:paraId="03A5589C"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UK</w:t>
            </w:r>
          </w:p>
        </w:tc>
        <w:tc>
          <w:tcPr>
            <w:tcW w:w="1752" w:type="dxa"/>
          </w:tcPr>
          <w:p w14:paraId="794513B6"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explore preferences for remote consultations among patients with osteoporosis and rheumatoid arthritis</w:t>
            </w:r>
          </w:p>
        </w:tc>
        <w:tc>
          <w:tcPr>
            <w:tcW w:w="1156" w:type="dxa"/>
          </w:tcPr>
          <w:p w14:paraId="6A12326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N=35</w:t>
            </w:r>
          </w:p>
          <w:p w14:paraId="5724EBBE"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66</w:t>
            </w:r>
          </w:p>
        </w:tc>
        <w:tc>
          <w:tcPr>
            <w:tcW w:w="1108" w:type="dxa"/>
          </w:tcPr>
          <w:p w14:paraId="3E74ACB1"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Focus groups and Individual interview</w:t>
            </w:r>
          </w:p>
        </w:tc>
        <w:tc>
          <w:tcPr>
            <w:tcW w:w="1177" w:type="dxa"/>
          </w:tcPr>
          <w:p w14:paraId="1D11E5E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Deductive approach</w:t>
            </w:r>
          </w:p>
        </w:tc>
        <w:tc>
          <w:tcPr>
            <w:tcW w:w="3150" w:type="dxa"/>
            <w:gridSpan w:val="2"/>
          </w:tcPr>
          <w:p w14:paraId="52ACD1F0"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 preferences for remote consultations (RCs) vary based on characteristics, expectations, and needs. Those valuing conveniences, such as reduced travel and wait times, prefer RCs. Yet, individuals seeing RCs as unfair or requiring physical exams favor face-to-face consultations.</w:t>
            </w:r>
          </w:p>
          <w:p w14:paraId="4AFEBEED"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61764FB0"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5FA8E20E"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color w:val="000000" w:themeColor="text1"/>
                <w:kern w:val="2"/>
                <w:sz w:val="16"/>
                <w:szCs w:val="16"/>
                <w:lang w:val="en-US"/>
              </w:rPr>
            </w:pPr>
            <w:r w:rsidRPr="00402F7C">
              <w:rPr>
                <w:rFonts w:ascii="Calibri" w:eastAsiaTheme="majorEastAsia" w:hAnsi="Calibri" w:cs="Calibri"/>
                <w:b/>
                <w:bCs/>
                <w:i w:val="0"/>
                <w:iCs w:val="0"/>
                <w:color w:val="000000" w:themeColor="text1"/>
                <w:sz w:val="16"/>
                <w:szCs w:val="16"/>
                <w:lang w:val="en-US"/>
              </w:rPr>
              <w:t xml:space="preserve">Peng et al. (2025) </w:t>
            </w:r>
            <w:r w:rsidRPr="00402F7C">
              <w:rPr>
                <w:rFonts w:ascii="Calibri" w:eastAsiaTheme="majorEastAsia" w:hAnsi="Calibri" w:cs="Calibri"/>
                <w:b/>
                <w:bCs/>
                <w:color w:val="000000" w:themeColor="text1"/>
                <w:sz w:val="16"/>
                <w:szCs w:val="16"/>
                <w:lang w:val="en-US"/>
              </w:rPr>
              <w:fldChar w:fldCharType="begin"/>
            </w:r>
            <w:r w:rsidRPr="00402F7C">
              <w:rPr>
                <w:rFonts w:ascii="Calibri" w:eastAsiaTheme="majorEastAsia" w:hAnsi="Calibri" w:cs="Calibri"/>
                <w:i w:val="0"/>
                <w:iCs w:val="0"/>
                <w:color w:val="000000" w:themeColor="text1"/>
                <w:sz w:val="16"/>
                <w:szCs w:val="16"/>
                <w:lang w:val="en-US"/>
              </w:rPr>
              <w:instrText xml:space="preserve"> ADDIN ZOTERO_ITEM CSL_CITATION {"citationID":"dpfvggyv","properties":{"unsorted":false,"formattedCitation":"[99]","plainCitation":"[99]","noteIndex":0},"citationItems":[{"id":439,"uris":["http://zotero.org/users/4007286/items/DFPJFQVM"],"itemData":{"id":439,"type":"article-journal","abstract":"Aim: To explore frail older adults' preferences and needs regarding mobile health (mHealth) exercise interventions in China. Additionally, it sought to identify the nudge strategies necessary for initiating and sustaining exercise behaviours among frail older adults. Design: A qualitative study. Method: The semi‐structured interviews were conducted between April and May 2024 from two communities in Changsha, China. The data were analysed using a deductive framework analysis aligned to nudge theory, and an inductive thematic analysis to gather relevant needs and preferences. Results: This study involved 14 participants with pre‐frailty or frailty, aged 60–82 years (median age of 64 years). While participants were generally receptive to new technologies, lower levels of health literacy and competing priorities often hindered their participation. Three primary functionality requirements were as follows. (1) Profession engagement: tailored exercise prescription, professional and timely fe","container-title":"Journal of Clinical Nursing (John Wiley &amp;amp; Sons, Inc.)","ISSN":"0962-1067","issue":"5","page":"1830-1839","title":"Frail Older Adults' Needs and Preferences for Mobile Health Exercise Interventions Guided by Nudge Theory: AQualitative Analysis.","volume":"34","author":[{"family":"Peng","given":"Ruotong"},{"family":"Cao","given":"Zeng"},{"family":"Hu","given":"Shaolong"},{"family":"Liu","given":"Xinzhou"},{"family":"Guo","given":"Yongzhen"},{"family":"Li","given":"Xiaoyang"},{"family":"Zhang","given":"Chi"},{"family":"Feng","given":"Hui"}],"issued":{"date-parts":[["2025"]]}}}],"schema":"https://github.com/citation-style-language/schema/raw/master/csl-citation.json"} </w:instrText>
            </w:r>
            <w:r w:rsidRPr="00402F7C">
              <w:rPr>
                <w:rFonts w:ascii="Calibri" w:eastAsiaTheme="majorEastAsia" w:hAnsi="Calibri" w:cs="Calibri"/>
                <w:b/>
                <w:bCs/>
                <w:color w:val="000000" w:themeColor="text1"/>
                <w:sz w:val="16"/>
                <w:szCs w:val="16"/>
                <w:lang w:val="en-US"/>
              </w:rPr>
              <w:fldChar w:fldCharType="separate"/>
            </w:r>
            <w:r w:rsidRPr="00402F7C">
              <w:rPr>
                <w:rFonts w:ascii="Calibri" w:eastAsiaTheme="majorEastAsia" w:hAnsi="Calibri" w:cs="Calibri"/>
                <w:i w:val="0"/>
                <w:iCs w:val="0"/>
                <w:noProof/>
                <w:color w:val="000000" w:themeColor="text1"/>
                <w:sz w:val="16"/>
                <w:szCs w:val="16"/>
                <w:lang w:val="en-US"/>
              </w:rPr>
              <w:t>[99]</w:t>
            </w:r>
            <w:r w:rsidRPr="00402F7C">
              <w:rPr>
                <w:rFonts w:ascii="Calibri" w:eastAsiaTheme="majorEastAsia" w:hAnsi="Calibri" w:cs="Calibri"/>
                <w:b/>
                <w:bCs/>
                <w:color w:val="000000" w:themeColor="text1"/>
                <w:sz w:val="16"/>
                <w:szCs w:val="16"/>
                <w:lang w:val="en-US"/>
              </w:rPr>
              <w:fldChar w:fldCharType="end"/>
            </w:r>
            <w:r w:rsidRPr="00402F7C">
              <w:rPr>
                <w:rFonts w:ascii="Calibri" w:eastAsiaTheme="majorEastAsia" w:hAnsi="Calibri" w:cs="Calibri"/>
                <w:color w:val="000000" w:themeColor="text1"/>
                <w:sz w:val="16"/>
                <w:szCs w:val="16"/>
                <w:lang w:val="en-US"/>
              </w:rPr>
              <w:br/>
              <w:t>China</w:t>
            </w:r>
          </w:p>
        </w:tc>
        <w:tc>
          <w:tcPr>
            <w:tcW w:w="1752" w:type="dxa"/>
          </w:tcPr>
          <w:p w14:paraId="6CF52C2B"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To explore frail older adults' preferences and needs regarding mobile health (mHealth) exercise interventions</w:t>
            </w:r>
          </w:p>
        </w:tc>
        <w:tc>
          <w:tcPr>
            <w:tcW w:w="1156" w:type="dxa"/>
          </w:tcPr>
          <w:p w14:paraId="14AC5BD8"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N=14</w:t>
            </w:r>
            <w:r w:rsidRPr="00402F7C">
              <w:rPr>
                <w:rFonts w:ascii="Calibri" w:eastAsiaTheme="majorEastAsia" w:hAnsi="Calibri" w:cs="Calibri"/>
                <w:color w:val="000000" w:themeColor="text1"/>
                <w:sz w:val="16"/>
                <w:szCs w:val="16"/>
                <w:lang w:val="en-US"/>
              </w:rPr>
              <w:br/>
              <w:t xml:space="preserve"> Age range [60,82]</w:t>
            </w:r>
          </w:p>
        </w:tc>
        <w:tc>
          <w:tcPr>
            <w:tcW w:w="1108" w:type="dxa"/>
          </w:tcPr>
          <w:p w14:paraId="334C2870"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Individual interviews</w:t>
            </w:r>
          </w:p>
        </w:tc>
        <w:tc>
          <w:tcPr>
            <w:tcW w:w="1177" w:type="dxa"/>
          </w:tcPr>
          <w:p w14:paraId="0BB828A8"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Combination of deductive and inductive approach</w:t>
            </w:r>
          </w:p>
        </w:tc>
        <w:tc>
          <w:tcPr>
            <w:tcW w:w="3150" w:type="dxa"/>
            <w:gridSpan w:val="2"/>
          </w:tcPr>
          <w:p w14:paraId="32FC71F3"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Participants were generally open to new technologies but engagement was limited by low health literacy and competing priorities.</w:t>
            </w:r>
          </w:p>
          <w:p w14:paraId="19AC449B"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 xml:space="preserve">Three key requirements emerged: professional support, personalized information, and tailored dynamic exercise </w:t>
            </w:r>
            <w:proofErr w:type="spellStart"/>
            <w:r w:rsidRPr="00402F7C">
              <w:rPr>
                <w:rFonts w:ascii="Calibri" w:eastAsiaTheme="majorEastAsia" w:hAnsi="Calibri" w:cs="Calibri"/>
                <w:color w:val="000000" w:themeColor="text1"/>
                <w:sz w:val="16"/>
                <w:szCs w:val="16"/>
                <w:lang w:val="en-US"/>
              </w:rPr>
              <w:t>programmes</w:t>
            </w:r>
            <w:proofErr w:type="spellEnd"/>
            <w:r w:rsidRPr="00402F7C">
              <w:rPr>
                <w:rFonts w:ascii="Calibri" w:eastAsiaTheme="majorEastAsia" w:hAnsi="Calibri" w:cs="Calibri"/>
                <w:color w:val="000000" w:themeColor="text1"/>
                <w:sz w:val="16"/>
                <w:szCs w:val="16"/>
                <w:lang w:val="en-US"/>
              </w:rPr>
              <w:t>.</w:t>
            </w:r>
          </w:p>
          <w:p w14:paraId="00D0B32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Participants responded positively to nudge-based strategies such as simplification, gamification, and social incentives.</w:t>
            </w:r>
          </w:p>
        </w:tc>
      </w:tr>
      <w:tr w:rsidR="00402F7C" w:rsidRPr="00402F7C" w14:paraId="3547DC49"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12DBEF54"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Powell et al.</w:t>
            </w:r>
          </w:p>
          <w:p w14:paraId="1A792709"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(2017)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{"citationID":"1Cvbccmx","properties":{"formattedCitation":"[48]","plainCitation":"[48]","noteIndex":0},"citationItems":[{"id":2194,"uris":["http://zotero.org/users/4007286/items/ZT8B5IIA"],"itemData":{"id":2194,"type":"article-journal","abstract":"PURPOSE: Telehealth is a care delivery model that promises to increase the flexibility and reach of health services. Our objective is to describe patient experiences with video visits performed with their established primary care clinicians.\nMETHODS: We constructed semistructured, in-depth qualitative interviews with adult patients following video visits with their primary care clinicians at a single academic medical center. Data were analyzed with a content analysis approach.\nRESULTS: Of 32 eligible patients, 19 were successfully interviewed. All patients reported overall satisfaction with video visits, with the majority interested in continuing to use video visits as an alternative to in-person visits. The primary benefits cited were convenience and decreased costs. Some patients felt more comfortable with video visits than office visits and expressed a preference for receiving future serious news via video visit, because they could be in their own supportive environment. Primary concerns with video visits were privacy, including the potential for work colleagues to overhear conversations, and questions about the ability of the clinician to perform an adequate physical examination.\nCONCLUSIONS: Primary care video visits are acceptable in a variety of situations. Patients identified convenience, efficiency, communication, privacy, and comfort as domains that are potentially important to consider when assessing video visits vs in-person encounters. Future studies should explore which patients and conditions are best suited for video visits.","container-title":"Annals of Family Medicine","DOI":"10.1370/afm.2095","ISSN":"1544-1717","issue":"3","journalAbbreviation":"Ann Fam Med","language":"eng","page":"225-229","source":"PubMed","title":"Patient Perceptions of Telehealth Primary Care Video Visits","volume":"15","author":[{"family":"Powell","given":"Rhea E."},{"family":"Henstenburg","given":"Jeffrey M."},{"family":"Cooper","given":"Grace"},{"family":"Hollander","given":"Judd E."},{"family":"Rising","given":"Kristin L."}],"issued":{"date-parts":[["2017",5]]}}}],"schema":"https://github.com/citation-style-language/schema/raw/master/csl-citation.json"}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[48]</w:t>
            </w:r>
            <w:r w:rsidRPr="00402F7C">
              <w:rPr>
                <w:rFonts w:ascii="Calibri" w:eastAsiaTheme="majorEastAsia" w:hAnsi="Calibri" w:cs="Calibri"/>
                <w:color w:val="000000" w:themeColor="text1"/>
                <w:kern w:val="2"/>
                <w:sz w:val="16"/>
                <w:szCs w:val="16"/>
                <w:lang w:val="en-US"/>
              </w:rPr>
              <w:fldChar w:fldCharType="end"/>
            </w:r>
          </w:p>
          <w:p w14:paraId="34DB3C9E"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59B143A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determine preferences for future use of video visits</w:t>
            </w:r>
          </w:p>
        </w:tc>
        <w:tc>
          <w:tcPr>
            <w:tcW w:w="1156" w:type="dxa"/>
          </w:tcPr>
          <w:p w14:paraId="007D37BC"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N=19</w:t>
            </w:r>
          </w:p>
          <w:p w14:paraId="5ECFE78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43</w:t>
            </w:r>
          </w:p>
          <w:p w14:paraId="68F1599D"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Age range</w:t>
            </w:r>
          </w:p>
          <w:p w14:paraId="0E07DD3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 [23-94]</w:t>
            </w:r>
          </w:p>
        </w:tc>
        <w:tc>
          <w:tcPr>
            <w:tcW w:w="1108" w:type="dxa"/>
          </w:tcPr>
          <w:p w14:paraId="5EBE4026"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Individual interviews </w:t>
            </w:r>
          </w:p>
        </w:tc>
        <w:tc>
          <w:tcPr>
            <w:tcW w:w="1177" w:type="dxa"/>
          </w:tcPr>
          <w:p w14:paraId="43AFE259"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Deductive approach</w:t>
            </w:r>
          </w:p>
        </w:tc>
        <w:tc>
          <w:tcPr>
            <w:tcW w:w="3150" w:type="dxa"/>
            <w:gridSpan w:val="2"/>
          </w:tcPr>
          <w:p w14:paraId="4D8B436D"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Some patients preferred teleconsultations before going to the doctor’s office, but others mentioned necessary physical examination and lack of privacy of teleconsultations.</w:t>
            </w:r>
          </w:p>
          <w:p w14:paraId="72A6974B"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There is no consensus on whether participants preferred to hear bad news in person or online.</w:t>
            </w:r>
          </w:p>
          <w:p w14:paraId="7C070B4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5E9C01C5"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20DAB95C"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lastRenderedPageBreak/>
              <w:t>Reid et al.</w:t>
            </w:r>
          </w:p>
          <w:p w14:paraId="0205B3ED"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(2021)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{"citationID":"XKUzWyUp","properties":{"formattedCitation":"[89]","plainCitation":"[89]","noteIndex":0},"citationItems":[{"id":993,"uris":["http://zotero.org/users/4007286/items/PHHRVNIK"],"itemData":{"id":993,"type":"article-journal","abstract":"Introduction: Total hip and total knee replacement (THR and TKR) are suggested for reducing joint pain resulting from hip and knee osteoarthritis (OA), especially when other interventions have not resulted in desired outcomes. Providing prehabilitation education can improve patients' psychological and physical well-being before and after surgery. The use of electronic health (eHealth) tools can be considered an effective method to increase patients' access to prehabilitation, particularly for those facing barriers to attending diagnosis-specific in-person education sessions. However, limited attention is paid to both caregiver and patient perspectives regarding the delivery formats, features, and characteristics of eHealth tools. Method: Patients with hip (n = 46) and knee OA (n = 14) and their family caregivers (n = 16) participated in in-person focus groups or phone interviews. Participants were shown a mock-up of an eHealth module, and asked to share their preferences regarding the formats, features, and characteristics of the eHealth prehabilitation tool. Data was transcribed verbatim and coded using primary thematic and secondary content analyses. Result: Analyses revealed 3 main themes: 1. \"easier to understand\" emphasizes patients' preferences on delivery formats and features; 2. \"what does that mean?\" highlights requests for clear and simple information; and 3. \"Preparation, right?\" shows patients' perspectives on the best time to have access to the eHealth tool. Discussion: Participants' preferences for prehabilitation tools included offering eHealth tools in multiple mediums of delivery (eg, written materials, pictures, videos). Participants preferred simplified information that emphasized the key points and rationale for the knowledge. There were differences in preferred timeline for having access to prehabilitation education, such as some participants wanting to receive prehabilitation well in advance, while others stated just before surgery was adequate. Our findings provide novel and actionable information about patient and caregiver perspectives on features and characteristics of prehabilitation education for patients with hip and knee OA.","archive":"ccm","container-title":"Rehabilitation Process &amp; Outcome","DOI":"10.1177/11795727211010501","ISSN":"1179-5727","journalAbbreviation":"Rehabilitation Process &amp; Outcome","page":"1-13","source":"EBSCOhost","title":"Patient and Caregiver Perspectives on an eHealth Tool: A Qualitative Investigation of Preferred Formats, Features and Characteristics of a Presurgical eHealth Education Module.","author":[{"family":"Reid","given":"Holly"},{"family":"Mohammadi","given":"Somayyeh"},{"family":"Watson","given":"Wendy"},{"family":"Robillard","given":"Julie M"},{"family":"Crocker","given":"Morag"},{"family":"Westby","given":"Marie D"},{"family":"Miller","given":"William C"}],"issued":{"date-parts":[["2021",4,21]]}}}],"schema":"https://github.com/citation-style-language/schema/raw/master/csl-citation.json"}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[89]</w:t>
            </w:r>
            <w:r w:rsidRPr="00402F7C">
              <w:rPr>
                <w:rFonts w:ascii="Calibri" w:eastAsiaTheme="majorEastAsia" w:hAnsi="Calibri" w:cs="Calibri"/>
                <w:color w:val="000000" w:themeColor="text1"/>
                <w:kern w:val="2"/>
                <w:sz w:val="16"/>
                <w:szCs w:val="16"/>
                <w:lang w:val="en-US"/>
              </w:rPr>
              <w:fldChar w:fldCharType="end"/>
            </w:r>
          </w:p>
          <w:p w14:paraId="2FD432BC"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Canada</w:t>
            </w:r>
          </w:p>
        </w:tc>
        <w:tc>
          <w:tcPr>
            <w:tcW w:w="1752" w:type="dxa"/>
          </w:tcPr>
          <w:p w14:paraId="7AAB3382"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investigate patients' preferences concerning the delivery formats, features, and characteristics of an eHealth education tool for individuals with hip and knee osteoarthritis</w:t>
            </w:r>
          </w:p>
        </w:tc>
        <w:tc>
          <w:tcPr>
            <w:tcW w:w="1156" w:type="dxa"/>
          </w:tcPr>
          <w:p w14:paraId="14E3F193"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N=60</w:t>
            </w:r>
          </w:p>
          <w:p w14:paraId="07B744B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67</w:t>
            </w:r>
          </w:p>
          <w:p w14:paraId="1CD499D8"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Age range</w:t>
            </w:r>
          </w:p>
          <w:p w14:paraId="231EBA21"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 [49-85]</w:t>
            </w:r>
          </w:p>
          <w:p w14:paraId="6CD7427A"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108" w:type="dxa"/>
          </w:tcPr>
          <w:p w14:paraId="191E2EE5"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Focus groups and Individual interviews</w:t>
            </w:r>
          </w:p>
        </w:tc>
        <w:tc>
          <w:tcPr>
            <w:tcW w:w="1177" w:type="dxa"/>
          </w:tcPr>
          <w:p w14:paraId="35F9C250"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Thematic content analysis</w:t>
            </w:r>
          </w:p>
        </w:tc>
        <w:tc>
          <w:tcPr>
            <w:tcW w:w="3150" w:type="dxa"/>
            <w:gridSpan w:val="2"/>
          </w:tcPr>
          <w:p w14:paraId="49A0369A"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preferred a combination of written materials, images and videos online.</w:t>
            </w:r>
          </w:p>
          <w:p w14:paraId="225B8CF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They prefer image and videos recorded in real environments.</w:t>
            </w:r>
          </w:p>
          <w:p w14:paraId="2D3C6DA0"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Assessments such as tests and quizzes are not always wanted by patients, even in an educational e-tool.</w:t>
            </w:r>
          </w:p>
          <w:p w14:paraId="024650F2"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02042F6C"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21FCC2B4"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Reilly et al.</w:t>
            </w:r>
          </w:p>
          <w:p w14:paraId="78C63F97"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(2022)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{"citationID":"IeP6ejG2","properties":{"formattedCitation":"[83]","plainCitation":"[83]","noteIndex":0},"citationItems":[{"id":2628,"uris":["http://zotero.org/users/4007286/items/AL3VRGGE"],"itemData":{"id":2628,"type":"article-journal","abstract":"Introduction The burden of chronic breathlessness on individuals, family, society and health systems is significant and set to increase exponentially with an ageing population with complex multimorbidity, yet there is a lack of services. This has been further amplified by the coronavirus disease 2019 pandemic. Online breathlessness interventions have been proposed to fill this gap, but need development and evaluation based on patient preferences and choices. This study aimed to explore the preferences and choices of patients regarding the content of an online self-guided chronic breathlessness supportive intervention (SELF-BREATHE). Methods Semi-structured telephone interviews were conducted with adults living with advanced malignant and nonmalignant disease and chronic breathlessness (July to November 2020). Interviews were analysed using conventional and summative content analysis. Results 25 patients with advanced disease and chronic breathlessness (COPD n=13, lung cancer n=8, interstitial lung disease n=3, bronchiectasis n=1; 17 male; median (range) age 70 (47–86) years; median (range) Medical Research Council dyspnoea score 3 (2−5)) were interviewed. Individuals highlighted strong preferences for focused education, methods to increase self-motivation and engagement, interventions targeting breathing and physical function, software capability to personalise the content of SELF-BREATHE to make it more meaningful to the user, and aesthetically designed content using various communication methods including written, video and audio content. Furthermore, they identified the need to address motivation as a key potential determinant of the success of SELF-BREATHE. Conclusion Our findings provide an essential foundation for future digital intervention development (SELF-BREATHE) and scaled research. © The authors 2022.","archive":"Scopus","container-title":"ERJ Open Research","DOI":"10.1183/23120541.00093-2022","issue":"3","title":"“The whole of humanity has lungs, doesn’t it? We are not all the same sort of people”: patient preferences and choices for an online, self-guided chronic breathlessness supportive intervention: SELF-BREATHE","URL":"https://www.scopus.com/inward/record.uri?eid=2-s2.0-85134238790&amp;doi=10.1183%2f23120541.00093-2022&amp;partnerID=40&amp;md5=17de390f53dc9a2127d9c0e78a562e6b","volume":"8","author":[{"family":"Reilly","given":"C.C."},{"family":"Bristowe","given":"K."},{"family":"Roach","given":"A."},{"family":"Chalder","given":"T."},{"family":"Maddocks","given":"M."},{"family":"Higginson","given":"I.J."}],"issued":{"date-parts":[["2022"]]}}}],"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[83]</w:t>
            </w:r>
            <w:r w:rsidRPr="00402F7C">
              <w:rPr>
                <w:rFonts w:ascii="Calibri" w:eastAsiaTheme="majorEastAsia" w:hAnsi="Calibri" w:cs="Calibri"/>
                <w:color w:val="000000" w:themeColor="text1"/>
                <w:kern w:val="2"/>
                <w:sz w:val="16"/>
                <w:szCs w:val="16"/>
                <w:lang w:val="en-US"/>
              </w:rPr>
              <w:fldChar w:fldCharType="end"/>
            </w:r>
          </w:p>
          <w:p w14:paraId="688279A4"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UK</w:t>
            </w:r>
          </w:p>
        </w:tc>
        <w:tc>
          <w:tcPr>
            <w:tcW w:w="1752" w:type="dxa"/>
          </w:tcPr>
          <w:p w14:paraId="70817718"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explore the preferences and choices of patients regarding the content of an online self-guided chronic breathlessness supportive intervention</w:t>
            </w:r>
          </w:p>
          <w:p w14:paraId="31C2D0D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156" w:type="dxa"/>
          </w:tcPr>
          <w:p w14:paraId="19D2FBB6"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N=25</w:t>
            </w:r>
          </w:p>
          <w:p w14:paraId="4E0F37A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70 Age range</w:t>
            </w:r>
          </w:p>
          <w:p w14:paraId="38D6E6E6"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 [47-86]</w:t>
            </w:r>
          </w:p>
        </w:tc>
        <w:tc>
          <w:tcPr>
            <w:tcW w:w="1108" w:type="dxa"/>
          </w:tcPr>
          <w:p w14:paraId="2764C83E"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Individual interviews </w:t>
            </w:r>
          </w:p>
        </w:tc>
        <w:tc>
          <w:tcPr>
            <w:tcW w:w="1177" w:type="dxa"/>
          </w:tcPr>
          <w:p w14:paraId="6062BF53"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Thematic content analysis</w:t>
            </w:r>
          </w:p>
        </w:tc>
        <w:tc>
          <w:tcPr>
            <w:tcW w:w="3150" w:type="dxa"/>
            <w:gridSpan w:val="2"/>
          </w:tcPr>
          <w:p w14:paraId="4752B3F6"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want educational, physical exercises and motivating content to manage their breathlessness</w:t>
            </w:r>
          </w:p>
          <w:p w14:paraId="4ACEB1EB"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Design of the intervention, content, and modes of delivery (videos, written text and audio files) are important to the patients.</w:t>
            </w:r>
          </w:p>
          <w:p w14:paraId="768C5E2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64AFAD18"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759BF974"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i w:val="0"/>
                <w:iCs w:val="0"/>
                <w:color w:val="000000" w:themeColor="text1"/>
                <w:sz w:val="16"/>
                <w:szCs w:val="16"/>
                <w:lang w:val="en-US"/>
              </w:rPr>
            </w:pPr>
            <w:r w:rsidRPr="00402F7C">
              <w:rPr>
                <w:rFonts w:ascii="Calibri" w:eastAsiaTheme="majorEastAsia" w:hAnsi="Calibri" w:cs="Calibri"/>
                <w:b/>
                <w:bCs/>
                <w:i w:val="0"/>
                <w:iCs w:val="0"/>
                <w:color w:val="000000" w:themeColor="text1"/>
                <w:sz w:val="16"/>
                <w:szCs w:val="16"/>
                <w:lang w:val="en-US"/>
              </w:rPr>
              <w:t>Rishaug et al. (2025)</w:t>
            </w:r>
            <w:r w:rsidRPr="00402F7C">
              <w:rPr>
                <w:rFonts w:ascii="Calibri" w:eastAsiaTheme="majorEastAsia" w:hAnsi="Calibri" w:cs="Calibri"/>
                <w:i w:val="0"/>
                <w:iCs w:val="0"/>
                <w:color w:val="000000" w:themeColor="text1"/>
                <w:sz w:val="16"/>
                <w:szCs w:val="16"/>
                <w:lang w:val="en-US"/>
              </w:rPr>
              <w:t xml:space="preserve"> </w:t>
            </w:r>
            <w:r w:rsidRPr="00402F7C">
              <w:rPr>
                <w:rFonts w:ascii="Calibri" w:eastAsiaTheme="majorEastAsia" w:hAnsi="Calibri" w:cs="Calibri"/>
                <w:b/>
                <w:bCs/>
                <w:color w:val="000000" w:themeColor="text1"/>
                <w:sz w:val="16"/>
                <w:szCs w:val="16"/>
                <w:lang w:val="en-US"/>
              </w:rPr>
              <w:fldChar w:fldCharType="begin"/>
            </w:r>
            <w:r w:rsidRPr="00402F7C">
              <w:rPr>
                <w:rFonts w:ascii="Calibri" w:eastAsiaTheme="majorEastAsia" w:hAnsi="Calibri" w:cs="Calibri"/>
                <w:i w:val="0"/>
                <w:iCs w:val="0"/>
                <w:color w:val="000000" w:themeColor="text1"/>
                <w:sz w:val="16"/>
                <w:szCs w:val="16"/>
                <w:lang w:val="en-US"/>
              </w:rPr>
              <w:instrText xml:space="preserve"> ADDIN ZOTERO_ITEM CSL_CITATION {"citationID":"aw0Kgyxk","properties":{"unsorted":false,"formattedCitation":"[116]","plainCitation":"[116]","noteIndex":0},"citationItems":[{"id":476,"uris":["http://zotero.org/users/4007286/items/8W7NYUDK"],"itemData":{"id":476,"type":"article-journal","abstract":"INTRODUCTION: Type 2 diabetes (T2D) prevalence is rising, which imposes a significant burden on individuals, healthcare systems, and economies worldwide. Lifestyle factors contribute significantly to the escalating incidence of T2D. Consequently, there is an increasing need for interventions that not only target at-risk populations for prevention but also empower individuals with T2D to achieve better self-management and possibly attain remission through sustained lifestyle modifications. Technological tools may improve health outcomes compared to traditional in-person care, and can include registration of important health parameters, provide follow-up and support, and enhance self-management. The aim of this study was to receive feedback from end-users to inform the development of a comprehensive e-health program focusing on lifestyle modification in pre-diabetes and T2D.\nMETHODS: During eight focus group meetings, sixteen adults with pre-diabetes or T2D from all over Norway informed the study about needs and preferences for an e-health program, including essential functionalities and design choices. A questionnaire and paper prototyping were used to complement the discussions in the focus group meetings.\nRESULTS: Lack of necessary diabetes knowledge was common, and education was considered essential for improved self-management. Essential functionalities included registration and overview of several health parameters, long-term follow-up and coaching through communication platforms within the program, automatic data transfer from different devices such as blood glucose monitors and smartwatches, and educational courses. To ensure end-users' satisfaction with the program and increase motivation for long-term usage, the participants rendered tailoring of desired functionalities and content as crucial.\nCONCLUSION: Based on the findings, a list of recommendations was created, containing the most crucial functionalities and features to include when developing e-health and/or m-health tools for people with pre-diabetes and T2D. Future work should include health care personnel to explore their needs and preferences, and ways such an e-health program may enhance patient interaction without increasing workload and resource use.","container-title":"PloS One","DOI":"10.1371/journal.pone.0318876","ISSN":"1932-6203","issue":"3","journalAbbreviation":"PLoS One","language":"eng","page":"e0318876","PMID":"40029895","PMCID":"PMC11875348","source":"PubMed","title":"What are end-users' needs and preferences for a comprehensive e-health program for type 2 diabetes? - A qualitative user preference study","title-short":"What are end-users' needs and preferences for a comprehensive e-health program for type 2 diabetes?","volume":"20","author":[{"family":"Rishaug","given":"Tina"},{"family":"Aas","given":"Anne-Marie"},{"family":"Henriksen","given":"André"},{"family":"Hartvigsen","given":"Gunnar"},{"family":"Birkeland","given":"Kåre Inge"},{"family":"Årsand","given":"Eirik"}],"issued":{"date-parts":[["2025"]]}}}],"schema":"https://github.com/citation-style-language/schema/raw/master/csl-citation.json"} </w:instrText>
            </w:r>
            <w:r w:rsidRPr="00402F7C">
              <w:rPr>
                <w:rFonts w:ascii="Calibri" w:eastAsiaTheme="majorEastAsia" w:hAnsi="Calibri" w:cs="Calibri"/>
                <w:b/>
                <w:bCs/>
                <w:color w:val="000000" w:themeColor="text1"/>
                <w:sz w:val="16"/>
                <w:szCs w:val="16"/>
                <w:lang w:val="en-US"/>
              </w:rPr>
              <w:fldChar w:fldCharType="separate"/>
            </w:r>
            <w:r w:rsidRPr="00402F7C">
              <w:rPr>
                <w:rFonts w:ascii="Calibri" w:eastAsiaTheme="majorEastAsia" w:hAnsi="Calibri" w:cs="Calibri"/>
                <w:i w:val="0"/>
                <w:iCs w:val="0"/>
                <w:noProof/>
                <w:color w:val="000000" w:themeColor="text1"/>
                <w:sz w:val="16"/>
                <w:szCs w:val="16"/>
                <w:lang w:val="en-US"/>
              </w:rPr>
              <w:t>[116]</w:t>
            </w:r>
            <w:r w:rsidRPr="00402F7C">
              <w:rPr>
                <w:rFonts w:ascii="Calibri" w:eastAsiaTheme="majorEastAsia" w:hAnsi="Calibri" w:cs="Calibri"/>
                <w:b/>
                <w:bCs/>
                <w:color w:val="000000" w:themeColor="text1"/>
                <w:sz w:val="16"/>
                <w:szCs w:val="16"/>
                <w:lang w:val="en-US"/>
              </w:rPr>
              <w:fldChar w:fldCharType="end"/>
            </w:r>
          </w:p>
          <w:p w14:paraId="7BBDD252"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color w:val="000000" w:themeColor="text1"/>
                <w:kern w:val="2"/>
                <w:sz w:val="16"/>
                <w:szCs w:val="16"/>
                <w:lang w:val="en-US"/>
              </w:rPr>
            </w:pPr>
            <w:r w:rsidRPr="00402F7C">
              <w:rPr>
                <w:rFonts w:ascii="Calibri" w:eastAsiaTheme="majorEastAsia" w:hAnsi="Calibri" w:cs="Calibri"/>
                <w:color w:val="000000" w:themeColor="text1"/>
                <w:sz w:val="16"/>
                <w:szCs w:val="16"/>
                <w:lang w:val="en-US"/>
              </w:rPr>
              <w:t>Norway</w:t>
            </w:r>
          </w:p>
        </w:tc>
        <w:tc>
          <w:tcPr>
            <w:tcW w:w="1752" w:type="dxa"/>
          </w:tcPr>
          <w:p w14:paraId="3C3A9C3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To assess preferences for an eHealth lifestyle modification program among individuals with prediabetes and type 2 diabetes</w:t>
            </w:r>
          </w:p>
        </w:tc>
        <w:tc>
          <w:tcPr>
            <w:tcW w:w="1156" w:type="dxa"/>
          </w:tcPr>
          <w:p w14:paraId="2F887AC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N=16</w:t>
            </w:r>
          </w:p>
          <w:p w14:paraId="21DBA526"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Age range [30,79]</w:t>
            </w:r>
          </w:p>
        </w:tc>
        <w:tc>
          <w:tcPr>
            <w:tcW w:w="1108" w:type="dxa"/>
          </w:tcPr>
          <w:p w14:paraId="025B6FC3"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Focus groups</w:t>
            </w:r>
          </w:p>
        </w:tc>
        <w:tc>
          <w:tcPr>
            <w:tcW w:w="1177" w:type="dxa"/>
          </w:tcPr>
          <w:p w14:paraId="08DB2DD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kern w:val="2"/>
                <w:sz w:val="16"/>
                <w:szCs w:val="16"/>
                <w:lang w:val="en-US"/>
              </w:rPr>
              <w:t>Thematic content analysis</w:t>
            </w:r>
          </w:p>
        </w:tc>
        <w:tc>
          <w:tcPr>
            <w:tcW w:w="3150" w:type="dxa"/>
            <w:gridSpan w:val="2"/>
          </w:tcPr>
          <w:p w14:paraId="5B7B163B"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Limited diabetes knowledge was common, highlighting the need for education to support self-management.</w:t>
            </w:r>
          </w:p>
          <w:p w14:paraId="1C10C6F1"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Key desired features included health parameter tracking, long-term follow-up, coaching/communication, and automatic data integration from devices.</w:t>
            </w:r>
          </w:p>
          <w:p w14:paraId="4AACDD39"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Personalization of content and functionalities was considered essential to improve user satisfaction and sustained engagement.</w:t>
            </w:r>
          </w:p>
        </w:tc>
      </w:tr>
      <w:tr w:rsidR="00402F7C" w:rsidRPr="00402F7C" w14:paraId="1E594739"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4290664F"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i w:val="0"/>
                <w:iCs w:val="0"/>
                <w:color w:val="000000" w:themeColor="text1"/>
                <w:sz w:val="16"/>
                <w:szCs w:val="16"/>
                <w:lang w:val="en-US"/>
              </w:rPr>
            </w:pPr>
            <w:r w:rsidRPr="00402F7C">
              <w:rPr>
                <w:rFonts w:ascii="Calibri" w:eastAsiaTheme="majorEastAsia" w:hAnsi="Calibri" w:cs="Calibri"/>
                <w:b/>
                <w:bCs/>
                <w:i w:val="0"/>
                <w:iCs w:val="0"/>
                <w:color w:val="000000" w:themeColor="text1"/>
                <w:sz w:val="16"/>
                <w:szCs w:val="16"/>
                <w:lang w:val="en-US"/>
              </w:rPr>
              <w:t xml:space="preserve">Ross et al. (2025) </w:t>
            </w:r>
            <w:r w:rsidRPr="00402F7C">
              <w:rPr>
                <w:rFonts w:ascii="Calibri" w:eastAsiaTheme="majorEastAsia" w:hAnsi="Calibri" w:cs="Calibri"/>
                <w:b/>
                <w:bCs/>
                <w:color w:val="000000" w:themeColor="text1"/>
                <w:sz w:val="16"/>
                <w:szCs w:val="16"/>
                <w:lang w:val="en-US"/>
              </w:rPr>
              <w:fldChar w:fldCharType="begin"/>
            </w:r>
            <w:r w:rsidRPr="00402F7C">
              <w:rPr>
                <w:rFonts w:ascii="Calibri" w:eastAsiaTheme="majorEastAsia" w:hAnsi="Calibri" w:cs="Calibri"/>
                <w:i w:val="0"/>
                <w:iCs w:val="0"/>
                <w:color w:val="000000" w:themeColor="text1"/>
                <w:sz w:val="16"/>
                <w:szCs w:val="16"/>
                <w:lang w:val="en-US"/>
              </w:rPr>
              <w:instrText xml:space="preserve"> ADDIN ZOTERO_ITEM CSL_CITATION {"citationID":"R0rZj1UW","properties":{"unsorted":false,"formattedCitation":"[72]","plainCitation":"[72]","noteIndex":0},"citationItems":[{"id":28691,"uris":["http://zotero.org/users/4007286/items/9ERM6MIG"],"itemData":{"id":28691,"type":"article-journal","abstract":"Background: Telerehabilitation is a safe and effective means of delivering physiotherapy services, but implementation in clinical practice has not been widespread. Objective: This study aimed to explore the shifts in telerehabilitation use throughout the COVID-19 pandemic and the key factors that influenced telerehabilitation caseload after restrictions were eased. Methods: Between September and November 2023, physiotherapists practicing in Australian private practice, hospital outpatient, or community settings completed an online survey. Data were collected regarding participants' use of telerehabilitation before, during, and after the COVID-19 pandemic restrictions to in-person physiotherapy. Qualitative content analysis of open-text questions was performed to garner more nuanced information about the use of telerehabilitation in clinical practice, and quantitative data were analyzed descriptively. Results: The proportion of participants using telerehabilitation rose from 30% (44/148) before the pandemic to 94% (138/147) when restrictions to in-person physiotherapy were in place. Although 82% (118/144) of the sample continued to deliver telerehabilitation after COVID-19 restrictions were eased, telerehabilitation accounted for only 14% of the total caseload. Exploratory analyses suggest that despite increased confidence, satisfaction, and perceptions about the effectiveness of telerehabilitation, reduced patient demand, physiotherapists' perceptions about patient preference for in-person consultations, and the perception that in-person physiotherapy is easier continue to influence the use of telerehabilitation in the post-COVID era. Conclusions: Despite increased uptake during the pandemic, telerehabilitation caseload after restrictions were eased was low. Physiotherapists' perceptions about telerehabilitation in clinical practice remain a substantial barrier to sustained adoption.","archive_location":"WOS:001680813700001","container-title":"JMIR REHABILITATION AND ASSISTIVE TECHNOLOGIES","DOI":"10.2196/81008","ISSN":"2369-2529","language":"English","title":"Telerehabilitation Trends in Australian Physiotherapy and an Exploration of Factors That Influence Use After COVID-19 Restrictions: Qualitative Content Analysis","volume":"13","author":[{"family":"Ross","given":"MH"},{"family":"Simmich","given":"J"},{"family":"Lawford","given":"BJ"},{"family":"Bennell","given":"KL"},{"family":"Hinman","given":"RS"},{"family":"Russell","given":"T"}],"issued":{"date-parts":[["2026"]]}}}],"schema":"https://github.com/citation-style-language/schema/raw/master/csl-citation.json"} </w:instrText>
            </w:r>
            <w:r w:rsidRPr="00402F7C">
              <w:rPr>
                <w:rFonts w:ascii="Calibri" w:eastAsiaTheme="majorEastAsia" w:hAnsi="Calibri" w:cs="Calibri"/>
                <w:b/>
                <w:bCs/>
                <w:color w:val="000000" w:themeColor="text1"/>
                <w:sz w:val="16"/>
                <w:szCs w:val="16"/>
                <w:lang w:val="en-US"/>
              </w:rPr>
              <w:fldChar w:fldCharType="separate"/>
            </w:r>
            <w:r w:rsidRPr="00402F7C">
              <w:rPr>
                <w:rFonts w:ascii="Calibri" w:eastAsiaTheme="majorEastAsia" w:hAnsi="Calibri" w:cs="Calibri"/>
                <w:i w:val="0"/>
                <w:iCs w:val="0"/>
                <w:noProof/>
                <w:color w:val="000000" w:themeColor="text1"/>
                <w:sz w:val="16"/>
                <w:szCs w:val="16"/>
                <w:lang w:val="en-US"/>
              </w:rPr>
              <w:t>[72]</w:t>
            </w:r>
            <w:r w:rsidRPr="00402F7C">
              <w:rPr>
                <w:rFonts w:ascii="Calibri" w:eastAsiaTheme="majorEastAsia" w:hAnsi="Calibri" w:cs="Calibri"/>
                <w:b/>
                <w:bCs/>
                <w:color w:val="000000" w:themeColor="text1"/>
                <w:sz w:val="16"/>
                <w:szCs w:val="16"/>
                <w:lang w:val="en-US"/>
              </w:rPr>
              <w:fldChar w:fldCharType="end"/>
            </w:r>
          </w:p>
          <w:p w14:paraId="38B1B074"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color w:val="000000" w:themeColor="text1"/>
                <w:sz w:val="16"/>
                <w:szCs w:val="16"/>
                <w:lang w:val="en-US"/>
              </w:rPr>
            </w:pPr>
            <w:r w:rsidRPr="00402F7C">
              <w:rPr>
                <w:rFonts w:ascii="Calibri" w:eastAsiaTheme="majorEastAsia" w:hAnsi="Calibri" w:cs="Calibri"/>
                <w:color w:val="000000" w:themeColor="text1"/>
                <w:sz w:val="16"/>
                <w:szCs w:val="16"/>
                <w:lang w:val="en-US"/>
              </w:rPr>
              <w:t>Australia</w:t>
            </w:r>
          </w:p>
        </w:tc>
        <w:tc>
          <w:tcPr>
            <w:tcW w:w="1752" w:type="dxa"/>
          </w:tcPr>
          <w:p w14:paraId="13CB1E1F"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To explore the shifts in telerehabilitation use throughout the COVID-19 pandemic and the key factors that influenced telerehabilitation caseload after restrictions were eased</w:t>
            </w:r>
          </w:p>
        </w:tc>
        <w:tc>
          <w:tcPr>
            <w:tcW w:w="1156" w:type="dxa"/>
          </w:tcPr>
          <w:p w14:paraId="724F45C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N=152</w:t>
            </w:r>
            <w:r w:rsidRPr="00402F7C">
              <w:rPr>
                <w:rFonts w:ascii="Calibri" w:eastAsiaTheme="majorEastAsia" w:hAnsi="Calibri" w:cs="Calibri"/>
                <w:color w:val="000000" w:themeColor="text1"/>
                <w:sz w:val="16"/>
                <w:szCs w:val="16"/>
                <w:lang w:val="en-US"/>
              </w:rPr>
              <w:br/>
              <w:t>No information on age</w:t>
            </w:r>
          </w:p>
        </w:tc>
        <w:tc>
          <w:tcPr>
            <w:tcW w:w="1108" w:type="dxa"/>
          </w:tcPr>
          <w:p w14:paraId="6634DE2C"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Online survey</w:t>
            </w:r>
          </w:p>
        </w:tc>
        <w:tc>
          <w:tcPr>
            <w:tcW w:w="1177" w:type="dxa"/>
          </w:tcPr>
          <w:p w14:paraId="153C39FE"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Descriptive statistics and inductive approach</w:t>
            </w:r>
          </w:p>
        </w:tc>
        <w:tc>
          <w:tcPr>
            <w:tcW w:w="3150" w:type="dxa"/>
            <w:gridSpan w:val="2"/>
          </w:tcPr>
          <w:p w14:paraId="4289905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Telerehabilitation use increased during the pandemic but declined substantially afterward.</w:t>
            </w:r>
          </w:p>
          <w:p w14:paraId="3273A6AF"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Despite improved confidence and satisfaction, clinicians and perceived patient preferences favor in-person care.</w:t>
            </w:r>
          </w:p>
          <w:p w14:paraId="19CE672F"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Reduced demand, ease of in-person practice, and persistent barriers limit sustained use of telerehabilitation.</w:t>
            </w:r>
          </w:p>
        </w:tc>
      </w:tr>
      <w:tr w:rsidR="00402F7C" w:rsidRPr="00402F7C" w14:paraId="4A9BB461"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620E24AE"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Russell et al.</w:t>
            </w:r>
          </w:p>
          <w:p w14:paraId="53A21248"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(2018)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{"citationID":"0prMPWNz","properties":{"formattedCitation":"[51]","plainCitation":"[51]","noteIndex":0},"citationItems":[{"id":2278,"uris":["http://zotero.org/users/4007286/items/4HSECAEA"],"itemData":{"id":2278,"type":"article-journal","abstract":"Health systems and insurers alike are increasingly interested in leveraging mHealth (mobile health) tools to support patient health-related behaviors including medication adherence. However, these tools are not widely used by older patients. This study explores patient preferences for functionality in a smartphone application (app) that supports medication self-management among older adults with multiple chronic conditions. We conducted six discussion groups in Chicago, Miami, and Denver (N = 46). English-speaking older adults (55 and older) who owned smartphones and took five or more prescription medicines were invited to participate. Discussions covered familiarity with and use of current apps and challenges with taking multidrug regimens. Participants reviewed a range of possible mobile app functions and were asked to give feedback regarding the acceptability and desirability of each to support medication management. Very few participants (n = 3) reported current use of a mobile app for medication support, although all were receptive. Challenges to medication use were forgetfulness, fear of adverse events, and managing medication information from multiple sources. Desired features included (1) a list and consolidated schedule of medications, (2) identification and warning of unsafe medication interactions, (3) reminder alerts to take medicine, and (4) the ability record when medications were taken. Features relating to refill ordering, pharmacy information, and comparing costs for medication were not considered to be as important for an app.","archive":"ccm","container-title":"Journal of Health Communication","DOI":"10.1080/10810730.2018.1554728","ISSN":"1081-0730","issue":"12","journalAbbreviation":"Journal of Health Communication","page":"1064-1071","source":"EBSCOhost","title":"Older Adult Preferences of Mobile Application Functionality Supporting Medication Self-Management.","volume":"23","author":[{"family":"Russell","given":"Andrea M."},{"family":"Smith","given":"Samuel G."},{"family":"Bailey","given":"Stacy C."},{"family":"Belter","given":"Lisa T."},{"family":"Pandit","given":"Anjali U."},{"family":"Hedlund","given":"Laurie A."},{"family":"Bojarski","given":"Elizabeth A."},{"family":"Rush","given":"Steven R."},{"family":"Wolf","given":"Michael S."}],"issued":{"date-parts":[["2018",12]]}}}],"schema":"https://github.com/citation-style-language/schema/raw/master/csl-citation.json"}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[51]</w:t>
            </w:r>
            <w:r w:rsidRPr="00402F7C">
              <w:rPr>
                <w:rFonts w:ascii="Calibri" w:eastAsiaTheme="majorEastAsia" w:hAnsi="Calibri" w:cs="Calibri"/>
                <w:color w:val="000000" w:themeColor="text1"/>
                <w:kern w:val="2"/>
                <w:sz w:val="16"/>
                <w:szCs w:val="16"/>
                <w:lang w:val="en-US"/>
              </w:rPr>
              <w:fldChar w:fldCharType="end"/>
            </w:r>
          </w:p>
          <w:p w14:paraId="0BA443A7"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37C41BEF"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identify older adult preferences of mobile application functionality supporting medication self-management</w:t>
            </w:r>
          </w:p>
        </w:tc>
        <w:tc>
          <w:tcPr>
            <w:tcW w:w="1156" w:type="dxa"/>
          </w:tcPr>
          <w:p w14:paraId="7970777D"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N=46</w:t>
            </w:r>
          </w:p>
          <w:p w14:paraId="6AA4E42E"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65</w:t>
            </w:r>
          </w:p>
          <w:p w14:paraId="52D29698"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p w14:paraId="73E835E8"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108" w:type="dxa"/>
          </w:tcPr>
          <w:p w14:paraId="2E690CAE"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Focus groups and survey of feature preference ranking</w:t>
            </w:r>
          </w:p>
        </w:tc>
        <w:tc>
          <w:tcPr>
            <w:tcW w:w="1177" w:type="dxa"/>
          </w:tcPr>
          <w:p w14:paraId="0F182B62"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Thematic content analysis and frequencies for feature preferences</w:t>
            </w:r>
          </w:p>
        </w:tc>
        <w:tc>
          <w:tcPr>
            <w:tcW w:w="3150" w:type="dxa"/>
            <w:gridSpan w:val="2"/>
          </w:tcPr>
          <w:p w14:paraId="2D44FC9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Older patients mainly want apps with drug interaction alerts, complete medication lists, medication reminders, and extra medication info. Some also prefer sharing their information with caregivers and health professionals.</w:t>
            </w:r>
          </w:p>
        </w:tc>
      </w:tr>
      <w:tr w:rsidR="00402F7C" w:rsidRPr="00402F7C" w14:paraId="0AF4AE82"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5263C08F"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Sanger et al.</w:t>
            </w:r>
          </w:p>
          <w:p w14:paraId="57DF0730"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(2014)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{"citationID":"ElwqGmP2","properties":{"formattedCitation":"[52]","plainCitation":"[52]","noteIndex":0},"citationItems":[{"id":2277,"uris":["http://zotero.org/users/4007286/items/IKSGHR6J"],"itemData":{"id":2277,"type":"article-journal","abstract":"Many current mobile health applications (\"apps\") and most previous research have been directed at management of chronic illnesses. However, little is known about patient preferences and design considerations for apps intended to help in a post-acute setting. Our team is developing an mHealth platform to engage patients in wound tracking to identify and manage surgical site infections (SSI) after hospital discharge. Post-discharge SSIs are a major source of morbidity and expense, and occur at a critical care transition when patients are physically and emotionally stressed. Through interviews with surgical patients who experienced SSI, we derived design considerations for such a post-acute care app. Key design qualities include: meeting basic accessibility, usability and security needs; encouraging patient-centeredness; facilitating better, more predictable communication; and supporting personalized management by providers. We illustrate our application of these guiding design considerations and propose a new framework for mHealth design based on illness duration and intensity.","archive":"Medline","container-title":"AMIA ... Annual Symposium proceedings / AMIA Symposium. AMIA Symposium","ISSN":"1942-597X","issue":"(Sanger P.) University of Washington, Seattle, WA","journalAbbreviation":"AMIA Annu Symp Proc","language":"English","page":"1920-1929","title":"Design Considerations for Post-Acute Care mHealth: Patient Perspectives","volume":"2014","author":[{"family":"Sanger","given":"P."},{"family":"Hartzler","given":"A."},{"family":"Lober","given":"W.B."},{"family":"Evans","given":"H.L."},{"family":"Pratt","given":"W."}],"issued":{"date-parts":[["2014"]]}}}],"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[52]</w:t>
            </w:r>
            <w:r w:rsidRPr="00402F7C">
              <w:rPr>
                <w:rFonts w:ascii="Calibri" w:eastAsiaTheme="majorEastAsia" w:hAnsi="Calibri" w:cs="Calibri"/>
                <w:color w:val="000000" w:themeColor="text1"/>
                <w:kern w:val="2"/>
                <w:sz w:val="16"/>
                <w:szCs w:val="16"/>
                <w:lang w:val="en-US"/>
              </w:rPr>
              <w:fldChar w:fldCharType="end"/>
            </w:r>
          </w:p>
          <w:p w14:paraId="2223A317"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4C347D5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define patients’ preferences for developing a mHealth platform for post-acute care</w:t>
            </w:r>
          </w:p>
        </w:tc>
        <w:tc>
          <w:tcPr>
            <w:tcW w:w="1156" w:type="dxa"/>
          </w:tcPr>
          <w:p w14:paraId="14B9B0ED"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N=77</w:t>
            </w:r>
          </w:p>
          <w:p w14:paraId="32C535A9"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59</w:t>
            </w:r>
          </w:p>
        </w:tc>
        <w:tc>
          <w:tcPr>
            <w:tcW w:w="1108" w:type="dxa"/>
          </w:tcPr>
          <w:p w14:paraId="52A86BC3"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Individual interviews</w:t>
            </w:r>
          </w:p>
        </w:tc>
        <w:tc>
          <w:tcPr>
            <w:tcW w:w="1177" w:type="dxa"/>
          </w:tcPr>
          <w:p w14:paraId="223AE9BD"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Descriptive statistics and thematic content analysis</w:t>
            </w:r>
          </w:p>
        </w:tc>
        <w:tc>
          <w:tcPr>
            <w:tcW w:w="3150" w:type="dxa"/>
            <w:gridSpan w:val="2"/>
          </w:tcPr>
          <w:p w14:paraId="4925BF9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want mHealth app that can be useful related to their condition and personalized. They want to communicate with health providers (sending photos, rapid provider response in necessary).</w:t>
            </w:r>
          </w:p>
          <w:p w14:paraId="4833EC15"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6DD51D69"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67D772A3"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proofErr w:type="spellStart"/>
            <w:r w:rsidRPr="00402F7C">
              <w:rPr>
                <w:rFonts w:ascii="Calibri" w:eastAsiaTheme="majorEastAsia" w:hAnsi="Calibri" w:cs="Calibri"/>
                <w:b/>
                <w:bCs/>
                <w:i w:val="0"/>
                <w:iCs w:val="0"/>
                <w:color w:val="000000" w:themeColor="text1"/>
                <w:kern w:val="2"/>
                <w:sz w:val="16"/>
                <w:szCs w:val="16"/>
                <w:lang w:val="en-US"/>
              </w:rPr>
              <w:t>Sedlander</w:t>
            </w:r>
            <w:proofErr w:type="spellEnd"/>
            <w:r w:rsidRPr="00402F7C">
              <w:rPr>
                <w:rFonts w:ascii="Calibri" w:eastAsiaTheme="majorEastAsia" w:hAnsi="Calibri" w:cs="Calibri"/>
                <w:b/>
                <w:bCs/>
                <w:i w:val="0"/>
                <w:iCs w:val="0"/>
                <w:color w:val="000000" w:themeColor="text1"/>
                <w:kern w:val="2"/>
                <w:sz w:val="16"/>
                <w:szCs w:val="16"/>
                <w:lang w:val="en-US"/>
              </w:rPr>
              <w:t xml:space="preserve"> et al. (2018)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{"citationID":"M3eLWvs2","properties":{"formattedCitation":"[53]","plainCitation":"[53]","noteIndex":0},"citationItems":[{"id":2225,"uris":["http://zotero.org/users/4007286/items/LG5TH8HZ"],"itemData":{"id":2225,"type":"article-journal","abstract":"BACKGROUND: The Veterans Health Administration (VA) is investing considerable resources into providing remote management care to patients for disease prevention and management. Remote management includes online patient portals, e-mails between patients and providers, follow-up phone calls, and home health devices to monitor health status. However, little is known about patients' attitudes and preferences for this type of care. This qualitative study was conducted to better understand patient preferences for receiving remote care.\nMETHODS: Ten focus groups were held comprising 77 patients with hypertension or tobacco use history at two VA medical centers. Discussion questions focused on experience with current VA remote management efforts and preferences for receiving additional care between outpatient visits.\nRESULTS: Most participants were receptive to remote management for referrals, appointment reminders, resource information, and motivational and emotional support between visits, but described challenges with some technological tools. Participants reported that remote management should be personalized and tailored to individual needs. They expressed preferences for frequency, scope, continuity of provider, and mode of communication between visits. Most participants were open to nonclinicians contacting them as long as they had direct connection to their medical team. Some participants expressed a preference for a licensed medical professional. All groups raised concerns around confidentiality and privacy of healthcare information. Female Veterans expressed a desire for gender-sensitive care and an interest in complementary and alternative medicine.\nCONCLUSIONS: The findings and specific recommendations from this study can improve existing remote management programs and inform the design of future efforts.","container-title":"Telemedicine Journal and E-Health: The Official Journal of the American Telemedicine Association","DOI":"10.1089/tmj.2017.0010","ISSN":"1556-3669","issue":"3","journalAbbreviation":"Telemed J E Health","language":"eng","page":"229-235","source":"PubMed","title":"Veterans' Preferences for Remote Management of Chronic Conditions","volume":"24","author":[{"family":"Sedlander","given":"Erica"},{"family":"Barboza","given":"Katherine C."},{"family":"Jensen","given":"Ashley"},{"family":"Skursky","given":"Nicole"},{"family":"Bennett","given":"Katelyn"},{"family":"Sherman","given":"Scott"},{"family":"Schwartz","given":"Mark"}],"issued":{"date-parts":[["2018",3]]}}}],"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[53]</w:t>
            </w:r>
            <w:r w:rsidRPr="00402F7C">
              <w:rPr>
                <w:rFonts w:ascii="Calibri" w:eastAsiaTheme="majorEastAsia" w:hAnsi="Calibri" w:cs="Calibri"/>
                <w:color w:val="000000" w:themeColor="text1"/>
                <w:kern w:val="2"/>
                <w:sz w:val="16"/>
                <w:szCs w:val="16"/>
                <w:lang w:val="en-US"/>
              </w:rPr>
              <w:fldChar w:fldCharType="end"/>
            </w:r>
          </w:p>
          <w:p w14:paraId="4F55C702"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28C071DE"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understand patient preferences for receiving remote care</w:t>
            </w:r>
          </w:p>
        </w:tc>
        <w:tc>
          <w:tcPr>
            <w:tcW w:w="1156" w:type="dxa"/>
          </w:tcPr>
          <w:p w14:paraId="79DD18D4"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N=30</w:t>
            </w:r>
          </w:p>
          <w:p w14:paraId="320E6C49"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Age range</w:t>
            </w:r>
          </w:p>
          <w:p w14:paraId="6E5CFC51"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 [18,45]</w:t>
            </w:r>
          </w:p>
        </w:tc>
        <w:tc>
          <w:tcPr>
            <w:tcW w:w="1108" w:type="dxa"/>
          </w:tcPr>
          <w:p w14:paraId="00489A6D"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Focus groups</w:t>
            </w:r>
          </w:p>
        </w:tc>
        <w:tc>
          <w:tcPr>
            <w:tcW w:w="1177" w:type="dxa"/>
          </w:tcPr>
          <w:p w14:paraId="7C5909C2"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Inductive approach</w:t>
            </w:r>
          </w:p>
        </w:tc>
        <w:tc>
          <w:tcPr>
            <w:tcW w:w="3150" w:type="dxa"/>
            <w:gridSpan w:val="2"/>
          </w:tcPr>
          <w:p w14:paraId="7ED84039"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reported strong preferences for services tailored to individual needs (mode of communication, frequency, status of healthcare provider, scope of remote management.</w:t>
            </w:r>
          </w:p>
          <w:p w14:paraId="4924D6BF"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However, they are concerned about privacy and confidentiality so they limit sharing their personal information.</w:t>
            </w:r>
          </w:p>
          <w:p w14:paraId="254F49F6"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09B5481A"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23D62415"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i w:val="0"/>
                <w:iCs w:val="0"/>
                <w:color w:val="000000" w:themeColor="text1"/>
                <w:sz w:val="16"/>
                <w:szCs w:val="16"/>
                <w:lang w:val="en-US"/>
              </w:rPr>
            </w:pPr>
            <w:r w:rsidRPr="00402F7C">
              <w:rPr>
                <w:rFonts w:ascii="Calibri" w:eastAsiaTheme="majorEastAsia" w:hAnsi="Calibri" w:cs="Calibri"/>
                <w:b/>
                <w:bCs/>
                <w:i w:val="0"/>
                <w:iCs w:val="0"/>
                <w:color w:val="000000" w:themeColor="text1"/>
                <w:sz w:val="16"/>
                <w:szCs w:val="16"/>
                <w:lang w:val="en-US"/>
              </w:rPr>
              <w:t xml:space="preserve">Shih et al. (2025) </w:t>
            </w:r>
            <w:r w:rsidRPr="00402F7C">
              <w:rPr>
                <w:rFonts w:ascii="Calibri" w:eastAsiaTheme="majorEastAsia" w:hAnsi="Calibri" w:cs="Calibri"/>
                <w:b/>
                <w:bCs/>
                <w:color w:val="000000" w:themeColor="text1"/>
                <w:sz w:val="16"/>
                <w:szCs w:val="16"/>
                <w:lang w:val="en-US"/>
              </w:rPr>
              <w:fldChar w:fldCharType="begin"/>
            </w:r>
            <w:r w:rsidRPr="00402F7C">
              <w:rPr>
                <w:rFonts w:ascii="Calibri" w:eastAsiaTheme="majorEastAsia" w:hAnsi="Calibri" w:cs="Calibri"/>
                <w:i w:val="0"/>
                <w:iCs w:val="0"/>
                <w:color w:val="000000" w:themeColor="text1"/>
                <w:sz w:val="16"/>
                <w:szCs w:val="16"/>
                <w:lang w:val="en-US"/>
              </w:rPr>
              <w:instrText xml:space="preserve"> ADDIN ZOTERO_ITEM CSL_CITATION {"citationID":"QcMHFdel","properties":{"unsorted":false,"formattedCitation":"[59]","plainCitation":"[59]","noteIndex":0},"citationItems":[{"id":28497,"uris":["http://zotero.org/users/4007286/items/3CK6JFLG"],"itemData":{"id":28497,"type":"article-journal","abstract":"Background: Self-measured blood pressure monitoring is necessary for successful management of hypertension. However, disparities in blood pressure control persist, with low-income patients and racial and ethnic minorities more likely to have uncontrolled hypertension. These patients are also at increased risk for digital exclusion. Several validated blood pressure monitors for self-measured monitoring are available, but little is known about patient preferences between different device traits. Studies have shown that poor usability or technology design can lead to barriers to adoption. Objective: We investigated patient-reported barriers, preferences, and facilitators to self-measured blood pressure monitoring from a diverse population at an urban safety-net hospital. Methods: This qualitative study included English-and Spanish-speaking patients with hypertension. Participants completed a survey about sociodemographic traits, self-measured blood pressure monitoring practices and training, and experience with technology. Semi-structured interviews were conducted to elicit preferences about blood pressure devices, the accompanying mobile apps, and their experience sharing blood pressure measurements with their providers. Interviews included participant demonstration of home blood pressure measurement to evaluate baseline self-measured blood pressure monitoring technique. Two home blood pressure monitoring devices were presented: a Bluetooth-enabled device and a cellular-enabled device that syncs data directly. Surveys and interviews were conducted in participants' preferred language. Rapid qualitative data analysis was applied to analyze qualitative data. Results: Fifteen participants (8 English-speaking and 7 Spanish-speaking) were enrolled. Participants all identified as racial and ethnic minorities. Educational attainment varied, ranging from less than high school to college graduates. Eight exhibited some form of digital inaccessibility: lacking internet access, not activating their patient portal, or having difficulty connecting a device to Wi-Fi. Most required assistance with Bluetooth pairing and navigating app features. Overall, participants valued tracking their blood pressure, were motivated to engage in self-measured blood pressure monitoring practices, and desired training. Nearly all participants demonstrated inconsistencies in blood pressure education, displayed incorrect measurement techniques, and had not received formal training on self-measured blood pressure monitoring. Spanish-speaking participants reported that using apps was challenging because they were presented in English and wanted translated apps and resources. The cost of features was a key factor in device preference. Conclusions: Patient-reported barriers to successful self-measured blood pressure monitoring adoption include cost, insufficient training, digital inaccessibility, and language discordance. Addressing these challenges may enhance the adoption of self-measured blood pressure monitoring in safety net populations. Providers should evaluate patients' preferences and develop tailored interventions when recommending self-measured blood pressure monitoring. Cellular self-measured blood pressure monitoring devices that automatically transmit blood pressure readings may reduce digital complexity and promote sharing results with providers, though future studies are needed to evaluate usability and implementation.","archive_location":"WOS:001611066600001","container-title":"JMIR CARDIO","DOI":"10.2196/60196","ISSN":"2561-1011","language":"English","title":"English- and Spanish-Speaking Patient Preferences on Home Blood Pressure Monitors in an Urban Safety Net Setting: Qualitative Study","volume":"9","author":[{"family":"Shih","given":"JJ"},{"family":"Kwok","given":"VE"},{"family":"Luna","given":"I"},{"family":"Kim","given":"HC"},{"family":"Garcia","given":"F"},{"family":"Gutierrez","given":"C"},{"family":"Garcia","given":"M"},{"family":"Lyles","given":"CR"},{"family":"Khoong","given":"EC"}],"issued":{"date-parts":[["2025"]]}}}],"schema":"https://github.com/citation-style-language/schema/raw/master/csl-citation.json"} </w:instrText>
            </w:r>
            <w:r w:rsidRPr="00402F7C">
              <w:rPr>
                <w:rFonts w:ascii="Calibri" w:eastAsiaTheme="majorEastAsia" w:hAnsi="Calibri" w:cs="Calibri"/>
                <w:b/>
                <w:bCs/>
                <w:color w:val="000000" w:themeColor="text1"/>
                <w:sz w:val="16"/>
                <w:szCs w:val="16"/>
                <w:lang w:val="en-US"/>
              </w:rPr>
              <w:fldChar w:fldCharType="separate"/>
            </w:r>
            <w:r w:rsidRPr="00402F7C">
              <w:rPr>
                <w:rFonts w:ascii="Calibri" w:eastAsiaTheme="majorEastAsia" w:hAnsi="Calibri" w:cs="Calibri"/>
                <w:i w:val="0"/>
                <w:iCs w:val="0"/>
                <w:noProof/>
                <w:color w:val="000000" w:themeColor="text1"/>
                <w:sz w:val="16"/>
                <w:szCs w:val="16"/>
                <w:lang w:val="en-US"/>
              </w:rPr>
              <w:t>[59]</w:t>
            </w:r>
            <w:r w:rsidRPr="00402F7C">
              <w:rPr>
                <w:rFonts w:ascii="Calibri" w:eastAsiaTheme="majorEastAsia" w:hAnsi="Calibri" w:cs="Calibri"/>
                <w:b/>
                <w:bCs/>
                <w:color w:val="000000" w:themeColor="text1"/>
                <w:sz w:val="16"/>
                <w:szCs w:val="16"/>
                <w:lang w:val="en-US"/>
              </w:rPr>
              <w:fldChar w:fldCharType="end"/>
            </w:r>
          </w:p>
          <w:p w14:paraId="6932F27F"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color w:val="000000" w:themeColor="text1"/>
                <w:kern w:val="2"/>
                <w:sz w:val="16"/>
                <w:szCs w:val="16"/>
                <w:lang w:val="en-US"/>
              </w:rPr>
            </w:pPr>
            <w:r w:rsidRPr="00402F7C">
              <w:rPr>
                <w:rFonts w:ascii="Calibri" w:eastAsiaTheme="majorEastAsia" w:hAnsi="Calibri" w:cs="Calibri"/>
                <w:color w:val="000000" w:themeColor="text1"/>
                <w:sz w:val="16"/>
                <w:szCs w:val="16"/>
                <w:lang w:val="en-US"/>
              </w:rPr>
              <w:t>USA</w:t>
            </w:r>
          </w:p>
        </w:tc>
        <w:tc>
          <w:tcPr>
            <w:tcW w:w="1752" w:type="dxa"/>
          </w:tcPr>
          <w:p w14:paraId="628DED2B" w14:textId="77777777" w:rsidR="00402F7C" w:rsidRPr="00402F7C" w:rsidRDefault="00402F7C" w:rsidP="00402F7C">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402F7C">
              <w:rPr>
                <w:rFonts w:ascii="Calibri" w:hAnsi="Calibri" w:cs="Calibri"/>
                <w:sz w:val="16"/>
                <w:szCs w:val="16"/>
                <w:lang w:val="en-US"/>
              </w:rPr>
              <w:t>To investigate patient-reported barriers, preferences, and facilitators to self-measured blood pressure monitoring</w:t>
            </w:r>
          </w:p>
          <w:p w14:paraId="79D06E33" w14:textId="77777777" w:rsidR="00402F7C" w:rsidRPr="00402F7C" w:rsidRDefault="00402F7C" w:rsidP="00402F7C">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402F7C">
              <w:rPr>
                <w:rFonts w:ascii="Calibri" w:hAnsi="Calibri" w:cs="Calibri"/>
                <w:sz w:val="16"/>
                <w:szCs w:val="16"/>
                <w:lang w:val="en-US"/>
              </w:rPr>
              <w:lastRenderedPageBreak/>
              <w:t>from a diverse population at an urban safety-net hospital</w:t>
            </w:r>
          </w:p>
          <w:p w14:paraId="4C2083B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p>
        </w:tc>
        <w:tc>
          <w:tcPr>
            <w:tcW w:w="1156" w:type="dxa"/>
          </w:tcPr>
          <w:p w14:paraId="166A5150"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lastRenderedPageBreak/>
              <w:t>N=15</w:t>
            </w:r>
          </w:p>
          <w:p w14:paraId="07BE1C45"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Age range [37-71]</w:t>
            </w:r>
          </w:p>
        </w:tc>
        <w:tc>
          <w:tcPr>
            <w:tcW w:w="1108" w:type="dxa"/>
          </w:tcPr>
          <w:p w14:paraId="234F2B01"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Survey and individual interviews</w:t>
            </w:r>
          </w:p>
        </w:tc>
        <w:tc>
          <w:tcPr>
            <w:tcW w:w="1177" w:type="dxa"/>
          </w:tcPr>
          <w:p w14:paraId="2F319816"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Rapid Qualitative Data Analysis</w:t>
            </w:r>
          </w:p>
        </w:tc>
        <w:tc>
          <w:tcPr>
            <w:tcW w:w="3150" w:type="dxa"/>
            <w:gridSpan w:val="2"/>
          </w:tcPr>
          <w:p w14:paraId="1CA44BD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Participants valued blood pressure tracking and were motivated to engage in self-monitoring.</w:t>
            </w:r>
          </w:p>
          <w:p w14:paraId="65FEA516"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They expressed a need for training to support effective use.</w:t>
            </w:r>
          </w:p>
          <w:p w14:paraId="7510345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402F7C">
              <w:rPr>
                <w:rFonts w:ascii="Calibri" w:eastAsiaTheme="majorEastAsia" w:hAnsi="Calibri" w:cs="Calibri"/>
                <w:color w:val="000000" w:themeColor="text1"/>
                <w:sz w:val="16"/>
                <w:szCs w:val="16"/>
                <w:lang w:val="en-US"/>
              </w:rPr>
              <w:t>Key barriers included cost, lack of training, digital access issues, and language barriers.</w:t>
            </w:r>
          </w:p>
        </w:tc>
      </w:tr>
      <w:tr w:rsidR="00402F7C" w:rsidRPr="00402F7C" w14:paraId="291BAE43"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tcPr>
          <w:p w14:paraId="0A9BB409"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i w:val="0"/>
                <w:iCs w:val="0"/>
                <w:color w:val="000000" w:themeColor="text1"/>
                <w:sz w:val="16"/>
                <w:szCs w:val="16"/>
                <w:lang w:val="en-US"/>
              </w:rPr>
            </w:pPr>
            <w:r w:rsidRPr="00402F7C">
              <w:rPr>
                <w:rFonts w:ascii="Calibri" w:eastAsiaTheme="majorEastAsia" w:hAnsi="Calibri" w:cs="Calibri"/>
                <w:b/>
                <w:bCs/>
                <w:i w:val="0"/>
                <w:iCs w:val="0"/>
                <w:color w:val="000000" w:themeColor="text1"/>
                <w:sz w:val="16"/>
                <w:szCs w:val="16"/>
                <w:lang w:val="en-US"/>
              </w:rPr>
              <w:t>Shojaei et al. (2025)</w:t>
            </w:r>
            <w:r w:rsidRPr="00402F7C">
              <w:rPr>
                <w:rFonts w:ascii="Calibri" w:eastAsiaTheme="majorEastAsia" w:hAnsi="Calibri" w:cs="Calibri"/>
                <w:i w:val="0"/>
                <w:iCs w:val="0"/>
                <w:color w:val="000000" w:themeColor="text1"/>
                <w:sz w:val="16"/>
                <w:szCs w:val="16"/>
                <w:lang w:val="en-US"/>
              </w:rPr>
              <w:t xml:space="preserve"> </w:t>
            </w:r>
            <w:r w:rsidRPr="00402F7C">
              <w:rPr>
                <w:rFonts w:ascii="Calibri" w:eastAsiaTheme="majorEastAsia" w:hAnsi="Calibri" w:cs="Calibri"/>
                <w:b/>
                <w:bCs/>
                <w:color w:val="000000" w:themeColor="text1"/>
                <w:sz w:val="16"/>
                <w:szCs w:val="16"/>
                <w:lang w:val="en-US"/>
              </w:rPr>
              <w:fldChar w:fldCharType="begin"/>
            </w:r>
            <w:r w:rsidRPr="00402F7C">
              <w:rPr>
                <w:rFonts w:ascii="Calibri" w:eastAsiaTheme="majorEastAsia" w:hAnsi="Calibri" w:cs="Calibri"/>
                <w:i w:val="0"/>
                <w:iCs w:val="0"/>
                <w:color w:val="000000" w:themeColor="text1"/>
                <w:sz w:val="16"/>
                <w:szCs w:val="16"/>
                <w:lang w:val="en-US"/>
              </w:rPr>
              <w:instrText xml:space="preserve"> ADDIN ZOTERO_ITEM CSL_CITATION {"citationID":"rHvdtLGC","properties":{"unsorted":false,"formattedCitation":"[77]","plainCitation":"[77]","noteIndex":0},"citationItems":[{"id":28925,"uris":["http://zotero.org/users/4007286/items/UWJRWLLU"],"itemData":{"id":28925,"type":"article-journal","container-title":"Medinfo","ISSN":"1569-6332","issue":"null","page":"229-233","title":"User Privacy Concerns and Preferences in mHealth Applications: Balancing Privacy and Usability...20th World Congress on Medical and Health Informatics (MEDINFO 2025), August 9-13, 2025, Taipei, Taiwan.","volume":"329","author":[{"family":"Shojaei","given":"Parisasadat"},{"family":"Chow","given":"Yang-Wai"},{"family":"Vlahu-Gjorgievska","given":"Elena"}],"issued":{"date-parts":[["2025"]]}}}],"schema":"https://github.com/citation-style-language/schema/raw/master/csl-citation.json"} </w:instrText>
            </w:r>
            <w:r w:rsidRPr="00402F7C">
              <w:rPr>
                <w:rFonts w:ascii="Calibri" w:eastAsiaTheme="majorEastAsia" w:hAnsi="Calibri" w:cs="Calibri"/>
                <w:b/>
                <w:bCs/>
                <w:color w:val="000000" w:themeColor="text1"/>
                <w:sz w:val="16"/>
                <w:szCs w:val="16"/>
                <w:lang w:val="en-US"/>
              </w:rPr>
              <w:fldChar w:fldCharType="separate"/>
            </w:r>
            <w:r w:rsidRPr="00402F7C">
              <w:rPr>
                <w:rFonts w:ascii="Calibri" w:eastAsiaTheme="majorEastAsia" w:hAnsi="Calibri" w:cs="Calibri"/>
                <w:i w:val="0"/>
                <w:iCs w:val="0"/>
                <w:noProof/>
                <w:color w:val="000000" w:themeColor="text1"/>
                <w:sz w:val="16"/>
                <w:szCs w:val="16"/>
                <w:lang w:val="en-US"/>
              </w:rPr>
              <w:t>[77]</w:t>
            </w:r>
            <w:r w:rsidRPr="00402F7C">
              <w:rPr>
                <w:rFonts w:ascii="Calibri" w:eastAsiaTheme="majorEastAsia" w:hAnsi="Calibri" w:cs="Calibri"/>
                <w:b/>
                <w:bCs/>
                <w:color w:val="000000" w:themeColor="text1"/>
                <w:sz w:val="16"/>
                <w:szCs w:val="16"/>
                <w:lang w:val="en-US"/>
              </w:rPr>
              <w:fldChar w:fldCharType="end"/>
            </w:r>
          </w:p>
          <w:p w14:paraId="125685A7"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color w:val="000000" w:themeColor="text1"/>
                <w:sz w:val="16"/>
                <w:szCs w:val="16"/>
                <w:lang w:val="en-US"/>
              </w:rPr>
            </w:pPr>
            <w:r w:rsidRPr="00402F7C">
              <w:rPr>
                <w:rFonts w:ascii="Calibri" w:eastAsiaTheme="majorEastAsia" w:hAnsi="Calibri" w:cs="Calibri"/>
                <w:color w:val="000000" w:themeColor="text1"/>
                <w:sz w:val="16"/>
                <w:szCs w:val="16"/>
                <w:lang w:val="en-US"/>
              </w:rPr>
              <w:t>Australia</w:t>
            </w:r>
          </w:p>
        </w:tc>
        <w:tc>
          <w:tcPr>
            <w:tcW w:w="1752" w:type="dxa"/>
          </w:tcPr>
          <w:p w14:paraId="1C521CFB" w14:textId="77777777" w:rsidR="00402F7C" w:rsidRPr="00402F7C" w:rsidRDefault="00402F7C" w:rsidP="00402F7C">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402F7C">
              <w:rPr>
                <w:rFonts w:ascii="Calibri" w:eastAsiaTheme="majorEastAsia" w:hAnsi="Calibri" w:cs="Calibri"/>
                <w:color w:val="000000" w:themeColor="text1"/>
                <w:sz w:val="16"/>
                <w:szCs w:val="16"/>
                <w:lang w:val="en-US"/>
              </w:rPr>
              <w:t>To investigate</w:t>
            </w:r>
            <w:r w:rsidRPr="00402F7C">
              <w:rPr>
                <w:rFonts w:ascii="Calibri" w:hAnsi="Calibri" w:cs="Calibri"/>
                <w:sz w:val="16"/>
                <w:szCs w:val="16"/>
                <w:lang w:val="en-US"/>
              </w:rPr>
              <w:t xml:space="preserve"> user privacy concerns, preferences, and perceptions regarding the balance between usability and privacy in mHealth applications.</w:t>
            </w:r>
          </w:p>
          <w:p w14:paraId="152E7D56" w14:textId="77777777" w:rsidR="00402F7C" w:rsidRPr="00402F7C" w:rsidRDefault="00402F7C" w:rsidP="00402F7C">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tcW w:w="1156" w:type="dxa"/>
          </w:tcPr>
          <w:p w14:paraId="338B0FE7"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N=152</w:t>
            </w:r>
          </w:p>
          <w:p w14:paraId="78EDEB94"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No information on age</w:t>
            </w:r>
          </w:p>
        </w:tc>
        <w:tc>
          <w:tcPr>
            <w:tcW w:w="1108" w:type="dxa"/>
          </w:tcPr>
          <w:p w14:paraId="5A7384B9"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Online survey</w:t>
            </w:r>
          </w:p>
        </w:tc>
        <w:tc>
          <w:tcPr>
            <w:tcW w:w="1177" w:type="dxa"/>
          </w:tcPr>
          <w:p w14:paraId="1CB7A612"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Reflexive thematic analysis</w:t>
            </w:r>
          </w:p>
        </w:tc>
        <w:tc>
          <w:tcPr>
            <w:tcW w:w="3150" w:type="dxa"/>
            <w:gridSpan w:val="2"/>
          </w:tcPr>
          <w:p w14:paraId="4C6AB37D"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The analysis identified five themes: privacy concerns, data control, desired features, policy awareness, and privacy–convenience trade-offs.</w:t>
            </w:r>
          </w:p>
          <w:p w14:paraId="3474B008"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Participants emphasized the need for transparency, granular consent, and customizable privacy settings.</w:t>
            </w:r>
          </w:p>
          <w:p w14:paraId="7B91F2C7"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sz w:val="16"/>
                <w:szCs w:val="16"/>
                <w:lang w:val="en-US"/>
              </w:rPr>
              <w:t>Strong security, data minimization, and regulatory compliance were considered essential.</w:t>
            </w:r>
          </w:p>
        </w:tc>
      </w:tr>
      <w:tr w:rsidR="00402F7C" w:rsidRPr="00402F7C" w14:paraId="4D17E53C"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vAlign w:val="center"/>
          </w:tcPr>
          <w:p w14:paraId="25F8FE75"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Srinivasulu et al. (2023)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{"citationID":"ydgXhF1T","properties":{"formattedCitation":"[55]","plainCitation":"[55]","noteIndex":0},"citationItems":[{"id":2729,"uris":["http://zotero.org/users/4007286/items/FYEEYYXJ"],"itemData":{"id":2729,"type":"article-journal","abstract":"BACKGROUND: Expanding telehealth in the United States during the COVID-19 pandemic supported patients with needed sexual and reproductive healthcare (SRH) for continuity of care and reproductive autonomy. While telehealth for SRH is feasible and acceptable, studies have not explored patient preferences towards telehealth SRH from primary care settings. OBJECTIVE: We explore New York women's preferences for telehealth SRH in primary care. METHODS: In 2021, we conducted 5 focus groups and 8 interviews with New York women of reproductive age who had a consultation with a primary care provider in the last year as part of a larger study on assessing SRH quality in primary care. We queried on experiences with telehealth for SRH and perceptions of measuring SRH quality in primary care telehealth consultations. We employed reflexive thematic analysis. RESULTS: We recruited 30 participants. They preferred telehealth for \"basic\" SRH conversations, such as contraceptive counselling, and desired in-person consultations for \"complex\" topics, like pregnancy and preconception, especially if nulliparous. Telehealth benefits included convenience, simplicity of some SRH needs, and alleviating power dynamics in patient-provider relationships. Challenges included lack of one-on-one connection, seriousness of pregnancy discussions, privacy, and internet access. Measuring quality of telehealth SRH should include fostering positive and engaging environments. CONCLUSION: Participants find telehealth SRH in primary care preferable, underscoring the importance of offering and expanding this care. As telehealth SRH expands, providers should strengthen quality by building rapport to facilitate conversations on \"serious\" topics and their ability to help patients remotely.","archive":"Medline","container-title":"Family practice","DOI":"10.1093/fampra/cmac102","ISSN":"1460-2229","issue":"2","journalAbbreviation":"Fam Pract","language":"English","page":"402-406","title":"\"I totally didn't need to be there in person\": New York women's preferences for telehealth consultations for sexual and reproductive healthcare in primary care","volume":"40","author":[{"family":"Srinivasulu","given":"S."},{"family":"Manze","given":"M.G."},{"family":"Jones","given":"H.E."}],"issued":{"date-parts":[["2023"]]}}}],"schema":"https://github.com/citation-style-language/schema/raw/master/csl-citation.json"}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[55]</w:t>
            </w:r>
            <w:r w:rsidRPr="00402F7C">
              <w:rPr>
                <w:rFonts w:ascii="Calibri" w:eastAsiaTheme="majorEastAsia" w:hAnsi="Calibri" w:cs="Calibri"/>
                <w:color w:val="000000" w:themeColor="text1"/>
                <w:kern w:val="2"/>
                <w:sz w:val="16"/>
                <w:szCs w:val="16"/>
                <w:lang w:val="en-US"/>
              </w:rPr>
              <w:fldChar w:fldCharType="end"/>
            </w:r>
          </w:p>
          <w:p w14:paraId="5C46983B"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1B4B0573"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explore New York women’s preferences for telehealth sexual and reproductive healthcare in primary care</w:t>
            </w:r>
          </w:p>
        </w:tc>
        <w:tc>
          <w:tcPr>
            <w:tcW w:w="1156" w:type="dxa"/>
          </w:tcPr>
          <w:p w14:paraId="281CC37A"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N=40</w:t>
            </w:r>
          </w:p>
          <w:p w14:paraId="7283E9B9"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22</w:t>
            </w:r>
          </w:p>
        </w:tc>
        <w:tc>
          <w:tcPr>
            <w:tcW w:w="1108" w:type="dxa"/>
          </w:tcPr>
          <w:p w14:paraId="49AA4635"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Focus groups and Individual interviews </w:t>
            </w:r>
          </w:p>
        </w:tc>
        <w:tc>
          <w:tcPr>
            <w:tcW w:w="1177" w:type="dxa"/>
          </w:tcPr>
          <w:p w14:paraId="24543D9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Combination of deductive and inductive approach</w:t>
            </w:r>
          </w:p>
        </w:tc>
        <w:tc>
          <w:tcPr>
            <w:tcW w:w="3150" w:type="dxa"/>
            <w:gridSpan w:val="2"/>
          </w:tcPr>
          <w:p w14:paraId="4ECB97A1"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Women </w:t>
            </w:r>
            <w:proofErr w:type="spellStart"/>
            <w:r w:rsidRPr="00402F7C">
              <w:rPr>
                <w:rFonts w:ascii="Calibri" w:eastAsiaTheme="majorEastAsia" w:hAnsi="Calibri" w:cs="Calibri"/>
                <w:color w:val="000000" w:themeColor="text1"/>
                <w:kern w:val="2"/>
                <w:sz w:val="16"/>
                <w:szCs w:val="16"/>
                <w:lang w:val="en-US"/>
              </w:rPr>
              <w:t>favoured</w:t>
            </w:r>
            <w:proofErr w:type="spellEnd"/>
            <w:r w:rsidRPr="00402F7C">
              <w:rPr>
                <w:rFonts w:ascii="Calibri" w:eastAsiaTheme="majorEastAsia" w:hAnsi="Calibri" w:cs="Calibri"/>
                <w:color w:val="000000" w:themeColor="text1"/>
                <w:kern w:val="2"/>
                <w:sz w:val="16"/>
                <w:szCs w:val="16"/>
                <w:lang w:val="en-US"/>
              </w:rPr>
              <w:t xml:space="preserve"> using telehealth for simple SRH issues like contraception but preferred in-person visits for complex topics like pregnancy and preconception, valuing telehealth for its convenience, safety from diseases like COVID-19, and easier access to healthcare providers.</w:t>
            </w:r>
          </w:p>
          <w:p w14:paraId="7384EA28"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6E1DFEBF"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vAlign w:val="center"/>
          </w:tcPr>
          <w:p w14:paraId="28C20D6F"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Tran et al.</w:t>
            </w:r>
          </w:p>
          <w:p w14:paraId="378A1E9C"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(2023)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{"citationID":"d7muHvZs","properties":{"formattedCitation":"[57]","plainCitation":"[57]","noteIndex":0},"citationItems":[{"id":2464,"uris":["http://zotero.org/users/4007286/items/E2I79E9K"],"itemData":{"id":2464,"type":"article-journal","abstract":"E-cigarette use in young individuals may increase risk for cigarette smoking initiation. Over half of young adults who use e-cigarettes voiced their desire to quit e-cigarettes. Mobile-based interventions may allow for an easy-to-use platform to engage young adults in cessation services and reduce risk for cigarette uptake. To inform development of such programs, this study sought to gather information about what young adults want to see included in e-cigarette cessation interventions that also target future smoking risk. Nine online focus groups (n = 33) were conducted in July and August 2022 with young adults who either (1) currently used e-cigarettes, (2) formerly used e-cigarettes, or (3) initiated nicotine use with e-cigarettes but subsequently smoked cigarettes (dual use). Two research team members independently coded the transcripts and identified themes. A third researcher independently reviewed the coding and thematic analysis. Participants believed that mobile-based interventions should include peer support, ways to track cessation progress, education about the harms of e-cigarettes, gamification, and incentivization. They also believed that to prevent future cigarette smoking, interventions need to include education about the harms of smoking, teach refusal skills for offers to smoke, and incorporate personal anecdotes from former smokers. To increase their readiness, motivation, and self-efficacy to quit, participants who continue to use e-cigarettes reported needing effective substitutions to replace e-cigarettes, barriers to hinder their access to e-cigarettes, and social support. Findings from this study may be useful to incorporate when developing interventions designed to reduce e-cigarette use and risk of progression to smoking for young adults. © 2023 The Authors","archive":"Scopus","container-title":"Preventive Medicine Reports","DOI":"10.1016/j.pmedr.2023.102332","title":"Informing the development of interventions for e-cigarette use and prevention of transition to cigarette smoking in young adults: A qualitative study","URL":"https://www.scopus.com/inward/record.uri?eid=2-s2.0-85165616543&amp;doi=10.1016%2fj.pmedr.2023.102332&amp;partnerID=40&amp;md5=a2e1ad32db812b07f211e440e48eefa9","volume":"35","author":[{"family":"Tran","given":"D.D."},{"family":"Davis","given":"J.P."},{"family":"Ring","given":"C."},{"family":"Buch","given":"K."},{"family":"Fitzke","given":"R.E."},{"family":"Pedersen","given":"E.R."}],"issued":{"date-parts":[["2023"]]}}}],"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[57]</w:t>
            </w:r>
            <w:r w:rsidRPr="00402F7C">
              <w:rPr>
                <w:rFonts w:ascii="Calibri" w:eastAsiaTheme="majorEastAsia" w:hAnsi="Calibri" w:cs="Calibri"/>
                <w:color w:val="000000" w:themeColor="text1"/>
                <w:kern w:val="2"/>
                <w:sz w:val="16"/>
                <w:szCs w:val="16"/>
                <w:lang w:val="en-US"/>
              </w:rPr>
              <w:fldChar w:fldCharType="end"/>
            </w:r>
          </w:p>
          <w:p w14:paraId="48C524DB"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USA</w:t>
            </w:r>
          </w:p>
        </w:tc>
        <w:tc>
          <w:tcPr>
            <w:tcW w:w="1752" w:type="dxa"/>
          </w:tcPr>
          <w:p w14:paraId="4E23CBC3"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identify preferences of young adults for e-cigarette cessation interventions</w:t>
            </w:r>
          </w:p>
        </w:tc>
        <w:tc>
          <w:tcPr>
            <w:tcW w:w="1156" w:type="dxa"/>
          </w:tcPr>
          <w:p w14:paraId="4E4CC863"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N=9 patients</w:t>
            </w:r>
          </w:p>
          <w:p w14:paraId="72B061EB"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37 Age range</w:t>
            </w:r>
          </w:p>
          <w:p w14:paraId="73A95A0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 [23;56]</w:t>
            </w:r>
          </w:p>
          <w:p w14:paraId="42F06AEE"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108" w:type="dxa"/>
          </w:tcPr>
          <w:p w14:paraId="1C430DF2"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Focus groups</w:t>
            </w:r>
          </w:p>
        </w:tc>
        <w:tc>
          <w:tcPr>
            <w:tcW w:w="1177" w:type="dxa"/>
          </w:tcPr>
          <w:p w14:paraId="537ABC74"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Thematic content analysis</w:t>
            </w:r>
          </w:p>
        </w:tc>
        <w:tc>
          <w:tcPr>
            <w:tcW w:w="3150" w:type="dxa"/>
            <w:gridSpan w:val="2"/>
          </w:tcPr>
          <w:p w14:paraId="269C892E"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Young adults desire to receive peer-support and a function to document and track progress of smoking cessation.</w:t>
            </w:r>
          </w:p>
          <w:p w14:paraId="5E4777C9"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They also want information about the harms of e-cigarettes and a list of alternative positive </w:t>
            </w:r>
            <w:proofErr w:type="spellStart"/>
            <w:r w:rsidRPr="00402F7C">
              <w:rPr>
                <w:rFonts w:ascii="Calibri" w:eastAsiaTheme="majorEastAsia" w:hAnsi="Calibri" w:cs="Calibri"/>
                <w:color w:val="000000" w:themeColor="text1"/>
                <w:kern w:val="2"/>
                <w:sz w:val="16"/>
                <w:szCs w:val="16"/>
                <w:lang w:val="en-US"/>
              </w:rPr>
              <w:t>behaviour</w:t>
            </w:r>
            <w:proofErr w:type="spellEnd"/>
            <w:r w:rsidRPr="00402F7C">
              <w:rPr>
                <w:rFonts w:ascii="Calibri" w:eastAsiaTheme="majorEastAsia" w:hAnsi="Calibri" w:cs="Calibri"/>
                <w:color w:val="000000" w:themeColor="text1"/>
                <w:kern w:val="2"/>
                <w:sz w:val="16"/>
                <w:szCs w:val="16"/>
                <w:lang w:val="en-US"/>
              </w:rPr>
              <w:t>.</w:t>
            </w:r>
          </w:p>
          <w:p w14:paraId="76CB3E32"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0F69C563"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vAlign w:val="center"/>
          </w:tcPr>
          <w:p w14:paraId="0FC2C586"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Van der Vaart et al. (2014)</w:t>
            </w:r>
            <w:r w:rsidRPr="00402F7C">
              <w:rPr>
                <w:rFonts w:ascii="Calibri" w:eastAsiaTheme="majorEastAsia" w:hAnsi="Calibri" w:cs="Calibri"/>
                <w:bCs/>
                <w:i w:val="0"/>
                <w:iCs w:val="0"/>
                <w:color w:val="000000" w:themeColor="text1"/>
                <w:kern w:val="2"/>
                <w:sz w:val="16"/>
                <w:szCs w:val="16"/>
                <w:lang w:val="en-US"/>
              </w:rPr>
              <w:t xml:space="preserve"> </w:t>
            </w:r>
            <w:r w:rsidRPr="00402F7C">
              <w:rPr>
                <w:rFonts w:ascii="Calibri" w:eastAsiaTheme="majorEastAsia" w:hAnsi="Calibri" w:cs="Calibri"/>
                <w:bCs/>
                <w:color w:val="000000" w:themeColor="text1"/>
                <w:kern w:val="2"/>
                <w:sz w:val="16"/>
                <w:szCs w:val="16"/>
                <w:lang w:val="en-US"/>
              </w:rPr>
              <w:fldChar w:fldCharType="begin"/>
            </w:r>
            <w:r w:rsidRPr="00402F7C">
              <w:rPr>
                <w:rFonts w:ascii="Calibri" w:eastAsiaTheme="majorEastAsia" w:hAnsi="Calibri" w:cs="Calibri"/>
                <w:bCs/>
                <w:i w:val="0"/>
                <w:iCs w:val="0"/>
                <w:color w:val="000000" w:themeColor="text1"/>
                <w:kern w:val="2"/>
                <w:sz w:val="16"/>
                <w:szCs w:val="16"/>
                <w:lang w:val="en-US"/>
              </w:rPr>
              <w:instrText xml:space="preserve"> ADDIN ZOTERO_ITEM CSL_CITATION {"citationID":"4sP3XJgF","properties":{"formattedCitation":"[109]","plainCitation":"[109]","noteIndex":0},"citationItems":[{"id":2358,"uris":["http://zotero.org/users/4007286/items/SY7JRWKZ"],"itemData":{"id":2358,"type":"article-journal","abstract":"Background: Blending online modules into face-to-face therapy offers perspectives to enhance patient self-management and to increase the (cost-)effectiveness of therapy, while still providing the support patients need. The aim of this study was to outline optimal usage of blended care for depression, according to patients and therapists. Methods: A Delphi method was used to find consensus on suitable blended protocols (content, sequence and ratio). Phase 1 was an explorative phase, conducted in two rounds of online questionnaires, in which patients' and therapists' preferences and opinions about online psychotherapy were surveyed. In phase 2, data from phase 1 was used in face-to-face interviews with therapists to investigate how blended therapy protocols could be set up and what essential preconditions would be. Results: Twelve therapists and nine patients completed the surveys. Blended therapy was positively perceived among all respondents, especially to enhance the self-management of patients. According to most respondents, practical therapy components (assignments, diaries and psycho-education) may be provided via online modules, while process-related components (introduction, evaluation and discussing thoughts and feelings), should be supported face-to-face. The preferred blend of online and face-to-face sessions differs between therapists and patients; most therapists prefer 75% face-to-face sessions, most patients 50 to 60%. The interviews showed that tailoring treatment to individual patients is essential in secondary mental health care, due to the complexity of their problems. The amount and ratio of online modules needs to be adjusted according to the patient's problems, skills and characteristics. Therapists themselves should also develop skills to integrate online and face-to-face sessions. Conclusions: Blending online and face-to-face sessions in an integrated depression therapy is viewed as a positive innovation by patients and therapists. Following a standard blended protocol, however, would be difficult in secondary mental health care. A database of online modules could provide flexibility to tailor treatment to individual patients, which asks motivation and skills of both patients and therapists. Further research is necessary to determine the (cost-)effectiveness of blended care, but this study provides starting points and preconditions to blend online and face-to-face sessions and create a treatment combining the best of both worlds. © van der Vaart et al.","archive":"Scopus","container-title":"BMC Psychiatry","DOI":"10.1186/s12888-014-0355-z","issue":"1","title":"Blending online therapy into regular face-to-face therapy for depression: Content, ratio and preconditions according to patients and therapists using a Delphi study","URL":"https://www.scopus.com/inward/record.uri?eid=2-s2.0-84924041835&amp;doi=10.1186%2fs12888-014-0355-z&amp;partnerID=40&amp;md5=f88f34f77f1dbfa9c20e751a1ced1e2b","volume":"14","author":[{"family":"Vaart","given":"R.","non-dropping-particle":"van der"},{"family":"Witting","given":"M."},{"family":"Riper","given":"H."},{"family":"Kooistra","given":"L."},{"family":"Bohlmeijer","given":"E.T."},{"family":"Gemert-Pijnen","given":"L.J.E.W.C.","non-dropping-particle":"van"}],"issued":{"date-parts":[["2014"]]}}}],"schema":"https://github.com/citation-style-language/schema/raw/master/csl-citation.json"} </w:instrText>
            </w:r>
            <w:r w:rsidRPr="00402F7C">
              <w:rPr>
                <w:rFonts w:ascii="Calibri" w:eastAsiaTheme="majorEastAsia" w:hAnsi="Calibri" w:cs="Calibri"/>
                <w:bCs/>
                <w:color w:val="000000" w:themeColor="text1"/>
                <w:kern w:val="2"/>
                <w:sz w:val="16"/>
                <w:szCs w:val="16"/>
                <w:lang w:val="en-US"/>
              </w:rPr>
              <w:fldChar w:fldCharType="separate"/>
            </w:r>
            <w:r w:rsidRPr="00402F7C">
              <w:rPr>
                <w:rFonts w:ascii="Calibri" w:eastAsiaTheme="majorEastAsia" w:hAnsi="Calibri" w:cs="Calibri"/>
                <w:bCs/>
                <w:i w:val="0"/>
                <w:iCs w:val="0"/>
                <w:color w:val="000000" w:themeColor="text1"/>
                <w:kern w:val="2"/>
                <w:sz w:val="16"/>
                <w:szCs w:val="16"/>
                <w:lang w:val="en-US"/>
              </w:rPr>
              <w:t>[109]</w:t>
            </w:r>
            <w:r w:rsidRPr="00402F7C">
              <w:rPr>
                <w:rFonts w:ascii="Calibri" w:eastAsiaTheme="majorEastAsia" w:hAnsi="Calibri" w:cs="Calibri"/>
                <w:bCs/>
                <w:color w:val="000000" w:themeColor="text1"/>
                <w:kern w:val="2"/>
                <w:sz w:val="16"/>
                <w:szCs w:val="16"/>
                <w:lang w:val="en-US"/>
              </w:rPr>
              <w:fldChar w:fldCharType="end"/>
            </w:r>
          </w:p>
          <w:p w14:paraId="3E205AF4"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Netherlands</w:t>
            </w:r>
          </w:p>
        </w:tc>
        <w:tc>
          <w:tcPr>
            <w:tcW w:w="1752" w:type="dxa"/>
          </w:tcPr>
          <w:p w14:paraId="7A4E2219"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Define optimal usage of blended care for depression (blending online therapy into regular face-to-face therapy)</w:t>
            </w:r>
          </w:p>
        </w:tc>
        <w:tc>
          <w:tcPr>
            <w:tcW w:w="1156" w:type="dxa"/>
          </w:tcPr>
          <w:p w14:paraId="227F02A8"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N=18</w:t>
            </w:r>
          </w:p>
          <w:p w14:paraId="7D95BE5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59</w:t>
            </w:r>
          </w:p>
          <w:p w14:paraId="74B34114"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Age range</w:t>
            </w:r>
          </w:p>
          <w:p w14:paraId="1BD48EAF"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 [41;78]</w:t>
            </w:r>
          </w:p>
        </w:tc>
        <w:tc>
          <w:tcPr>
            <w:tcW w:w="1108" w:type="dxa"/>
          </w:tcPr>
          <w:p w14:paraId="44729123"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Delphi method</w:t>
            </w:r>
          </w:p>
          <w:p w14:paraId="7A36C314"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participated only to phase 1 with online survey)</w:t>
            </w:r>
          </w:p>
          <w:p w14:paraId="21E6CE8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177" w:type="dxa"/>
          </w:tcPr>
          <w:p w14:paraId="2E8DD90D"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Quantifying scores on each item of online survey</w:t>
            </w:r>
          </w:p>
        </w:tc>
        <w:tc>
          <w:tcPr>
            <w:tcW w:w="3150" w:type="dxa"/>
            <w:gridSpan w:val="2"/>
          </w:tcPr>
          <w:p w14:paraId="12CC908E"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For the introduction of the treatment, face-to-face interactions are needed.</w:t>
            </w:r>
          </w:p>
          <w:p w14:paraId="4CD26057"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But for the practical component of treatment (assignments, diaries) is preferred to be online by patients (self-management, incorporating the therapy into the daily life of patients).</w:t>
            </w:r>
          </w:p>
          <w:p w14:paraId="3DC6D1C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51CA953B" w14:textId="77777777" w:rsidTr="00AB6102">
        <w:trPr>
          <w:trHeight w:val="1055"/>
        </w:trPr>
        <w:tc>
          <w:tcPr>
            <w:cnfStyle w:val="001000000000" w:firstRow="0" w:lastRow="0" w:firstColumn="1" w:lastColumn="0" w:oddVBand="0" w:evenVBand="0" w:oddHBand="0" w:evenHBand="0" w:firstRowFirstColumn="0" w:firstRowLastColumn="0" w:lastRowFirstColumn="0" w:lastRowLastColumn="0"/>
            <w:tcW w:w="1247" w:type="dxa"/>
            <w:vAlign w:val="center"/>
          </w:tcPr>
          <w:p w14:paraId="67C62C7F"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402F7C">
              <w:rPr>
                <w:rFonts w:ascii="Calibri" w:eastAsiaTheme="majorEastAsia" w:hAnsi="Calibri" w:cs="Calibri"/>
                <w:b/>
                <w:bCs/>
                <w:i w:val="0"/>
                <w:iCs w:val="0"/>
                <w:color w:val="000000" w:themeColor="text1"/>
                <w:kern w:val="2"/>
                <w:sz w:val="16"/>
                <w:szCs w:val="16"/>
                <w:lang w:val="en-US"/>
              </w:rPr>
              <w:t>Walsh et al.</w:t>
            </w:r>
          </w:p>
          <w:p w14:paraId="38A5F38E"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402F7C">
              <w:rPr>
                <w:rFonts w:ascii="Calibri" w:eastAsiaTheme="majorEastAsia" w:hAnsi="Calibri" w:cs="Calibri"/>
                <w:b/>
                <w:bCs/>
                <w:i w:val="0"/>
                <w:iCs w:val="0"/>
                <w:color w:val="000000" w:themeColor="text1"/>
                <w:kern w:val="2"/>
                <w:sz w:val="16"/>
                <w:szCs w:val="16"/>
                <w:lang w:val="en-US"/>
              </w:rPr>
              <w:t>(2024)</w:t>
            </w:r>
            <w:r w:rsidRPr="00402F7C">
              <w:rPr>
                <w:rFonts w:ascii="Calibri" w:eastAsiaTheme="majorEastAsia" w:hAnsi="Calibri" w:cs="Calibri"/>
                <w:b/>
                <w:bCs/>
                <w:i w:val="0"/>
                <w:iCs w:val="0"/>
                <w:color w:val="000000" w:themeColor="text1"/>
                <w:sz w:val="16"/>
                <w:szCs w:val="16"/>
                <w:lang w:val="en-US"/>
              </w:rPr>
              <w:t xml:space="preserve">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sz w:val="16"/>
                <w:szCs w:val="16"/>
                <w:lang w:val="en-US"/>
              </w:rPr>
              <w:instrText xml:space="preserve"> ADDIN ZOTERO_ITEM CSL_CITATION {"citationID":"gyoyYthS","properties":{"formattedCitation":"[120]","plainCitation":"[120]","noteIndex":0},"citationItems":[{"id":2107,"uris":["http://zotero.org/users/4007286/items/FL3ACK8Y"],"itemData":{"id":2107,"type":"article-journal","abstract":"Objective The study explores the attitudes of people with chronic health conditions towards the use of group-based telerehabilitation.Design A qualitative research study.Setting The setting involved semi-structured focus groups via videoconferencing software.Participants A purposive sample of 18 people with chronic health conditions including cardiorespiratory, neurological and musculoskeletal conditions was recruited via national patient advocacy and support groups in Ireland and clinical contacts. The sample included both those who had, and had not, previously engaged in telerehabilitation programmes.Procedures An online questionnaire collected demographic information and data regarding previous telerehabilitation participation and telerehabilitation preferences. Focus groups were conducted using videoconferencing software, in accordance with the Consolidated Criteria for Reporting Qualitative Research (COREQ) Checklist, and analysed using thematic analysis following Braun and Clarke's methodology. Findings were triangulated with quantitative questionnaire data.Results Four focus groups were conducted including participants with chronic cardiorespiratory (n = 8), neurological (n = 6) and musculoskeletal (n = 4) conditions. Three themes were identified regarding telerehabilitation: (a) benefits and facilitators (including convenience, increased service accessibility, social connection and technological support), (b) challenges and barriers (including technological access and literacy, limited 'hands-on' therapy, safety concerns and social limitations), and (c) preferences (regarding mode of delivery, content, duration and generic programmes for mixed-condition groups).Conclusions Telerehabilitation is convenient for people with chronic conditions; however, concerns exist regarding the use of technology and the limitations of this healthcare delivery method. The role of telerehabilitation is valued, and future programmes should acknowledge patient preferences including a hybrid model of care, exercise and educational content, social interaction and synchronous components.","archive_location":"WOS:001060125200001","container-title":"CLINICAL REHABILITATION","DOI":"10.1177/02692155231197385","ISSN":"0269-2155","issue":"1","page":"130-142","title":"Exploring attitudes of people with chronic health conditions towards the use of group-based telerehabilitation: A qualitative study","volume":"38","author":[{"family":"Walsh","given":"CB"},{"family":"Cahalan","given":"R"},{"family":"Hinman","given":"RS"},{"family":"O'Sullivan","given":"K"}],"issued":{"date-parts":[["2024",1]]}}}],"schema":"https://github.com/citation-style-language/schema/raw/master/csl-citation.json"} </w:instrText>
            </w:r>
            <w:r w:rsidRPr="00402F7C">
              <w:rPr>
                <w:rFonts w:ascii="Calibri" w:eastAsiaTheme="majorEastAsia" w:hAnsi="Calibri" w:cs="Calibri"/>
                <w:color w:val="000000" w:themeColor="text1"/>
                <w:sz w:val="16"/>
                <w:szCs w:val="16"/>
                <w:lang w:val="en-US"/>
              </w:rPr>
              <w:fldChar w:fldCharType="separate"/>
            </w:r>
            <w:r w:rsidRPr="00402F7C">
              <w:rPr>
                <w:rFonts w:ascii="Calibri" w:eastAsiaTheme="majorEastAsia" w:hAnsi="Calibri" w:cs="Calibri"/>
                <w:i w:val="0"/>
                <w:iCs w:val="0"/>
                <w:color w:val="000000" w:themeColor="text1"/>
                <w:sz w:val="16"/>
                <w:szCs w:val="16"/>
                <w:lang w:val="en-US"/>
              </w:rPr>
              <w:t>[120]</w:t>
            </w:r>
            <w:r w:rsidRPr="00402F7C">
              <w:rPr>
                <w:rFonts w:ascii="Calibri" w:eastAsiaTheme="majorEastAsia" w:hAnsi="Calibri" w:cs="Calibri"/>
                <w:color w:val="000000" w:themeColor="text1"/>
                <w:sz w:val="16"/>
                <w:szCs w:val="16"/>
                <w:lang w:val="en-US"/>
              </w:rPr>
              <w:fldChar w:fldCharType="end"/>
            </w:r>
          </w:p>
          <w:p w14:paraId="517D6C3F"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Ireland</w:t>
            </w:r>
          </w:p>
        </w:tc>
        <w:tc>
          <w:tcPr>
            <w:tcW w:w="1752" w:type="dxa"/>
          </w:tcPr>
          <w:p w14:paraId="53AE88A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Explore the attitudes of people with a range of chronic health conditions towards group-based telerehabilitation</w:t>
            </w:r>
          </w:p>
          <w:p w14:paraId="69BE1BE1"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156" w:type="dxa"/>
          </w:tcPr>
          <w:p w14:paraId="3D406812"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N=17</w:t>
            </w:r>
          </w:p>
          <w:p w14:paraId="6AE55281"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Mean age: 54 </w:t>
            </w:r>
          </w:p>
          <w:p w14:paraId="7A9B0224"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Age range</w:t>
            </w:r>
          </w:p>
          <w:p w14:paraId="27AE12D8"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 [26,76]</w:t>
            </w:r>
          </w:p>
        </w:tc>
        <w:tc>
          <w:tcPr>
            <w:tcW w:w="1108" w:type="dxa"/>
          </w:tcPr>
          <w:p w14:paraId="5C15B45F"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 xml:space="preserve">Focus groups </w:t>
            </w:r>
          </w:p>
        </w:tc>
        <w:tc>
          <w:tcPr>
            <w:tcW w:w="1177" w:type="dxa"/>
          </w:tcPr>
          <w:p w14:paraId="47B57A6D"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Thematic content analysis</w:t>
            </w:r>
          </w:p>
        </w:tc>
        <w:tc>
          <w:tcPr>
            <w:tcW w:w="3150" w:type="dxa"/>
            <w:gridSpan w:val="2"/>
          </w:tcPr>
          <w:p w14:paraId="1826803E"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preferred to blend telehealth and traditional in-person rehabilitation</w:t>
            </w:r>
          </w:p>
          <w:p w14:paraId="1812796E"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Synchronous and asynchronous telerehabilitation are needed for patients</w:t>
            </w:r>
          </w:p>
          <w:p w14:paraId="17C93F90"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Telerehabilitation should be delivered by a healthcare professional</w:t>
            </w:r>
          </w:p>
          <w:p w14:paraId="1E983F8C" w14:textId="77777777" w:rsidR="00402F7C" w:rsidRPr="00402F7C" w:rsidRDefault="00402F7C" w:rsidP="00402F7C">
            <w:pPr>
              <w:keepNext/>
              <w:keepLines/>
              <w:suppressAutoHyphen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402F7C" w:rsidRPr="00402F7C" w14:paraId="6C2B9D6D" w14:textId="77777777" w:rsidTr="00AB6102">
        <w:trPr>
          <w:cnfStyle w:val="000000100000" w:firstRow="0" w:lastRow="0" w:firstColumn="0" w:lastColumn="0" w:oddVBand="0" w:evenVBand="0" w:oddHBand="1" w:evenHBand="0"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1247" w:type="dxa"/>
            <w:tcBorders>
              <w:bottom w:val="double" w:sz="4" w:space="0" w:color="auto"/>
            </w:tcBorders>
            <w:vAlign w:val="center"/>
          </w:tcPr>
          <w:p w14:paraId="63CBDB30"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402F7C">
              <w:rPr>
                <w:rFonts w:ascii="Calibri" w:eastAsiaTheme="majorEastAsia" w:hAnsi="Calibri" w:cs="Calibri"/>
                <w:b/>
                <w:bCs/>
                <w:i w:val="0"/>
                <w:iCs w:val="0"/>
                <w:color w:val="000000" w:themeColor="text1"/>
                <w:kern w:val="2"/>
                <w:sz w:val="16"/>
                <w:szCs w:val="16"/>
                <w:lang w:val="en-US"/>
              </w:rPr>
              <w:t>Weis et al.</w:t>
            </w:r>
          </w:p>
          <w:p w14:paraId="1EA4A9B7"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402F7C">
              <w:rPr>
                <w:rFonts w:ascii="Calibri" w:eastAsiaTheme="majorEastAsia" w:hAnsi="Calibri" w:cs="Calibri"/>
                <w:b/>
                <w:bCs/>
                <w:i w:val="0"/>
                <w:iCs w:val="0"/>
                <w:color w:val="000000" w:themeColor="text1"/>
                <w:kern w:val="2"/>
                <w:sz w:val="16"/>
                <w:szCs w:val="16"/>
                <w:lang w:val="en-US"/>
              </w:rPr>
              <w:t xml:space="preserve">(2023) </w:t>
            </w:r>
            <w:r w:rsidRPr="00402F7C">
              <w:rPr>
                <w:rFonts w:ascii="Calibri" w:eastAsiaTheme="majorEastAsia" w:hAnsi="Calibri" w:cs="Calibri"/>
                <w:color w:val="000000" w:themeColor="text1"/>
                <w:sz w:val="16"/>
                <w:szCs w:val="16"/>
                <w:lang w:val="en-US"/>
              </w:rPr>
              <w:fldChar w:fldCharType="begin"/>
            </w:r>
            <w:r w:rsidRPr="00402F7C">
              <w:rPr>
                <w:rFonts w:ascii="Calibri" w:eastAsiaTheme="majorEastAsia" w:hAnsi="Calibri" w:cs="Calibri"/>
                <w:i w:val="0"/>
                <w:iCs w:val="0"/>
                <w:color w:val="000000" w:themeColor="text1"/>
                <w:kern w:val="2"/>
                <w:sz w:val="16"/>
                <w:szCs w:val="16"/>
                <w:lang w:val="en-US"/>
              </w:rPr>
              <w:instrText xml:space="preserve"> ADDIN ZOTERO_ITEM CSL_CITATION {"citationID":"deVAseUe","properties":{"formattedCitation":"[115]","plainCitation":"[115]","noteIndex":0},"citationItems":[{"id":2461,"uris":["http://zotero.org/users/4007286/items/VY3V65BS"],"itemData":{"id":2461,"type":"article-journal","abstract":"Background: Mobile health (mHealth) tools were developed during the past decades and are increasingly used by patients in cancer care too. Scientific research in the development of mHealth services is required in order to meet the various needs of patients and test usability. Objective: The aim of this study is to assess patients’ needs, preferences, and usability of an app (My University Clinic [MUC] app) developed by the Comprehensive Cancer Center Freiburg (CCCF) Germany. Methods: Based on a qualitative cross-sectional approach, we conducted semistructured interviews with patients with cancer, addressing their needs, preferences, and usability of the designed MUC app. Patients treated by the CCCF were recruited based on a purposive sampling technique focusing on age, sex, cancer diagnoses, and treatment setting (inpatient, outpatient). Data analysis followed the qualitative content analysis according to Kuckartz and was performed using computer-assisted software (MAXQDA). Results: For the interviews, 17 patients with cancer were selected, covering a broad range of sampling parameters. The results showed that patients expect benefits in terms of improved information about the disease and communication with the clinic staff. Demands for additional features were identified (eg, a list of contact persons and medication management). The most important concerns referred to data security and the potential restriction of personal contacts with health care professionals of the clinical departments of the CCCF. In addition, some features for improving the design of the MUC app with respect to usability or for inclusion of interacting tools were suggested by the patients. Conclusions: The results of this qualitative study were discussed within the multidisciplinary team and the MUC app providers. Patients’ perspectives and needs will be included in further development of the MUC app. There will be a second study phase in which patients will receive a test version of the MUC app and will be asked about their experiences with it. ©Joachim Weis, Lucy Raphaela Wolf, Melanie Boerries, Daniela Kassahn, Martin Boeker, Carolin Dresch. Originally published in JMIR Cancer.","archive":"Scopus","container-title":"JMIR Cancer","DOI":"10.2196/40891","title":"Identification of the Needs and Preferences of Patients With Cancer for the Development of a Clinic App: Qualitative Study","URL":"https://www.scopus.com/inward/record.uri?eid=2-s2.0-85168013248&amp;doi=10.2196%2f40891&amp;partnerID=40&amp;md5=83a369a8b3eb8b4a1d57bda825af76c6","volume":"9","author":[{"family":"Weis","given":"J."},{"family":"Wolf","given":"L.R."},{"family":"Boerries","given":"M."},{"family":"Kassahn","given":"D."},{"family":"Boeker","given":"M."},{"family":"Dresch","given":"C."}],"issued":{"date-parts":[["2023"]]}}}],"schema":"https://github.com/citation-style-language/schema/raw/master/csl-citation.json"} </w:instrText>
            </w:r>
            <w:r w:rsidRPr="00402F7C">
              <w:rPr>
                <w:rFonts w:ascii="Calibri" w:eastAsiaTheme="majorEastAsia" w:hAnsi="Calibri" w:cs="Calibri"/>
                <w:color w:val="000000" w:themeColor="text1"/>
                <w:kern w:val="2"/>
                <w:sz w:val="16"/>
                <w:szCs w:val="16"/>
                <w:lang w:val="en-US"/>
              </w:rPr>
              <w:fldChar w:fldCharType="separate"/>
            </w:r>
            <w:r w:rsidRPr="00402F7C">
              <w:rPr>
                <w:rFonts w:ascii="Calibri" w:eastAsiaTheme="majorEastAsia" w:hAnsi="Calibri" w:cs="Calibri"/>
                <w:i w:val="0"/>
                <w:iCs w:val="0"/>
                <w:color w:val="000000"/>
                <w:kern w:val="2"/>
                <w:sz w:val="16"/>
                <w:szCs w:val="16"/>
                <w:lang w:val="en-US"/>
              </w:rPr>
              <w:t>[115]</w:t>
            </w:r>
            <w:r w:rsidRPr="00402F7C">
              <w:rPr>
                <w:rFonts w:ascii="Calibri" w:eastAsiaTheme="majorEastAsia" w:hAnsi="Calibri" w:cs="Calibri"/>
                <w:color w:val="000000" w:themeColor="text1"/>
                <w:kern w:val="2"/>
                <w:sz w:val="16"/>
                <w:szCs w:val="16"/>
                <w:lang w:val="en-US"/>
              </w:rPr>
              <w:fldChar w:fldCharType="end"/>
            </w:r>
          </w:p>
          <w:p w14:paraId="2E0F8CD3" w14:textId="77777777" w:rsidR="00402F7C" w:rsidRPr="00402F7C" w:rsidRDefault="00402F7C" w:rsidP="00402F7C">
            <w:pPr>
              <w:keepNext/>
              <w:keepLines/>
              <w:suppressAutoHyphens/>
              <w:spacing w:before="40" w:line="240" w:lineRule="auto"/>
              <w:jc w:val="center"/>
              <w:outlineLvl w:val="1"/>
              <w:rPr>
                <w:rFonts w:ascii="Calibri" w:eastAsiaTheme="majorEastAsia" w:hAnsi="Calibri" w:cs="Calibri"/>
                <w:bCs/>
                <w:color w:val="000000" w:themeColor="text1"/>
                <w:sz w:val="16"/>
                <w:szCs w:val="16"/>
                <w:lang w:val="en-US"/>
              </w:rPr>
            </w:pPr>
            <w:r w:rsidRPr="00402F7C">
              <w:rPr>
                <w:rFonts w:ascii="Calibri" w:eastAsiaTheme="majorEastAsia" w:hAnsi="Calibri" w:cs="Calibri"/>
                <w:bCs/>
                <w:color w:val="000000" w:themeColor="text1"/>
                <w:kern w:val="2"/>
                <w:sz w:val="16"/>
                <w:szCs w:val="16"/>
                <w:lang w:val="en-US"/>
              </w:rPr>
              <w:t>Germany</w:t>
            </w:r>
          </w:p>
        </w:tc>
        <w:tc>
          <w:tcPr>
            <w:tcW w:w="1752" w:type="dxa"/>
            <w:tcBorders>
              <w:bottom w:val="double" w:sz="4" w:space="0" w:color="auto"/>
            </w:tcBorders>
          </w:tcPr>
          <w:p w14:paraId="259A4F19"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To assess patients’ preferences of a clinic mobile application for patients with cancer</w:t>
            </w:r>
          </w:p>
        </w:tc>
        <w:tc>
          <w:tcPr>
            <w:tcW w:w="1156" w:type="dxa"/>
            <w:tcBorders>
              <w:bottom w:val="double" w:sz="4" w:space="0" w:color="auto"/>
            </w:tcBorders>
          </w:tcPr>
          <w:p w14:paraId="2BD940C2"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N=77</w:t>
            </w:r>
          </w:p>
          <w:p w14:paraId="489621AD"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Mean age: 59</w:t>
            </w:r>
          </w:p>
        </w:tc>
        <w:tc>
          <w:tcPr>
            <w:tcW w:w="1108" w:type="dxa"/>
            <w:tcBorders>
              <w:bottom w:val="double" w:sz="4" w:space="0" w:color="auto"/>
            </w:tcBorders>
          </w:tcPr>
          <w:p w14:paraId="4296C376"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Individual interviews</w:t>
            </w:r>
          </w:p>
        </w:tc>
        <w:tc>
          <w:tcPr>
            <w:tcW w:w="1177" w:type="dxa"/>
            <w:tcBorders>
              <w:bottom w:val="double" w:sz="4" w:space="0" w:color="auto"/>
            </w:tcBorders>
          </w:tcPr>
          <w:p w14:paraId="2CD56900"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Combination of deductive and inductive approach</w:t>
            </w:r>
          </w:p>
        </w:tc>
        <w:tc>
          <w:tcPr>
            <w:tcW w:w="3150" w:type="dxa"/>
            <w:gridSpan w:val="2"/>
            <w:tcBorders>
              <w:bottom w:val="double" w:sz="4" w:space="0" w:color="auto"/>
            </w:tcBorders>
          </w:tcPr>
          <w:p w14:paraId="1229E464" w14:textId="77777777" w:rsidR="00402F7C" w:rsidRPr="00402F7C" w:rsidRDefault="00402F7C" w:rsidP="00402F7C">
            <w:pPr>
              <w:keepNext/>
              <w:keepLines/>
              <w:suppressAutoHyphen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402F7C">
              <w:rPr>
                <w:rFonts w:ascii="Calibri" w:eastAsiaTheme="majorEastAsia" w:hAnsi="Calibri" w:cs="Calibri"/>
                <w:color w:val="000000" w:themeColor="text1"/>
                <w:kern w:val="2"/>
                <w:sz w:val="16"/>
                <w:szCs w:val="16"/>
                <w:lang w:val="en-US"/>
              </w:rPr>
              <w:t>Patients valued the app for its quick access to information but were concerned about less personal contact with healthcare staff and data security. They insisted on the app's use being optional, with customizable features and information tailored to their illness stage.</w:t>
            </w:r>
          </w:p>
        </w:tc>
      </w:tr>
    </w:tbl>
    <w:bookmarkEnd w:id="1"/>
    <w:p w14:paraId="60435B47" w14:textId="77777777" w:rsidR="00EF17A1" w:rsidRPr="00EF17A1" w:rsidRDefault="00EF17A1" w:rsidP="00EF17A1">
      <w:pPr>
        <w:spacing w:line="240" w:lineRule="auto"/>
        <w:rPr>
          <w:rFonts w:asciiTheme="minorHAnsi" w:hAnsiTheme="minorHAnsi" w:cstheme="minorHAnsi"/>
          <w:sz w:val="20"/>
          <w:szCs w:val="22"/>
          <w:lang w:val="en-US"/>
        </w:rPr>
      </w:pPr>
      <w:r w:rsidRPr="000B4CB4">
        <w:rPr>
          <w:rFonts w:asciiTheme="minorHAnsi" w:hAnsiTheme="minorHAnsi" w:cstheme="minorHAnsi"/>
          <w:sz w:val="20"/>
          <w:szCs w:val="22"/>
          <w:lang w:val="en-US"/>
        </w:rPr>
        <w:t>Note: Bracketed references in the tables correspond to the full citations provided in the References section of the main manuscript.</w:t>
      </w:r>
    </w:p>
    <w:p w14:paraId="1311963A" w14:textId="77777777" w:rsidR="008E7557" w:rsidRPr="000B4CB4" w:rsidRDefault="008E7557" w:rsidP="008E7557">
      <w:pPr>
        <w:rPr>
          <w:rFonts w:asciiTheme="minorHAnsi" w:hAnsiTheme="minorHAnsi" w:cstheme="minorHAnsi"/>
          <w:lang w:val="en-US"/>
        </w:rPr>
      </w:pPr>
    </w:p>
    <w:p w14:paraId="24BCE3F9" w14:textId="77777777" w:rsidR="00887749" w:rsidRPr="000B4CB4" w:rsidRDefault="00887749">
      <w:pPr>
        <w:spacing w:line="240" w:lineRule="auto"/>
        <w:rPr>
          <w:rFonts w:asciiTheme="minorHAnsi" w:hAnsiTheme="minorHAnsi" w:cstheme="minorHAnsi"/>
          <w:b/>
          <w:sz w:val="20"/>
          <w:lang w:val="en-US"/>
        </w:rPr>
      </w:pPr>
      <w:r w:rsidRPr="000B4CB4">
        <w:rPr>
          <w:rFonts w:asciiTheme="minorHAnsi" w:hAnsiTheme="minorHAnsi" w:cstheme="minorHAnsi"/>
          <w:b/>
          <w:sz w:val="20"/>
          <w:lang w:val="en-US"/>
        </w:rPr>
        <w:br w:type="page"/>
      </w:r>
    </w:p>
    <w:p w14:paraId="7D828412" w14:textId="77777777" w:rsidR="008E7557" w:rsidRPr="000B4CB4" w:rsidRDefault="008E7557" w:rsidP="008E7557">
      <w:pPr>
        <w:spacing w:line="240" w:lineRule="auto"/>
        <w:rPr>
          <w:rFonts w:asciiTheme="minorHAnsi" w:hAnsiTheme="minorHAnsi" w:cstheme="minorHAnsi"/>
          <w:szCs w:val="36"/>
          <w:lang w:val="en-US"/>
        </w:rPr>
      </w:pPr>
      <w:r w:rsidRPr="000B4CB4">
        <w:rPr>
          <w:rFonts w:asciiTheme="minorHAnsi" w:hAnsiTheme="minorHAnsi" w:cstheme="minorHAnsi"/>
          <w:b/>
          <w:szCs w:val="36"/>
          <w:lang w:val="en-US"/>
        </w:rPr>
        <w:lastRenderedPageBreak/>
        <w:t xml:space="preserve">Table </w:t>
      </w:r>
      <w:r w:rsidR="00F9589E" w:rsidRPr="000B4CB4">
        <w:rPr>
          <w:rFonts w:asciiTheme="minorHAnsi" w:hAnsiTheme="minorHAnsi" w:cstheme="minorHAnsi"/>
          <w:b/>
          <w:szCs w:val="36"/>
          <w:lang w:val="en-US"/>
        </w:rPr>
        <w:t>C</w:t>
      </w:r>
      <w:r w:rsidRPr="000B4CB4">
        <w:rPr>
          <w:rFonts w:asciiTheme="minorHAnsi" w:hAnsiTheme="minorHAnsi" w:cstheme="minorHAnsi"/>
          <w:b/>
          <w:szCs w:val="36"/>
          <w:lang w:val="en-US"/>
        </w:rPr>
        <w:t>3</w:t>
      </w:r>
      <w:r w:rsidRPr="000B4CB4">
        <w:rPr>
          <w:rFonts w:asciiTheme="minorHAnsi" w:hAnsiTheme="minorHAnsi" w:cstheme="minorHAnsi"/>
          <w:szCs w:val="36"/>
          <w:lang w:val="en-US"/>
        </w:rPr>
        <w:t>. Mixed-methods studies included</w:t>
      </w:r>
    </w:p>
    <w:tbl>
      <w:tblPr>
        <w:tblStyle w:val="Tableausimple5"/>
        <w:tblpPr w:leftFromText="141" w:rightFromText="141" w:vertAnchor="text" w:horzAnchor="margin" w:tblpY="545"/>
        <w:tblW w:w="9603" w:type="dxa"/>
        <w:tblLayout w:type="fixed"/>
        <w:tblLook w:val="04A0" w:firstRow="1" w:lastRow="0" w:firstColumn="1" w:lastColumn="0" w:noHBand="0" w:noVBand="1"/>
      </w:tblPr>
      <w:tblGrid>
        <w:gridCol w:w="1077"/>
        <w:gridCol w:w="1535"/>
        <w:gridCol w:w="1381"/>
        <w:gridCol w:w="1230"/>
        <w:gridCol w:w="1380"/>
        <w:gridCol w:w="2764"/>
        <w:gridCol w:w="236"/>
      </w:tblGrid>
      <w:tr w:rsidR="00A96B0A" w:rsidRPr="00A96B0A" w14:paraId="373BDE7C" w14:textId="77777777" w:rsidTr="00AB6102">
        <w:trPr>
          <w:cnfStyle w:val="100000000000" w:firstRow="1" w:lastRow="0" w:firstColumn="0" w:lastColumn="0" w:oddVBand="0" w:evenVBand="0" w:oddHBand="0" w:evenHBand="0" w:firstRowFirstColumn="0" w:firstRowLastColumn="0" w:lastRowFirstColumn="0" w:lastRowLastColumn="0"/>
          <w:trHeight w:val="872"/>
        </w:trPr>
        <w:tc>
          <w:tcPr>
            <w:cnfStyle w:val="001000000100" w:firstRow="0" w:lastRow="0" w:firstColumn="1" w:lastColumn="0" w:oddVBand="0" w:evenVBand="0" w:oddHBand="0" w:evenHBand="0" w:firstRowFirstColumn="1" w:firstRowLastColumn="0" w:lastRowFirstColumn="0" w:lastRowLastColumn="0"/>
            <w:tcW w:w="1077" w:type="dxa"/>
            <w:tcBorders>
              <w:top w:val="double" w:sz="4" w:space="0" w:color="auto"/>
              <w:bottom w:val="double" w:sz="4" w:space="0" w:color="auto"/>
            </w:tcBorders>
          </w:tcPr>
          <w:p w14:paraId="1311A4B9" w14:textId="77777777" w:rsidR="00A96B0A" w:rsidRPr="00A96B0A" w:rsidRDefault="00A96B0A" w:rsidP="00A96B0A">
            <w:pPr>
              <w:keepNext/>
              <w:keepLines/>
              <w:spacing w:before="40" w:line="240" w:lineRule="auto"/>
              <w:jc w:val="center"/>
              <w:outlineLvl w:val="1"/>
              <w:rPr>
                <w:rFonts w:ascii="Calibri" w:eastAsiaTheme="majorEastAsia" w:hAnsi="Calibri" w:cs="Calibri"/>
                <w:b/>
                <w:bCs/>
                <w:color w:val="000000" w:themeColor="text1"/>
                <w:sz w:val="16"/>
                <w:szCs w:val="16"/>
                <w:lang w:val="en-US"/>
              </w:rPr>
            </w:pPr>
            <w:r w:rsidRPr="00A96B0A">
              <w:rPr>
                <w:rFonts w:ascii="Calibri" w:eastAsiaTheme="majorEastAsia" w:hAnsi="Calibri" w:cs="Calibri"/>
                <w:b/>
                <w:bCs/>
                <w:color w:val="000000" w:themeColor="text1"/>
                <w:kern w:val="2"/>
                <w:sz w:val="16"/>
                <w:szCs w:val="16"/>
                <w:lang w:val="en-US"/>
              </w:rPr>
              <w:t>Authors</w:t>
            </w:r>
          </w:p>
          <w:p w14:paraId="26E8FC30" w14:textId="77777777" w:rsidR="00A96B0A" w:rsidRPr="00A96B0A" w:rsidRDefault="00A96B0A" w:rsidP="00A96B0A">
            <w:pPr>
              <w:keepNext/>
              <w:keepLines/>
              <w:spacing w:before="40" w:line="240" w:lineRule="auto"/>
              <w:jc w:val="center"/>
              <w:outlineLvl w:val="1"/>
              <w:rPr>
                <w:rFonts w:ascii="Calibri" w:eastAsiaTheme="majorEastAsia" w:hAnsi="Calibri" w:cs="Calibri"/>
                <w:b/>
                <w:bCs/>
                <w:color w:val="000000" w:themeColor="text1"/>
                <w:sz w:val="16"/>
                <w:szCs w:val="16"/>
                <w:lang w:val="en-US"/>
              </w:rPr>
            </w:pPr>
            <w:r w:rsidRPr="00A96B0A">
              <w:rPr>
                <w:rFonts w:ascii="Calibri" w:eastAsiaTheme="majorEastAsia" w:hAnsi="Calibri" w:cs="Calibri"/>
                <w:b/>
                <w:bCs/>
                <w:color w:val="000000" w:themeColor="text1"/>
                <w:kern w:val="2"/>
                <w:sz w:val="16"/>
                <w:szCs w:val="16"/>
                <w:lang w:val="en-US"/>
              </w:rPr>
              <w:t>(date)</w:t>
            </w:r>
          </w:p>
          <w:p w14:paraId="531F9301"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b/>
                <w:bCs/>
                <w:color w:val="000000" w:themeColor="text1"/>
                <w:kern w:val="2"/>
                <w:sz w:val="16"/>
                <w:szCs w:val="16"/>
                <w:lang w:val="en-US"/>
              </w:rPr>
              <w:t>Country</w:t>
            </w:r>
          </w:p>
        </w:tc>
        <w:tc>
          <w:tcPr>
            <w:tcW w:w="1535" w:type="dxa"/>
            <w:tcBorders>
              <w:top w:val="double" w:sz="4" w:space="0" w:color="auto"/>
              <w:bottom w:val="double" w:sz="4" w:space="0" w:color="auto"/>
            </w:tcBorders>
          </w:tcPr>
          <w:p w14:paraId="7D5777D5"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A96B0A">
              <w:rPr>
                <w:rFonts w:ascii="Calibri" w:eastAsiaTheme="majorEastAsia" w:hAnsi="Calibri" w:cs="Calibri"/>
                <w:b/>
                <w:bCs/>
                <w:color w:val="000000" w:themeColor="text1"/>
                <w:kern w:val="2"/>
                <w:sz w:val="16"/>
                <w:szCs w:val="16"/>
                <w:lang w:val="en-US"/>
              </w:rPr>
              <w:t>Aims</w:t>
            </w:r>
          </w:p>
        </w:tc>
        <w:tc>
          <w:tcPr>
            <w:tcW w:w="1381" w:type="dxa"/>
            <w:tcBorders>
              <w:top w:val="double" w:sz="4" w:space="0" w:color="auto"/>
              <w:bottom w:val="double" w:sz="4" w:space="0" w:color="auto"/>
            </w:tcBorders>
          </w:tcPr>
          <w:p w14:paraId="1F9D2ADB"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A96B0A">
              <w:rPr>
                <w:rFonts w:ascii="Calibri" w:eastAsiaTheme="majorEastAsia" w:hAnsi="Calibri" w:cs="Calibri"/>
                <w:b/>
                <w:bCs/>
                <w:color w:val="000000" w:themeColor="text1"/>
                <w:kern w:val="2"/>
                <w:sz w:val="16"/>
                <w:szCs w:val="16"/>
                <w:lang w:val="en-US"/>
              </w:rPr>
              <w:t>Sample</w:t>
            </w:r>
          </w:p>
        </w:tc>
        <w:tc>
          <w:tcPr>
            <w:tcW w:w="1230" w:type="dxa"/>
            <w:tcBorders>
              <w:top w:val="double" w:sz="4" w:space="0" w:color="auto"/>
              <w:bottom w:val="double" w:sz="4" w:space="0" w:color="auto"/>
            </w:tcBorders>
          </w:tcPr>
          <w:p w14:paraId="6B81CC6D"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A96B0A">
              <w:rPr>
                <w:rFonts w:ascii="Calibri" w:eastAsiaTheme="majorEastAsia" w:hAnsi="Calibri" w:cs="Calibri"/>
                <w:b/>
                <w:bCs/>
                <w:color w:val="000000" w:themeColor="text1"/>
                <w:kern w:val="2"/>
                <w:sz w:val="16"/>
                <w:szCs w:val="16"/>
                <w:lang w:val="en-US"/>
              </w:rPr>
              <w:t>Type of technology</w:t>
            </w:r>
          </w:p>
        </w:tc>
        <w:tc>
          <w:tcPr>
            <w:tcW w:w="1380" w:type="dxa"/>
            <w:tcBorders>
              <w:top w:val="double" w:sz="4" w:space="0" w:color="auto"/>
              <w:bottom w:val="double" w:sz="4" w:space="0" w:color="auto"/>
            </w:tcBorders>
          </w:tcPr>
          <w:p w14:paraId="6D8C6CA1"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A96B0A">
              <w:rPr>
                <w:rFonts w:ascii="Calibri" w:eastAsiaTheme="majorEastAsia" w:hAnsi="Calibri" w:cs="Calibri"/>
                <w:b/>
                <w:bCs/>
                <w:color w:val="000000" w:themeColor="text1"/>
                <w:kern w:val="2"/>
                <w:sz w:val="16"/>
                <w:szCs w:val="16"/>
                <w:lang w:val="en-US"/>
              </w:rPr>
              <w:t>Preference elicitation tool</w:t>
            </w:r>
          </w:p>
        </w:tc>
        <w:tc>
          <w:tcPr>
            <w:tcW w:w="2764" w:type="dxa"/>
            <w:tcBorders>
              <w:top w:val="double" w:sz="4" w:space="0" w:color="auto"/>
              <w:bottom w:val="double" w:sz="4" w:space="0" w:color="auto"/>
            </w:tcBorders>
          </w:tcPr>
          <w:p w14:paraId="3F304012"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A96B0A">
              <w:rPr>
                <w:rFonts w:ascii="Calibri" w:eastAsiaTheme="majorEastAsia" w:hAnsi="Calibri" w:cs="Calibri"/>
                <w:b/>
                <w:bCs/>
                <w:color w:val="000000" w:themeColor="text1"/>
                <w:kern w:val="2"/>
                <w:sz w:val="16"/>
                <w:szCs w:val="16"/>
                <w:lang w:val="en-US"/>
              </w:rPr>
              <w:t>Main findings</w:t>
            </w:r>
          </w:p>
        </w:tc>
        <w:tc>
          <w:tcPr>
            <w:tcW w:w="236" w:type="dxa"/>
          </w:tcPr>
          <w:p w14:paraId="3916B573" w14:textId="77777777" w:rsidR="00A96B0A" w:rsidRPr="00A96B0A" w:rsidRDefault="00A96B0A" w:rsidP="00A96B0A">
            <w:pPr>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bCs/>
                <w:kern w:val="2"/>
                <w:sz w:val="16"/>
                <w:szCs w:val="16"/>
                <w:lang w:val="en-US"/>
              </w:rPr>
            </w:pPr>
          </w:p>
        </w:tc>
      </w:tr>
      <w:tr w:rsidR="00A96B0A" w:rsidRPr="00A96B0A" w14:paraId="2887657F" w14:textId="77777777" w:rsidTr="00AB6102">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1077" w:type="dxa"/>
          </w:tcPr>
          <w:p w14:paraId="0ED30F7F" w14:textId="77777777" w:rsidR="00A96B0A" w:rsidRPr="00A96B0A" w:rsidRDefault="00A96B0A" w:rsidP="00A96B0A">
            <w:pPr>
              <w:keepNext/>
              <w:keepLine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A96B0A">
              <w:rPr>
                <w:rFonts w:ascii="Calibri" w:eastAsiaTheme="majorEastAsia" w:hAnsi="Calibri" w:cs="Calibri"/>
                <w:b/>
                <w:bCs/>
                <w:i w:val="0"/>
                <w:iCs w:val="0"/>
                <w:color w:val="000000" w:themeColor="text1"/>
                <w:sz w:val="16"/>
                <w:szCs w:val="16"/>
                <w:lang w:val="en-US"/>
              </w:rPr>
              <w:t xml:space="preserve">Derksen </w:t>
            </w:r>
          </w:p>
          <w:p w14:paraId="52062373"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sz w:val="16"/>
                <w:szCs w:val="16"/>
                <w:lang w:val="en-US"/>
              </w:rPr>
              <w:t xml:space="preserve">et al. (2025)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sz w:val="16"/>
                <w:szCs w:val="16"/>
                <w:lang w:val="en-US"/>
              </w:rPr>
              <w:instrText xml:space="preserve"> ADDIN ZOTERO_ITEM CSL_CITATION {"citationID":"3CwqonmC","properties":{"unsorted":false,"formattedCitation":"[112]","plainCitation":"[112]","noteIndex":0},"citationItems":[{"id":454,"uris":["http://zotero.org/users/4007286/items/CGYULUG6"],"itemData":{"id":454,"type":"article-journal","abstract":"BACKGROUND: Digital health interventions targeting substance use disorders are being increasingly implemented. Data science methodology has the potential to enhance involvement and efficacy of these interventions, though application may raise ethical considerations. This study aimed to explore possible ethical aspects and preferences among users of an online digital intervention for substance use and gambling disorder regarding the application of supervised machine learning (ML) methodology.\nMETHODS: We recruited participants from a widely used, evidence-based online substance use and gambling intervention from the Netherlands (Jellinek Digital Self-help). Initially, we conducted two online focus groups (n = 5 each) to explore topics related to ethical considerations and user preferences regarding the application of ML for adapting unguided digital interventions. Subsequently, the findings from these focus groups informed the development of an online, quantitative, self-reported questionnaire study regarding this topic (n = 157). Data collection and analyses were guided by the principles of biomedical ethics by Beauchamp and Childress.\nRESULTS: Our qualitative and quantitative results revealed that digital intervention users found the application of machine learning analyses to be ethically acceptable, although they had difficulties conceptualizing ML applications. Participants believed that it could benefit the intervention and subsequently their well-being. Both qualitative and quantitative results emphasized the importance of preserving user autonomy in applying supervised ML to adjust digital interventions. In addition, based on both data sources we found that digital intervention users trusted Jellinek's integrity to apply ML. Ethical concerns identified in the qualitative data (e.g., data security, human control), were not confirmed in our quantitative findings.\nCONCLUSIONS: This mixed-methods study revealed that users of digital intervention demonstrated limited concern for ethical aspects regarding applying ML to adapt digital interventions. Ethical aspects were primarily pertained to their needs for autonomy and privacy.","container-title":"International Journal of Medical Informatics","DOI":"10.1016/j.ijmedinf.2025.105897","ISSN":"1872-8243","journalAbbreviation":"Int J Med Inform","language":"eng","page":"105897","PMID":"40157245","source":"PubMed","title":"Ethical aspects and user preferences in applying machine learning to adjust eHealth addressing substance use: A mixed-methods study","title-short":"Ethical aspects and user preferences in applying machine learning to adjust eHealth addressing substance use","volume":"199","author":[{"family":"Derksen","given":"Marloes E."},{"family":"Beek","given":"Max","non-dropping-particle":"van"},{"family":"Bruijn","given":"Tamara","non-dropping-particle":"de"},{"family":"Stuit","given":"Floor"},{"family":"Blankers","given":"Matthijs"},{"family":"Goudriaan","given":"Anneke E."}],"issued":{"date-parts":[["2025",7]]}}}],"schema":"https://github.com/citation-style-language/schema/raw/master/csl-citation.json"} </w:instrText>
            </w:r>
            <w:r w:rsidRPr="00A96B0A">
              <w:rPr>
                <w:rFonts w:ascii="Calibri" w:eastAsiaTheme="majorEastAsia" w:hAnsi="Calibri" w:cs="Calibri"/>
                <w:color w:val="000000" w:themeColor="text1"/>
                <w:sz w:val="16"/>
                <w:szCs w:val="16"/>
                <w:lang w:val="en-US"/>
              </w:rPr>
              <w:fldChar w:fldCharType="separate"/>
            </w:r>
            <w:r w:rsidRPr="00A96B0A">
              <w:rPr>
                <w:rFonts w:ascii="Calibri" w:eastAsiaTheme="majorEastAsia" w:hAnsi="Calibri" w:cs="Calibri"/>
                <w:i w:val="0"/>
                <w:iCs w:val="0"/>
                <w:noProof/>
                <w:color w:val="000000" w:themeColor="text1"/>
                <w:sz w:val="16"/>
                <w:szCs w:val="16"/>
                <w:lang w:val="en-US"/>
              </w:rPr>
              <w:t>[112]</w:t>
            </w:r>
            <w:r w:rsidRPr="00A96B0A">
              <w:rPr>
                <w:rFonts w:ascii="Calibri" w:eastAsiaTheme="majorEastAsia" w:hAnsi="Calibri" w:cs="Calibri"/>
                <w:color w:val="000000" w:themeColor="text1"/>
                <w:sz w:val="16"/>
                <w:szCs w:val="16"/>
                <w:lang w:val="en-US"/>
              </w:rPr>
              <w:fldChar w:fldCharType="end"/>
            </w:r>
          </w:p>
          <w:p w14:paraId="508AC1FA"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kern w:val="2"/>
                <w:sz w:val="16"/>
                <w:szCs w:val="16"/>
                <w:lang w:val="en-US"/>
              </w:rPr>
            </w:pPr>
            <w:r w:rsidRPr="00A96B0A">
              <w:rPr>
                <w:rFonts w:ascii="Calibri" w:eastAsiaTheme="majorEastAsia" w:hAnsi="Calibri" w:cs="Calibri"/>
                <w:color w:val="000000" w:themeColor="text1"/>
                <w:sz w:val="16"/>
                <w:szCs w:val="16"/>
                <w:lang w:val="en-US"/>
              </w:rPr>
              <w:t>Netherlands</w:t>
            </w:r>
          </w:p>
        </w:tc>
        <w:tc>
          <w:tcPr>
            <w:tcW w:w="1535" w:type="dxa"/>
          </w:tcPr>
          <w:p w14:paraId="76406D6E" w14:textId="77777777" w:rsidR="00A96B0A" w:rsidRPr="00A96B0A" w:rsidRDefault="00A96B0A" w:rsidP="00A96B0A">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A96B0A">
              <w:rPr>
                <w:rFonts w:ascii="Calibri" w:hAnsi="Calibri" w:cs="Calibri"/>
                <w:sz w:val="16"/>
                <w:szCs w:val="16"/>
                <w:lang w:val="en-US"/>
              </w:rPr>
              <w:t>To explore possible ethical aspects and preferences among users of an online digital intervention for substance use and gambling disorder regarding the application of supervised machine learning (ML) methodology.</w:t>
            </w:r>
          </w:p>
          <w:p w14:paraId="20B31E7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p>
        </w:tc>
        <w:tc>
          <w:tcPr>
            <w:tcW w:w="1381" w:type="dxa"/>
          </w:tcPr>
          <w:p w14:paraId="12A42DF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sz w:val="16"/>
                <w:szCs w:val="16"/>
                <w:lang w:val="en-US"/>
              </w:rPr>
              <w:t>Focus groups (n=10)</w:t>
            </w:r>
          </w:p>
          <w:p w14:paraId="3F84572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sz w:val="16"/>
                <w:szCs w:val="16"/>
                <w:lang w:val="en-US"/>
              </w:rPr>
              <w:t>Age range [26,78]</w:t>
            </w:r>
          </w:p>
          <w:p w14:paraId="5310B874"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p w14:paraId="43811DF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sz w:val="16"/>
                <w:szCs w:val="16"/>
                <w:lang w:val="en-US"/>
              </w:rPr>
              <w:t>Survey (n=157)</w:t>
            </w:r>
          </w:p>
          <w:p w14:paraId="4B66A4A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sz w:val="16"/>
                <w:szCs w:val="16"/>
                <w:lang w:val="en-US"/>
              </w:rPr>
              <w:t>Age range [20,86]</w:t>
            </w:r>
          </w:p>
          <w:p w14:paraId="3BC78F6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p>
        </w:tc>
        <w:tc>
          <w:tcPr>
            <w:tcW w:w="1230" w:type="dxa"/>
          </w:tcPr>
          <w:p w14:paraId="71D5627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A96B0A">
              <w:rPr>
                <w:rFonts w:ascii="Calibri" w:eastAsiaTheme="majorEastAsia" w:hAnsi="Calibri" w:cs="Calibri"/>
                <w:color w:val="000000" w:themeColor="text1"/>
                <w:sz w:val="16"/>
                <w:szCs w:val="16"/>
                <w:lang w:val="en-US"/>
              </w:rPr>
              <w:t>eHealth (machine learning)</w:t>
            </w:r>
          </w:p>
        </w:tc>
        <w:tc>
          <w:tcPr>
            <w:tcW w:w="1380" w:type="dxa"/>
          </w:tcPr>
          <w:p w14:paraId="222F7FB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A96B0A">
              <w:rPr>
                <w:rFonts w:ascii="Calibri" w:eastAsiaTheme="majorEastAsia" w:hAnsi="Calibri" w:cs="Calibri"/>
                <w:color w:val="000000" w:themeColor="text1"/>
                <w:sz w:val="16"/>
                <w:szCs w:val="16"/>
                <w:lang w:val="en-US"/>
              </w:rPr>
              <w:t>Focus groups and online survey</w:t>
            </w:r>
          </w:p>
        </w:tc>
        <w:tc>
          <w:tcPr>
            <w:tcW w:w="3000" w:type="dxa"/>
            <w:gridSpan w:val="2"/>
          </w:tcPr>
          <w:p w14:paraId="13428AE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sz w:val="16"/>
                <w:szCs w:val="16"/>
                <w:lang w:val="en-US"/>
              </w:rPr>
              <w:t>Users generally found the use of machine learning in digital interventions acceptable and potentially beneficial.</w:t>
            </w:r>
          </w:p>
          <w:p w14:paraId="7AD8C04C"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sz w:val="16"/>
                <w:szCs w:val="16"/>
                <w:lang w:val="en-US"/>
              </w:rPr>
              <w:t>Autonomy and transparency were the main concerns, with a strong preference for control over data use and informed consent.</w:t>
            </w:r>
          </w:p>
          <w:p w14:paraId="68561CC4"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sz w:val="16"/>
                <w:szCs w:val="16"/>
                <w:lang w:val="en-US"/>
              </w:rPr>
              <w:t>Privacy was important, but concerns were moderate and less prominent in quantitative results.</w:t>
            </w:r>
          </w:p>
          <w:p w14:paraId="4A9A807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sz w:val="16"/>
                <w:szCs w:val="16"/>
                <w:lang w:val="en-US"/>
              </w:rPr>
              <w:t>Trust in the provider facilitated acceptance of machine learning applications.</w:t>
            </w:r>
          </w:p>
          <w:p w14:paraId="243F395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kern w:val="2"/>
                <w:sz w:val="16"/>
                <w:szCs w:val="16"/>
                <w:lang w:val="en-US"/>
              </w:rPr>
            </w:pPr>
            <w:r w:rsidRPr="00A96B0A">
              <w:rPr>
                <w:rFonts w:ascii="Calibri" w:eastAsiaTheme="majorEastAsia" w:hAnsi="Calibri" w:cs="Calibri"/>
                <w:color w:val="000000" w:themeColor="text1"/>
                <w:sz w:val="16"/>
                <w:szCs w:val="16"/>
                <w:lang w:val="en-US"/>
              </w:rPr>
              <w:t>Users had limited understanding of machine learning, raising challenges for informed decision-making.</w:t>
            </w:r>
          </w:p>
        </w:tc>
      </w:tr>
      <w:tr w:rsidR="00A96B0A" w:rsidRPr="00A96B0A" w14:paraId="54B596D8" w14:textId="77777777" w:rsidTr="00AB6102">
        <w:trPr>
          <w:trHeight w:val="872"/>
        </w:trPr>
        <w:tc>
          <w:tcPr>
            <w:cnfStyle w:val="001000000000" w:firstRow="0" w:lastRow="0" w:firstColumn="1" w:lastColumn="0" w:oddVBand="0" w:evenVBand="0" w:oddHBand="0" w:evenHBand="0" w:firstRowFirstColumn="0" w:firstRowLastColumn="0" w:lastRowFirstColumn="0" w:lastRowLastColumn="0"/>
            <w:tcW w:w="1077" w:type="dxa"/>
          </w:tcPr>
          <w:p w14:paraId="6D4D7706" w14:textId="77777777" w:rsidR="00A96B0A" w:rsidRPr="00A96B0A" w:rsidRDefault="00A96B0A" w:rsidP="00A96B0A">
            <w:pPr>
              <w:keepNext/>
              <w:keepLine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proofErr w:type="spellStart"/>
            <w:r w:rsidRPr="00A96B0A">
              <w:rPr>
                <w:rFonts w:ascii="Calibri" w:eastAsiaTheme="majorEastAsia" w:hAnsi="Calibri" w:cs="Calibri"/>
                <w:b/>
                <w:bCs/>
                <w:i w:val="0"/>
                <w:iCs w:val="0"/>
                <w:color w:val="000000" w:themeColor="text1"/>
                <w:kern w:val="2"/>
                <w:sz w:val="16"/>
                <w:szCs w:val="16"/>
                <w:lang w:val="en-US"/>
              </w:rPr>
              <w:t>Geuens</w:t>
            </w:r>
            <w:proofErr w:type="spellEnd"/>
            <w:r w:rsidRPr="00A96B0A">
              <w:rPr>
                <w:rFonts w:ascii="Calibri" w:eastAsiaTheme="majorEastAsia" w:hAnsi="Calibri" w:cs="Calibri"/>
                <w:b/>
                <w:bCs/>
                <w:i w:val="0"/>
                <w:iCs w:val="0"/>
                <w:color w:val="000000" w:themeColor="text1"/>
                <w:kern w:val="2"/>
                <w:sz w:val="16"/>
                <w:szCs w:val="16"/>
                <w:lang w:val="en-US"/>
              </w:rPr>
              <w:t xml:space="preserve"> </w:t>
            </w:r>
          </w:p>
          <w:p w14:paraId="4FDC22BB" w14:textId="77777777" w:rsidR="00A96B0A" w:rsidRPr="00A96B0A" w:rsidRDefault="00A96B0A" w:rsidP="00A96B0A">
            <w:pPr>
              <w:keepNext/>
              <w:keepLine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et al.</w:t>
            </w:r>
            <w:r w:rsidRPr="00A96B0A">
              <w:rPr>
                <w:rFonts w:ascii="Calibri" w:eastAsiaTheme="majorEastAsia" w:hAnsi="Calibri" w:cs="Calibri"/>
                <w:b/>
                <w:bCs/>
                <w:i w:val="0"/>
                <w:iCs w:val="0"/>
                <w:color w:val="000000" w:themeColor="text1"/>
                <w:sz w:val="16"/>
                <w:szCs w:val="16"/>
                <w:lang w:val="en-US"/>
              </w:rPr>
              <w:t xml:space="preserve"> </w:t>
            </w:r>
            <w:r w:rsidRPr="00A96B0A">
              <w:rPr>
                <w:rFonts w:ascii="Calibri" w:eastAsiaTheme="majorEastAsia" w:hAnsi="Calibri" w:cs="Calibri"/>
                <w:b/>
                <w:bCs/>
                <w:i w:val="0"/>
                <w:iCs w:val="0"/>
                <w:color w:val="000000" w:themeColor="text1"/>
                <w:kern w:val="2"/>
                <w:sz w:val="16"/>
                <w:szCs w:val="16"/>
                <w:lang w:val="en-US"/>
              </w:rPr>
              <w:t xml:space="preserve">(2019)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{"citationID":"tFOPLLmp","properties":{"formattedCitation":"[119]","plainCitation":"[119]","noteIndex":0},"citationItems":[{"id":2272,"uris":["http://zotero.org/users/4007286/items/F9YX3JHF"],"itemData":{"id":2272,"type":"article-journal","abstract":"Background: Patients with chronic arthritis (CA) ideally apply self-management behaviors between consultations. This enduring, tedious task of keeping track of disease-related parameters, adhering to medication schemes, and engaging in physical therapy may be supported by using a mobile health (mHealth) app. However, further research is needed to determine which self-management features are valued most by adult patients with CA patients. Objective: The aim of this study was to determine the preference of features for an mHealth app to support self-management behavior in patients with CA. In addition, we aimed to explore the motives behind these ratings. Methods: A mixed-methods approach was used to gather information from 31 adult patients (14 females), aged 23 to 71 years (mean 51 [SD 12.16]), with CA. Structured interviews were conducted to gather data pertaining to preferences of app features. Interviews were analyzed qualitatively, whereas ratings for each of the 28 features studied were analyzed quantitatively. Results: In general, patients with CA favored the use of features pertaining to supporting active and direct disease management, (eg, medication intake and detecting and alarming of bad posture), helping them to keep a close watch on their disease status and inform their health care professional (eg, providing a means to log and report disease-related data) and receiving personalized information (eg, offering tailored information based on the patient’s health data). Patients strongly disliked features that provide a means of social interaction or provide incentivization for disease-related actions (eg, being able to compare yourself with other patients, cooperating toward a common goal, and receiving encouragement from friends and/or family). Driving these evaluations is the finding that every patient with CA hurts in his/her own way, the way the disease unfolds over time and manifests itself in the patient and social environment is different for every patient, and patients with CA are well aware of this. Conclusions: We have offered an insight into how patients with CA favor mHealth features for self-management apps. The results of this research can inform the design and development of prospective self-management apps for patients with CA. © Jonas Geuens, Luc Geurts, Thijs W Swinnen, Rene Westhovens, Vero Vanden Abeele.","archive":"Scopus","container-title":"JMIR mHealth and uHealth","DOI":"10.2196/12535","issue":"3","title":"Mobile health features supporting self-management behavior in patients with chronic arthritis: mixed-methods approach on patient preferences","URL":"https://www.scopus.com/inward/record.uri?eid=2-s2.0-85064482350&amp;doi=10.2196%2f12535&amp;partnerID=40&amp;md5=649b38102ebf62a4b5511ae507d0d55f","volume":"7","author":[{"family":"Geuens","given":"J."},{"family":"Geurts","given":"L."},{"family":"Swinnen","given":"T.W."},{"family":"Westhovens","given":"R."},{"family":"Van den Abeele","given":"V."}],"issued":{"date-parts":[["2019"]]}}}],"schema":"https://github.com/citation-style-language/schema/raw/master/csl-citation.json"}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[119]</w:t>
            </w:r>
            <w:r w:rsidRPr="00A96B0A">
              <w:rPr>
                <w:rFonts w:ascii="Calibri" w:eastAsiaTheme="majorEastAsia" w:hAnsi="Calibri" w:cs="Calibri"/>
                <w:color w:val="000000" w:themeColor="text1"/>
                <w:kern w:val="2"/>
                <w:sz w:val="16"/>
                <w:szCs w:val="16"/>
                <w:lang w:val="en-US"/>
              </w:rPr>
              <w:fldChar w:fldCharType="end"/>
            </w:r>
          </w:p>
          <w:p w14:paraId="4B2D3C05"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Belgium</w:t>
            </w:r>
          </w:p>
        </w:tc>
        <w:tc>
          <w:tcPr>
            <w:tcW w:w="1535" w:type="dxa"/>
          </w:tcPr>
          <w:p w14:paraId="21646EB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Determine the preference of features for an mHealth app to support self-management </w:t>
            </w:r>
            <w:proofErr w:type="spellStart"/>
            <w:r w:rsidRPr="00A96B0A">
              <w:rPr>
                <w:rFonts w:ascii="Calibri" w:eastAsiaTheme="majorEastAsia" w:hAnsi="Calibri" w:cs="Calibri"/>
                <w:color w:val="000000" w:themeColor="text1"/>
                <w:kern w:val="2"/>
                <w:sz w:val="16"/>
                <w:szCs w:val="16"/>
                <w:lang w:val="en-US"/>
              </w:rPr>
              <w:t>behaviour</w:t>
            </w:r>
            <w:proofErr w:type="spellEnd"/>
            <w:r w:rsidRPr="00A96B0A">
              <w:rPr>
                <w:rFonts w:ascii="Calibri" w:eastAsiaTheme="majorEastAsia" w:hAnsi="Calibri" w:cs="Calibri"/>
                <w:color w:val="000000" w:themeColor="text1"/>
                <w:kern w:val="2"/>
                <w:sz w:val="16"/>
                <w:szCs w:val="16"/>
                <w:lang w:val="en-US"/>
              </w:rPr>
              <w:t xml:space="preserve"> in patient with chronic arthritis</w:t>
            </w:r>
          </w:p>
        </w:tc>
        <w:tc>
          <w:tcPr>
            <w:tcW w:w="1381" w:type="dxa"/>
          </w:tcPr>
          <w:p w14:paraId="24F8800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N=31</w:t>
            </w:r>
          </w:p>
          <w:p w14:paraId="6C55728C"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Mean age: 51</w:t>
            </w:r>
          </w:p>
          <w:p w14:paraId="2518606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Age range [23-71]</w:t>
            </w:r>
          </w:p>
        </w:tc>
        <w:tc>
          <w:tcPr>
            <w:tcW w:w="1230" w:type="dxa"/>
          </w:tcPr>
          <w:p w14:paraId="3337B09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mHealth</w:t>
            </w:r>
          </w:p>
          <w:p w14:paraId="7A7DF11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(application)</w:t>
            </w:r>
          </w:p>
        </w:tc>
        <w:tc>
          <w:tcPr>
            <w:tcW w:w="1380" w:type="dxa"/>
          </w:tcPr>
          <w:p w14:paraId="4C96B23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Interviews with open questions and scorings on app features</w:t>
            </w:r>
          </w:p>
        </w:tc>
        <w:tc>
          <w:tcPr>
            <w:tcW w:w="3000" w:type="dxa"/>
            <w:gridSpan w:val="2"/>
          </w:tcPr>
          <w:p w14:paraId="4C40682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Patients seek mHealth apps for medication assistance, posture detection, and exercise but doubt individualized data feedback. They dislike incentivization and don't want role management or emotional support features.</w:t>
            </w:r>
          </w:p>
          <w:p w14:paraId="5DE8C7D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p w14:paraId="46480A0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A96B0A" w:rsidRPr="00A96B0A" w14:paraId="7C4351C4" w14:textId="77777777" w:rsidTr="00AB6102">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1077" w:type="dxa"/>
          </w:tcPr>
          <w:p w14:paraId="5568B050" w14:textId="77777777" w:rsidR="00A96B0A" w:rsidRPr="00A96B0A" w:rsidRDefault="00A96B0A" w:rsidP="00A96B0A">
            <w:pPr>
              <w:keepNext/>
              <w:keepLine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proofErr w:type="spellStart"/>
            <w:r w:rsidRPr="00A96B0A">
              <w:rPr>
                <w:rFonts w:ascii="Calibri" w:eastAsiaTheme="majorEastAsia" w:hAnsi="Calibri" w:cs="Calibri"/>
                <w:b/>
                <w:bCs/>
                <w:i w:val="0"/>
                <w:iCs w:val="0"/>
                <w:color w:val="000000" w:themeColor="text1"/>
                <w:kern w:val="2"/>
                <w:sz w:val="16"/>
                <w:szCs w:val="16"/>
                <w:lang w:val="en-US"/>
              </w:rPr>
              <w:t>Houwen</w:t>
            </w:r>
            <w:proofErr w:type="spellEnd"/>
            <w:r w:rsidRPr="00A96B0A">
              <w:rPr>
                <w:rFonts w:ascii="Calibri" w:eastAsiaTheme="majorEastAsia" w:hAnsi="Calibri" w:cs="Calibri"/>
                <w:b/>
                <w:bCs/>
                <w:i w:val="0"/>
                <w:iCs w:val="0"/>
                <w:color w:val="000000" w:themeColor="text1"/>
                <w:kern w:val="2"/>
                <w:sz w:val="16"/>
                <w:szCs w:val="16"/>
                <w:lang w:val="en-US"/>
              </w:rPr>
              <w:t xml:space="preserve"> </w:t>
            </w:r>
          </w:p>
          <w:p w14:paraId="2C40D0B8"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et al.</w:t>
            </w:r>
            <w:r w:rsidRPr="00A96B0A">
              <w:rPr>
                <w:rFonts w:ascii="Calibri" w:eastAsiaTheme="majorEastAsia" w:hAnsi="Calibri" w:cs="Calibri"/>
                <w:b/>
                <w:bCs/>
                <w:i w:val="0"/>
                <w:iCs w:val="0"/>
                <w:color w:val="000000" w:themeColor="text1"/>
                <w:sz w:val="16"/>
                <w:szCs w:val="16"/>
                <w:lang w:val="en-US"/>
              </w:rPr>
              <w:t xml:space="preserve"> </w:t>
            </w:r>
            <w:r w:rsidRPr="00A96B0A">
              <w:rPr>
                <w:rFonts w:ascii="Calibri" w:eastAsiaTheme="majorEastAsia" w:hAnsi="Calibri" w:cs="Calibri"/>
                <w:b/>
                <w:bCs/>
                <w:i w:val="0"/>
                <w:iCs w:val="0"/>
                <w:color w:val="000000" w:themeColor="text1"/>
                <w:kern w:val="2"/>
                <w:sz w:val="16"/>
                <w:szCs w:val="16"/>
                <w:lang w:val="en-US"/>
              </w:rPr>
              <w:t xml:space="preserve">(2022)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{"citationID":"GrdzlmHW","properties":{"formattedCitation":"[108]","plainCitation":"[108]","noteIndex":0},"citationItems":[{"id":2286,"uris":["http://zotero.org/users/4007286/items/2W7E83I3"],"itemData":{"id":2286,"type":"article-journal","abstract":"BACKGROUND: Trauma care faces challenges to innovating their services, such as with mobile health (mHealth) app, to improve the quality of care and patients' health experience. Systematic needs inquiries and collaborations with professional and patient end users are highly recommended to develop and prepare future implementations of such innovations.\nOBJECTIVE: This study aimed to develop a trauma mHealth app for patient information and support in accordance with the Center for eHealth Research and Disease Management road map and describe experiences of unmet information and support needs among injured patients with trauma, barriers to and facilitators of the provision of information and support among trauma care professionals, and drivers of value of an mHealth app in patients with trauma and trauma care professionals.\nMETHODS: Formative evaluations were conducted using quantitative and qualitative methods. Ten semistructured interviews with patients with trauma and a focus group with 4 trauma care professionals were conducted for contextual inquiry and value specification. User requirements and value drivers were applied in prototyping. Furthermore, a complementary quantitative discrete choice experiment (DCE) was conducted with 109 Dutch trauma surgeons, which enabled triangulation on value specification results. In the DCE, preferences were stated for hypothetical mHealth products with various attributes. Panel data from the DCE were analyzed using conditional and mixed logit models.\nRESULTS: Patients disclosed a need for more psychosocial support and easy access to more extensive information on their injury, its consequences, and future prospects. Health care professionals designated workload as an essential issue; a digital solution should not require additional time. The conditional logit model of DCE results suggested that access to patient app data through electronic medical record integration (odds ratio [OR] 3.3, 95% CI 2.55-4.34; P&lt;.001) or a web viewer (OR 2.3, 95% CI 1.64-3.31; P&lt;.001) was considered the most important for an mHealth solution by surgeons, followed by the inclusion of periodic self-measurements (OR 2, 95% CI 1.64-2.46; P&lt;.001), the local adjustment of patient information (OR 1.8, 95% CI 1.42-2.33; P&lt;.001), local hospital identification (OR 1.7, 95% CI 1.31-2.10; P&lt;.001), complication detection (OR 1.5, 95% CI 1.21-1.84; P&lt;.001), and the personalization of rehabilitation through artificial intelligence (OR 1.4, 95% CI 1.13-1.62; P=.001).\nCONCLUSIONS: In the context of trauma care, end users have many requirements for an mHealth solution that addresses psychosocial functioning; dependable information; and, possibly, a prediction of how a patient's recovery trajectory is evolving. A structured development approach provided insights into value drivers and facilitated mHealth prototype enhancement. The findings imply that iterative development should move on from simple and easily implementable mHealth solutions to those that are suitable for broader innovations of care pathways that most-but plausibly not yet all-end users in trauma care will value. This study could inspire the trauma care community.","container-title":"JMIR human factors","DOI":"10.2196/35342","ISSN":"2292-9495","issue":"2","journalAbbreviation":"JMIR Hum Factors","language":"eng","page":"e35342","source":"PubMed","title":"Developing mHealth to the Context and Valuation of Injured Patients and Professionals in Hospital Trauma Care: Qualitative and Quantitative Formative Evaluations","title-short":"Developing mHealth to the Context and Valuation of Injured Patients and Professionals in Hospital Trauma Care","volume":"9","author":[{"family":"Houwen","given":"Thymen"},{"family":"Vugts","given":"Miel A. P."},{"family":"Lansink","given":"Koen W. W."},{"family":"Theeuwes","given":"Hilco P."},{"family":"Neequaye","given":"Nicky"},{"family":"Beerekamp","given":"M. Susan H."},{"family":"Joosen","given":"Margot C. W."},{"family":"Jongh","given":"Mariska A. C.","non-dropping-particle":"de"}],"issued":{"date-parts":[["2022",6,20]]}}}],"schema":"https://github.com/citation-style-language/schema/raw/master/csl-citation.json"}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[108]</w:t>
            </w:r>
            <w:r w:rsidRPr="00A96B0A">
              <w:rPr>
                <w:rFonts w:ascii="Calibri" w:eastAsiaTheme="majorEastAsia" w:hAnsi="Calibri" w:cs="Calibri"/>
                <w:color w:val="000000" w:themeColor="text1"/>
                <w:kern w:val="2"/>
                <w:sz w:val="16"/>
                <w:szCs w:val="16"/>
                <w:lang w:val="en-US"/>
              </w:rPr>
              <w:fldChar w:fldCharType="end"/>
            </w:r>
          </w:p>
          <w:p w14:paraId="4D93ECA6"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Netherlands</w:t>
            </w:r>
          </w:p>
        </w:tc>
        <w:tc>
          <w:tcPr>
            <w:tcW w:w="1535" w:type="dxa"/>
          </w:tcPr>
          <w:p w14:paraId="3EEA72EC"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Develop a trauma mHealth app for patient information and support and describe experiences of unmet information and support needs</w:t>
            </w:r>
          </w:p>
          <w:p w14:paraId="4347A0A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among injured patients with trauma</w:t>
            </w:r>
          </w:p>
        </w:tc>
        <w:tc>
          <w:tcPr>
            <w:tcW w:w="1381" w:type="dxa"/>
          </w:tcPr>
          <w:p w14:paraId="2DEBD7A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 =10 (interviews)</w:t>
            </w:r>
          </w:p>
          <w:p w14:paraId="4BBBF99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 =109 (DCE)</w:t>
            </w:r>
          </w:p>
          <w:p w14:paraId="0563790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Mean age: 58</w:t>
            </w:r>
          </w:p>
          <w:p w14:paraId="5427444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Age range [21-67]</w:t>
            </w:r>
          </w:p>
        </w:tc>
        <w:tc>
          <w:tcPr>
            <w:tcW w:w="1230" w:type="dxa"/>
          </w:tcPr>
          <w:p w14:paraId="01735B3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mHealth</w:t>
            </w:r>
          </w:p>
          <w:p w14:paraId="417F3DB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(application)</w:t>
            </w:r>
          </w:p>
        </w:tc>
        <w:tc>
          <w:tcPr>
            <w:tcW w:w="1380" w:type="dxa"/>
          </w:tcPr>
          <w:p w14:paraId="4970B06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Semi-structured interviews with patients and DCE with trauma surgeons</w:t>
            </w:r>
          </w:p>
        </w:tc>
        <w:tc>
          <w:tcPr>
            <w:tcW w:w="3000" w:type="dxa"/>
            <w:gridSpan w:val="2"/>
          </w:tcPr>
          <w:p w14:paraId="032BAFC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Patients expressed a desire for more psychosocial support and easy access to more extensive information on their injury.</w:t>
            </w:r>
          </w:p>
          <w:p w14:paraId="3E02B7F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The DCE results suggested that surgeons prioritize access to patient app data via electronic medical record integration or a web viewer as the most crucial aspect of an mHealth solution (OR 3.3, 95% CI 2.55-4.34; P&lt;.001). </w:t>
            </w:r>
          </w:p>
          <w:p w14:paraId="0958365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p w14:paraId="18291CD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A96B0A" w:rsidRPr="00A96B0A" w14:paraId="6C62F2F1" w14:textId="77777777" w:rsidTr="00AB6102">
        <w:trPr>
          <w:trHeight w:val="872"/>
        </w:trPr>
        <w:tc>
          <w:tcPr>
            <w:cnfStyle w:val="001000000000" w:firstRow="0" w:lastRow="0" w:firstColumn="1" w:lastColumn="0" w:oddVBand="0" w:evenVBand="0" w:oddHBand="0" w:evenHBand="0" w:firstRowFirstColumn="0" w:firstRowLastColumn="0" w:lastRowFirstColumn="0" w:lastRowLastColumn="0"/>
            <w:tcW w:w="1077" w:type="dxa"/>
          </w:tcPr>
          <w:p w14:paraId="3DA4D639"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Hui et al.</w:t>
            </w:r>
            <w:r w:rsidRPr="00A96B0A">
              <w:rPr>
                <w:rFonts w:ascii="Calibri" w:eastAsiaTheme="majorEastAsia" w:hAnsi="Calibri" w:cs="Calibri"/>
                <w:b/>
                <w:bCs/>
                <w:i w:val="0"/>
                <w:iCs w:val="0"/>
                <w:color w:val="000000" w:themeColor="text1"/>
                <w:sz w:val="16"/>
                <w:szCs w:val="16"/>
                <w:lang w:val="en-US"/>
              </w:rPr>
              <w:t xml:space="preserve"> </w:t>
            </w:r>
            <w:r w:rsidRPr="00A96B0A">
              <w:rPr>
                <w:rFonts w:ascii="Calibri" w:eastAsiaTheme="majorEastAsia" w:hAnsi="Calibri" w:cs="Calibri"/>
                <w:b/>
                <w:bCs/>
                <w:i w:val="0"/>
                <w:iCs w:val="0"/>
                <w:color w:val="000000" w:themeColor="text1"/>
                <w:kern w:val="2"/>
                <w:sz w:val="16"/>
                <w:szCs w:val="16"/>
                <w:lang w:val="en-US"/>
              </w:rPr>
              <w:t>(2020)</w:t>
            </w:r>
            <w:r w:rsidRPr="00A96B0A">
              <w:rPr>
                <w:rFonts w:ascii="Calibri" w:eastAsiaTheme="majorEastAsia" w:hAnsi="Calibri" w:cs="Calibri"/>
                <w:i w:val="0"/>
                <w:iCs w:val="0"/>
                <w:color w:val="000000" w:themeColor="text1"/>
                <w:kern w:val="2"/>
                <w:sz w:val="16"/>
                <w:szCs w:val="16"/>
                <w:lang w:val="en-US"/>
              </w:rPr>
              <w:t xml:space="preserve">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{"citationID":"LT8xdb5i","properties":{"formattedCitation":"[80]","plainCitation":"[80]","noteIndex":0},"citationItems":[{"id":2750,"uris":["http://zotero.org/users/4007286/items/9IDUZ4BV"],"itemData":{"id":2750,"type":"article-journal","abstract":"We explored the potential of asthma apps to support self-management and identified preferred features that enable users to live with asthma. We recruited patients from five UK practices and social media; observed their usage of our app, administered a questionnaire and interviewed a purposive sample of patients and professionals to explore preferred features. Thematic analysis of interview was synthesised with quantitative data. A total of 111 patients used our app for 3 months. We interviewed 15 patients and 16 professionals. Participants were interested in a broad range of self-management support strategies, including action plans, monitoring with feedback, allergy/weather warnings and tailor-made running coaching. Professionals wanted to integrate patients' logs with practice records, though were concerned about data overload and risk of patient dependency. We propose a paradigm shift - from apps developed to provide features that are easy to implement technologically, to an approach in which apps are designed to deliver theoretically grounded preferred components.","archive":"ccm","container-title":"Health Informatics Journal","DOI":"10.1177/1460458219853381","ISSN":"1460-4582","issue":"2","journalAbbreviation":"Health Informatics Journal","page":"862-879","source":"EBSCOhost","title":"Time to change the paradigm? A mixed method study of the preferred and potential features of an asthma self-management app.","volume":"26","author":[{"family":"Hui","given":"Chi Yan"},{"family":"Walton","given":"Robert"},{"family":"McKinstry","given":"Brian"},{"family":"Pinnock","given":"Hilary"}],"issued":{"date-parts":[["2020",6]]}}}],"schema":"https://github.com/citation-style-language/schema/raw/master/csl-citation.json"}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[80]</w:t>
            </w:r>
            <w:r w:rsidRPr="00A96B0A">
              <w:rPr>
                <w:rFonts w:ascii="Calibri" w:eastAsiaTheme="majorEastAsia" w:hAnsi="Calibri" w:cs="Calibri"/>
                <w:color w:val="000000" w:themeColor="text1"/>
                <w:kern w:val="2"/>
                <w:sz w:val="16"/>
                <w:szCs w:val="16"/>
                <w:lang w:val="en-US"/>
              </w:rPr>
              <w:fldChar w:fldCharType="end"/>
            </w:r>
          </w:p>
          <w:p w14:paraId="77BB1282"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UK</w:t>
            </w:r>
          </w:p>
        </w:tc>
        <w:tc>
          <w:tcPr>
            <w:tcW w:w="1535" w:type="dxa"/>
          </w:tcPr>
          <w:p w14:paraId="5EC2023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Explore the features that patients and healthcare professionals utilized and wanted in a self-management app for asthma</w:t>
            </w:r>
          </w:p>
        </w:tc>
        <w:tc>
          <w:tcPr>
            <w:tcW w:w="1381" w:type="dxa"/>
          </w:tcPr>
          <w:p w14:paraId="53DB843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 = 127</w:t>
            </w:r>
          </w:p>
          <w:p w14:paraId="276B3CF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(111 patients and 16 professionals)</w:t>
            </w:r>
          </w:p>
          <w:p w14:paraId="580DCE0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230" w:type="dxa"/>
          </w:tcPr>
          <w:p w14:paraId="24A5D2A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mHealth</w:t>
            </w:r>
          </w:p>
          <w:p w14:paraId="088E86D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(application)</w:t>
            </w:r>
          </w:p>
        </w:tc>
        <w:tc>
          <w:tcPr>
            <w:tcW w:w="1380" w:type="dxa"/>
          </w:tcPr>
          <w:p w14:paraId="5ED8A95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Questionnaire and interviews</w:t>
            </w:r>
          </w:p>
        </w:tc>
        <w:tc>
          <w:tcPr>
            <w:tcW w:w="3000" w:type="dxa"/>
            <w:gridSpan w:val="2"/>
          </w:tcPr>
          <w:p w14:paraId="38E585B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Participants expressed interest in various self-management support strategies such as action plans, monitoring with feedback, allergy/weather warnings, and tailor-made running coaching.</w:t>
            </w:r>
          </w:p>
          <w:p w14:paraId="5848654C"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A96B0A" w:rsidRPr="00A96B0A" w14:paraId="69C5BA74" w14:textId="77777777" w:rsidTr="00AB6102">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1077" w:type="dxa"/>
          </w:tcPr>
          <w:p w14:paraId="2B0EFBB1" w14:textId="77777777" w:rsidR="00A96B0A" w:rsidRPr="00A96B0A" w:rsidRDefault="00A96B0A" w:rsidP="00A96B0A">
            <w:pPr>
              <w:keepNext/>
              <w:keepLine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Maier et al.</w:t>
            </w:r>
          </w:p>
          <w:p w14:paraId="78DA7D9A"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(2023)</w:t>
            </w:r>
            <w:r w:rsidRPr="00A96B0A">
              <w:rPr>
                <w:rFonts w:ascii="Calibri" w:eastAsiaTheme="majorEastAsia" w:hAnsi="Calibri" w:cs="Calibri"/>
                <w:i w:val="0"/>
                <w:iCs w:val="0"/>
                <w:color w:val="000000" w:themeColor="text1"/>
                <w:kern w:val="2"/>
                <w:sz w:val="16"/>
                <w:szCs w:val="16"/>
                <w:lang w:val="en-US"/>
              </w:rPr>
              <w:t xml:space="preserve">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OULCBkJ9","properties":{"formattedCitation":"[44]","plainCitation":"[44]","noteIndex":0},"citationItems":[{"id":837,"uris":["http://zotero.org/users/4007286/items/3KJ47CAW"],"itemData":{"id":837,"type":"article-journal","archive":"Scopus","container-title":"Journal of Pediatric Health Care","DOI":"10.1016/j.pedhc.2023.05.004","issue":"6","page":"599-608","title":"Mixed-methods Exploration of Telehealth-supported Long-acting Reversible Contraceptive Services in School-based Health Centers: How Much Added Value?","volume":"37","author":[{"family":"Maier","given":"M.C."},{"family":"Gold","given":"M.A."},{"family":"Vacca","given":"S.H."},{"family":"Garbers","given":"S."}],"issued":{"date-parts":[["2023"]]}}}],"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[44]</w:t>
            </w:r>
            <w:r w:rsidRPr="00A96B0A">
              <w:rPr>
                <w:rFonts w:ascii="Calibri" w:eastAsiaTheme="majorEastAsia" w:hAnsi="Calibri" w:cs="Calibri"/>
                <w:color w:val="000000" w:themeColor="text1"/>
                <w:kern w:val="2"/>
                <w:sz w:val="16"/>
                <w:szCs w:val="16"/>
                <w:lang w:val="en-US"/>
              </w:rPr>
              <w:fldChar w:fldCharType="end"/>
            </w:r>
          </w:p>
          <w:p w14:paraId="71118802"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USA</w:t>
            </w:r>
          </w:p>
        </w:tc>
        <w:tc>
          <w:tcPr>
            <w:tcW w:w="1535" w:type="dxa"/>
          </w:tcPr>
          <w:p w14:paraId="489BB9B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Explore adolescent and young adult</w:t>
            </w:r>
          </w:p>
          <w:p w14:paraId="1930D7E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preferences and experiences with telehealth-supported long-acting</w:t>
            </w:r>
          </w:p>
          <w:p w14:paraId="01D8AA9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reversible contraceptive (LARC) services</w:t>
            </w:r>
          </w:p>
          <w:p w14:paraId="70162B1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381" w:type="dxa"/>
          </w:tcPr>
          <w:p w14:paraId="1D80EED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N=45 (survey)</w:t>
            </w:r>
          </w:p>
          <w:p w14:paraId="7656E5A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N=15 (interviews)</w:t>
            </w:r>
          </w:p>
          <w:p w14:paraId="7EB4F8B4"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Mean age: 17</w:t>
            </w:r>
          </w:p>
        </w:tc>
        <w:tc>
          <w:tcPr>
            <w:tcW w:w="1230" w:type="dxa"/>
          </w:tcPr>
          <w:p w14:paraId="7FB604B4"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Telehealth</w:t>
            </w:r>
          </w:p>
        </w:tc>
        <w:tc>
          <w:tcPr>
            <w:tcW w:w="1380" w:type="dxa"/>
          </w:tcPr>
          <w:p w14:paraId="04DF5C3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Survey and interviews</w:t>
            </w:r>
          </w:p>
        </w:tc>
        <w:tc>
          <w:tcPr>
            <w:tcW w:w="3000" w:type="dxa"/>
            <w:gridSpan w:val="2"/>
          </w:tcPr>
          <w:p w14:paraId="07E14FF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Patients preferred in-person visits than telehealth. Telehealth might be convenient and easy to use but in-person visits favored communication and privacy.</w:t>
            </w:r>
          </w:p>
        </w:tc>
      </w:tr>
      <w:tr w:rsidR="00A96B0A" w:rsidRPr="00A96B0A" w14:paraId="5E1907BE" w14:textId="77777777" w:rsidTr="00AB6102">
        <w:trPr>
          <w:trHeight w:val="1942"/>
        </w:trPr>
        <w:tc>
          <w:tcPr>
            <w:cnfStyle w:val="001000000000" w:firstRow="0" w:lastRow="0" w:firstColumn="1" w:lastColumn="0" w:oddVBand="0" w:evenVBand="0" w:oddHBand="0" w:evenHBand="0" w:firstRowFirstColumn="0" w:firstRowLastColumn="0" w:lastRowFirstColumn="0" w:lastRowLastColumn="0"/>
            <w:tcW w:w="1077" w:type="dxa"/>
          </w:tcPr>
          <w:p w14:paraId="618EDA6B" w14:textId="77777777" w:rsidR="00A96B0A" w:rsidRPr="00A96B0A" w:rsidRDefault="00A96B0A" w:rsidP="00A96B0A">
            <w:pPr>
              <w:keepNext/>
              <w:keepLine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lastRenderedPageBreak/>
              <w:t>Mehl et al.</w:t>
            </w:r>
          </w:p>
          <w:p w14:paraId="405E1263"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 xml:space="preserve">(2022)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{"citationID":"TGZ3dhGw","properties":{"formattedCitation":"[45]","plainCitation":"[45]","noteIndex":0},"citationItems":[{"id":873,"uris":["http://zotero.org/users/4007286/items/EJWATN9W"],"itemData":{"id":873,"type":"article-journal","abstract":"Introduction: COVID-19 spurred an unprecedented transition from in-person to telemedicine visits in March 2020 at our institution for all prenatal counseling sessions. This study aims to explore differences in demographics of expectant mothers evaluated pre-and post-telemedicine implementation and to explore the patient experience with telemedicine.Methods: A mixed methods study was completed for mothers with a pregnancy compli-cated by a fetal surgical anomaly who visited a large tertiary fetal center. Using medical records as quantitative data, patient information was collected for all prenatal visits from 3/2019 to 3/2021. The sample was grouped into pre-and post-telemedicine implementation (based on transition date of 3/2020). Univariate analysis was used to compare de-mographics between the study groups. Statistical significance was defined as P &lt; 0.05. Eighteen semi-structured interviews were conducted from 8/2021 to 12/2021 to explore patients' experiences. Line-by-line coding and thematic analysis was performed to develop emerging themes.Results: 292 pregnancies were evaluated from 3/2019 to 3/2021 (pre-telemedicine 123, post-telemedicine 169). There was no significant difference in self-reported race (P = 0.28), ethnicity (P = 0.46), or primary language (P = 0.98). In qualitative interviews, patients re-ported advantages to telemedicine, including the convenience of the modality with the option to conduct their session in familiar settings (e.g., home) and avoid stressors (e.g., travel to the medical center and finding childcare). Some women reported difficulties establishing a physician-patient connection and a preference for in-person consultations.Conclusions: There was no difference in patient demographics at our fetal center in the year leading up to, and the time following, a significant transition to telemedicine. However, patients had unique perspectives on the advantages and disadvantages of the telemedicine experience. To ensure patient centered care, these findings suggest patient preference should be considered when scheduling outpatient surgical counseling and visits. 2022 Elsevier Inc. All rights reserved.","archive_location":"WOS:000864472000004","container-title":"JOURNAL OF SURGICAL RESEARCH","DOI":"10.1016/j.jss.2022.07.020","ISSN":"0022-4804","page":"288-295","title":"Impact of Telemedicine on Prenatal Counseling at a Tertiary Fetal Center: A Mixed Methods Study","volume":"280","author":[{"family":"Mehl","given":"SC"},{"family":"Short","given":"WD"},{"family":"Powell","given":"P"},{"family":"Haltom","given":"TM"},{"family":"Davis","given":"S"},{"family":"Belfort","given":"MA"},{"family":"Ball","given":"RH"},{"family":"Lee","given":"TC"},{"family":"Keswani","given":"SG"},{"family":"King","given":"A"}],"issued":{"date-parts":[["2022",12]]}}}],"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[45]</w:t>
            </w:r>
            <w:r w:rsidRPr="00A96B0A">
              <w:rPr>
                <w:rFonts w:ascii="Calibri" w:eastAsiaTheme="majorEastAsia" w:hAnsi="Calibri" w:cs="Calibri"/>
                <w:color w:val="000000" w:themeColor="text1"/>
                <w:kern w:val="2"/>
                <w:sz w:val="16"/>
                <w:szCs w:val="16"/>
                <w:lang w:val="en-US"/>
              </w:rPr>
              <w:fldChar w:fldCharType="end"/>
            </w:r>
          </w:p>
          <w:p w14:paraId="73F43FCC"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USA</w:t>
            </w:r>
          </w:p>
        </w:tc>
        <w:tc>
          <w:tcPr>
            <w:tcW w:w="1535" w:type="dxa"/>
          </w:tcPr>
          <w:p w14:paraId="7C405B2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Explore differences in demographics of expectant mothers evaluated pre- and post-telemedicine implementation and to explore the patient experience with telemedicine</w:t>
            </w:r>
          </w:p>
        </w:tc>
        <w:tc>
          <w:tcPr>
            <w:tcW w:w="1381" w:type="dxa"/>
          </w:tcPr>
          <w:p w14:paraId="4BF61CD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N=292</w:t>
            </w:r>
          </w:p>
          <w:p w14:paraId="3BBE5CEC"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Median age: 30</w:t>
            </w:r>
          </w:p>
        </w:tc>
        <w:tc>
          <w:tcPr>
            <w:tcW w:w="1230" w:type="dxa"/>
          </w:tcPr>
          <w:p w14:paraId="10FF8F4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Telehealth</w:t>
            </w:r>
          </w:p>
        </w:tc>
        <w:tc>
          <w:tcPr>
            <w:tcW w:w="1380" w:type="dxa"/>
          </w:tcPr>
          <w:p w14:paraId="3728131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Administrative data and interviews</w:t>
            </w:r>
          </w:p>
        </w:tc>
        <w:tc>
          <w:tcPr>
            <w:tcW w:w="3000" w:type="dxa"/>
            <w:gridSpan w:val="2"/>
          </w:tcPr>
          <w:p w14:paraId="177269E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Patients appreciated the convenience of telemedicine, conducting sessions in familiar settings like home.</w:t>
            </w:r>
          </w:p>
          <w:p w14:paraId="1B565E8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Some found it challenging to establish a connection with their physician and preferred in-person consultations.</w:t>
            </w:r>
          </w:p>
          <w:p w14:paraId="5B7501B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There was no significant difference in self-reported race ethnicity or primary language.</w:t>
            </w:r>
          </w:p>
          <w:p w14:paraId="32CF847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A96B0A" w:rsidRPr="00A96B0A" w14:paraId="4485B2FF" w14:textId="77777777" w:rsidTr="00AB6102">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1077" w:type="dxa"/>
          </w:tcPr>
          <w:p w14:paraId="014AE74F" w14:textId="77777777" w:rsidR="00A96B0A" w:rsidRPr="00A96B0A" w:rsidRDefault="00A96B0A" w:rsidP="00A96B0A">
            <w:pPr>
              <w:keepNext/>
              <w:keepLine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proofErr w:type="spellStart"/>
            <w:r w:rsidRPr="00A96B0A">
              <w:rPr>
                <w:rFonts w:ascii="Calibri" w:eastAsiaTheme="majorEastAsia" w:hAnsi="Calibri" w:cs="Calibri"/>
                <w:b/>
                <w:bCs/>
                <w:i w:val="0"/>
                <w:iCs w:val="0"/>
                <w:color w:val="000000" w:themeColor="text1"/>
                <w:kern w:val="2"/>
                <w:sz w:val="16"/>
                <w:szCs w:val="16"/>
                <w:lang w:val="en-US"/>
              </w:rPr>
              <w:t>Moulaei</w:t>
            </w:r>
            <w:proofErr w:type="spellEnd"/>
            <w:r w:rsidRPr="00A96B0A">
              <w:rPr>
                <w:rFonts w:ascii="Calibri" w:eastAsiaTheme="majorEastAsia" w:hAnsi="Calibri" w:cs="Calibri"/>
                <w:b/>
                <w:bCs/>
                <w:i w:val="0"/>
                <w:iCs w:val="0"/>
                <w:color w:val="000000" w:themeColor="text1"/>
                <w:kern w:val="2"/>
                <w:sz w:val="16"/>
                <w:szCs w:val="16"/>
                <w:lang w:val="en-US"/>
              </w:rPr>
              <w:t xml:space="preserve"> </w:t>
            </w:r>
          </w:p>
          <w:p w14:paraId="319868AA"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 xml:space="preserve">et al. (2023)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{"citationID":"EPhZ4Mjv","properties":{"formattedCitation":"[105]","plainCitation":"[105]","noteIndex":0},"citationItems":[{"id":836,"uris":["http://zotero.org/users/4007286/items/PID7N6J6"],"itemData":{"id":836,"type":"article-journal","abstract":"IntroductionDespite the fact that telemedicine can eliminate geographical and time limitations and offer the possibility of diagnosing, treating, and preventing diseases by sharing reliable information, many individuals still prefer to visit medical centers for in-person consultations. The aim of this study was to determine the level of acceptance of telemedicine compared to in-person visits, identify the perceived advantages of telemedicine over in-person visits, and to explore the reasons why patients choose either of these two types of visits.MethodsWe developed a questionnaire using the rational method. The questionnaire consisted of multiple-choice questions and one open-ended question. A total of 2059 patients were invited to participate in the study. Chi-square tests and descriptive statistics were employed for data analysis. To analyze the data from the open-ended question, we conducted qualitative content analysis using MAXQDA 18.ResultsOut of the 1226 participants who completed the questionnaire, 865 (71%) preferred in-person visits, while 361 (29%) preferred telemedicine. Factors such as education level, specific health conditions, and prior experience with telemedicine influenced the preference for telemedicine. The participants provided a total of 183 different reasons for choosing either telemedicine (108 reasons) or in-person visits (75 reasons). Avoiding infectious diseases, saving cost, and eliminating and overcoming geographical distance barriers were three primary telemedicine benefits. The primary reasons for selecting an in-person visit were: more accurate diagnosis of the disease, more accurate and better examination of the patient by the physician, and more accurate and better treatment of the disease.ConclusionThe results demonstrate that despite the numerous benefits offered by telemedicine, the majority of patients still exhibit a preference for in-person visits. In order to promote broader acceptance of telemedicine, it becomes crucial for telemedicine services to address patient preferences and concerns effectively. Employing effective change management strategies can aid in overcoming resistance and facilitating the widespread adoption of telemedicine within the population.","archive_location":"WOS:001102223500001","container-title":"BMC MEDICAL INFORMATICS AND DECISION MAKING","DOI":"10.1186/s12911-023-02348-4","ISSN":"1472-6947","issue":"1","title":"Patients' perspectives and preferences toward telemedicine versus in-person visits: a mixed-methods study on 1226 patients","volume":"23","author":[{"family":"Moulaei","given":"K"},{"family":"Sheikhtaheri","given":"A"},{"family":"Fatehi","given":"F"},{"family":"Shanbehzadeh","given":"M"},{"family":"Bahaadinbeigy","given":"K"}],"issued":{"date-parts":[["2023",11,15]]}}}],"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[105]</w:t>
            </w:r>
            <w:r w:rsidRPr="00A96B0A">
              <w:rPr>
                <w:rFonts w:ascii="Calibri" w:eastAsiaTheme="majorEastAsia" w:hAnsi="Calibri" w:cs="Calibri"/>
                <w:color w:val="000000" w:themeColor="text1"/>
                <w:kern w:val="2"/>
                <w:sz w:val="16"/>
                <w:szCs w:val="16"/>
                <w:lang w:val="en-US"/>
              </w:rPr>
              <w:fldChar w:fldCharType="end"/>
            </w:r>
          </w:p>
          <w:p w14:paraId="3EF4069E"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Iran</w:t>
            </w:r>
          </w:p>
        </w:tc>
        <w:tc>
          <w:tcPr>
            <w:tcW w:w="1535" w:type="dxa"/>
          </w:tcPr>
          <w:p w14:paraId="32AEBDF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Identify preferences between in-person visits and telemedicine</w:t>
            </w:r>
          </w:p>
        </w:tc>
        <w:tc>
          <w:tcPr>
            <w:tcW w:w="1381" w:type="dxa"/>
          </w:tcPr>
          <w:p w14:paraId="74BA97C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N=1226</w:t>
            </w:r>
          </w:p>
          <w:p w14:paraId="355E82F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Age: frequencies</w:t>
            </w:r>
          </w:p>
          <w:p w14:paraId="05D3225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18–27: 661</w:t>
            </w:r>
          </w:p>
          <w:p w14:paraId="0FD9FB1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28–37: 370</w:t>
            </w:r>
          </w:p>
          <w:p w14:paraId="388268C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38–47: 159</w:t>
            </w:r>
          </w:p>
          <w:p w14:paraId="7DF9DEA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48–57: 29</w:t>
            </w:r>
          </w:p>
          <w:p w14:paraId="75DF700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230" w:type="dxa"/>
          </w:tcPr>
          <w:p w14:paraId="17D9A1C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Telemedicine</w:t>
            </w:r>
          </w:p>
        </w:tc>
        <w:tc>
          <w:tcPr>
            <w:tcW w:w="1380" w:type="dxa"/>
          </w:tcPr>
          <w:p w14:paraId="131FEBB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Questionnaire with multiple-choice and one open-ended question</w:t>
            </w:r>
          </w:p>
        </w:tc>
        <w:tc>
          <w:tcPr>
            <w:tcW w:w="3000" w:type="dxa"/>
            <w:gridSpan w:val="2"/>
          </w:tcPr>
          <w:p w14:paraId="4AA1B91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Telemedicine's primary benefits include preventing infections, reducing costs, and bridging distances. In contrast, in-person visits are preferred for more precise diagnoses, examinations by physicians, and treatments.</w:t>
            </w:r>
          </w:p>
          <w:p w14:paraId="3945C43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A96B0A" w:rsidRPr="00A96B0A" w14:paraId="30C44F23" w14:textId="77777777" w:rsidTr="00AB6102">
        <w:trPr>
          <w:trHeight w:val="872"/>
        </w:trPr>
        <w:tc>
          <w:tcPr>
            <w:cnfStyle w:val="001000000000" w:firstRow="0" w:lastRow="0" w:firstColumn="1" w:lastColumn="0" w:oddVBand="0" w:evenVBand="0" w:oddHBand="0" w:evenHBand="0" w:firstRowFirstColumn="0" w:firstRowLastColumn="0" w:lastRowFirstColumn="0" w:lastRowLastColumn="0"/>
            <w:tcW w:w="1077" w:type="dxa"/>
          </w:tcPr>
          <w:p w14:paraId="5830B6E1" w14:textId="77777777" w:rsidR="00A96B0A" w:rsidRPr="00A96B0A" w:rsidRDefault="00A96B0A" w:rsidP="00A96B0A">
            <w:pPr>
              <w:keepNext/>
              <w:keepLine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r w:rsidRPr="00A96B0A">
              <w:rPr>
                <w:rFonts w:ascii="Calibri" w:eastAsiaTheme="majorEastAsia" w:hAnsi="Calibri" w:cs="Calibri"/>
                <w:b/>
                <w:bCs/>
                <w:i w:val="0"/>
                <w:iCs w:val="0"/>
                <w:color w:val="000000" w:themeColor="text1"/>
                <w:kern w:val="2"/>
                <w:sz w:val="16"/>
                <w:szCs w:val="16"/>
                <w:lang w:val="en-US"/>
              </w:rPr>
              <w:t xml:space="preserve">Olszewski </w:t>
            </w:r>
          </w:p>
          <w:p w14:paraId="5FE4B233"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et al.</w:t>
            </w:r>
            <w:r w:rsidRPr="00A96B0A">
              <w:rPr>
                <w:rFonts w:ascii="Calibri" w:eastAsiaTheme="majorEastAsia" w:hAnsi="Calibri" w:cs="Calibri"/>
                <w:b/>
                <w:bCs/>
                <w:i w:val="0"/>
                <w:iCs w:val="0"/>
                <w:color w:val="000000" w:themeColor="text1"/>
                <w:sz w:val="16"/>
                <w:szCs w:val="16"/>
                <w:lang w:val="en-US"/>
              </w:rPr>
              <w:t xml:space="preserve"> </w:t>
            </w:r>
            <w:r w:rsidRPr="00A96B0A">
              <w:rPr>
                <w:rFonts w:ascii="Calibri" w:eastAsiaTheme="majorEastAsia" w:hAnsi="Calibri" w:cs="Calibri"/>
                <w:b/>
                <w:bCs/>
                <w:i w:val="0"/>
                <w:iCs w:val="0"/>
                <w:color w:val="000000" w:themeColor="text1"/>
                <w:kern w:val="2"/>
                <w:sz w:val="16"/>
                <w:szCs w:val="16"/>
                <w:lang w:val="en-US"/>
              </w:rPr>
              <w:t xml:space="preserve">(2022)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{"citationID":"kycreI7Y","properties":{"formattedCitation":"[47]","plainCitation":"[47]","noteIndex":0},"citationItems":[{"id":2604,"uris":["http://zotero.org/users/4007286/items/BYJB7II8"],"itemData":{"id":2604,"type":"article-journal","abstract":"Objective: To identify factors that patients consider when choosing between future in-person, video, or telephone visits. Background: Telemedicine has been rapidly integrated into ambulatory neurology in response to the COVID-19 pandemic. Methods: Ambulatory neurology patients at a single center were contacted via telephone to complete: (1) a survey quantifying likelihood of scheduling a future telemedicine visit, and (2) a semi-structured qualitative interview following their visit in March 2021. Data were processed using the principles of thematic analysis. Results: Of 2493 visits, 39% assented to post-visit feedback; 74% were in-person visits and 13% video and telephone. Patients with in-person visits were less likely than those with video and telephone visits to “definitely” consider a future telemedicine visit (36 vs. 59 and 62%, respectively; p &lt; 0.001). Patients considered five key factors when scheduling future visits: “Pros of Visit Type,” “Barriers to Telemedicine,” “Situational Context,” “Inherent Beliefs,” and “Extrinsic Variables.” Patients with telemedicine visits considered convenience as a pro, while those with in-person visits cited improved quality of care. Accessibility and user familiarity were considered barriers to telemedicine by patients with in-person and telephone visits, whereas system limitations were prevalent among patients with video visits. Patients agreed that stable conditions can be monitored via telemedicine, whereas physical examination warrants an in-person visit. Telemedicine was inherently considered equivalent to in-person care by patients with telephone visits. Awareness of telemedicine must be improved for patients with in-person visits. Conclusion: Across visit types, patients agree that telemedicine is convenient and effective in many circumstances. Future care delivery models should incorporate the patient perspective to implement hybrid models where telemedicine is an adjunct to in-person visits in ambulatory neurology. © 2022, The Author(s), under exclusive licence to Springer-Verlag GmbH Germany.","archive":"Scopus","container-title":"Journal of Neurology","DOI":"10.1007/s00415-022-11149-0","issue":"9","page":"5022-5037","title":"A comparison of telemedicine and in-person neurology visits: what are the factors that patients consider when selecting future visit type?","volume":"269","author":[{"family":"Olszewski","given":"C."},{"family":"Thomson","given":"S."},{"family":"Pring","given":"K."},{"family":"Cox","given":"S."},{"family":"Merrill","given":"R."},{"family":"Fishman","given":"E."},{"family":"Ambrosini","given":"A."},{"family":"Soltany","given":"K.A."},{"family":"Bognet","given":"G."},{"family":"Strauss","given":"L."},{"family":"Graham","given":"R."},{"family":"Guzik","given":"A."},{"family":"Strowd","given":"R.E."}],"issued":{"date-parts":[["2022"]]}}}],"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[47]</w:t>
            </w:r>
            <w:r w:rsidRPr="00A96B0A">
              <w:rPr>
                <w:rFonts w:ascii="Calibri" w:eastAsiaTheme="majorEastAsia" w:hAnsi="Calibri" w:cs="Calibri"/>
                <w:color w:val="000000" w:themeColor="text1"/>
                <w:kern w:val="2"/>
                <w:sz w:val="16"/>
                <w:szCs w:val="16"/>
                <w:lang w:val="en-US"/>
              </w:rPr>
              <w:fldChar w:fldCharType="end"/>
            </w:r>
          </w:p>
          <w:p w14:paraId="63952DE9"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USA</w:t>
            </w:r>
          </w:p>
        </w:tc>
        <w:tc>
          <w:tcPr>
            <w:tcW w:w="1535" w:type="dxa"/>
          </w:tcPr>
          <w:p w14:paraId="6D0F263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Identify factors that patients consider when choosing between future in-person, video, or telephone visits</w:t>
            </w:r>
          </w:p>
        </w:tc>
        <w:tc>
          <w:tcPr>
            <w:tcW w:w="1381" w:type="dxa"/>
          </w:tcPr>
          <w:p w14:paraId="793B409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 962</w:t>
            </w:r>
          </w:p>
          <w:p w14:paraId="7129A48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Mean age: 45</w:t>
            </w:r>
          </w:p>
        </w:tc>
        <w:tc>
          <w:tcPr>
            <w:tcW w:w="1230" w:type="dxa"/>
          </w:tcPr>
          <w:p w14:paraId="659936B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Telehealth</w:t>
            </w:r>
          </w:p>
        </w:tc>
        <w:tc>
          <w:tcPr>
            <w:tcW w:w="1380" w:type="dxa"/>
          </w:tcPr>
          <w:p w14:paraId="41D3FCF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Descriptive statistics and semi-structured interviews</w:t>
            </w:r>
          </w:p>
        </w:tc>
        <w:tc>
          <w:tcPr>
            <w:tcW w:w="3000" w:type="dxa"/>
            <w:gridSpan w:val="2"/>
          </w:tcPr>
          <w:p w14:paraId="7C9B7ED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39% of 2493 visits provided post-visit feedback; 74% were in-person, 13% video/telephone.</w:t>
            </w:r>
          </w:p>
          <w:p w14:paraId="745D0CE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Patients with in-person visits less likely to "definitely" consider future telemedicine visits compared to video/telephone (36% vs. 59%/62% respectively; p&lt;0.001). </w:t>
            </w:r>
          </w:p>
        </w:tc>
      </w:tr>
      <w:tr w:rsidR="00A96B0A" w:rsidRPr="00A96B0A" w14:paraId="6DC493CD" w14:textId="77777777" w:rsidTr="00AB6102">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1077" w:type="dxa"/>
          </w:tcPr>
          <w:p w14:paraId="761CB021" w14:textId="77777777" w:rsidR="00A96B0A" w:rsidRPr="00A96B0A" w:rsidRDefault="00A96B0A" w:rsidP="00A96B0A">
            <w:pPr>
              <w:keepNext/>
              <w:keepLines/>
              <w:spacing w:before="40" w:line="240" w:lineRule="auto"/>
              <w:jc w:val="center"/>
              <w:outlineLvl w:val="1"/>
              <w:rPr>
                <w:rFonts w:ascii="Calibri" w:eastAsiaTheme="majorEastAsia" w:hAnsi="Calibri" w:cs="Calibri"/>
                <w:b/>
                <w:bCs/>
                <w:i w:val="0"/>
                <w:iCs w:val="0"/>
                <w:color w:val="000000" w:themeColor="text1"/>
                <w:kern w:val="2"/>
                <w:sz w:val="16"/>
                <w:szCs w:val="16"/>
                <w:lang w:val="en-US"/>
              </w:rPr>
            </w:pPr>
            <w:proofErr w:type="spellStart"/>
            <w:r w:rsidRPr="00A96B0A">
              <w:rPr>
                <w:rFonts w:ascii="Calibri" w:eastAsiaTheme="majorEastAsia" w:hAnsi="Calibri" w:cs="Calibri"/>
                <w:b/>
                <w:bCs/>
                <w:i w:val="0"/>
                <w:iCs w:val="0"/>
                <w:color w:val="000000" w:themeColor="text1"/>
                <w:kern w:val="2"/>
                <w:sz w:val="16"/>
                <w:szCs w:val="16"/>
                <w:lang w:val="en-US"/>
              </w:rPr>
              <w:t>Pullybank</w:t>
            </w:r>
            <w:proofErr w:type="spellEnd"/>
            <w:r w:rsidRPr="00A96B0A">
              <w:rPr>
                <w:rFonts w:ascii="Calibri" w:eastAsiaTheme="majorEastAsia" w:hAnsi="Calibri" w:cs="Calibri"/>
                <w:b/>
                <w:bCs/>
                <w:i w:val="0"/>
                <w:iCs w:val="0"/>
                <w:color w:val="000000" w:themeColor="text1"/>
                <w:kern w:val="2"/>
                <w:sz w:val="16"/>
                <w:szCs w:val="16"/>
                <w:lang w:val="en-US"/>
              </w:rPr>
              <w:t xml:space="preserve"> </w:t>
            </w:r>
          </w:p>
          <w:p w14:paraId="459DC797"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et al.</w:t>
            </w:r>
            <w:r w:rsidRPr="00A96B0A">
              <w:rPr>
                <w:rFonts w:ascii="Calibri" w:eastAsiaTheme="majorEastAsia" w:hAnsi="Calibri" w:cs="Calibri"/>
                <w:b/>
                <w:bCs/>
                <w:i w:val="0"/>
                <w:iCs w:val="0"/>
                <w:color w:val="000000" w:themeColor="text1"/>
                <w:sz w:val="16"/>
                <w:szCs w:val="16"/>
                <w:lang w:val="en-US"/>
              </w:rPr>
              <w:t xml:space="preserve"> </w:t>
            </w:r>
            <w:r w:rsidRPr="00A96B0A">
              <w:rPr>
                <w:rFonts w:ascii="Calibri" w:eastAsiaTheme="majorEastAsia" w:hAnsi="Calibri" w:cs="Calibri"/>
                <w:b/>
                <w:bCs/>
                <w:i w:val="0"/>
                <w:iCs w:val="0"/>
                <w:color w:val="000000" w:themeColor="text1"/>
                <w:kern w:val="2"/>
                <w:sz w:val="16"/>
                <w:szCs w:val="16"/>
                <w:lang w:val="en-US"/>
              </w:rPr>
              <w:t xml:space="preserve">(2023)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{"citationID":"yU30u5lM","properties":{"formattedCitation":"[49]","plainCitation":"[49]","noteIndex":0},"citationItems":[{"id":833,"uris":["http://zotero.org/users/4007286/items/Y5EUKB9A"],"itemData":{"id":833,"type":"article-journal","abstract":"Introduction: During the pandemic, telehealth became critically important in care provision. Yet, research exposed the inequities facing various groups of people in terms of accessing telehealth. The purpose of this analysis was to examine the various dimensions of access that impact a person's ability to use and preference for telehealth.Methods: We used a mixed-methods approach framed by Levesque's Access to Health care model. In August, 2021, a stratified random sample of 500 patients of an integrated rural health care network was invited to participate in a survey designed to capture familiarity with, use of, and preference for digital technologies in general as well as with telehealth. In addition, key informant interviews were conducted between January 2022 and June 2022.Results: Patients' willingness to use telehealth was influenced by multiple dimensions of access, including approachability of the resource, acceptability, availability, affordability, and appropriateness. Clinician beliefs and attitudes as well as health care system policies affected how a patient perceived, sought, reached, and engaged with telehealth.Conclusions: Access is a dynamic, multifaceted concept that is influenced by individual-, organization-, and systemic-level factors. Looking beyond patient determinants and examining different dimensions of access is important to better facilitate implementation and sustainment of telehealth.","archive_location":"WOS:001116359500002","container-title":"TELEMEDICINE REPORTS","DOI":"10.1089/tmr.2023.0049","ISSN":"2692-4366","issue":"1","page":"348-358","title":"Exploring Multiple Dimensions of Access to and Preferences for Telehealth Use","volume":"4","author":[{"family":"Pullyblank","given":"K"},{"family":"Scribani","given":"M"},{"family":"Krupa","given":"N"},{"family":"Chapman","given":"A"},{"family":"Kern","given":"M"},{"family":"Brunner","given":"W"}],"issued":{"date-parts":[["2023",12,1]]}}}],"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[49]</w:t>
            </w:r>
            <w:r w:rsidRPr="00A96B0A">
              <w:rPr>
                <w:rFonts w:ascii="Calibri" w:eastAsiaTheme="majorEastAsia" w:hAnsi="Calibri" w:cs="Calibri"/>
                <w:color w:val="000000" w:themeColor="text1"/>
                <w:kern w:val="2"/>
                <w:sz w:val="16"/>
                <w:szCs w:val="16"/>
                <w:lang w:val="en-US"/>
              </w:rPr>
              <w:fldChar w:fldCharType="end"/>
            </w:r>
          </w:p>
          <w:p w14:paraId="50FED162"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USA</w:t>
            </w:r>
          </w:p>
        </w:tc>
        <w:tc>
          <w:tcPr>
            <w:tcW w:w="1535" w:type="dxa"/>
          </w:tcPr>
          <w:p w14:paraId="5AB37B2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Examine the various dimensions of access that impact a person’s ability to use and preference for telehealth.</w:t>
            </w:r>
          </w:p>
        </w:tc>
        <w:tc>
          <w:tcPr>
            <w:tcW w:w="1381" w:type="dxa"/>
          </w:tcPr>
          <w:p w14:paraId="3288B694"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N=206 (survey)</w:t>
            </w:r>
          </w:p>
          <w:p w14:paraId="41D107B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N=10 (interviews)</w:t>
            </w:r>
          </w:p>
          <w:p w14:paraId="0B21909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Median age: 63</w:t>
            </w:r>
          </w:p>
        </w:tc>
        <w:tc>
          <w:tcPr>
            <w:tcW w:w="1230" w:type="dxa"/>
          </w:tcPr>
          <w:p w14:paraId="21B4783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Telehealth</w:t>
            </w:r>
          </w:p>
        </w:tc>
        <w:tc>
          <w:tcPr>
            <w:tcW w:w="1380" w:type="dxa"/>
          </w:tcPr>
          <w:p w14:paraId="23740EB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Survey and interviews</w:t>
            </w:r>
          </w:p>
        </w:tc>
        <w:tc>
          <w:tcPr>
            <w:tcW w:w="3000" w:type="dxa"/>
            <w:gridSpan w:val="2"/>
          </w:tcPr>
          <w:p w14:paraId="3665B30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Telehealth appointments offer the convenience and time-saving benefit of avoiding travel and waiting rooms. Yet, there are concerns about care quality, especially in physical exams, implementation challenges, and a need for education to foster trust in these services. Preferences for telehealth showed no significant differences across gender, income, health status, education level, disability status, marital status, or living in rural areas.</w:t>
            </w:r>
          </w:p>
          <w:p w14:paraId="769151D4"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p w14:paraId="3FFD26C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A96B0A" w:rsidRPr="00A96B0A" w14:paraId="5DB7D9F0" w14:textId="77777777" w:rsidTr="00AB6102">
        <w:trPr>
          <w:trHeight w:val="872"/>
        </w:trPr>
        <w:tc>
          <w:tcPr>
            <w:cnfStyle w:val="001000000000" w:firstRow="0" w:lastRow="0" w:firstColumn="1" w:lastColumn="0" w:oddVBand="0" w:evenVBand="0" w:oddHBand="0" w:evenHBand="0" w:firstRowFirstColumn="0" w:firstRowLastColumn="0" w:lastRowFirstColumn="0" w:lastRowLastColumn="0"/>
            <w:tcW w:w="1077" w:type="dxa"/>
          </w:tcPr>
          <w:p w14:paraId="29670993"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kern w:val="2"/>
                <w:sz w:val="16"/>
                <w:szCs w:val="16"/>
                <w:lang w:val="en-US"/>
              </w:rPr>
            </w:pPr>
            <w:r w:rsidRPr="00A96B0A">
              <w:rPr>
                <w:rFonts w:ascii="Calibri" w:eastAsiaTheme="majorEastAsia" w:hAnsi="Calibri" w:cs="Calibri"/>
                <w:b/>
                <w:bCs/>
                <w:i w:val="0"/>
                <w:iCs w:val="0"/>
                <w:color w:val="000000" w:themeColor="text1"/>
                <w:kern w:val="2"/>
                <w:sz w:val="16"/>
                <w:szCs w:val="16"/>
                <w:lang w:val="en-US"/>
              </w:rPr>
              <w:t>Van der Ven et al. (2023)</w:t>
            </w:r>
            <w:r w:rsidRPr="00A96B0A">
              <w:rPr>
                <w:rFonts w:ascii="Calibri" w:eastAsiaTheme="majorEastAsia" w:hAnsi="Calibri" w:cs="Calibri"/>
                <w:i w:val="0"/>
                <w:iCs w:val="0"/>
                <w:color w:val="000000" w:themeColor="text1"/>
                <w:kern w:val="2"/>
                <w:sz w:val="16"/>
                <w:szCs w:val="16"/>
                <w:lang w:val="en-US"/>
              </w:rPr>
              <w:t xml:space="preserve">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{"citationID":"d97kMsHp","properties":{"formattedCitation":"[110]","plainCitation":"[110]","noteIndex":0},"citationItems":[{"id":844,"uris":["http://zotero.org/users/4007286/items/IZWEJ2PY"],"itemData":{"id":844,"type":"article-journal","archive":"Scopus","container-title":"JMIR Human Factors","DOI":"10.2196/44885","title":"Preferences of Patients With Musculoskeletal Disorders Regarding the Timing and Channel of eHealth and Factors Influencing Its Use: Mixed Methods Study","URL":"https://www.scopus.com/inward/record.uri?eid=2-s2.0-85174621857&amp;doi=10.2196%2f44885&amp;partnerID=40&amp;md5=0fb55e29a1ae84d8d1fc84ae95ebef7c","volume":"10","author":[{"family":"Ven","given":"J.","non-dropping-particle":"van der"},{"family":"Bemt","given":"B.J.F.","non-dropping-particle":"van den"},{"family":"Dijk","given":"L.","non-dropping-particle":"van"},{"family":"Opdam","given":"M."},{"family":"Haegens","given":"L.L."},{"family":"Vriezekolk","given":"J.E."},{"family":"Verhoef","given":"L.M."}],"issued":{"date-parts":[["2023"]]}}}],"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[110]</w:t>
            </w:r>
            <w:r w:rsidRPr="00A96B0A">
              <w:rPr>
                <w:rFonts w:ascii="Calibri" w:eastAsiaTheme="majorEastAsia" w:hAnsi="Calibri" w:cs="Calibri"/>
                <w:color w:val="000000" w:themeColor="text1"/>
                <w:kern w:val="2"/>
                <w:sz w:val="16"/>
                <w:szCs w:val="16"/>
                <w:lang w:val="en-US"/>
              </w:rPr>
              <w:fldChar w:fldCharType="end"/>
            </w:r>
          </w:p>
          <w:p w14:paraId="70E707AB"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Netherlands</w:t>
            </w:r>
          </w:p>
        </w:tc>
        <w:tc>
          <w:tcPr>
            <w:tcW w:w="1535" w:type="dxa"/>
          </w:tcPr>
          <w:p w14:paraId="6A1E1EF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Describe when patients want to use eHealth, how patients want to communicate and receive information digitally, and what factors influence the use of eHealth in clinical practice</w:t>
            </w:r>
          </w:p>
        </w:tc>
        <w:tc>
          <w:tcPr>
            <w:tcW w:w="1381" w:type="dxa"/>
          </w:tcPr>
          <w:p w14:paraId="2096962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N=22</w:t>
            </w:r>
          </w:p>
          <w:p w14:paraId="4C0B981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Mean age: 67</w:t>
            </w:r>
          </w:p>
        </w:tc>
        <w:tc>
          <w:tcPr>
            <w:tcW w:w="1230" w:type="dxa"/>
          </w:tcPr>
          <w:p w14:paraId="73D63AC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eHealth</w:t>
            </w:r>
          </w:p>
        </w:tc>
        <w:tc>
          <w:tcPr>
            <w:tcW w:w="1380" w:type="dxa"/>
          </w:tcPr>
          <w:p w14:paraId="7C99429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Questionnaire and focus groups</w:t>
            </w:r>
          </w:p>
        </w:tc>
        <w:tc>
          <w:tcPr>
            <w:tcW w:w="3000" w:type="dxa"/>
            <w:gridSpan w:val="2"/>
          </w:tcPr>
          <w:p w14:paraId="1E9BE54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Positive aspects of eHealth involve digital data sharing among caregivers, centralized digital information, the ability to enlarge text on devices, and notifications for new test results in the patient portal. On the downside, users face too many notifications and the necessity to be at home for video consultations, unlike phone calls.</w:t>
            </w:r>
          </w:p>
        </w:tc>
      </w:tr>
      <w:tr w:rsidR="00A96B0A" w:rsidRPr="00A96B0A" w14:paraId="312EA8DE" w14:textId="77777777" w:rsidTr="00AB6102">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1077" w:type="dxa"/>
          </w:tcPr>
          <w:p w14:paraId="7130C3C5"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Wesselman et al.</w:t>
            </w:r>
            <w:r w:rsidRPr="00A96B0A">
              <w:rPr>
                <w:rFonts w:ascii="Calibri" w:eastAsiaTheme="majorEastAsia" w:hAnsi="Calibri" w:cs="Calibri"/>
                <w:b/>
                <w:bCs/>
                <w:i w:val="0"/>
                <w:iCs w:val="0"/>
                <w:color w:val="000000" w:themeColor="text1"/>
                <w:sz w:val="16"/>
                <w:szCs w:val="16"/>
                <w:lang w:val="en-US"/>
              </w:rPr>
              <w:t xml:space="preserve"> </w:t>
            </w:r>
            <w:r w:rsidRPr="00A96B0A">
              <w:rPr>
                <w:rFonts w:ascii="Calibri" w:eastAsiaTheme="majorEastAsia" w:hAnsi="Calibri" w:cs="Calibri"/>
                <w:b/>
                <w:bCs/>
                <w:i w:val="0"/>
                <w:iCs w:val="0"/>
                <w:color w:val="000000" w:themeColor="text1"/>
                <w:kern w:val="2"/>
                <w:sz w:val="16"/>
                <w:szCs w:val="16"/>
                <w:lang w:val="en-US"/>
              </w:rPr>
              <w:t xml:space="preserve">(2018)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l8IN9PKn","properties":{"formattedCitation":"[111]","plainCitation":"[111]","noteIndex":0},"citationItems":[{"id":830,"uris":["http://zotero.org/users/4007286/items/XZRHPG6M"],"itemData":{"id":830,"type":"article-journal","archive":"Scopus","container-title":"Alzheimer's and Dementia: Translational Research and Clinical Interventions","DOI":"10.1016/j.trci.2018.03.003","page":"141-149","title":"Wishes and preferences for an online lifestyle program for brain health—A mixed methods study","volume":"4","author":[{"family":"Wesselman","given":"L.M.P."},{"family":"Schild","given":"A.-K."},{"family":"Coll-Padros","given":"N."},{"family":"Borg","given":"W.E.","non-dropping-particle":"van der"},{"family":"Meurs","given":"J.H.P."},{"family":"Hooghiemstra","given":"A.M."},{"family":"Slot","given":"R.E.R."},{"family":"Sannemann","given":"L."},{"family":"Rami","given":"L."},{"family":"Molinuevo","given":"J.L."},{"family":"Bouwman","given":"F.H."},{"family":"Jessen","given":"F."},{"family":"Flier","given":"W.M.","non-dropping-particle":"van der"},{"family":"Sikkes","given":"S.A.M."}],"issued":{"date-parts":[["2018"]]}}}],"schema":"https://github.com/citation-style-language/schema/raw/master/csl-citation.json"}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[111]</w:t>
            </w:r>
            <w:r w:rsidRPr="00A96B0A">
              <w:rPr>
                <w:rFonts w:ascii="Calibri" w:eastAsiaTheme="majorEastAsia" w:hAnsi="Calibri" w:cs="Calibri"/>
                <w:color w:val="000000" w:themeColor="text1"/>
                <w:kern w:val="2"/>
                <w:sz w:val="16"/>
                <w:szCs w:val="16"/>
                <w:lang w:val="en-US"/>
              </w:rPr>
              <w:fldChar w:fldCharType="end"/>
            </w:r>
          </w:p>
          <w:p w14:paraId="76D358DF"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Netherlands</w:t>
            </w:r>
          </w:p>
          <w:p w14:paraId="25054A0A"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Germany</w:t>
            </w:r>
          </w:p>
          <w:p w14:paraId="56F6322E"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Spain</w:t>
            </w:r>
          </w:p>
        </w:tc>
        <w:tc>
          <w:tcPr>
            <w:tcW w:w="1535" w:type="dxa"/>
          </w:tcPr>
          <w:p w14:paraId="3DEFF2A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Identify preferences for an online lifestyle program for individuals with subjective cognitive decline</w:t>
            </w:r>
          </w:p>
        </w:tc>
        <w:tc>
          <w:tcPr>
            <w:tcW w:w="1381" w:type="dxa"/>
          </w:tcPr>
          <w:p w14:paraId="393D4970"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N=238 </w:t>
            </w:r>
          </w:p>
          <w:p w14:paraId="7F3713D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Age: frequencies (survey)</w:t>
            </w:r>
          </w:p>
          <w:p w14:paraId="7F0039B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Symbol" w:hAnsi="Calibri" w:cs="Calibri"/>
                <w:color w:val="000000" w:themeColor="text1"/>
                <w:kern w:val="2"/>
                <w:sz w:val="16"/>
                <w:szCs w:val="16"/>
                <w:lang w:val="en-US"/>
              </w:rPr>
              <w:t>&lt;</w:t>
            </w:r>
            <w:r w:rsidRPr="00A96B0A">
              <w:rPr>
                <w:rFonts w:ascii="Calibri" w:eastAsiaTheme="majorEastAsia" w:hAnsi="Calibri" w:cs="Calibri"/>
                <w:color w:val="000000" w:themeColor="text1"/>
                <w:kern w:val="2"/>
                <w:sz w:val="16"/>
                <w:szCs w:val="16"/>
                <w:lang w:val="en-US"/>
              </w:rPr>
              <w:t xml:space="preserve"> 40: 1 (1)</w:t>
            </w:r>
          </w:p>
          <w:p w14:paraId="46B377B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40–49: 6 (3)</w:t>
            </w:r>
          </w:p>
          <w:p w14:paraId="6E03F3D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50–59: 31 (18)</w:t>
            </w:r>
          </w:p>
          <w:p w14:paraId="28AEECA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60–69: 79 (45)</w:t>
            </w:r>
          </w:p>
          <w:p w14:paraId="59B8AEA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70–79: 54 (31)</w:t>
            </w:r>
          </w:p>
          <w:p w14:paraId="1D12536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Symbol" w:hAnsi="Calibri" w:cs="Calibri"/>
                <w:color w:val="000000" w:themeColor="text1"/>
                <w:kern w:val="2"/>
                <w:sz w:val="16"/>
                <w:szCs w:val="16"/>
                <w:lang w:val="en-US"/>
              </w:rPr>
              <w:t>&gt;</w:t>
            </w:r>
            <w:r w:rsidRPr="00A96B0A">
              <w:rPr>
                <w:rFonts w:ascii="Calibri" w:eastAsiaTheme="majorEastAsia" w:hAnsi="Calibri" w:cs="Calibri"/>
                <w:color w:val="000000" w:themeColor="text1"/>
                <w:kern w:val="2"/>
                <w:sz w:val="16"/>
                <w:szCs w:val="16"/>
                <w:lang w:val="en-US"/>
              </w:rPr>
              <w:t xml:space="preserve"> 80: 5 (3)</w:t>
            </w:r>
          </w:p>
          <w:p w14:paraId="631587F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N=22 (interviews)</w:t>
            </w:r>
          </w:p>
          <w:p w14:paraId="4C0E768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(mean age 67</w:t>
            </w:r>
            <w:r w:rsidRPr="00A96B0A">
              <w:rPr>
                <w:rFonts w:ascii="Calibri" w:eastAsia="Symbol" w:hAnsi="Calibri" w:cs="Calibri"/>
                <w:color w:val="000000" w:themeColor="text1"/>
                <w:kern w:val="2"/>
                <w:sz w:val="16"/>
                <w:szCs w:val="16"/>
                <w:lang w:val="en-US"/>
              </w:rPr>
              <w:t></w:t>
            </w:r>
            <w:r w:rsidRPr="00A96B0A">
              <w:rPr>
                <w:rFonts w:ascii="Calibri" w:eastAsiaTheme="majorEastAsia" w:hAnsi="Calibri" w:cs="Calibri"/>
                <w:color w:val="000000" w:themeColor="text1"/>
                <w:kern w:val="2"/>
                <w:sz w:val="16"/>
                <w:szCs w:val="16"/>
                <w:lang w:val="en-US"/>
              </w:rPr>
              <w:t>9.2)</w:t>
            </w:r>
          </w:p>
          <w:p w14:paraId="61E725A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230" w:type="dxa"/>
          </w:tcPr>
          <w:p w14:paraId="7B9BC84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eHealth (online health program)</w:t>
            </w:r>
          </w:p>
        </w:tc>
        <w:tc>
          <w:tcPr>
            <w:tcW w:w="1380" w:type="dxa"/>
          </w:tcPr>
          <w:p w14:paraId="226086B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Online survey and semi-structured interviews</w:t>
            </w:r>
          </w:p>
        </w:tc>
        <w:tc>
          <w:tcPr>
            <w:tcW w:w="3000" w:type="dxa"/>
            <w:gridSpan w:val="2"/>
          </w:tcPr>
          <w:p w14:paraId="6C1C283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Patients considered trustworthiness, user-friendliness, and facilities of the program as online program’s facilitators </w:t>
            </w:r>
          </w:p>
          <w:p w14:paraId="0F3F9FB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Personal factors that might be a barrier were limited time, limited digital skills, and psychological barriers.</w:t>
            </w:r>
          </w:p>
          <w:p w14:paraId="16E02D1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There are similar preferences between countries and one unique online program could fit the needs of Europeans.</w:t>
            </w:r>
          </w:p>
        </w:tc>
      </w:tr>
      <w:tr w:rsidR="00A96B0A" w:rsidRPr="00A96B0A" w14:paraId="154E9975" w14:textId="77777777" w:rsidTr="00AB6102">
        <w:trPr>
          <w:trHeight w:val="872"/>
        </w:trPr>
        <w:tc>
          <w:tcPr>
            <w:cnfStyle w:val="001000000000" w:firstRow="0" w:lastRow="0" w:firstColumn="1" w:lastColumn="0" w:oddVBand="0" w:evenVBand="0" w:oddHBand="0" w:evenHBand="0" w:firstRowFirstColumn="0" w:firstRowLastColumn="0" w:lastRowFirstColumn="0" w:lastRowLastColumn="0"/>
            <w:tcW w:w="1077" w:type="dxa"/>
          </w:tcPr>
          <w:p w14:paraId="66111A7F"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Woerner et al.</w:t>
            </w:r>
            <w:r w:rsidRPr="00A96B0A">
              <w:rPr>
                <w:rFonts w:ascii="Calibri" w:eastAsiaTheme="majorEastAsia" w:hAnsi="Calibri" w:cs="Calibri"/>
                <w:b/>
                <w:bCs/>
                <w:i w:val="0"/>
                <w:iCs w:val="0"/>
                <w:color w:val="000000" w:themeColor="text1"/>
                <w:sz w:val="16"/>
                <w:szCs w:val="16"/>
                <w:lang w:val="en-US"/>
              </w:rPr>
              <w:t xml:space="preserve"> </w:t>
            </w:r>
            <w:r w:rsidRPr="00A96B0A">
              <w:rPr>
                <w:rFonts w:ascii="Calibri" w:eastAsiaTheme="majorEastAsia" w:hAnsi="Calibri" w:cs="Calibri"/>
                <w:b/>
                <w:bCs/>
                <w:i w:val="0"/>
                <w:iCs w:val="0"/>
                <w:color w:val="000000" w:themeColor="text1"/>
                <w:kern w:val="2"/>
                <w:sz w:val="16"/>
                <w:szCs w:val="16"/>
                <w:lang w:val="en-US"/>
              </w:rPr>
              <w:t xml:space="preserve">(2022)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{"citationID":"G7G0f7OR","properties":{"formattedCitation":"[58]","plainCitation":"[58]","noteIndex":0},"citationItems":[{"id":2625,"uris":["http://zotero.org/users/4007286/items/RJRIFEMJ"],"itemData":{"id":2625,"type":"article-journal","abstract":"Introduction: Personal technology (e.g., smartphones, wearable health devices) has been leveraged extensively for mental health purposes, with upwards of 20,000 mobile applications on the market today and has been considered an important implementation strategy to overcome barriers many people face in accessing mental health care. The main question yet to be addressed is the role consumers feel technology should play in their care. One underserved demographic often ignored in this discussion are people over the age of 60. The population of adults 60 and older is predicted to double by 2,050 signaling a need to address how older adults view technology for their mental health care. Objective: The objective of this study is to better understand why digital mental health tools are not as broadly adopted as predicted, what role people with lived mental health experience feel technology should play in their care and how those results compare across age groups. Method: In a mixed-methods approach, we analyzed results from a one-time cross-sectional survey that included 998 adults aged 18–83 with lived experience of mental health concerns recruited from Prolific, an online research platform. We surveyed participant's use of technology including their perspectives on using technology in conjunction with their mental health care. We asked participants about their previous use of digital mental health tools, their treatment preferences for mental health care, and the role technology should play in their mental health care. Results: Across all age groups, respondents had favorable views of using digital mental health for managing mental health care. However, older adults rated their acceptability of digital mental health tools lower than middle-aged and younger adults. When asked what role technology should play in mental health care in an open-ended response, most participants responded that technology should play a complementary role in mental health care (723/954, 75.8%). Conclusion: Digital mental health is seen as a valuable care management tool across all age groups, but preferences for its role in care remain largely administrative and supportive. Future development of digital mental health should reflect these preferences. Copyright © 2022 Woerner, Sams, Rivera Nales, Gorstein, Johnson, Mosser and Areán.","archive":"Scopus","container-title":"Frontiers in Digital Health","DOI":"10.3389/fdgth.2022.840169","title":"Generational Perspectives on Technology's Role in Mental Health Care: A Survey of Adults With Lived Mental Health Experience","URL":"https://www.scopus.com/inward/record.uri?eid=2-s2.0-85131243628&amp;doi=10.3389%2ffdgth.2022.840169&amp;partnerID=40&amp;md5=e432f0b993aa0a98bf5ef9ad1cae92cf","volume":"4","author":[{"family":"Woerner","given":"M."},{"family":"Sams","given":"N."},{"family":"Rivera Nales","given":"C."},{"family":"Gorstein","given":"T."},{"family":"Johnson","given":"M."},{"family":"Mosser","given":"B.A."},{"family":"Areán","given":"P.A."}],"issued":{"date-parts":[["2022"]]}}}],"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[58]</w:t>
            </w:r>
            <w:r w:rsidRPr="00A96B0A">
              <w:rPr>
                <w:rFonts w:ascii="Calibri" w:eastAsiaTheme="majorEastAsia" w:hAnsi="Calibri" w:cs="Calibri"/>
                <w:color w:val="000000" w:themeColor="text1"/>
                <w:kern w:val="2"/>
                <w:sz w:val="16"/>
                <w:szCs w:val="16"/>
                <w:lang w:val="en-US"/>
              </w:rPr>
              <w:fldChar w:fldCharType="end"/>
            </w:r>
          </w:p>
          <w:p w14:paraId="39326FC6"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USA</w:t>
            </w:r>
          </w:p>
        </w:tc>
        <w:tc>
          <w:tcPr>
            <w:tcW w:w="1535" w:type="dxa"/>
          </w:tcPr>
          <w:p w14:paraId="5EF6DF8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Understand why digital mental health</w:t>
            </w:r>
          </w:p>
          <w:p w14:paraId="3FE9839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lastRenderedPageBreak/>
              <w:t>tools are not as broadly adopted as predicted, what role people with lived mental health</w:t>
            </w:r>
          </w:p>
          <w:p w14:paraId="7C6A6AB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experience feel technology should play in their care and how those results compare</w:t>
            </w:r>
          </w:p>
          <w:p w14:paraId="198C91B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across age groups</w:t>
            </w:r>
          </w:p>
          <w:p w14:paraId="40BE41B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p w14:paraId="5DECD4F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c>
          <w:tcPr>
            <w:tcW w:w="1381" w:type="dxa"/>
          </w:tcPr>
          <w:p w14:paraId="61B2D16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lastRenderedPageBreak/>
              <w:t>N = 998</w:t>
            </w:r>
          </w:p>
          <w:p w14:paraId="24178BA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65% female</w:t>
            </w:r>
          </w:p>
          <w:p w14:paraId="36551A2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Age frequencies</w:t>
            </w:r>
          </w:p>
          <w:p w14:paraId="79D807A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18-34: 290 </w:t>
            </w:r>
          </w:p>
          <w:p w14:paraId="6FAA7D3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lastRenderedPageBreak/>
              <w:t xml:space="preserve">35-59: 406 </w:t>
            </w:r>
          </w:p>
          <w:p w14:paraId="7A918D7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Symbol" w:hAnsi="Calibri" w:cs="Calibri"/>
                <w:color w:val="000000" w:themeColor="text1"/>
                <w:kern w:val="2"/>
                <w:sz w:val="16"/>
                <w:szCs w:val="16"/>
                <w:lang w:val="en-US"/>
              </w:rPr>
              <w:t></w:t>
            </w:r>
            <w:r w:rsidRPr="00A96B0A">
              <w:rPr>
                <w:rFonts w:ascii="Calibri" w:eastAsiaTheme="majorEastAsia" w:hAnsi="Calibri" w:cs="Calibri"/>
                <w:color w:val="000000" w:themeColor="text1"/>
                <w:kern w:val="2"/>
                <w:sz w:val="16"/>
                <w:szCs w:val="16"/>
                <w:lang w:val="en-US"/>
              </w:rPr>
              <w:t xml:space="preserve">60: 302 </w:t>
            </w:r>
          </w:p>
        </w:tc>
        <w:tc>
          <w:tcPr>
            <w:tcW w:w="1230" w:type="dxa"/>
          </w:tcPr>
          <w:p w14:paraId="3CEC6E1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lastRenderedPageBreak/>
              <w:t>mHealth</w:t>
            </w:r>
          </w:p>
          <w:p w14:paraId="55481ED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(application)</w:t>
            </w:r>
          </w:p>
        </w:tc>
        <w:tc>
          <w:tcPr>
            <w:tcW w:w="1380" w:type="dxa"/>
          </w:tcPr>
          <w:p w14:paraId="4AD386E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Multiple surveys </w:t>
            </w:r>
          </w:p>
        </w:tc>
        <w:tc>
          <w:tcPr>
            <w:tcW w:w="3000" w:type="dxa"/>
            <w:gridSpan w:val="2"/>
          </w:tcPr>
          <w:p w14:paraId="2FEA33B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Older adults generally view mental health apps similarly to younger and middle-aged adults but are less likely to see them as </w:t>
            </w:r>
            <w:r w:rsidRPr="00A96B0A">
              <w:rPr>
                <w:rFonts w:ascii="Calibri" w:eastAsiaTheme="majorEastAsia" w:hAnsi="Calibri" w:cs="Calibri"/>
                <w:color w:val="000000" w:themeColor="text1"/>
                <w:kern w:val="2"/>
                <w:sz w:val="16"/>
                <w:szCs w:val="16"/>
                <w:lang w:val="en-US"/>
              </w:rPr>
              <w:lastRenderedPageBreak/>
              <w:t xml:space="preserve">key for managing mental health or effective. </w:t>
            </w:r>
          </w:p>
          <w:p w14:paraId="46CFB6D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In-person therapy is preferred by all, but younger and older adults favor it more than middle-aged adults, who lean towards telehealth and mental health apps.</w:t>
            </w:r>
          </w:p>
          <w:p w14:paraId="29A7615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Theme="majorEastAsia" w:hAnsi="Calibri" w:cs="Calibri"/>
                <w:color w:val="000000" w:themeColor="text1"/>
                <w:sz w:val="16"/>
                <w:szCs w:val="16"/>
                <w:lang w:val="en-US"/>
              </w:rPr>
            </w:pPr>
          </w:p>
        </w:tc>
      </w:tr>
      <w:tr w:rsidR="00A96B0A" w:rsidRPr="00A96B0A" w14:paraId="0EEFDE16" w14:textId="77777777" w:rsidTr="00AB6102">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1077" w:type="dxa"/>
            <w:tcBorders>
              <w:bottom w:val="double" w:sz="4" w:space="0" w:color="auto"/>
            </w:tcBorders>
          </w:tcPr>
          <w:p w14:paraId="0361D63B" w14:textId="77777777" w:rsidR="00A96B0A" w:rsidRPr="00A96B0A" w:rsidRDefault="00A96B0A" w:rsidP="00A96B0A">
            <w:pPr>
              <w:keepNext/>
              <w:keepLines/>
              <w:spacing w:before="40" w:line="240" w:lineRule="auto"/>
              <w:jc w:val="center"/>
              <w:outlineLvl w:val="1"/>
              <w:rPr>
                <w:rFonts w:ascii="Calibri" w:eastAsiaTheme="majorEastAsia" w:hAnsi="Calibri" w:cs="Calibri"/>
                <w:b/>
                <w:bCs/>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lastRenderedPageBreak/>
              <w:t>Wright et al.</w:t>
            </w:r>
          </w:p>
          <w:p w14:paraId="5B6435CD" w14:textId="77777777" w:rsidR="00A96B0A" w:rsidRPr="00A96B0A" w:rsidRDefault="00A96B0A" w:rsidP="00A96B0A">
            <w:pPr>
              <w:keepNext/>
              <w:keepLines/>
              <w:spacing w:before="40" w:line="240" w:lineRule="auto"/>
              <w:jc w:val="center"/>
              <w:outlineLvl w:val="1"/>
              <w:rPr>
                <w:rFonts w:ascii="Calibri" w:eastAsiaTheme="majorEastAsia" w:hAnsi="Calibri" w:cs="Calibri"/>
                <w:i w:val="0"/>
                <w:iCs w:val="0"/>
                <w:color w:val="000000" w:themeColor="text1"/>
                <w:sz w:val="16"/>
                <w:szCs w:val="16"/>
                <w:lang w:val="en-US"/>
              </w:rPr>
            </w:pPr>
            <w:r w:rsidRPr="00A96B0A">
              <w:rPr>
                <w:rFonts w:ascii="Calibri" w:eastAsiaTheme="majorEastAsia" w:hAnsi="Calibri" w:cs="Calibri"/>
                <w:b/>
                <w:bCs/>
                <w:i w:val="0"/>
                <w:iCs w:val="0"/>
                <w:color w:val="000000" w:themeColor="text1"/>
                <w:kern w:val="2"/>
                <w:sz w:val="16"/>
                <w:szCs w:val="16"/>
                <w:lang w:val="en-US"/>
              </w:rPr>
              <w:t xml:space="preserve">(2023) </w:t>
            </w:r>
            <w:r w:rsidRPr="00A96B0A">
              <w:rPr>
                <w:rFonts w:ascii="Calibri" w:eastAsiaTheme="majorEastAsia" w:hAnsi="Calibri" w:cs="Calibri"/>
                <w:color w:val="000000" w:themeColor="text1"/>
                <w:sz w:val="16"/>
                <w:szCs w:val="16"/>
                <w:lang w:val="en-US"/>
              </w:rPr>
              <w:fldChar w:fldCharType="begin"/>
            </w:r>
            <w:r w:rsidRPr="00A96B0A">
              <w:rPr>
                <w:rFonts w:ascii="Calibri" w:eastAsiaTheme="majorEastAsia" w:hAnsi="Calibri" w:cs="Calibri"/>
                <w:i w:val="0"/>
                <w:iCs w:val="0"/>
                <w:color w:val="000000" w:themeColor="text1"/>
                <w:kern w:val="2"/>
                <w:sz w:val="16"/>
                <w:szCs w:val="16"/>
                <w:lang w:val="en-US"/>
              </w:rPr>
              <w:instrText xml:space="preserve"> ADDIN ZOTERO_ITEM CSL_CITATION {"citationID":"PlFUJBqR","properties":{"formattedCitation":"[68]","plainCitation":"[68]","noteIndex":0},"citationItems":[{"id":829,"uris":["http://zotero.org/users/4007286/items/S3W6FNPW"],"itemData":{"id":829,"type":"article-journal","abstract":"Aim: This study aimed to explore patient barriers to accessing services, current technology ownership/use and digital device preferences for accessing health information/health service delivery. Additionally, it aimed to explore the Theoretical Domains Framework and the acceptability of future eHealth solutions in bariatric surgery. Methods: This mixed‐method study (survey and semi‐structured interviews) was conducted in a bariatric surgery service in an Australian public hospital. Quantitative data were analysed descriptively, and the qualitative data were deductively and inductively analysed. Results: This study included 117 participants (n = 102 surveyed and n = 15 interviewed). Most participants were aged ≥51 years (n = 70, 60%), and two‐thirds were female (n = 76, 65%). One in three participants reported barriers to accessing services (n = 38, 37%), including parking, travel time, and taking time off work. Most participants preferred to receive or access additional health information via email (n = 84, 82%) and were willing to engage with health professionals via email (n = 92, 90%), text messages (n = 87, 85%), and telephone (n = 85, 83%). Deductive analysis of interviews generated three themes: 'Knowledge', 'Social influence' and 'Behavioural regulation, goals and environmental resources'. The inductive analysis generated one theme: 'Seeing a place for eHealth in service delivery'. Conclusion: This study's findings can potentially influence the development of future eHealth solutions. Text message, email, and online approaches may be suitable for delivering further information and resources to patients, particularly regarding diet and physical activity. Online health communities are being used by patients for social support and may be worth further investigation. In addition, developing a bariatric surgery mobile application may be beneficial.","archive":"ccm","container-title":"Nutrition &amp; Dietetics","DOI":"10.1111/1747-0080.12812","ISSN":"1446-6368","issue":"4","journalAbbreviation":"Nutrition &amp; Dietetics","page":"425-434","source":"EBSCOhost","title":"A mixed‐method study to inform the development and implementation of eHealth in a bariatric surgery service in an Australian public hospital.","volume":"80","author":[{"family":"Wright","given":"Charlene"},{"family":"Kelly","given":"Jaimon T."},{"family":"Campbell","given":"Katrina L."},{"family":"Healy","given":"Rebecca"},{"family":"Musial","given":"Jane"},{"family":"Hamilton","given":"Kyra"}],"issued":{"date-parts":[["2023",9]]}}}],"schema":"https://github.com/citation-style-language/schema/raw/master/csl-citation.json"} </w:instrText>
            </w:r>
            <w:r w:rsidRPr="00A96B0A">
              <w:rPr>
                <w:rFonts w:ascii="Calibri" w:eastAsiaTheme="majorEastAsia" w:hAnsi="Calibri" w:cs="Calibri"/>
                <w:color w:val="000000" w:themeColor="text1"/>
                <w:kern w:val="2"/>
                <w:sz w:val="16"/>
                <w:szCs w:val="16"/>
                <w:lang w:val="en-US"/>
              </w:rPr>
              <w:fldChar w:fldCharType="separate"/>
            </w:r>
            <w:r w:rsidRPr="00A96B0A">
              <w:rPr>
                <w:rFonts w:ascii="Calibri" w:eastAsiaTheme="majorEastAsia" w:hAnsi="Calibri" w:cs="Calibri"/>
                <w:i w:val="0"/>
                <w:iCs w:val="0"/>
                <w:color w:val="000000"/>
                <w:kern w:val="2"/>
                <w:sz w:val="16"/>
                <w:szCs w:val="16"/>
                <w:lang w:val="en-US"/>
              </w:rPr>
              <w:t>[68]</w:t>
            </w:r>
            <w:r w:rsidRPr="00A96B0A">
              <w:rPr>
                <w:rFonts w:ascii="Calibri" w:eastAsiaTheme="majorEastAsia" w:hAnsi="Calibri" w:cs="Calibri"/>
                <w:color w:val="000000" w:themeColor="text1"/>
                <w:kern w:val="2"/>
                <w:sz w:val="16"/>
                <w:szCs w:val="16"/>
                <w:lang w:val="en-US"/>
              </w:rPr>
              <w:fldChar w:fldCharType="end"/>
            </w:r>
          </w:p>
          <w:p w14:paraId="2E70E54C" w14:textId="77777777" w:rsidR="00A96B0A" w:rsidRPr="00A96B0A" w:rsidRDefault="00A96B0A" w:rsidP="00A96B0A">
            <w:pPr>
              <w:keepNext/>
              <w:keepLines/>
              <w:spacing w:before="40" w:line="240" w:lineRule="auto"/>
              <w:jc w:val="center"/>
              <w:outlineLvl w:val="1"/>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Australia</w:t>
            </w:r>
          </w:p>
        </w:tc>
        <w:tc>
          <w:tcPr>
            <w:tcW w:w="1535" w:type="dxa"/>
            <w:tcBorders>
              <w:bottom w:val="double" w:sz="4" w:space="0" w:color="auto"/>
            </w:tcBorders>
          </w:tcPr>
          <w:p w14:paraId="3C1956B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Explore patient barriers to accessing services, current technology ownership/use and digital device preferences for accessing health information/health service delivery</w:t>
            </w:r>
          </w:p>
        </w:tc>
        <w:tc>
          <w:tcPr>
            <w:tcW w:w="1381" w:type="dxa"/>
            <w:tcBorders>
              <w:bottom w:val="double" w:sz="4" w:space="0" w:color="auto"/>
            </w:tcBorders>
          </w:tcPr>
          <w:p w14:paraId="331FCC7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N=102 (survey)</w:t>
            </w:r>
          </w:p>
          <w:p w14:paraId="65F30CD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Age frequencies</w:t>
            </w:r>
          </w:p>
          <w:p w14:paraId="383FEB9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18-40: 18 </w:t>
            </w:r>
          </w:p>
          <w:p w14:paraId="073D0F9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41-50: 25 </w:t>
            </w:r>
          </w:p>
          <w:p w14:paraId="4C8CD02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51-60: 35</w:t>
            </w:r>
          </w:p>
          <w:p w14:paraId="5119508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61-65: 24 </w:t>
            </w:r>
          </w:p>
          <w:p w14:paraId="5332993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&gt;65: 0 </w:t>
            </w:r>
          </w:p>
          <w:p w14:paraId="572CB4D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N=15 (interviews)</w:t>
            </w:r>
          </w:p>
          <w:p w14:paraId="6922581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18-40: 0 </w:t>
            </w:r>
          </w:p>
          <w:p w14:paraId="659B8A0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41-50: 4 </w:t>
            </w:r>
          </w:p>
          <w:p w14:paraId="1B0C316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51-60: 5 </w:t>
            </w:r>
          </w:p>
          <w:p w14:paraId="3DCFE8A0"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61-65: 5 </w:t>
            </w:r>
          </w:p>
          <w:p w14:paraId="6C1C226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 xml:space="preserve">&gt;65: 1 </w:t>
            </w:r>
          </w:p>
        </w:tc>
        <w:tc>
          <w:tcPr>
            <w:tcW w:w="1230" w:type="dxa"/>
            <w:tcBorders>
              <w:bottom w:val="double" w:sz="4" w:space="0" w:color="auto"/>
            </w:tcBorders>
          </w:tcPr>
          <w:p w14:paraId="0E60D94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eHealth</w:t>
            </w:r>
          </w:p>
        </w:tc>
        <w:tc>
          <w:tcPr>
            <w:tcW w:w="1380" w:type="dxa"/>
            <w:tcBorders>
              <w:bottom w:val="double" w:sz="4" w:space="0" w:color="auto"/>
            </w:tcBorders>
          </w:tcPr>
          <w:p w14:paraId="347C6F6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Survey and semi-structured interviews</w:t>
            </w:r>
          </w:p>
        </w:tc>
        <w:tc>
          <w:tcPr>
            <w:tcW w:w="3000" w:type="dxa"/>
            <w:gridSpan w:val="2"/>
            <w:tcBorders>
              <w:bottom w:val="double" w:sz="4" w:space="0" w:color="auto"/>
            </w:tcBorders>
          </w:tcPr>
          <w:p w14:paraId="24CAB0D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Theme="majorEastAsia" w:hAnsi="Calibri" w:cs="Calibri"/>
                <w:color w:val="000000" w:themeColor="text1"/>
                <w:kern w:val="2"/>
                <w:sz w:val="16"/>
                <w:szCs w:val="16"/>
                <w:lang w:val="en-US"/>
              </w:rPr>
              <w:t>Patients are turning to text messages and emails for information, seeking social support from online health communities. Digital tools are valued for reducing barriers like parking, travel time, and work absences.</w:t>
            </w:r>
          </w:p>
        </w:tc>
      </w:tr>
    </w:tbl>
    <w:p w14:paraId="2327B6A1" w14:textId="77777777" w:rsidR="00EF17A1" w:rsidRPr="00EF17A1" w:rsidRDefault="008E7557" w:rsidP="00EF17A1">
      <w:pPr>
        <w:spacing w:line="240" w:lineRule="auto"/>
        <w:rPr>
          <w:rFonts w:asciiTheme="minorHAnsi" w:hAnsiTheme="minorHAnsi" w:cstheme="minorHAnsi"/>
          <w:sz w:val="20"/>
          <w:szCs w:val="22"/>
          <w:lang w:val="en-US"/>
        </w:rPr>
      </w:pPr>
      <w:r w:rsidRPr="000B4CB4">
        <w:rPr>
          <w:rFonts w:asciiTheme="minorHAnsi" w:hAnsiTheme="minorHAnsi" w:cstheme="minorHAnsi"/>
          <w:i/>
          <w:sz w:val="20"/>
          <w:szCs w:val="20"/>
          <w:lang w:val="en-US"/>
        </w:rPr>
        <w:t>Abbreviations: mHealth, mobile health; eHealth, electronic health.</w:t>
      </w:r>
      <w:r w:rsidR="00EF17A1" w:rsidRPr="000B4CB4">
        <w:rPr>
          <w:rFonts w:asciiTheme="minorHAnsi" w:hAnsiTheme="minorHAnsi" w:cstheme="minorHAnsi"/>
          <w:i/>
          <w:sz w:val="20"/>
          <w:szCs w:val="20"/>
          <w:lang w:val="en-US"/>
        </w:rPr>
        <w:br/>
      </w:r>
      <w:r w:rsidR="00EF17A1" w:rsidRPr="000B4CB4">
        <w:rPr>
          <w:rFonts w:asciiTheme="minorHAnsi" w:hAnsiTheme="minorHAnsi" w:cstheme="minorHAnsi"/>
          <w:sz w:val="20"/>
          <w:szCs w:val="22"/>
          <w:lang w:val="en-US"/>
        </w:rPr>
        <w:t>Note: Bracketed references in the tables correspond to the full citations provided in the References section of the main manuscript.</w:t>
      </w:r>
    </w:p>
    <w:p w14:paraId="459600A6" w14:textId="77777777" w:rsidR="00EF17A1" w:rsidRPr="00EF17A1" w:rsidRDefault="00EF17A1" w:rsidP="00EF17A1">
      <w:pPr>
        <w:spacing w:line="240" w:lineRule="auto"/>
        <w:rPr>
          <w:rFonts w:asciiTheme="minorHAnsi" w:hAnsiTheme="minorHAnsi" w:cstheme="minorHAnsi"/>
          <w:iCs/>
          <w:sz w:val="20"/>
          <w:szCs w:val="22"/>
          <w:lang w:val="en-US"/>
        </w:rPr>
      </w:pPr>
    </w:p>
    <w:p w14:paraId="26A3C90E" w14:textId="77777777" w:rsidR="00EF17A1" w:rsidRPr="000B4CB4" w:rsidRDefault="00EF17A1" w:rsidP="008E7557">
      <w:pPr>
        <w:rPr>
          <w:rFonts w:asciiTheme="minorHAnsi" w:hAnsiTheme="minorHAnsi" w:cstheme="minorHAnsi"/>
          <w:i/>
          <w:sz w:val="20"/>
          <w:szCs w:val="20"/>
          <w:lang w:val="en-US"/>
        </w:rPr>
      </w:pPr>
    </w:p>
    <w:p w14:paraId="7464F560" w14:textId="77777777" w:rsidR="008E7557" w:rsidRPr="000B4CB4" w:rsidRDefault="008E7557" w:rsidP="008E7557">
      <w:pPr>
        <w:rPr>
          <w:rFonts w:asciiTheme="minorHAnsi" w:hAnsiTheme="minorHAnsi" w:cstheme="minorHAnsi"/>
          <w:b/>
          <w:lang w:val="en-US"/>
        </w:rPr>
      </w:pPr>
    </w:p>
    <w:p w14:paraId="6026552A" w14:textId="77777777" w:rsidR="00E43E6D" w:rsidRPr="000B4CB4" w:rsidRDefault="00E43E6D">
      <w:pPr>
        <w:spacing w:line="240" w:lineRule="auto"/>
        <w:rPr>
          <w:rFonts w:asciiTheme="minorHAnsi" w:hAnsiTheme="minorHAnsi" w:cstheme="minorHAnsi"/>
          <w:b/>
          <w:lang w:val="en-US"/>
        </w:rPr>
      </w:pPr>
      <w:r w:rsidRPr="000B4CB4">
        <w:rPr>
          <w:rFonts w:asciiTheme="minorHAnsi" w:hAnsiTheme="minorHAnsi" w:cstheme="minorHAnsi"/>
          <w:b/>
          <w:lang w:val="en-US"/>
        </w:rPr>
        <w:br w:type="page"/>
      </w:r>
    </w:p>
    <w:p w14:paraId="399E1EAD" w14:textId="77777777" w:rsidR="008E7557" w:rsidRPr="000B4CB4" w:rsidRDefault="008E7557" w:rsidP="008E7557">
      <w:pPr>
        <w:rPr>
          <w:rFonts w:asciiTheme="minorHAnsi" w:hAnsiTheme="minorHAnsi" w:cstheme="minorHAnsi"/>
          <w:b/>
          <w:lang w:val="en-US"/>
        </w:rPr>
      </w:pPr>
      <w:r w:rsidRPr="000B4CB4">
        <w:rPr>
          <w:rFonts w:asciiTheme="minorHAnsi" w:hAnsiTheme="minorHAnsi" w:cstheme="minorHAnsi"/>
          <w:b/>
          <w:lang w:val="en-US"/>
        </w:rPr>
        <w:lastRenderedPageBreak/>
        <w:t xml:space="preserve">Table </w:t>
      </w:r>
      <w:r w:rsidR="00F9589E" w:rsidRPr="000B4CB4">
        <w:rPr>
          <w:rFonts w:asciiTheme="minorHAnsi" w:hAnsiTheme="minorHAnsi" w:cstheme="minorHAnsi"/>
          <w:b/>
          <w:lang w:val="en-US"/>
        </w:rPr>
        <w:t>C</w:t>
      </w:r>
      <w:r w:rsidRPr="000B4CB4">
        <w:rPr>
          <w:rFonts w:asciiTheme="minorHAnsi" w:hAnsiTheme="minorHAnsi" w:cstheme="minorHAnsi"/>
          <w:b/>
          <w:lang w:val="en-US"/>
        </w:rPr>
        <w:t xml:space="preserve">4. </w:t>
      </w:r>
      <w:r w:rsidRPr="000B4CB4">
        <w:rPr>
          <w:rFonts w:asciiTheme="minorHAnsi" w:hAnsiTheme="minorHAnsi" w:cstheme="minorHAnsi"/>
          <w:lang w:val="en-US"/>
        </w:rPr>
        <w:t>Frequency of</w:t>
      </w:r>
      <w:r w:rsidRPr="000B4CB4">
        <w:rPr>
          <w:rFonts w:asciiTheme="minorHAnsi" w:hAnsiTheme="minorHAnsi" w:cstheme="minorHAnsi"/>
          <w:b/>
          <w:lang w:val="en-US"/>
        </w:rPr>
        <w:t xml:space="preserve"> </w:t>
      </w:r>
      <w:r w:rsidRPr="000B4CB4">
        <w:rPr>
          <w:rFonts w:asciiTheme="minorHAnsi" w:hAnsiTheme="minorHAnsi" w:cstheme="minorHAnsi"/>
          <w:lang w:val="en-US"/>
        </w:rPr>
        <w:t>quantitative methods to elicit preferences for DHTs</w:t>
      </w:r>
    </w:p>
    <w:tbl>
      <w:tblPr>
        <w:tblStyle w:val="TableauGrille2-Accentuation3"/>
        <w:tblW w:w="6627" w:type="dxa"/>
        <w:jc w:val="center"/>
        <w:tblLayout w:type="fixed"/>
        <w:tblLook w:val="04A0" w:firstRow="1" w:lastRow="0" w:firstColumn="1" w:lastColumn="0" w:noHBand="0" w:noVBand="1"/>
      </w:tblPr>
      <w:tblGrid>
        <w:gridCol w:w="3072"/>
        <w:gridCol w:w="3555"/>
      </w:tblGrid>
      <w:tr w:rsidR="008E7557" w:rsidRPr="000B4CB4" w14:paraId="5768A499" w14:textId="77777777" w:rsidTr="00390F8C">
        <w:trPr>
          <w:cnfStyle w:val="100000000000" w:firstRow="1" w:lastRow="0" w:firstColumn="0" w:lastColumn="0" w:oddVBand="0" w:evenVBand="0" w:oddHBand="0" w:evenHBand="0" w:firstRowFirstColumn="0" w:firstRowLastColumn="0" w:lastRowFirstColumn="0" w:lastRowLastColumn="0"/>
          <w:trHeight w:val="442"/>
          <w:jc w:val="center"/>
        </w:trPr>
        <w:tc>
          <w:tcPr>
            <w:cnfStyle w:val="001000000000" w:firstRow="0" w:lastRow="0" w:firstColumn="1" w:lastColumn="0" w:oddVBand="0" w:evenVBand="0" w:oddHBand="0" w:evenHBand="0" w:firstRowFirstColumn="0" w:firstRowLastColumn="0" w:lastRowFirstColumn="0" w:lastRowLastColumn="0"/>
            <w:tcW w:w="3072" w:type="dxa"/>
            <w:tcBorders>
              <w:top w:val="double" w:sz="4" w:space="0" w:color="000000"/>
              <w:bottom w:val="nil"/>
            </w:tcBorders>
            <w:shd w:val="clear" w:color="auto" w:fill="auto"/>
            <w:vAlign w:val="center"/>
          </w:tcPr>
          <w:p w14:paraId="020B9457" w14:textId="77777777" w:rsidR="008E7557" w:rsidRPr="000B4CB4" w:rsidRDefault="008E7557" w:rsidP="00E05718">
            <w:pPr>
              <w:jc w:val="center"/>
              <w:rPr>
                <w:rFonts w:asciiTheme="minorHAnsi" w:hAnsiTheme="minorHAnsi" w:cstheme="minorHAnsi"/>
                <w:bCs w:val="0"/>
                <w:color w:val="000000" w:themeColor="text1"/>
                <w:sz w:val="20"/>
                <w:lang w:val="en-US"/>
              </w:rPr>
            </w:pPr>
            <w:r w:rsidRPr="000B4CB4">
              <w:rPr>
                <w:rFonts w:asciiTheme="minorHAnsi" w:hAnsiTheme="minorHAnsi" w:cstheme="minorHAnsi"/>
                <w:bCs w:val="0"/>
                <w:color w:val="000000" w:themeColor="text1"/>
                <w:kern w:val="2"/>
                <w:sz w:val="20"/>
                <w:lang w:val="en-US"/>
              </w:rPr>
              <w:t>Method</w:t>
            </w:r>
          </w:p>
        </w:tc>
        <w:tc>
          <w:tcPr>
            <w:tcW w:w="3554" w:type="dxa"/>
            <w:tcBorders>
              <w:top w:val="double" w:sz="4" w:space="0" w:color="000000"/>
              <w:bottom w:val="nil"/>
            </w:tcBorders>
            <w:shd w:val="clear" w:color="auto" w:fill="auto"/>
            <w:vAlign w:val="center"/>
          </w:tcPr>
          <w:p w14:paraId="114677A5" w14:textId="77777777" w:rsidR="008E7557" w:rsidRPr="000B4CB4" w:rsidRDefault="008E7557" w:rsidP="00E0571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0000" w:themeColor="text1"/>
                <w:sz w:val="20"/>
                <w:lang w:val="en-US"/>
              </w:rPr>
            </w:pPr>
            <w:r w:rsidRPr="000B4CB4">
              <w:rPr>
                <w:rFonts w:asciiTheme="minorHAnsi" w:hAnsiTheme="minorHAnsi" w:cstheme="minorHAnsi"/>
                <w:bCs w:val="0"/>
                <w:color w:val="000000" w:themeColor="text1"/>
                <w:kern w:val="2"/>
                <w:sz w:val="20"/>
                <w:lang w:val="en-US"/>
              </w:rPr>
              <w:t>Frequency (percentage)</w:t>
            </w:r>
          </w:p>
        </w:tc>
      </w:tr>
      <w:tr w:rsidR="008E7557" w:rsidRPr="000B4CB4" w14:paraId="059827C3" w14:textId="77777777" w:rsidTr="00390F8C">
        <w:trPr>
          <w:cnfStyle w:val="000000100000" w:firstRow="0" w:lastRow="0" w:firstColumn="0" w:lastColumn="0" w:oddVBand="0" w:evenVBand="0" w:oddHBand="1"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6626" w:type="dxa"/>
            <w:gridSpan w:val="2"/>
            <w:tcBorders>
              <w:top w:val="nil"/>
              <w:left w:val="nil"/>
              <w:bottom w:val="nil"/>
            </w:tcBorders>
            <w:shd w:val="clear" w:color="auto" w:fill="E7E6E6" w:themeFill="background2"/>
            <w:vAlign w:val="bottom"/>
          </w:tcPr>
          <w:p w14:paraId="647F6024" w14:textId="77777777" w:rsidR="008E7557" w:rsidRPr="000B4CB4" w:rsidRDefault="008E7557" w:rsidP="00E43E6D">
            <w:pPr>
              <w:jc w:val="center"/>
              <w:rPr>
                <w:rFonts w:asciiTheme="minorHAnsi" w:hAnsiTheme="minorHAnsi" w:cstheme="minorHAnsi"/>
                <w:bCs w:val="0"/>
                <w:color w:val="000000"/>
                <w:sz w:val="20"/>
                <w:lang w:val="en-US"/>
              </w:rPr>
            </w:pPr>
            <w:r w:rsidRPr="000B4CB4">
              <w:rPr>
                <w:rFonts w:asciiTheme="minorHAnsi" w:hAnsiTheme="minorHAnsi" w:cstheme="minorHAnsi"/>
                <w:color w:val="000000" w:themeColor="text1"/>
                <w:sz w:val="20"/>
                <w:lang w:val="en-US"/>
              </w:rPr>
              <w:t>Attribute-based methods</w:t>
            </w:r>
          </w:p>
        </w:tc>
      </w:tr>
      <w:tr w:rsidR="008E7557" w:rsidRPr="000B4CB4" w14:paraId="4F2B661E" w14:textId="77777777" w:rsidTr="00390F8C">
        <w:trPr>
          <w:trHeight w:val="268"/>
          <w:jc w:val="center"/>
        </w:trPr>
        <w:tc>
          <w:tcPr>
            <w:cnfStyle w:val="001000000000" w:firstRow="0" w:lastRow="0" w:firstColumn="1" w:lastColumn="0" w:oddVBand="0" w:evenVBand="0" w:oddHBand="0" w:evenHBand="0" w:firstRowFirstColumn="0" w:firstRowLastColumn="0" w:lastRowFirstColumn="0" w:lastRowLastColumn="0"/>
            <w:tcW w:w="3072" w:type="dxa"/>
            <w:tcBorders>
              <w:top w:val="nil"/>
              <w:bottom w:val="nil"/>
            </w:tcBorders>
            <w:vAlign w:val="center"/>
          </w:tcPr>
          <w:p w14:paraId="393A1FC9" w14:textId="77777777" w:rsidR="008E7557" w:rsidRPr="000B4CB4" w:rsidRDefault="008E7557" w:rsidP="00E05718">
            <w:pPr>
              <w:rPr>
                <w:rFonts w:asciiTheme="minorHAnsi" w:hAnsiTheme="minorHAnsi" w:cstheme="minorHAnsi"/>
                <w:b w:val="0"/>
                <w:bCs w:val="0"/>
                <w:color w:val="000000" w:themeColor="text1"/>
                <w:sz w:val="20"/>
                <w:lang w:val="en-US"/>
              </w:rPr>
            </w:pPr>
            <w:r w:rsidRPr="000B4CB4">
              <w:rPr>
                <w:rFonts w:asciiTheme="minorHAnsi" w:hAnsiTheme="minorHAnsi" w:cstheme="minorHAnsi"/>
                <w:b w:val="0"/>
                <w:color w:val="000000" w:themeColor="text1"/>
                <w:sz w:val="20"/>
                <w:lang w:val="en-US"/>
              </w:rPr>
              <w:t>Discrete choice experiment</w:t>
            </w:r>
          </w:p>
        </w:tc>
        <w:tc>
          <w:tcPr>
            <w:tcW w:w="3554" w:type="dxa"/>
            <w:tcBorders>
              <w:top w:val="nil"/>
              <w:bottom w:val="nil"/>
            </w:tcBorders>
            <w:vAlign w:val="center"/>
          </w:tcPr>
          <w:p w14:paraId="05E2217D" w14:textId="77777777" w:rsidR="008E7557" w:rsidRPr="000B4CB4" w:rsidRDefault="00E43E6D" w:rsidP="00E0571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0"/>
                <w:lang w:val="en-US"/>
              </w:rPr>
            </w:pPr>
            <w:r w:rsidRPr="000B4CB4">
              <w:rPr>
                <w:rFonts w:asciiTheme="minorHAnsi" w:hAnsiTheme="minorHAnsi" w:cstheme="minorHAnsi"/>
                <w:bCs/>
                <w:color w:val="000000"/>
                <w:kern w:val="2"/>
                <w:sz w:val="20"/>
                <w:lang w:val="en-US"/>
              </w:rPr>
              <w:t>35</w:t>
            </w:r>
            <w:r w:rsidR="008E7557" w:rsidRPr="000B4CB4">
              <w:rPr>
                <w:rFonts w:asciiTheme="minorHAnsi" w:hAnsiTheme="minorHAnsi" w:cstheme="minorHAnsi"/>
                <w:bCs/>
                <w:color w:val="000000"/>
                <w:kern w:val="2"/>
                <w:sz w:val="20"/>
                <w:lang w:val="en-US"/>
              </w:rPr>
              <w:t xml:space="preserve"> (</w:t>
            </w:r>
            <w:r w:rsidRPr="000B4CB4">
              <w:rPr>
                <w:rFonts w:asciiTheme="minorHAnsi" w:hAnsiTheme="minorHAnsi" w:cstheme="minorHAnsi"/>
                <w:bCs/>
                <w:color w:val="000000"/>
                <w:kern w:val="2"/>
                <w:sz w:val="20"/>
                <w:lang w:val="en-US"/>
              </w:rPr>
              <w:t>89.74</w:t>
            </w:r>
            <w:r w:rsidR="008E7557" w:rsidRPr="000B4CB4">
              <w:rPr>
                <w:rFonts w:asciiTheme="minorHAnsi" w:hAnsiTheme="minorHAnsi" w:cstheme="minorHAnsi"/>
                <w:bCs/>
                <w:kern w:val="2"/>
                <w:sz w:val="20"/>
                <w:lang w:val="en-US"/>
              </w:rPr>
              <w:t xml:space="preserve"> %)</w:t>
            </w:r>
          </w:p>
        </w:tc>
      </w:tr>
      <w:tr w:rsidR="008E7557" w:rsidRPr="000B4CB4" w14:paraId="60748F6B" w14:textId="77777777" w:rsidTr="00390F8C">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3072" w:type="dxa"/>
            <w:tcBorders>
              <w:top w:val="nil"/>
              <w:bottom w:val="nil"/>
            </w:tcBorders>
            <w:shd w:val="clear" w:color="auto" w:fill="auto"/>
            <w:vAlign w:val="center"/>
          </w:tcPr>
          <w:p w14:paraId="4EF95F18" w14:textId="77777777" w:rsidR="008E7557" w:rsidRPr="000B4CB4" w:rsidRDefault="008E7557" w:rsidP="00E05718">
            <w:pPr>
              <w:rPr>
                <w:rFonts w:asciiTheme="minorHAnsi" w:hAnsiTheme="minorHAnsi" w:cstheme="minorHAnsi"/>
                <w:b w:val="0"/>
                <w:bCs w:val="0"/>
                <w:color w:val="000000" w:themeColor="text1"/>
                <w:sz w:val="20"/>
                <w:lang w:val="en-US"/>
              </w:rPr>
            </w:pPr>
            <w:r w:rsidRPr="000B4CB4">
              <w:rPr>
                <w:rFonts w:asciiTheme="minorHAnsi" w:hAnsiTheme="minorHAnsi" w:cstheme="minorHAnsi"/>
                <w:b w:val="0"/>
                <w:color w:val="000000" w:themeColor="text1"/>
                <w:sz w:val="20"/>
                <w:lang w:val="en-US"/>
              </w:rPr>
              <w:t>Conjoint analysis</w:t>
            </w:r>
          </w:p>
        </w:tc>
        <w:tc>
          <w:tcPr>
            <w:tcW w:w="3554" w:type="dxa"/>
            <w:tcBorders>
              <w:top w:val="nil"/>
              <w:bottom w:val="nil"/>
            </w:tcBorders>
            <w:shd w:val="clear" w:color="auto" w:fill="auto"/>
            <w:vAlign w:val="center"/>
          </w:tcPr>
          <w:p w14:paraId="4FC1FF86" w14:textId="77777777" w:rsidR="008E7557" w:rsidRPr="000B4CB4" w:rsidRDefault="008E7557" w:rsidP="00E0571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0"/>
                <w:lang w:val="en-US"/>
              </w:rPr>
            </w:pPr>
            <w:r w:rsidRPr="000B4CB4">
              <w:rPr>
                <w:rFonts w:asciiTheme="minorHAnsi" w:hAnsiTheme="minorHAnsi" w:cstheme="minorHAnsi"/>
                <w:bCs/>
                <w:color w:val="000000"/>
                <w:kern w:val="2"/>
                <w:sz w:val="20"/>
                <w:lang w:val="en-US"/>
              </w:rPr>
              <w:t>2 (</w:t>
            </w:r>
            <w:r w:rsidR="00E43E6D" w:rsidRPr="000B4CB4">
              <w:rPr>
                <w:rFonts w:asciiTheme="minorHAnsi" w:hAnsiTheme="minorHAnsi" w:cstheme="minorHAnsi"/>
                <w:bCs/>
                <w:color w:val="000000"/>
                <w:kern w:val="2"/>
                <w:sz w:val="20"/>
                <w:lang w:val="en-US"/>
              </w:rPr>
              <w:t>5.13</w:t>
            </w:r>
            <w:r w:rsidRPr="000B4CB4">
              <w:rPr>
                <w:rFonts w:asciiTheme="minorHAnsi" w:hAnsiTheme="minorHAnsi" w:cstheme="minorHAnsi"/>
                <w:bCs/>
                <w:kern w:val="2"/>
                <w:sz w:val="20"/>
                <w:lang w:val="en-US"/>
              </w:rPr>
              <w:t>%)</w:t>
            </w:r>
          </w:p>
        </w:tc>
      </w:tr>
      <w:tr w:rsidR="008E7557" w:rsidRPr="000B4CB4" w14:paraId="1A6A3599" w14:textId="77777777" w:rsidTr="00390F8C">
        <w:trPr>
          <w:trHeight w:val="276"/>
          <w:jc w:val="center"/>
        </w:trPr>
        <w:tc>
          <w:tcPr>
            <w:cnfStyle w:val="001000000000" w:firstRow="0" w:lastRow="0" w:firstColumn="1" w:lastColumn="0" w:oddVBand="0" w:evenVBand="0" w:oddHBand="0" w:evenHBand="0" w:firstRowFirstColumn="0" w:firstRowLastColumn="0" w:lastRowFirstColumn="0" w:lastRowLastColumn="0"/>
            <w:tcW w:w="3072" w:type="dxa"/>
            <w:tcBorders>
              <w:top w:val="nil"/>
              <w:bottom w:val="nil"/>
            </w:tcBorders>
            <w:vAlign w:val="center"/>
          </w:tcPr>
          <w:p w14:paraId="72AEF09B" w14:textId="77777777" w:rsidR="008E7557" w:rsidRPr="000B4CB4" w:rsidRDefault="008E7557" w:rsidP="00E05718">
            <w:pPr>
              <w:rPr>
                <w:rFonts w:asciiTheme="minorHAnsi" w:hAnsiTheme="minorHAnsi" w:cstheme="minorHAnsi"/>
                <w:b w:val="0"/>
                <w:bCs w:val="0"/>
                <w:color w:val="000000" w:themeColor="text1"/>
                <w:sz w:val="20"/>
                <w:lang w:val="en-US"/>
              </w:rPr>
            </w:pPr>
            <w:r w:rsidRPr="000B4CB4">
              <w:rPr>
                <w:rFonts w:asciiTheme="minorHAnsi" w:hAnsiTheme="minorHAnsi" w:cstheme="minorHAnsi"/>
                <w:b w:val="0"/>
                <w:color w:val="000000" w:themeColor="text1"/>
                <w:sz w:val="20"/>
                <w:lang w:val="en-US"/>
              </w:rPr>
              <w:t>Best-worst scaling</w:t>
            </w:r>
          </w:p>
        </w:tc>
        <w:tc>
          <w:tcPr>
            <w:tcW w:w="3554" w:type="dxa"/>
            <w:tcBorders>
              <w:top w:val="nil"/>
              <w:bottom w:val="nil"/>
            </w:tcBorders>
            <w:vAlign w:val="center"/>
          </w:tcPr>
          <w:p w14:paraId="3C516A5D" w14:textId="77777777" w:rsidR="008E7557" w:rsidRPr="000B4CB4" w:rsidRDefault="008E7557" w:rsidP="00E0571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000000" w:themeColor="text1"/>
                <w:sz w:val="20"/>
                <w:lang w:val="en-US"/>
              </w:rPr>
            </w:pPr>
            <w:r w:rsidRPr="000B4CB4">
              <w:rPr>
                <w:rFonts w:asciiTheme="minorHAnsi" w:hAnsiTheme="minorHAnsi" w:cstheme="minorHAnsi"/>
                <w:bCs/>
                <w:color w:val="000000"/>
                <w:sz w:val="20"/>
                <w:lang w:val="en-US"/>
              </w:rPr>
              <w:t>2 (</w:t>
            </w:r>
            <w:r w:rsidR="00E43E6D" w:rsidRPr="000B4CB4">
              <w:rPr>
                <w:rFonts w:asciiTheme="minorHAnsi" w:hAnsiTheme="minorHAnsi" w:cstheme="minorHAnsi"/>
                <w:bCs/>
                <w:color w:val="000000"/>
                <w:sz w:val="20"/>
                <w:lang w:val="en-US"/>
              </w:rPr>
              <w:t>5.13</w:t>
            </w:r>
            <w:r w:rsidRPr="000B4CB4">
              <w:rPr>
                <w:rFonts w:asciiTheme="minorHAnsi" w:hAnsiTheme="minorHAnsi" w:cstheme="minorHAnsi"/>
                <w:bCs/>
                <w:color w:val="000000"/>
                <w:sz w:val="20"/>
                <w:lang w:val="en-US"/>
              </w:rPr>
              <w:t xml:space="preserve"> </w:t>
            </w:r>
            <w:r w:rsidRPr="000B4CB4">
              <w:rPr>
                <w:rFonts w:asciiTheme="minorHAnsi" w:hAnsiTheme="minorHAnsi" w:cstheme="minorHAnsi"/>
                <w:bCs/>
                <w:sz w:val="20"/>
                <w:lang w:val="en-US"/>
              </w:rPr>
              <w:t>%)</w:t>
            </w:r>
          </w:p>
        </w:tc>
      </w:tr>
      <w:tr w:rsidR="008E7557" w:rsidRPr="000B4CB4" w14:paraId="70919A2F" w14:textId="77777777" w:rsidTr="00390F8C">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3072" w:type="dxa"/>
            <w:tcBorders>
              <w:top w:val="nil"/>
              <w:bottom w:val="nil"/>
            </w:tcBorders>
            <w:shd w:val="clear" w:color="auto" w:fill="auto"/>
            <w:vAlign w:val="center"/>
          </w:tcPr>
          <w:p w14:paraId="7796F0D1" w14:textId="77777777" w:rsidR="008E7557" w:rsidRPr="000B4CB4" w:rsidRDefault="008E7557" w:rsidP="00E05718">
            <w:pPr>
              <w:rPr>
                <w:rFonts w:asciiTheme="minorHAnsi" w:hAnsiTheme="minorHAnsi" w:cstheme="minorHAnsi"/>
                <w:b w:val="0"/>
                <w:bCs w:val="0"/>
                <w:i/>
                <w:color w:val="767171" w:themeColor="background2" w:themeShade="80"/>
                <w:sz w:val="20"/>
                <w:lang w:val="en-US"/>
              </w:rPr>
            </w:pPr>
            <w:r w:rsidRPr="000B4CB4">
              <w:rPr>
                <w:rFonts w:asciiTheme="minorHAnsi" w:hAnsiTheme="minorHAnsi" w:cstheme="minorHAnsi"/>
                <w:b w:val="0"/>
                <w:i/>
                <w:color w:val="767171" w:themeColor="background2" w:themeShade="80"/>
                <w:sz w:val="20"/>
                <w:lang w:val="en-US"/>
              </w:rPr>
              <w:t>Sub total</w:t>
            </w:r>
          </w:p>
        </w:tc>
        <w:tc>
          <w:tcPr>
            <w:tcW w:w="3554" w:type="dxa"/>
            <w:tcBorders>
              <w:top w:val="nil"/>
              <w:bottom w:val="nil"/>
            </w:tcBorders>
            <w:shd w:val="clear" w:color="auto" w:fill="auto"/>
            <w:vAlign w:val="center"/>
          </w:tcPr>
          <w:p w14:paraId="74A171A4" w14:textId="77777777" w:rsidR="008E7557" w:rsidRPr="000B4CB4" w:rsidRDefault="00E43E6D" w:rsidP="00E0571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i/>
                <w:color w:val="767171" w:themeColor="background2" w:themeShade="80"/>
                <w:sz w:val="20"/>
                <w:lang w:val="en-US"/>
              </w:rPr>
            </w:pPr>
            <w:r w:rsidRPr="000B4CB4">
              <w:rPr>
                <w:rFonts w:asciiTheme="minorHAnsi" w:hAnsiTheme="minorHAnsi" w:cstheme="minorHAnsi"/>
                <w:bCs/>
                <w:i/>
                <w:color w:val="767171" w:themeColor="background2" w:themeShade="80"/>
                <w:sz w:val="20"/>
                <w:lang w:val="en-US"/>
              </w:rPr>
              <w:t>39</w:t>
            </w:r>
            <w:r w:rsidR="008E7557" w:rsidRPr="000B4CB4">
              <w:rPr>
                <w:rFonts w:asciiTheme="minorHAnsi" w:hAnsiTheme="minorHAnsi" w:cstheme="minorHAnsi"/>
                <w:bCs/>
                <w:i/>
                <w:color w:val="767171" w:themeColor="background2" w:themeShade="80"/>
                <w:sz w:val="20"/>
                <w:lang w:val="en-US"/>
              </w:rPr>
              <w:t xml:space="preserve"> (</w:t>
            </w:r>
            <w:r w:rsidRPr="000B4CB4">
              <w:rPr>
                <w:rFonts w:asciiTheme="minorHAnsi" w:hAnsiTheme="minorHAnsi" w:cstheme="minorHAnsi"/>
                <w:bCs/>
                <w:i/>
                <w:color w:val="767171" w:themeColor="background2" w:themeShade="80"/>
                <w:sz w:val="20"/>
                <w:lang w:val="en-US"/>
              </w:rPr>
              <w:t>86.67</w:t>
            </w:r>
            <w:r w:rsidR="008E7557" w:rsidRPr="000B4CB4">
              <w:rPr>
                <w:rFonts w:asciiTheme="minorHAnsi" w:hAnsiTheme="minorHAnsi" w:cstheme="minorHAnsi"/>
                <w:bCs/>
                <w:i/>
                <w:color w:val="767171" w:themeColor="background2" w:themeShade="80"/>
                <w:sz w:val="20"/>
                <w:lang w:val="en-US"/>
              </w:rPr>
              <w:t xml:space="preserve"> %)</w:t>
            </w:r>
          </w:p>
        </w:tc>
      </w:tr>
      <w:tr w:rsidR="008E7557" w:rsidRPr="000B4CB4" w14:paraId="30E5EB79" w14:textId="77777777" w:rsidTr="00390F8C">
        <w:trPr>
          <w:trHeight w:val="276"/>
          <w:jc w:val="center"/>
        </w:trPr>
        <w:tc>
          <w:tcPr>
            <w:cnfStyle w:val="001000000000" w:firstRow="0" w:lastRow="0" w:firstColumn="1" w:lastColumn="0" w:oddVBand="0" w:evenVBand="0" w:oddHBand="0" w:evenHBand="0" w:firstRowFirstColumn="0" w:firstRowLastColumn="0" w:lastRowFirstColumn="0" w:lastRowLastColumn="0"/>
            <w:tcW w:w="6626" w:type="dxa"/>
            <w:gridSpan w:val="2"/>
            <w:tcBorders>
              <w:top w:val="nil"/>
              <w:left w:val="nil"/>
              <w:bottom w:val="nil"/>
            </w:tcBorders>
            <w:shd w:val="clear" w:color="auto" w:fill="E7E6E6" w:themeFill="background2"/>
            <w:vAlign w:val="center"/>
          </w:tcPr>
          <w:p w14:paraId="1CD4F5C9" w14:textId="77777777" w:rsidR="008E7557" w:rsidRPr="000B4CB4" w:rsidRDefault="008E7557" w:rsidP="00E05718">
            <w:pPr>
              <w:jc w:val="center"/>
              <w:rPr>
                <w:rFonts w:asciiTheme="minorHAnsi" w:hAnsiTheme="minorHAnsi" w:cstheme="minorHAnsi"/>
                <w:bCs w:val="0"/>
                <w:color w:val="000000"/>
                <w:sz w:val="20"/>
                <w:lang w:val="en-US"/>
              </w:rPr>
            </w:pPr>
            <w:r w:rsidRPr="000B4CB4">
              <w:rPr>
                <w:rFonts w:asciiTheme="minorHAnsi" w:hAnsiTheme="minorHAnsi" w:cstheme="minorHAnsi"/>
                <w:bCs w:val="0"/>
                <w:color w:val="000000" w:themeColor="text1"/>
                <w:sz w:val="20"/>
                <w:lang w:val="en-US"/>
              </w:rPr>
              <w:t>Non-attribute-based methods</w:t>
            </w:r>
          </w:p>
        </w:tc>
      </w:tr>
      <w:tr w:rsidR="008E7557" w:rsidRPr="000B4CB4" w14:paraId="3CF6D60B" w14:textId="77777777" w:rsidTr="00390F8C">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3072" w:type="dxa"/>
            <w:tcBorders>
              <w:top w:val="nil"/>
              <w:bottom w:val="nil"/>
            </w:tcBorders>
            <w:shd w:val="clear" w:color="auto" w:fill="auto"/>
            <w:vAlign w:val="center"/>
          </w:tcPr>
          <w:p w14:paraId="7F87576C" w14:textId="77777777" w:rsidR="008E7557" w:rsidRPr="000B4CB4" w:rsidRDefault="008E7557" w:rsidP="00E05718">
            <w:pPr>
              <w:rPr>
                <w:rFonts w:asciiTheme="minorHAnsi" w:hAnsiTheme="minorHAnsi" w:cstheme="minorHAnsi"/>
                <w:b w:val="0"/>
                <w:bCs w:val="0"/>
                <w:color w:val="000000" w:themeColor="text1"/>
                <w:sz w:val="20"/>
                <w:lang w:val="en-US"/>
              </w:rPr>
            </w:pPr>
            <w:r w:rsidRPr="000B4CB4">
              <w:rPr>
                <w:rFonts w:asciiTheme="minorHAnsi" w:hAnsiTheme="minorHAnsi" w:cstheme="minorHAnsi"/>
                <w:b w:val="0"/>
                <w:color w:val="000000" w:themeColor="text1"/>
                <w:sz w:val="20"/>
                <w:lang w:val="en-US"/>
              </w:rPr>
              <w:t>Contingent valuation</w:t>
            </w:r>
          </w:p>
        </w:tc>
        <w:tc>
          <w:tcPr>
            <w:tcW w:w="3554" w:type="dxa"/>
            <w:tcBorders>
              <w:top w:val="nil"/>
              <w:bottom w:val="nil"/>
            </w:tcBorders>
            <w:shd w:val="clear" w:color="auto" w:fill="auto"/>
            <w:vAlign w:val="center"/>
          </w:tcPr>
          <w:p w14:paraId="0631BB9B" w14:textId="77777777" w:rsidR="008E7557" w:rsidRPr="000B4CB4" w:rsidRDefault="00E43E6D" w:rsidP="00E0571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lang w:val="en-US"/>
              </w:rPr>
            </w:pPr>
            <w:r w:rsidRPr="000B4CB4">
              <w:rPr>
                <w:rFonts w:asciiTheme="minorHAnsi" w:hAnsiTheme="minorHAnsi" w:cstheme="minorHAnsi"/>
                <w:bCs/>
                <w:color w:val="000000"/>
                <w:kern w:val="2"/>
                <w:sz w:val="20"/>
                <w:lang w:val="en-US"/>
              </w:rPr>
              <w:t>6</w:t>
            </w:r>
            <w:r w:rsidR="008E7557" w:rsidRPr="000B4CB4">
              <w:rPr>
                <w:rFonts w:asciiTheme="minorHAnsi" w:hAnsiTheme="minorHAnsi" w:cstheme="minorHAnsi"/>
                <w:bCs/>
                <w:color w:val="000000"/>
                <w:kern w:val="2"/>
                <w:sz w:val="20"/>
                <w:lang w:val="en-US"/>
              </w:rPr>
              <w:t xml:space="preserve"> (</w:t>
            </w:r>
            <w:r w:rsidRPr="000B4CB4">
              <w:rPr>
                <w:rFonts w:asciiTheme="minorHAnsi" w:hAnsiTheme="minorHAnsi" w:cstheme="minorHAnsi"/>
                <w:bCs/>
                <w:color w:val="000000"/>
                <w:kern w:val="2"/>
                <w:sz w:val="20"/>
                <w:lang w:val="en-US"/>
              </w:rPr>
              <w:t>13.33</w:t>
            </w:r>
            <w:r w:rsidR="008E7557" w:rsidRPr="000B4CB4">
              <w:rPr>
                <w:rFonts w:asciiTheme="minorHAnsi" w:hAnsiTheme="minorHAnsi" w:cstheme="minorHAnsi"/>
                <w:bCs/>
                <w:color w:val="000000"/>
                <w:kern w:val="2"/>
                <w:sz w:val="20"/>
                <w:lang w:val="en-US"/>
              </w:rPr>
              <w:t xml:space="preserve"> %)</w:t>
            </w:r>
          </w:p>
        </w:tc>
      </w:tr>
      <w:tr w:rsidR="008E7557" w:rsidRPr="000B4CB4" w14:paraId="20536147" w14:textId="77777777" w:rsidTr="00390F8C">
        <w:trPr>
          <w:trHeight w:val="276"/>
          <w:jc w:val="center"/>
        </w:trPr>
        <w:tc>
          <w:tcPr>
            <w:cnfStyle w:val="001000000000" w:firstRow="0" w:lastRow="0" w:firstColumn="1" w:lastColumn="0" w:oddVBand="0" w:evenVBand="0" w:oddHBand="0" w:evenHBand="0" w:firstRowFirstColumn="0" w:firstRowLastColumn="0" w:lastRowFirstColumn="0" w:lastRowLastColumn="0"/>
            <w:tcW w:w="3072" w:type="dxa"/>
            <w:tcBorders>
              <w:top w:val="nil"/>
              <w:bottom w:val="nil"/>
            </w:tcBorders>
            <w:vAlign w:val="center"/>
          </w:tcPr>
          <w:p w14:paraId="647E2854" w14:textId="77777777" w:rsidR="008E7557" w:rsidRPr="000B4CB4" w:rsidRDefault="008E7557" w:rsidP="00E05718">
            <w:pPr>
              <w:rPr>
                <w:rFonts w:asciiTheme="minorHAnsi" w:hAnsiTheme="minorHAnsi" w:cstheme="minorHAnsi"/>
                <w:b w:val="0"/>
                <w:bCs w:val="0"/>
                <w:i/>
                <w:color w:val="767171" w:themeColor="background2" w:themeShade="80"/>
                <w:sz w:val="20"/>
                <w:lang w:val="en-US"/>
              </w:rPr>
            </w:pPr>
            <w:r w:rsidRPr="000B4CB4">
              <w:rPr>
                <w:rFonts w:asciiTheme="minorHAnsi" w:hAnsiTheme="minorHAnsi" w:cstheme="minorHAnsi"/>
                <w:b w:val="0"/>
                <w:i/>
                <w:color w:val="767171" w:themeColor="background2" w:themeShade="80"/>
                <w:sz w:val="20"/>
                <w:lang w:val="en-US"/>
              </w:rPr>
              <w:t>Sub total</w:t>
            </w:r>
          </w:p>
        </w:tc>
        <w:tc>
          <w:tcPr>
            <w:tcW w:w="3554" w:type="dxa"/>
            <w:tcBorders>
              <w:top w:val="nil"/>
              <w:bottom w:val="nil"/>
            </w:tcBorders>
            <w:vAlign w:val="center"/>
          </w:tcPr>
          <w:p w14:paraId="56DE1188" w14:textId="77777777" w:rsidR="008E7557" w:rsidRPr="000B4CB4" w:rsidRDefault="00E43E6D" w:rsidP="00E05718">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i/>
                <w:color w:val="767171" w:themeColor="background2" w:themeShade="80"/>
                <w:sz w:val="20"/>
                <w:lang w:val="en-US"/>
              </w:rPr>
            </w:pPr>
            <w:r w:rsidRPr="000B4CB4">
              <w:rPr>
                <w:rFonts w:asciiTheme="minorHAnsi" w:hAnsiTheme="minorHAnsi" w:cstheme="minorHAnsi"/>
                <w:bCs/>
                <w:i/>
                <w:color w:val="767171" w:themeColor="background2" w:themeShade="80"/>
                <w:kern w:val="2"/>
                <w:sz w:val="20"/>
                <w:lang w:val="en-US"/>
              </w:rPr>
              <w:t>6</w:t>
            </w:r>
            <w:r w:rsidR="008E7557" w:rsidRPr="000B4CB4">
              <w:rPr>
                <w:rFonts w:asciiTheme="minorHAnsi" w:hAnsiTheme="minorHAnsi" w:cstheme="minorHAnsi"/>
                <w:bCs/>
                <w:i/>
                <w:color w:val="767171" w:themeColor="background2" w:themeShade="80"/>
                <w:kern w:val="2"/>
                <w:sz w:val="20"/>
                <w:lang w:val="en-US"/>
              </w:rPr>
              <w:t xml:space="preserve"> (</w:t>
            </w:r>
            <w:r w:rsidRPr="000B4CB4">
              <w:rPr>
                <w:rFonts w:asciiTheme="minorHAnsi" w:hAnsiTheme="minorHAnsi" w:cstheme="minorHAnsi"/>
                <w:bCs/>
                <w:color w:val="767171" w:themeColor="background2" w:themeShade="80"/>
                <w:kern w:val="2"/>
                <w:sz w:val="20"/>
                <w:lang w:val="en-US"/>
              </w:rPr>
              <w:t>13.33</w:t>
            </w:r>
            <w:r w:rsidR="008E7557" w:rsidRPr="000B4CB4">
              <w:rPr>
                <w:rFonts w:asciiTheme="minorHAnsi" w:hAnsiTheme="minorHAnsi" w:cstheme="minorHAnsi"/>
                <w:bCs/>
                <w:color w:val="767171" w:themeColor="background2" w:themeShade="80"/>
                <w:kern w:val="2"/>
                <w:sz w:val="20"/>
                <w:lang w:val="en-US"/>
              </w:rPr>
              <w:t xml:space="preserve"> </w:t>
            </w:r>
            <w:r w:rsidR="008E7557" w:rsidRPr="000B4CB4">
              <w:rPr>
                <w:rFonts w:asciiTheme="minorHAnsi" w:hAnsiTheme="minorHAnsi" w:cstheme="minorHAnsi"/>
                <w:bCs/>
                <w:i/>
                <w:color w:val="767171" w:themeColor="background2" w:themeShade="80"/>
                <w:kern w:val="2"/>
                <w:sz w:val="20"/>
                <w:lang w:val="en-US"/>
              </w:rPr>
              <w:t>%)</w:t>
            </w:r>
          </w:p>
        </w:tc>
      </w:tr>
      <w:tr w:rsidR="008E7557" w:rsidRPr="000B4CB4" w14:paraId="4E7359F9" w14:textId="77777777" w:rsidTr="00390F8C">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3072" w:type="dxa"/>
            <w:tcBorders>
              <w:top w:val="nil"/>
              <w:bottom w:val="double" w:sz="4" w:space="0" w:color="000000"/>
            </w:tcBorders>
            <w:shd w:val="clear" w:color="auto" w:fill="auto"/>
            <w:vAlign w:val="center"/>
          </w:tcPr>
          <w:p w14:paraId="39C7B696" w14:textId="77777777" w:rsidR="008E7557" w:rsidRPr="000B4CB4" w:rsidRDefault="008E7557" w:rsidP="00E05718">
            <w:pPr>
              <w:rPr>
                <w:rFonts w:asciiTheme="minorHAnsi" w:hAnsiTheme="minorHAnsi" w:cstheme="minorHAnsi"/>
                <w:b w:val="0"/>
                <w:bCs w:val="0"/>
                <w:color w:val="000000" w:themeColor="text1"/>
                <w:sz w:val="20"/>
                <w:lang w:val="en-US"/>
              </w:rPr>
            </w:pPr>
            <w:r w:rsidRPr="000B4CB4">
              <w:rPr>
                <w:rFonts w:asciiTheme="minorHAnsi" w:hAnsiTheme="minorHAnsi" w:cstheme="minorHAnsi"/>
                <w:b w:val="0"/>
                <w:bCs w:val="0"/>
                <w:color w:val="000000" w:themeColor="text1"/>
                <w:kern w:val="2"/>
                <w:sz w:val="20"/>
                <w:lang w:val="en-US"/>
              </w:rPr>
              <w:t>TOTAL</w:t>
            </w:r>
          </w:p>
        </w:tc>
        <w:tc>
          <w:tcPr>
            <w:tcW w:w="3554" w:type="dxa"/>
            <w:tcBorders>
              <w:top w:val="nil"/>
              <w:bottom w:val="double" w:sz="4" w:space="0" w:color="000000"/>
            </w:tcBorders>
            <w:shd w:val="clear" w:color="auto" w:fill="auto"/>
            <w:vAlign w:val="center"/>
          </w:tcPr>
          <w:p w14:paraId="3DB47182" w14:textId="77777777" w:rsidR="008E7557" w:rsidRPr="000B4CB4" w:rsidRDefault="00E43E6D" w:rsidP="00E0571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000000"/>
                <w:sz w:val="20"/>
                <w:lang w:val="en-US"/>
              </w:rPr>
            </w:pPr>
            <w:r w:rsidRPr="000B4CB4">
              <w:rPr>
                <w:rFonts w:asciiTheme="minorHAnsi" w:hAnsiTheme="minorHAnsi" w:cstheme="minorHAnsi"/>
                <w:bCs/>
                <w:color w:val="000000"/>
                <w:kern w:val="2"/>
                <w:sz w:val="20"/>
                <w:lang w:val="en-US"/>
              </w:rPr>
              <w:t>45</w:t>
            </w:r>
            <w:r w:rsidR="008E7557" w:rsidRPr="000B4CB4">
              <w:rPr>
                <w:rFonts w:asciiTheme="minorHAnsi" w:hAnsiTheme="minorHAnsi" w:cstheme="minorHAnsi"/>
                <w:bCs/>
                <w:color w:val="000000"/>
                <w:kern w:val="2"/>
                <w:sz w:val="20"/>
                <w:lang w:val="en-US"/>
              </w:rPr>
              <w:t xml:space="preserve"> (100%)</w:t>
            </w:r>
          </w:p>
        </w:tc>
      </w:tr>
    </w:tbl>
    <w:p w14:paraId="3A4F85D1" w14:textId="77777777" w:rsidR="008E7557" w:rsidRPr="000B4CB4" w:rsidRDefault="008E7557" w:rsidP="008E7557">
      <w:pPr>
        <w:pStyle w:val="p1"/>
        <w:rPr>
          <w:rFonts w:asciiTheme="minorHAnsi" w:hAnsiTheme="minorHAnsi" w:cstheme="minorHAnsi"/>
          <w:sz w:val="20"/>
          <w:lang w:val="en-US"/>
        </w:rPr>
      </w:pPr>
      <w:r w:rsidRPr="000B4CB4">
        <w:rPr>
          <w:rFonts w:asciiTheme="minorHAnsi" w:hAnsiTheme="minorHAnsi" w:cstheme="minorHAnsi"/>
          <w:sz w:val="20"/>
          <w:lang w:val="en-US"/>
        </w:rPr>
        <w:t xml:space="preserve">Data are presented as number of studies (n) and percentage of the total (N = </w:t>
      </w:r>
      <w:r w:rsidR="00E43E6D" w:rsidRPr="000B4CB4">
        <w:rPr>
          <w:rFonts w:asciiTheme="minorHAnsi" w:hAnsiTheme="minorHAnsi" w:cstheme="minorHAnsi"/>
          <w:sz w:val="20"/>
          <w:lang w:val="en-US"/>
        </w:rPr>
        <w:t>45</w:t>
      </w:r>
      <w:r w:rsidRPr="000B4CB4">
        <w:rPr>
          <w:rFonts w:asciiTheme="minorHAnsi" w:hAnsiTheme="minorHAnsi" w:cstheme="minorHAnsi"/>
          <w:sz w:val="20"/>
          <w:lang w:val="en-US"/>
        </w:rPr>
        <w:t xml:space="preserve">). </w:t>
      </w:r>
      <w:r w:rsidRPr="000B4CB4">
        <w:rPr>
          <w:rStyle w:val="s1"/>
          <w:rFonts w:asciiTheme="minorHAnsi" w:hAnsiTheme="minorHAnsi" w:cstheme="minorHAnsi"/>
          <w:bCs/>
          <w:sz w:val="20"/>
          <w:lang w:val="en-US"/>
        </w:rPr>
        <w:t>Attribute-based methods</w:t>
      </w:r>
      <w:r w:rsidRPr="000B4CB4">
        <w:rPr>
          <w:rFonts w:asciiTheme="minorHAnsi" w:hAnsiTheme="minorHAnsi" w:cstheme="minorHAnsi"/>
          <w:sz w:val="20"/>
          <w:lang w:val="en-US"/>
        </w:rPr>
        <w:t xml:space="preserve"> include Discrete Choice Experiments (DCEs), Conjoint Analysis, and Best-Worst Scaling. </w:t>
      </w:r>
      <w:r w:rsidRPr="000B4CB4">
        <w:rPr>
          <w:rStyle w:val="s1"/>
          <w:rFonts w:asciiTheme="minorHAnsi" w:hAnsiTheme="minorHAnsi" w:cstheme="minorHAnsi"/>
          <w:bCs/>
          <w:sz w:val="20"/>
          <w:lang w:val="en-US"/>
        </w:rPr>
        <w:t>Non-attribute-based methods</w:t>
      </w:r>
      <w:r w:rsidRPr="000B4CB4">
        <w:rPr>
          <w:rFonts w:asciiTheme="minorHAnsi" w:hAnsiTheme="minorHAnsi" w:cstheme="minorHAnsi"/>
          <w:sz w:val="20"/>
          <w:lang w:val="en-US"/>
        </w:rPr>
        <w:t xml:space="preserve"> include Contingent Valuation. Percentages may not sum exactly due to rounding.</w:t>
      </w:r>
    </w:p>
    <w:p w14:paraId="17CD6D08" w14:textId="77777777" w:rsidR="00CD13DF" w:rsidRPr="000B4CB4" w:rsidRDefault="00CD13DF" w:rsidP="00CD13DF">
      <w:pPr>
        <w:rPr>
          <w:rFonts w:asciiTheme="minorHAnsi" w:hAnsiTheme="minorHAnsi" w:cstheme="minorHAnsi"/>
          <w:sz w:val="20"/>
          <w:lang w:val="en-US"/>
        </w:rPr>
      </w:pPr>
      <w:r w:rsidRPr="000B4CB4">
        <w:rPr>
          <w:rFonts w:asciiTheme="minorHAnsi" w:hAnsiTheme="minorHAnsi" w:cstheme="minorHAnsi"/>
          <w:b/>
          <w:sz w:val="28"/>
          <w:lang w:val="en-US"/>
        </w:rPr>
        <w:br w:type="page"/>
      </w:r>
      <w:r w:rsidRPr="000B4CB4">
        <w:rPr>
          <w:rFonts w:asciiTheme="minorHAnsi" w:hAnsiTheme="minorHAnsi" w:cstheme="minorHAnsi"/>
          <w:b/>
          <w:sz w:val="20"/>
          <w:lang w:val="en-US"/>
        </w:rPr>
        <w:lastRenderedPageBreak/>
        <w:t xml:space="preserve">Figure </w:t>
      </w:r>
      <w:r w:rsidR="00F9589E" w:rsidRPr="000B4CB4">
        <w:rPr>
          <w:rFonts w:asciiTheme="minorHAnsi" w:hAnsiTheme="minorHAnsi" w:cstheme="minorHAnsi"/>
          <w:b/>
          <w:sz w:val="20"/>
          <w:lang w:val="en-US"/>
        </w:rPr>
        <w:t>C1</w:t>
      </w:r>
      <w:r w:rsidRPr="000B4CB4">
        <w:rPr>
          <w:rFonts w:asciiTheme="minorHAnsi" w:hAnsiTheme="minorHAnsi" w:cstheme="minorHAnsi"/>
          <w:sz w:val="20"/>
          <w:lang w:val="en-US"/>
        </w:rPr>
        <w:t>. Word cloud of most frequently referenced attributes in DCE studies</w:t>
      </w:r>
    </w:p>
    <w:p w14:paraId="3EDC9809" w14:textId="77777777" w:rsidR="008E7557" w:rsidRPr="000B4CB4" w:rsidRDefault="00CD13DF" w:rsidP="00D760D2">
      <w:pPr>
        <w:rPr>
          <w:rFonts w:asciiTheme="minorHAnsi" w:hAnsiTheme="minorHAnsi" w:cstheme="minorHAnsi"/>
          <w:b/>
          <w:sz w:val="28"/>
          <w:lang w:val="en-US"/>
        </w:rPr>
      </w:pPr>
      <w:r w:rsidRPr="000B4CB4">
        <w:rPr>
          <w:rFonts w:asciiTheme="minorHAnsi" w:hAnsiTheme="minorHAnsi" w:cstheme="minorHAnsi"/>
          <w:noProof/>
          <w:lang w:val="en-US"/>
        </w:rPr>
        <w:drawing>
          <wp:inline distT="0" distB="0" distL="0" distR="0" wp14:anchorId="5122B42A" wp14:editId="3B668F04">
            <wp:extent cx="5756910" cy="3046730"/>
            <wp:effectExtent l="0" t="0" r="0" b="1270"/>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pic:cNvPicPr>
                      <a:picLocks noChangeAspect="1" noChangeArrowheads="1"/>
                    </pic:cNvPicPr>
                  </pic:nvPicPr>
                  <pic:blipFill>
                    <a:blip r:embed="rId9"/>
                    <a:stretch>
                      <a:fillRect/>
                    </a:stretch>
                  </pic:blipFill>
                  <pic:spPr bwMode="auto">
                    <a:xfrm>
                      <a:off x="0" y="0"/>
                      <a:ext cx="5756910" cy="3046730"/>
                    </a:xfrm>
                    <a:prstGeom prst="rect">
                      <a:avLst/>
                    </a:prstGeom>
                  </pic:spPr>
                </pic:pic>
              </a:graphicData>
            </a:graphic>
          </wp:inline>
        </w:drawing>
      </w:r>
    </w:p>
    <w:p w14:paraId="2FC159BA" w14:textId="77777777" w:rsidR="00CD13DF" w:rsidRPr="000B4CB4" w:rsidRDefault="00CD13DF">
      <w:pPr>
        <w:spacing w:line="240" w:lineRule="auto"/>
        <w:rPr>
          <w:rFonts w:asciiTheme="minorHAnsi" w:hAnsiTheme="minorHAnsi" w:cstheme="minorHAnsi"/>
          <w:b/>
          <w:lang w:val="en-US"/>
        </w:rPr>
      </w:pPr>
      <w:r w:rsidRPr="000B4CB4">
        <w:rPr>
          <w:rFonts w:asciiTheme="minorHAnsi" w:hAnsiTheme="minorHAnsi" w:cstheme="minorHAnsi"/>
          <w:b/>
          <w:lang w:val="en-US"/>
        </w:rPr>
        <w:br w:type="page"/>
      </w:r>
    </w:p>
    <w:p w14:paraId="279C00D9" w14:textId="77777777" w:rsidR="00D760D2" w:rsidRPr="000B4CB4" w:rsidRDefault="00D760D2" w:rsidP="00D760D2">
      <w:pPr>
        <w:rPr>
          <w:rFonts w:asciiTheme="minorHAnsi" w:hAnsiTheme="minorHAnsi" w:cstheme="minorHAnsi"/>
          <w:b/>
          <w:lang w:val="en-US"/>
        </w:rPr>
      </w:pPr>
      <w:r w:rsidRPr="000B4CB4">
        <w:rPr>
          <w:rFonts w:asciiTheme="minorHAnsi" w:hAnsiTheme="minorHAnsi" w:cstheme="minorHAnsi"/>
          <w:b/>
          <w:lang w:val="en-US"/>
        </w:rPr>
        <w:lastRenderedPageBreak/>
        <w:t xml:space="preserve">Appendix </w:t>
      </w:r>
      <w:r w:rsidR="00F9589E" w:rsidRPr="000B4CB4">
        <w:rPr>
          <w:rFonts w:asciiTheme="minorHAnsi" w:hAnsiTheme="minorHAnsi" w:cstheme="minorHAnsi"/>
          <w:b/>
          <w:lang w:val="en-US"/>
        </w:rPr>
        <w:t>D</w:t>
      </w:r>
      <w:r w:rsidRPr="000B4CB4">
        <w:rPr>
          <w:rFonts w:asciiTheme="minorHAnsi" w:hAnsiTheme="minorHAnsi" w:cstheme="minorHAnsi"/>
          <w:b/>
          <w:lang w:val="en-US"/>
        </w:rPr>
        <w:t xml:space="preserve">: Attributes’ impact in stated preferences studies </w:t>
      </w:r>
    </w:p>
    <w:p w14:paraId="26D95B3A" w14:textId="77777777" w:rsidR="00D760D2" w:rsidRPr="000B4CB4" w:rsidRDefault="00D760D2" w:rsidP="00CD13DF">
      <w:pPr>
        <w:spacing w:line="240" w:lineRule="auto"/>
        <w:rPr>
          <w:rFonts w:asciiTheme="minorHAnsi" w:hAnsiTheme="minorHAnsi" w:cstheme="minorHAnsi"/>
          <w:sz w:val="22"/>
          <w:lang w:val="en-US"/>
        </w:rPr>
      </w:pPr>
      <w:r w:rsidRPr="000B4CB4">
        <w:rPr>
          <w:rFonts w:asciiTheme="minorHAnsi" w:hAnsiTheme="minorHAnsi" w:cstheme="minorHAnsi"/>
          <w:b/>
          <w:sz w:val="22"/>
          <w:lang w:val="en-US"/>
        </w:rPr>
        <w:t xml:space="preserve">Table </w:t>
      </w:r>
      <w:r w:rsidR="00F9589E" w:rsidRPr="000B4CB4">
        <w:rPr>
          <w:rFonts w:asciiTheme="minorHAnsi" w:hAnsiTheme="minorHAnsi" w:cstheme="minorHAnsi"/>
          <w:b/>
          <w:sz w:val="22"/>
          <w:lang w:val="en-US"/>
        </w:rPr>
        <w:t>D1</w:t>
      </w:r>
      <w:r w:rsidRPr="000B4CB4">
        <w:rPr>
          <w:rFonts w:asciiTheme="minorHAnsi" w:hAnsiTheme="minorHAnsi" w:cstheme="minorHAnsi"/>
          <w:sz w:val="22"/>
          <w:lang w:val="en-US"/>
        </w:rPr>
        <w:t xml:space="preserve">: Methods used to assess the relative importance of attributes in quantitative studies and associated attribute’s ranking </w:t>
      </w:r>
    </w:p>
    <w:tbl>
      <w:tblPr>
        <w:tblStyle w:val="Tableausimple5"/>
        <w:tblpPr w:leftFromText="141" w:rightFromText="141" w:vertAnchor="text" w:horzAnchor="page" w:tblpX="1151" w:tblpY="451"/>
        <w:tblW w:w="9639" w:type="dxa"/>
        <w:tblLayout w:type="fixed"/>
        <w:tblLook w:val="04A0" w:firstRow="1" w:lastRow="0" w:firstColumn="1" w:lastColumn="0" w:noHBand="0" w:noVBand="1"/>
      </w:tblPr>
      <w:tblGrid>
        <w:gridCol w:w="1134"/>
        <w:gridCol w:w="1985"/>
        <w:gridCol w:w="1134"/>
        <w:gridCol w:w="2551"/>
        <w:gridCol w:w="1276"/>
        <w:gridCol w:w="1559"/>
      </w:tblGrid>
      <w:tr w:rsidR="00A96B0A" w:rsidRPr="00A96B0A" w14:paraId="05B2D22F" w14:textId="77777777" w:rsidTr="00AB6102">
        <w:trPr>
          <w:cnfStyle w:val="100000000000" w:firstRow="1" w:lastRow="0" w:firstColumn="0" w:lastColumn="0" w:oddVBand="0" w:evenVBand="0" w:oddHBand="0" w:evenHBand="0" w:firstRowFirstColumn="0" w:firstRowLastColumn="0" w:lastRowFirstColumn="0" w:lastRowLastColumn="0"/>
          <w:trHeight w:val="871"/>
        </w:trPr>
        <w:tc>
          <w:tcPr>
            <w:cnfStyle w:val="001000000100" w:firstRow="0" w:lastRow="0" w:firstColumn="1" w:lastColumn="0" w:oddVBand="0" w:evenVBand="0" w:oddHBand="0" w:evenHBand="0" w:firstRowFirstColumn="1" w:firstRowLastColumn="0" w:lastRowFirstColumn="0" w:lastRowLastColumn="0"/>
            <w:tcW w:w="1134" w:type="dxa"/>
            <w:tcBorders>
              <w:top w:val="double" w:sz="4" w:space="0" w:color="auto"/>
              <w:bottom w:val="double" w:sz="4" w:space="0" w:color="auto"/>
            </w:tcBorders>
          </w:tcPr>
          <w:p w14:paraId="7B8D841A"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color w:val="000000" w:themeColor="text1"/>
                <w:sz w:val="16"/>
                <w:szCs w:val="26"/>
                <w:lang w:val="en-US"/>
              </w:rPr>
            </w:pPr>
            <w:r w:rsidRPr="00A96B0A">
              <w:rPr>
                <w:rFonts w:asciiTheme="minorHAnsi" w:eastAsia="Calibri" w:hAnsiTheme="minorHAnsi" w:cstheme="minorHAnsi"/>
                <w:b/>
                <w:bCs/>
                <w:color w:val="000000" w:themeColor="text1"/>
                <w:sz w:val="16"/>
                <w:szCs w:val="26"/>
                <w:lang w:val="en-US"/>
              </w:rPr>
              <w:t>Authors (date)</w:t>
            </w:r>
          </w:p>
          <w:p w14:paraId="7F11D6F2"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color w:val="000000" w:themeColor="text1"/>
                <w:sz w:val="16"/>
                <w:szCs w:val="26"/>
                <w:lang w:val="en-US"/>
              </w:rPr>
            </w:pPr>
            <w:r w:rsidRPr="00A96B0A">
              <w:rPr>
                <w:rFonts w:asciiTheme="minorHAnsi" w:eastAsia="Calibri" w:hAnsiTheme="minorHAnsi" w:cstheme="minorHAnsi"/>
                <w:b/>
                <w:bCs/>
                <w:color w:val="000000" w:themeColor="text1"/>
                <w:sz w:val="16"/>
                <w:szCs w:val="26"/>
                <w:lang w:val="en-US"/>
              </w:rPr>
              <w:t>country</w:t>
            </w:r>
          </w:p>
        </w:tc>
        <w:tc>
          <w:tcPr>
            <w:tcW w:w="1985" w:type="dxa"/>
            <w:tcBorders>
              <w:top w:val="double" w:sz="4" w:space="0" w:color="auto"/>
              <w:bottom w:val="double" w:sz="4" w:space="0" w:color="auto"/>
            </w:tcBorders>
          </w:tcPr>
          <w:p w14:paraId="6A700BB4"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16"/>
                <w:szCs w:val="16"/>
                <w:lang w:val="en-US"/>
              </w:rPr>
            </w:pPr>
            <w:r w:rsidRPr="00A96B0A">
              <w:rPr>
                <w:rFonts w:ascii="Calibri" w:eastAsia="Calibri" w:hAnsi="Calibri" w:cs="Calibri"/>
                <w:b/>
                <w:bCs/>
                <w:color w:val="000000" w:themeColor="text1"/>
                <w:sz w:val="16"/>
                <w:szCs w:val="16"/>
                <w:lang w:val="en-US"/>
              </w:rPr>
              <w:t>Aim</w:t>
            </w:r>
          </w:p>
        </w:tc>
        <w:tc>
          <w:tcPr>
            <w:tcW w:w="1134" w:type="dxa"/>
            <w:tcBorders>
              <w:top w:val="double" w:sz="4" w:space="0" w:color="auto"/>
              <w:bottom w:val="double" w:sz="4" w:space="0" w:color="auto"/>
            </w:tcBorders>
          </w:tcPr>
          <w:p w14:paraId="677DFA17"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16"/>
                <w:szCs w:val="16"/>
                <w:lang w:val="en-US"/>
              </w:rPr>
            </w:pPr>
            <w:r w:rsidRPr="00A96B0A">
              <w:rPr>
                <w:rFonts w:ascii="Calibri" w:eastAsia="Calibri" w:hAnsi="Calibri" w:cs="Calibri"/>
                <w:b/>
                <w:bCs/>
                <w:color w:val="000000" w:themeColor="text1"/>
                <w:sz w:val="16"/>
                <w:szCs w:val="16"/>
                <w:lang w:val="en-US"/>
              </w:rPr>
              <w:t>Method</w:t>
            </w:r>
          </w:p>
        </w:tc>
        <w:tc>
          <w:tcPr>
            <w:tcW w:w="2551" w:type="dxa"/>
            <w:tcBorders>
              <w:top w:val="double" w:sz="4" w:space="0" w:color="auto"/>
              <w:bottom w:val="double" w:sz="4" w:space="0" w:color="auto"/>
            </w:tcBorders>
          </w:tcPr>
          <w:p w14:paraId="66F02E4D"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16"/>
                <w:szCs w:val="16"/>
                <w:lang w:val="en-US"/>
              </w:rPr>
            </w:pPr>
            <w:r w:rsidRPr="00A96B0A">
              <w:rPr>
                <w:rFonts w:ascii="Calibri" w:eastAsia="Calibri" w:hAnsi="Calibri" w:cs="Calibri"/>
                <w:b/>
                <w:bCs/>
                <w:color w:val="000000" w:themeColor="text1"/>
                <w:sz w:val="16"/>
                <w:szCs w:val="16"/>
                <w:lang w:val="en-US"/>
              </w:rPr>
              <w:t>Attributes</w:t>
            </w:r>
          </w:p>
        </w:tc>
        <w:tc>
          <w:tcPr>
            <w:tcW w:w="1276" w:type="dxa"/>
            <w:tcBorders>
              <w:top w:val="double" w:sz="4" w:space="0" w:color="auto"/>
              <w:bottom w:val="double" w:sz="4" w:space="0" w:color="auto"/>
            </w:tcBorders>
          </w:tcPr>
          <w:p w14:paraId="272D3A08"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A96B0A">
              <w:rPr>
                <w:rFonts w:ascii="Calibri" w:eastAsia="Calibri" w:hAnsi="Calibri" w:cs="Calibri"/>
                <w:b/>
                <w:bCs/>
                <w:color w:val="000000" w:themeColor="text1"/>
                <w:sz w:val="16"/>
                <w:szCs w:val="16"/>
                <w:lang w:val="en-US"/>
              </w:rPr>
              <w:t xml:space="preserve">Method to assess </w:t>
            </w:r>
            <w:r w:rsidRPr="00A96B0A">
              <w:rPr>
                <w:rFonts w:ascii="Calibri" w:eastAsiaTheme="majorEastAsia" w:hAnsi="Calibri" w:cs="Calibri"/>
                <w:b/>
                <w:bCs/>
                <w:color w:val="000000" w:themeColor="text1"/>
                <w:sz w:val="16"/>
                <w:szCs w:val="16"/>
                <w:lang w:val="en-US"/>
              </w:rPr>
              <w:t>relative attribute importance</w:t>
            </w:r>
          </w:p>
          <w:p w14:paraId="0D181AA1"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16"/>
                <w:szCs w:val="16"/>
                <w:lang w:val="en-US"/>
              </w:rPr>
            </w:pPr>
          </w:p>
        </w:tc>
        <w:tc>
          <w:tcPr>
            <w:tcW w:w="1559" w:type="dxa"/>
            <w:tcBorders>
              <w:top w:val="double" w:sz="4" w:space="0" w:color="auto"/>
              <w:bottom w:val="double" w:sz="4" w:space="0" w:color="auto"/>
            </w:tcBorders>
          </w:tcPr>
          <w:p w14:paraId="70C23E2B"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Theme="majorEastAsia" w:hAnsi="Calibri" w:cs="Calibri"/>
                <w:b/>
                <w:bCs/>
                <w:color w:val="000000" w:themeColor="text1"/>
                <w:sz w:val="16"/>
                <w:szCs w:val="16"/>
                <w:lang w:val="en-US"/>
              </w:rPr>
            </w:pPr>
            <w:r w:rsidRPr="00A96B0A">
              <w:rPr>
                <w:rFonts w:ascii="Calibri" w:eastAsia="Calibri" w:hAnsi="Calibri" w:cs="Calibri"/>
                <w:b/>
                <w:bCs/>
                <w:color w:val="000000" w:themeColor="text1"/>
                <w:sz w:val="16"/>
                <w:szCs w:val="16"/>
                <w:lang w:val="en-US"/>
              </w:rPr>
              <w:t>Attributes’ relative importance</w:t>
            </w:r>
          </w:p>
          <w:p w14:paraId="66D7F3DA" w14:textId="77777777" w:rsidR="00A96B0A" w:rsidRPr="00A96B0A" w:rsidRDefault="00A96B0A" w:rsidP="00A96B0A">
            <w:pPr>
              <w:keepNext/>
              <w:keepLines/>
              <w:spacing w:before="40" w:line="240" w:lineRule="auto"/>
              <w:outlineLvl w:val="1"/>
              <w:cnfStyle w:val="100000000000" w:firstRow="1"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16"/>
                <w:szCs w:val="16"/>
                <w:lang w:val="en-US"/>
              </w:rPr>
            </w:pPr>
          </w:p>
        </w:tc>
      </w:tr>
      <w:tr w:rsidR="00A96B0A" w:rsidRPr="00A96B0A" w14:paraId="25D733AB"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Borders>
              <w:top w:val="double" w:sz="4" w:space="0" w:color="auto"/>
            </w:tcBorders>
          </w:tcPr>
          <w:p w14:paraId="3835FC56"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Ahn et al.</w:t>
            </w:r>
          </w:p>
          <w:p w14:paraId="0A1E4FFA"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(2014)</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{"citationID":"dfb4koQ4","properties":{"formattedCitation":"[102]","plainCitation":"[102]","noteIndex":0},"citationItems":[{"id":2369,"uris":["http://zotero.org/users/4007286/items/K228SYDZ"],"itemData":{"id":2369,"type":"article-journal","abstract":"Objective: The scope of healthcare has been expanding from caring for sick people to keeping people from becoming sick, and telemedicine will play a significant role in this new healthcare paradigm. This study investigated consumer preferences and willingness to pay for attributes of telemedicine services in South Korea. A market simulation was conducted to examine the market shares of alternative services and their relationships to the perceived usefulness of service types and preferred device types. Materials and Methods: Using a conjoint survey, we collected data on consumer preferences for six telemedicine service attributes. Data analysis used the Baysian mixed logit model. The market simulation estimated the probabilities of a specific service alternative being chosen using estimated model coefficients. Results: Wearable devices were the most preferred, followed by smart-home and smartphone devices. Consumers perceived managing blood glucose to be the most useful telemedicine service, followed by monitoring oxygen saturation and blood pressure. The market simulation indicated that consumer preferences for device types were associated with the types of chronic diseases for which management through telemedicine services is perceived to be useful. Conclusions: As the focus of healthcare moves from treating patients to keeping individuals healthy, a key factor for the successful deployment of telemedicine services is understanding consumer perceptions and attitudes. The results of this study revealed the dynamics of consumer preferences with regard to service attributes. © Copyright 2014, Mary Ann Liebert, Inc. 2014.","archive":"Scopus","container-title":"Telemedicine and e-Health","DOI":"10.1089/tmj.2013.0101","issue":"2","page":"168-174","title":"Consumer preferences for telemedicine devices and services in South Korea","volume":"20","author":[{"family":"Ahn","given":"J."},{"family":"Shin","given":"J."},{"family":"Lee","given":"J."},{"family":"Shin","given":"K."},{"family":"Park","given":"H."}],"issued":{"date-parts":[["2014"]]}}}],"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[102]</w:t>
            </w:r>
            <w:r w:rsidRPr="00A96B0A">
              <w:rPr>
                <w:rFonts w:asciiTheme="minorHAnsi" w:eastAsia="Calibri" w:hAnsiTheme="minorHAnsi" w:cstheme="minorHAnsi"/>
                <w:color w:val="000000" w:themeColor="text1"/>
                <w:sz w:val="16"/>
                <w:szCs w:val="26"/>
                <w:lang w:val="en-US"/>
              </w:rPr>
              <w:fldChar w:fldCharType="end"/>
            </w:r>
          </w:p>
          <w:p w14:paraId="47EEF067"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South Korea</w:t>
            </w:r>
          </w:p>
        </w:tc>
        <w:tc>
          <w:tcPr>
            <w:tcW w:w="1985" w:type="dxa"/>
            <w:tcBorders>
              <w:top w:val="double" w:sz="4" w:space="0" w:color="auto"/>
            </w:tcBorders>
          </w:tcPr>
          <w:p w14:paraId="34897D4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Investigation of consumer preferences and willingness to pay for attributes of telemedicine services in South Korea</w:t>
            </w:r>
          </w:p>
        </w:tc>
        <w:tc>
          <w:tcPr>
            <w:tcW w:w="1134" w:type="dxa"/>
            <w:tcBorders>
              <w:top w:val="double" w:sz="4" w:space="0" w:color="auto"/>
            </w:tcBorders>
          </w:tcPr>
          <w:p w14:paraId="1998E3A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p w14:paraId="1962D1C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Conjoint analysis</w:t>
            </w:r>
          </w:p>
        </w:tc>
        <w:tc>
          <w:tcPr>
            <w:tcW w:w="2551" w:type="dxa"/>
            <w:tcBorders>
              <w:top w:val="double" w:sz="4" w:space="0" w:color="auto"/>
            </w:tcBorders>
          </w:tcPr>
          <w:p w14:paraId="7F1714D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Device type</w:t>
            </w:r>
            <w:r w:rsidRPr="00A96B0A">
              <w:rPr>
                <w:rFonts w:ascii="Calibri" w:eastAsia="Calibri" w:hAnsi="Calibri" w:cs="Calibri"/>
                <w:color w:val="000000" w:themeColor="text1"/>
                <w:sz w:val="16"/>
                <w:szCs w:val="16"/>
                <w:lang w:val="en-US"/>
              </w:rPr>
              <w:br/>
              <w:t xml:space="preserve">• Device price </w:t>
            </w:r>
          </w:p>
          <w:p w14:paraId="3387498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($46, $92, $183)</w:t>
            </w:r>
            <w:r w:rsidRPr="00A96B0A">
              <w:rPr>
                <w:rFonts w:ascii="Calibri" w:eastAsia="Calibri" w:hAnsi="Calibri" w:cs="Calibri"/>
                <w:color w:val="000000" w:themeColor="text1"/>
                <w:sz w:val="16"/>
                <w:szCs w:val="16"/>
                <w:lang w:val="en-US"/>
              </w:rPr>
              <w:br/>
              <w:t>• Service type</w:t>
            </w:r>
            <w:r w:rsidRPr="00A96B0A">
              <w:rPr>
                <w:rFonts w:ascii="Calibri" w:eastAsia="Calibri" w:hAnsi="Calibri" w:cs="Calibri"/>
                <w:color w:val="000000" w:themeColor="text1"/>
                <w:sz w:val="16"/>
                <w:szCs w:val="16"/>
                <w:lang w:val="en-US"/>
              </w:rPr>
              <w:br/>
              <w:t>• Service tailoring</w:t>
            </w:r>
            <w:r w:rsidRPr="00A96B0A">
              <w:rPr>
                <w:rFonts w:ascii="Calibri" w:eastAsia="Calibri" w:hAnsi="Calibri" w:cs="Calibri"/>
                <w:color w:val="000000" w:themeColor="text1"/>
                <w:sz w:val="16"/>
                <w:szCs w:val="16"/>
                <w:lang w:val="en-US"/>
              </w:rPr>
              <w:br/>
              <w:t>• Reply time</w:t>
            </w:r>
            <w:r w:rsidRPr="00A96B0A">
              <w:rPr>
                <w:rFonts w:ascii="Calibri" w:eastAsia="Calibri" w:hAnsi="Calibri" w:cs="Calibri"/>
                <w:color w:val="000000" w:themeColor="text1"/>
                <w:sz w:val="16"/>
                <w:szCs w:val="16"/>
                <w:lang w:val="en-US"/>
              </w:rPr>
              <w:br/>
              <w:t xml:space="preserve">• Monthly fee service </w:t>
            </w:r>
          </w:p>
          <w:p w14:paraId="681BCC20"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($9, $27, $46)</w:t>
            </w:r>
          </w:p>
          <w:p w14:paraId="0D72E7E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Borders>
              <w:top w:val="double" w:sz="4" w:space="0" w:color="auto"/>
            </w:tcBorders>
          </w:tcPr>
          <w:p w14:paraId="0C376190"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Average relative important percentage of attribute [124]  </w:t>
            </w:r>
          </w:p>
          <w:p w14:paraId="43A6803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559" w:type="dxa"/>
            <w:tcBorders>
              <w:top w:val="double" w:sz="4" w:space="0" w:color="auto"/>
            </w:tcBorders>
          </w:tcPr>
          <w:p w14:paraId="6591B2F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 xml:space="preserve">Ranking </w:t>
            </w:r>
          </w:p>
          <w:p w14:paraId="218AB62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Monthly fee service</w:t>
            </w:r>
          </w:p>
          <w:p w14:paraId="617A872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Tailored service</w:t>
            </w:r>
            <w:r w:rsidRPr="00A96B0A">
              <w:rPr>
                <w:rFonts w:ascii="Calibri" w:eastAsia="Calibri" w:hAnsi="Calibri" w:cs="Calibri"/>
                <w:color w:val="000000" w:themeColor="text1"/>
                <w:sz w:val="16"/>
                <w:szCs w:val="16"/>
                <w:lang w:val="en-US"/>
              </w:rPr>
              <w:br/>
              <w:t>3. Reply time</w:t>
            </w:r>
          </w:p>
          <w:p w14:paraId="34A0AC1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4. Device type</w:t>
            </w:r>
          </w:p>
          <w:p w14:paraId="12F74AB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5. Device price</w:t>
            </w:r>
          </w:p>
          <w:p w14:paraId="33FA568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6. Service type</w:t>
            </w:r>
          </w:p>
        </w:tc>
      </w:tr>
      <w:tr w:rsidR="00A96B0A" w:rsidRPr="00A96B0A" w14:paraId="3EFD65EA"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4BE5F5CC" w14:textId="77777777" w:rsidR="00A96B0A" w:rsidRPr="00A96B0A" w:rsidRDefault="00A96B0A" w:rsidP="00A96B0A">
            <w:pPr>
              <w:keepNext/>
              <w:keepLines/>
              <w:spacing w:before="40" w:line="240" w:lineRule="auto"/>
              <w:jc w:val="center"/>
              <w:outlineLvl w:val="1"/>
              <w:rPr>
                <w:rFonts w:ascii="Calibri" w:eastAsia="Calibri" w:hAnsi="Calibri" w:cs="Calibri"/>
                <w:color w:val="000000" w:themeColor="text1"/>
                <w:sz w:val="16"/>
                <w:szCs w:val="16"/>
                <w:lang w:val="en-US"/>
              </w:rPr>
            </w:pPr>
            <w:r w:rsidRPr="00A96B0A">
              <w:rPr>
                <w:rFonts w:ascii="Calibri" w:eastAsia="Calibri" w:hAnsi="Calibri" w:cs="Calibri"/>
                <w:b/>
                <w:bCs/>
                <w:i w:val="0"/>
                <w:iCs w:val="0"/>
                <w:color w:val="000000" w:themeColor="text1"/>
                <w:sz w:val="16"/>
                <w:szCs w:val="16"/>
                <w:lang w:val="en-US"/>
              </w:rPr>
              <w:t>Al-Naher et al. (2025)</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{"citationID":"JVffm0YK","properties":{"unsorted":false,"formattedCitation":"[87]","plainCitation":"[87]","noteIndex":0},"citationItems":[{"id":28231,"uris":["http://zotero.org/users/4007286/items/6FAIP2YY"],"itemData":{"id":28231,"type":"article-journal","abstract":"BACKGROUND: Remote care technology has been used to bridge the gap between health care in a clinical setting and in the community, all the more essential post-COVID. Patients with chronic conditions may benefit from interventions that could provide more continuous and frequent monitoring of their disease process and support self-management. A common barrier, however, is the lack of engagement with technological interventions or devices that provide care remotely, which could lead to loss of resources invested and reduced quality of care.\nOBJECTIVE: This discrete choice experiment elicits the preferences of patients with heart failure with regard to potential remote care technologies that they would be willing to engage with and, in turn, creates a hierarchy of factors that can affect engagement for use within future technology design.\nMETHODS: A survey was created using discrete choice design and with input from a patient and public involvement group. It was distributed online via social media to patients with heart failure and to patient support groups. The attributes used for the experiment were based on a previous systematic review looking at factors that affect engagement in remote care and which generated five central themes, each of which was assigned to an attribute directly: communication (increasing interaction between patients and health care staff/carers/other patients), clinical care (improving the quality of care compared to established practice), education (providing tailored information to help with self-care and reduce uncertainty), ease of use (the technical aspects of the intervention are easy to handle without issues), and convenience (the intervention fits well around the patient's lifestyle and requires minimal effort). Each of the five themes had two levels, positive and negative. The survey presented participants with multiple forced-choice two-alternative scenarios of remote care, which allowed them to trade attributes according to their preference. The results were analyzed using binary logit to obtain preference weights for each attribute.\nRESULTS: A total of 93 completed responses were entered into the analysis. The results of the binary logit created coefficients for each attribute, which equated to the relative preference of the associated themes: clinical care, 2.022; education, 1.252; convenience, 1.245; ease of use, 1.155; communication, 1.040. All calculated coefficients were statistically significant (P&lt;.01).\nCONCLUSIONS: The results show that, in this cohort of patients with heart failure, the most preferred factor, clinical care, has enough value to be traded for approximately any two other factors. It also shows that the factor of communication is the least preferred attribute. Technology designers can use the associated preference weights to determine the relative increase of value perceived by patients by adding in certain attributes, with the greatest gains achieved by prioritizing clinical care. This would result in increased engagement in a chronic heart failure population that would benefit most from remote care.","container-title":"JMIR cardio","DOI":"10.2196/68022","ISSN":"2561-1011","journalAbbreviation":"JMIR Cardio","language":"eng","page":"e68022","PMID":"41191865","PMCID":"PMC12588585","source":"PubMed","title":"Patient Preferences for Using Remote Care Technology in Heart Failure: Discrete Choice Experiment","title-short":"Patient Preferences for Using Remote Care Technology in Heart Failure","volume":"9","author":[{"family":"Al-Naher","given":"Ahmed"},{"family":"Downing","given":"Jennifer"},{"family":"Hughes","given":"Dyfrig"},{"family":"Pirmohamed","given":"Munir"}],"issued":{"date-parts":[["2025",11,5]]}}}],"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[87]</w:t>
            </w:r>
            <w:r w:rsidRPr="00A96B0A">
              <w:rPr>
                <w:rFonts w:ascii="Calibri" w:eastAsia="Calibri" w:hAnsi="Calibri" w:cs="Calibri"/>
                <w:color w:val="000000" w:themeColor="text1"/>
                <w:sz w:val="16"/>
                <w:szCs w:val="16"/>
                <w:lang w:val="en-US"/>
              </w:rPr>
              <w:fldChar w:fldCharType="end"/>
            </w:r>
            <w:r w:rsidRPr="00A96B0A">
              <w:rPr>
                <w:rFonts w:ascii="Calibri" w:eastAsia="Calibri" w:hAnsi="Calibri" w:cs="Calibri"/>
                <w:color w:val="000000" w:themeColor="text1"/>
                <w:sz w:val="16"/>
                <w:szCs w:val="16"/>
                <w:lang w:val="en-US"/>
              </w:rPr>
              <w:br/>
              <w:t>UK</w:t>
            </w:r>
          </w:p>
          <w:p w14:paraId="5013624F"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p>
        </w:tc>
        <w:tc>
          <w:tcPr>
            <w:tcW w:w="1985" w:type="dxa"/>
          </w:tcPr>
          <w:p w14:paraId="12AF4A5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Elicit patient preferences for remote care technologies in heart failure</w:t>
            </w:r>
          </w:p>
        </w:tc>
        <w:tc>
          <w:tcPr>
            <w:tcW w:w="1134" w:type="dxa"/>
          </w:tcPr>
          <w:p w14:paraId="69C2C23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6FA0B78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Communication </w:t>
            </w:r>
            <w:r w:rsidRPr="00A96B0A">
              <w:rPr>
                <w:rFonts w:ascii="Calibri" w:eastAsia="Calibri" w:hAnsi="Calibri" w:cs="Calibri"/>
                <w:color w:val="000000" w:themeColor="text1"/>
                <w:sz w:val="16"/>
                <w:szCs w:val="16"/>
                <w:lang w:val="en-US"/>
              </w:rPr>
              <w:br/>
              <w:t>• Clinical care </w:t>
            </w:r>
            <w:r w:rsidRPr="00A96B0A">
              <w:rPr>
                <w:rFonts w:ascii="Calibri" w:eastAsia="Calibri" w:hAnsi="Calibri" w:cs="Calibri"/>
                <w:color w:val="000000" w:themeColor="text1"/>
                <w:sz w:val="16"/>
                <w:szCs w:val="16"/>
                <w:lang w:val="en-US"/>
              </w:rPr>
              <w:br/>
              <w:t>• Education </w:t>
            </w:r>
            <w:r w:rsidRPr="00A96B0A">
              <w:rPr>
                <w:rFonts w:ascii="Calibri" w:eastAsia="Calibri" w:hAnsi="Calibri" w:cs="Calibri"/>
                <w:color w:val="000000" w:themeColor="text1"/>
                <w:sz w:val="16"/>
                <w:szCs w:val="16"/>
                <w:lang w:val="en-US"/>
              </w:rPr>
              <w:br/>
              <w:t>• Ease of use </w:t>
            </w:r>
            <w:r w:rsidRPr="00A96B0A">
              <w:rPr>
                <w:rFonts w:ascii="Calibri" w:eastAsia="Calibri" w:hAnsi="Calibri" w:cs="Calibri"/>
                <w:color w:val="000000" w:themeColor="text1"/>
                <w:sz w:val="16"/>
                <w:szCs w:val="16"/>
                <w:lang w:val="en-US"/>
              </w:rPr>
              <w:br/>
              <w:t>• Convenience</w:t>
            </w:r>
          </w:p>
        </w:tc>
        <w:tc>
          <w:tcPr>
            <w:tcW w:w="1276" w:type="dxa"/>
          </w:tcPr>
          <w:p w14:paraId="03AE8FB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Binary logit analysis</w:t>
            </w:r>
          </w:p>
        </w:tc>
        <w:tc>
          <w:tcPr>
            <w:tcW w:w="1559" w:type="dxa"/>
          </w:tcPr>
          <w:p w14:paraId="5ACB295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iCs/>
                <w:color w:val="000000" w:themeColor="text1"/>
                <w:sz w:val="16"/>
                <w:szCs w:val="16"/>
                <w:lang w:val="en-US"/>
              </w:rPr>
              <w:t>Ranking</w:t>
            </w:r>
            <w:r w:rsidRPr="00A96B0A">
              <w:rPr>
                <w:rFonts w:ascii="Calibri" w:eastAsia="Calibri" w:hAnsi="Calibri" w:cs="Calibri"/>
                <w:color w:val="000000" w:themeColor="text1"/>
                <w:sz w:val="16"/>
                <w:szCs w:val="16"/>
                <w:lang w:val="en-US"/>
              </w:rPr>
              <w:br/>
              <w:t>1. Clinical care </w:t>
            </w:r>
            <w:r w:rsidRPr="00A96B0A">
              <w:rPr>
                <w:rFonts w:ascii="Calibri" w:eastAsia="Calibri" w:hAnsi="Calibri" w:cs="Calibri"/>
                <w:color w:val="000000" w:themeColor="text1"/>
                <w:sz w:val="16"/>
                <w:szCs w:val="16"/>
                <w:lang w:val="en-US"/>
              </w:rPr>
              <w:br/>
              <w:t>2. Education </w:t>
            </w:r>
            <w:r w:rsidRPr="00A96B0A">
              <w:rPr>
                <w:rFonts w:ascii="Calibri" w:eastAsia="Calibri" w:hAnsi="Calibri" w:cs="Calibri"/>
                <w:color w:val="000000" w:themeColor="text1"/>
                <w:sz w:val="16"/>
                <w:szCs w:val="16"/>
                <w:lang w:val="en-US"/>
              </w:rPr>
              <w:br/>
              <w:t>3. Convenience </w:t>
            </w:r>
            <w:r w:rsidRPr="00A96B0A">
              <w:rPr>
                <w:rFonts w:ascii="Calibri" w:eastAsia="Calibri" w:hAnsi="Calibri" w:cs="Calibri"/>
                <w:color w:val="000000" w:themeColor="text1"/>
                <w:sz w:val="16"/>
                <w:szCs w:val="16"/>
                <w:lang w:val="en-US"/>
              </w:rPr>
              <w:br/>
              <w:t>4. Ease of use </w:t>
            </w:r>
            <w:r w:rsidRPr="00A96B0A">
              <w:rPr>
                <w:rFonts w:ascii="Calibri" w:eastAsia="Calibri" w:hAnsi="Calibri" w:cs="Calibri"/>
                <w:color w:val="000000" w:themeColor="text1"/>
                <w:sz w:val="16"/>
                <w:szCs w:val="16"/>
                <w:lang w:val="en-US"/>
              </w:rPr>
              <w:br/>
              <w:t>5. Communication</w:t>
            </w:r>
          </w:p>
        </w:tc>
      </w:tr>
      <w:tr w:rsidR="00A96B0A" w:rsidRPr="00A96B0A" w14:paraId="1EC91AB3"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1A3B9927"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Ang et al.</w:t>
            </w:r>
          </w:p>
          <w:p w14:paraId="7B6F2A28"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(2023)</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{"citationID":"UQaOQKSQ","properties":{"formattedCitation":"[104]","plainCitation":"[104]","noteIndex":0},"citationItems":[{"id":583,"uris":["http://zotero.org/users/4007286/items/ZNDN6LQR"],"itemData":{"id":583,"type":"article-journal","abstract":"This study aimed to elicit the preferences and willingness-to-pay for blood pressure (BP) telemonitoring programs. This study also investigated the different factors or participant characteristics that could influence preferences and choice behaviors. Participants with hypertension were identified from an online survey panel demographically representative of Singapore’s general population. Participants completed a discrete choice experiment (DCE) with 12 choice sets, selecting their preferred BP monitoring program differing on five attributes: mode of consultation, BP machine type (with Bluetooth or not), BP machine price, monthly fee, and program duration. The base reference population (male, married, higher income, more formal education years, full-time worker, aged 55 to &lt;65 years, and digital skills score of 36) preferred teleconsultation over in-person consultation, Bluetooth feature, lower machine price, lower monthly fee, and shorter program duration. A subgroup of participants can be considered teleconsultation-resistant, and three demographic factors were associated with lower preference for teleconsultation: female, fewer formal education years, and lower income. Considering the reference population and Bluetooth attribute, participants were willing to pay 66 SGD (~49 USD) additional for the machine to obtain the Bluetooth feature. Considering the reference population and teleconsultation attribute, participants were willing to pay 6.80 SGD (~5.10 USD) extra monthly fee for a program using teleconsultation. Here we report that amongst participants with hypertension, there is strong preference for the use of teleconsultation and a BP machine with Bluetooth feature in a BP monitoring program. However, a subgroup of participants are teleconsultation-resistant and would prefer in-person consultation.","archive":"Embase","container-title":"npj Digital Medicine","DOI":"10.1038/s41746-023-00919-3","ISSN":"2398-6352","issue":"1","journalAbbreviation":"npj Digit. Med.","language":"English","title":"Preferences and willingness-to-pay for a blood pressure telemonitoring program using a discrete choice experiment","URL":"https://www.embase.com/search/results?subaction=viewrecord&amp;id=L2025622747&amp;from=export","volume":"6","author":[{"family":"Ang","given":"I.Y.H."},{"family":"Wang","given":"Y."},{"family":"Tyagi","given":"S."},{"family":"Koh","given":"G.C.H."},{"family":"Cook","given":"A.R."}],"issued":{"date-parts":[["2023"]]}}}],"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[104]</w:t>
            </w:r>
            <w:r w:rsidRPr="00A96B0A">
              <w:rPr>
                <w:rFonts w:asciiTheme="minorHAnsi" w:eastAsia="Calibri" w:hAnsiTheme="minorHAnsi" w:cstheme="minorHAnsi"/>
                <w:color w:val="000000" w:themeColor="text1"/>
                <w:sz w:val="16"/>
                <w:szCs w:val="26"/>
                <w:lang w:val="en-US"/>
              </w:rPr>
              <w:fldChar w:fldCharType="end"/>
            </w:r>
          </w:p>
          <w:p w14:paraId="72B13B30"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Singapore</w:t>
            </w:r>
          </w:p>
        </w:tc>
        <w:tc>
          <w:tcPr>
            <w:tcW w:w="1985" w:type="dxa"/>
          </w:tcPr>
          <w:p w14:paraId="1438879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Elicit the preferences and willingness-to-pay for blood pressure (BP) telemonitoring programs</w:t>
            </w:r>
          </w:p>
        </w:tc>
        <w:tc>
          <w:tcPr>
            <w:tcW w:w="1134" w:type="dxa"/>
          </w:tcPr>
          <w:p w14:paraId="57B7708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33647A0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Mode of consultation </w:t>
            </w:r>
            <w:r w:rsidRPr="00A96B0A">
              <w:rPr>
                <w:rFonts w:ascii="Calibri" w:eastAsia="Calibri" w:hAnsi="Calibri" w:cs="Calibri"/>
                <w:color w:val="000000" w:themeColor="text1"/>
                <w:sz w:val="16"/>
                <w:szCs w:val="16"/>
                <w:lang w:val="en-US"/>
              </w:rPr>
              <w:br/>
              <w:t>• BP machine type (with Bluetooth or not)</w:t>
            </w:r>
            <w:r w:rsidRPr="00A96B0A">
              <w:rPr>
                <w:rFonts w:ascii="Calibri" w:eastAsia="Calibri" w:hAnsi="Calibri" w:cs="Calibri"/>
                <w:color w:val="000000" w:themeColor="text1"/>
                <w:sz w:val="16"/>
                <w:szCs w:val="16"/>
                <w:lang w:val="en-US"/>
              </w:rPr>
              <w:br/>
              <w:t xml:space="preserve">• BP machine price </w:t>
            </w:r>
          </w:p>
          <w:p w14:paraId="30AA44F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($50, $100, $150)</w:t>
            </w:r>
            <w:r w:rsidRPr="00A96B0A">
              <w:rPr>
                <w:rFonts w:ascii="Calibri" w:eastAsia="Calibri" w:hAnsi="Calibri" w:cs="Calibri"/>
                <w:color w:val="000000" w:themeColor="text1"/>
                <w:sz w:val="16"/>
                <w:szCs w:val="16"/>
                <w:lang w:val="en-US"/>
              </w:rPr>
              <w:br/>
              <w:t>• Monthly fee ($5, $10, $20)</w:t>
            </w:r>
            <w:r w:rsidRPr="00A96B0A">
              <w:rPr>
                <w:rFonts w:ascii="Calibri" w:eastAsia="Calibri" w:hAnsi="Calibri" w:cs="Calibri"/>
                <w:color w:val="000000" w:themeColor="text1"/>
                <w:sz w:val="16"/>
                <w:szCs w:val="16"/>
                <w:lang w:val="en-US"/>
              </w:rPr>
              <w:br/>
              <w:t xml:space="preserve">• Program duration </w:t>
            </w:r>
          </w:p>
          <w:p w14:paraId="0F24C38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106EA974"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0067879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28AC7404"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24120804"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Becker et al.</w:t>
            </w:r>
          </w:p>
          <w:p w14:paraId="62CA5226"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(2019)</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{"citationID":"1As6ynrq","properties":{"formattedCitation":"[88]","plainCitation":"[88]","noteIndex":0},"citationItems":[{"id":898,"uris":["http://zotero.org/users/4007286/items/JPLXA74W"],"itemData":{"id":898,"type":"article-journal","abstract":"Aim To understand what service features would sustain patient engagement in early intervention mental health treatment.\nMethods Mental health patients, family members of individuals with mental illness and mental health professionals completed a survey consisting of 18 choice tasks that involved 14 different service attributes. Preferences were ascertained using importance and utility scores. Latent class analysis revealed segments characterized by distinct preferences. Simulations were carried out to estimate utilization of hypothetical clinical services.\nResults Overall, 333 patients and family members and 183 professionals (N = 516) participated. Respondents were distributed between a Professional segment (53%) and a Patient segment (47%) that differed in a number of their preferences including for appointment times, individual vs group sessions and mode of after-hours support. Members of both segments shared preferences for many of the service attributes including having crisis support available 24 h per day, having a choice of different treatment modalities, being offered help for substance use problems and having a focus on improving symptoms rather than functioning. Simulations predicted that 60% of the Patient segment thought patients would remain engaged with a Hospital service, while 69% of the Professional segment thought patients would be most likely to remain engaged with an E-Health service.\nConclusions Patients, family members and professionals shared a number of preferences about what service characteristics will optimize patient engagement in early intervention services but diverged on others. Providing effective crisis support as well as a range of treatment options should be prioritized in the future design of early intervention services.","archive_location":"WOS:000462574000009","container-title":"Early Intervention in Psychiatry","DOI":"10.1111/eip.12470","ISSN":"1751-7885","issue":"2","page":"241-250","title":"Investigating service features to sustain engagement in early intervention mental health services","volume":"13","author":[{"family":"Becker","given":"M"},{"family":"Cunningham","given":"CE"},{"family":"Christensen","given":"BK"},{"family":"Furimsky","given":"I"},{"family":"Rimas","given":"H"},{"family":"Wilson","given":"F"},{"family":"Jeffs","given":"L"},{"family":"Madsen","given":"V"},{"family":"Bieling","given":"P"},{"family":"Chen","given":"Y"},{"family":"Mielko","given":"S"},{"family":"Zipursky","given":"RB"}],"issued":{"date-parts":[["2019",4]]}}}],"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[88]</w:t>
            </w:r>
            <w:r w:rsidRPr="00A96B0A">
              <w:rPr>
                <w:rFonts w:asciiTheme="minorHAnsi" w:eastAsia="Calibri" w:hAnsiTheme="minorHAnsi" w:cstheme="minorHAnsi"/>
                <w:color w:val="000000" w:themeColor="text1"/>
                <w:sz w:val="16"/>
                <w:szCs w:val="26"/>
                <w:lang w:val="en-US"/>
              </w:rPr>
              <w:fldChar w:fldCharType="end"/>
            </w:r>
          </w:p>
          <w:p w14:paraId="06BE6DB3"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Canada</w:t>
            </w:r>
          </w:p>
          <w:p w14:paraId="52832319"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p>
        </w:tc>
        <w:tc>
          <w:tcPr>
            <w:tcW w:w="1985" w:type="dxa"/>
          </w:tcPr>
          <w:p w14:paraId="0BE6635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Understand what service features would sustain patient engagement in early intervention mental health treatment</w:t>
            </w:r>
          </w:p>
          <w:p w14:paraId="207D60E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134" w:type="dxa"/>
          </w:tcPr>
          <w:p w14:paraId="04FBAAD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45D64FB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Location of care received</w:t>
            </w:r>
          </w:p>
          <w:p w14:paraId="49BD66F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Time of appointments</w:t>
            </w:r>
            <w:r w:rsidRPr="00A96B0A">
              <w:rPr>
                <w:rFonts w:ascii="Calibri" w:eastAsia="Calibri" w:hAnsi="Calibri" w:cs="Calibri"/>
                <w:color w:val="000000" w:themeColor="text1"/>
                <w:sz w:val="16"/>
                <w:szCs w:val="16"/>
                <w:lang w:val="en-US"/>
              </w:rPr>
              <w:br/>
              <w:t>• Care from MD, PhD, RN</w:t>
            </w:r>
            <w:r w:rsidRPr="00A96B0A">
              <w:rPr>
                <w:rFonts w:ascii="Calibri" w:eastAsia="Calibri" w:hAnsi="Calibri" w:cs="Calibri"/>
                <w:color w:val="000000" w:themeColor="text1"/>
                <w:sz w:val="16"/>
                <w:szCs w:val="16"/>
                <w:lang w:val="en-US"/>
              </w:rPr>
              <w:br/>
              <w:t>• Choice of treatment modalities</w:t>
            </w:r>
          </w:p>
          <w:p w14:paraId="0222F34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Addiction service</w:t>
            </w:r>
          </w:p>
          <w:p w14:paraId="11DAFE4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Culture considered in clinician assignment </w:t>
            </w:r>
          </w:p>
          <w:p w14:paraId="195A82D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Individual vs group treatment</w:t>
            </w:r>
          </w:p>
          <w:p w14:paraId="405ABC7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Focus on symptom vs functional improvement</w:t>
            </w:r>
          </w:p>
          <w:p w14:paraId="73FDD25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Crisis response</w:t>
            </w:r>
          </w:p>
          <w:p w14:paraId="6B7B1FA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Internet options</w:t>
            </w:r>
          </w:p>
          <w:p w14:paraId="6D7A57F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Text message or phone support</w:t>
            </w:r>
            <w:r w:rsidRPr="00A96B0A">
              <w:rPr>
                <w:rFonts w:ascii="Calibri" w:eastAsia="Calibri" w:hAnsi="Calibri" w:cs="Calibri"/>
                <w:color w:val="000000" w:themeColor="text1"/>
                <w:sz w:val="16"/>
                <w:szCs w:val="16"/>
                <w:lang w:val="en-US"/>
              </w:rPr>
              <w:br/>
              <w:t>• Patient choice/input</w:t>
            </w:r>
          </w:p>
          <w:p w14:paraId="098D297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Peer involvement</w:t>
            </w:r>
            <w:r w:rsidRPr="00A96B0A">
              <w:rPr>
                <w:rFonts w:ascii="Calibri" w:eastAsia="Calibri" w:hAnsi="Calibri" w:cs="Calibri"/>
                <w:color w:val="000000" w:themeColor="text1"/>
                <w:sz w:val="16"/>
                <w:szCs w:val="16"/>
                <w:lang w:val="en-US"/>
              </w:rPr>
              <w:br/>
              <w:t>• Collaborative decision-making</w:t>
            </w:r>
          </w:p>
          <w:p w14:paraId="077BD35C"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346814D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Z-score part-worth utilities</w:t>
            </w:r>
          </w:p>
          <w:p w14:paraId="17F43A3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p w14:paraId="0F6A667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559" w:type="dxa"/>
          </w:tcPr>
          <w:p w14:paraId="7FE8A65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1B420E4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Crisis response</w:t>
            </w:r>
          </w:p>
          <w:p w14:paraId="502B90B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Choices of treatment modalities</w:t>
            </w:r>
          </w:p>
          <w:p w14:paraId="325C8AA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Phone support</w:t>
            </w:r>
          </w:p>
          <w:p w14:paraId="234053B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4. Patient choice/input</w:t>
            </w:r>
          </w:p>
          <w:p w14:paraId="75D8FAB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5. Peer involvement</w:t>
            </w:r>
          </w:p>
          <w:p w14:paraId="2016E06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6. Internet options</w:t>
            </w:r>
            <w:r w:rsidRPr="00A96B0A">
              <w:rPr>
                <w:rFonts w:ascii="Calibri" w:eastAsia="Calibri" w:hAnsi="Calibri" w:cs="Calibri"/>
                <w:color w:val="000000" w:themeColor="text1"/>
                <w:sz w:val="16"/>
                <w:szCs w:val="16"/>
                <w:lang w:val="en-US"/>
              </w:rPr>
              <w:br/>
            </w:r>
          </w:p>
        </w:tc>
      </w:tr>
      <w:tr w:rsidR="00A96B0A" w:rsidRPr="00A96B0A" w14:paraId="5858B3D1"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7AEB7CB0"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Boyde et al.</w:t>
            </w:r>
          </w:p>
          <w:p w14:paraId="371B77D4"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(2018)</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{"citationID":"9lMuFvby","properties":{"formattedCitation":"[61]","plainCitation":"[61]","noteIndex":0},"citationItems":[{"id":2205,"uris":["http://zotero.org/users/4007286/items/7PXWBDI7"],"itemData":{"id":2205,"type":"article-journal","abstract":"Objective: To elicit patients' preferences for cardiac rehabilitation(CR).Methods: A Discrete Choice Experiment was used to quantify patients' preferences for the delivery of CR. This survey-based method elicited the relative importance of different characteristics of a program.Results: 200 in-patients eligible to attend CR completed the survey. Over half of the patients strongly preferred a centre-based compared to a home-based program. Many but not all preferred a program starting within two rather than six weeks of discharge and exercise delivered in a group rather than individual setting, with exercise via the internet using telehealth strongly disliked. Some respondents preferred lifestyle information delivered one-to-one by a health professional, and there was an overall preference against delivery by smart phone Apps. Some preferred a program out of rather than within working hours and a shorter program (four weeks compared to eight weeks).Conclusions: This study provides further insight into patient preferences for a CR program. Although the strongest preferences were for centre-based programs with healthcare professionals facilitating exercise classes and one-on-one education, it is important to offer flexible delivery as one approach will not suit everyone.Practice Implications: There is the potential to improve CR programs by focusing on patient preferences.","archive":"ccm","container-title":"Patient Education &amp; Counseling","DOI":"10.1016/j.pec.2018.07.010","ISSN":"0738-3991","issue":"12","journalAbbreviation":"Patient Education &amp; Counseling","page":"2162-2169","source":"EBSCOhost","title":"Patient preferences for the delivery of cardiac rehabilitation.","volume":"101","author":[{"family":"Boyde","given":"Mary"},{"family":"Rankin","given":"Jenny"},{"family":"Whitty","given":"Jennifer A."},{"family":"Peters","given":"Robyn"},{"family":"Holliday","given":"Julie"},{"family":"Baker","given":"Charmaine"},{"family":"Hwang","given":"Rita"},{"family":"Lynagh","given":"Donna"},{"family":"Korczyk","given":"Dariusz"}],"issued":{"date-parts":[["2018",12]]}}}],"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[61]</w:t>
            </w:r>
            <w:r w:rsidRPr="00A96B0A">
              <w:rPr>
                <w:rFonts w:asciiTheme="minorHAnsi" w:eastAsia="Calibri" w:hAnsiTheme="minorHAnsi" w:cstheme="minorHAnsi"/>
                <w:color w:val="000000" w:themeColor="text1"/>
                <w:sz w:val="16"/>
                <w:szCs w:val="26"/>
                <w:lang w:val="en-US"/>
              </w:rPr>
              <w:fldChar w:fldCharType="end"/>
            </w:r>
          </w:p>
          <w:p w14:paraId="33D0DEA7"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Australia</w:t>
            </w:r>
          </w:p>
        </w:tc>
        <w:tc>
          <w:tcPr>
            <w:tcW w:w="1985" w:type="dxa"/>
          </w:tcPr>
          <w:p w14:paraId="6EFA6FF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Elicit patients’ preferences for cardiac rehabilitation</w:t>
            </w:r>
          </w:p>
        </w:tc>
        <w:tc>
          <w:tcPr>
            <w:tcW w:w="1134" w:type="dxa"/>
          </w:tcPr>
          <w:p w14:paraId="18A5C1D4"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2A09A1E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Program Length</w:t>
            </w:r>
            <w:r w:rsidRPr="00A96B0A">
              <w:rPr>
                <w:rFonts w:ascii="Calibri" w:eastAsia="Calibri" w:hAnsi="Calibri" w:cs="Calibri"/>
                <w:color w:val="000000" w:themeColor="text1"/>
                <w:sz w:val="16"/>
                <w:szCs w:val="16"/>
                <w:lang w:val="en-US"/>
              </w:rPr>
              <w:br/>
              <w:t>• Program Time</w:t>
            </w:r>
            <w:r w:rsidRPr="00A96B0A">
              <w:rPr>
                <w:rFonts w:ascii="Calibri" w:eastAsia="Calibri" w:hAnsi="Calibri" w:cs="Calibri"/>
                <w:color w:val="000000" w:themeColor="text1"/>
                <w:sz w:val="16"/>
                <w:szCs w:val="16"/>
                <w:lang w:val="en-US"/>
              </w:rPr>
              <w:br/>
              <w:t>• Program Start</w:t>
            </w:r>
            <w:r w:rsidRPr="00A96B0A">
              <w:rPr>
                <w:rFonts w:ascii="Calibri" w:eastAsia="Calibri" w:hAnsi="Calibri" w:cs="Calibri"/>
                <w:color w:val="000000" w:themeColor="text1"/>
                <w:sz w:val="16"/>
                <w:szCs w:val="16"/>
                <w:lang w:val="en-US"/>
              </w:rPr>
              <w:br/>
              <w:t>• Program Exercise</w:t>
            </w:r>
            <w:r w:rsidRPr="00A96B0A">
              <w:rPr>
                <w:rFonts w:ascii="Calibri" w:eastAsia="Calibri" w:hAnsi="Calibri" w:cs="Calibri"/>
                <w:color w:val="000000" w:themeColor="text1"/>
                <w:sz w:val="16"/>
                <w:szCs w:val="16"/>
                <w:lang w:val="en-US"/>
              </w:rPr>
              <w:br/>
              <w:t xml:space="preserve">• Healthy Lifestyle Information </w:t>
            </w:r>
          </w:p>
          <w:p w14:paraId="4E95FEF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6B639CA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677D98B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3E218869"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5DF7451F"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 xml:space="preserve">Broomfield </w:t>
            </w:r>
          </w:p>
          <w:p w14:paraId="72239B30"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 xml:space="preserve">et al. (2022)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{"citationID":"wTrGdXco","properties":{"formattedCitation":"[62]","plainCitation":"[62]","noteIndex":0},"citationItems":[{"id":2143,"uris":["http://zotero.org/users/4007286/items/SCGGY5YW"],"itemData":{"id":2143,"type":"article-journal","abstract":"BACKGROUND: The positive impact of parenting programs for youth mental health is undermined by difficulties engaging parents. Low engagement disproportionately impacts parents of lower-socioeconomic positions (SEPs). Internet- and mobile-based interventions hold potential for overcoming barriers to enrolment, but additional research is needed to understand how programs can appropriately meet the needs of parents across SEPs. Consumer preference methods such as discrete choice experiments may be valuable in this endeavour.\nMETHOD: A discrete choice experiment was used to determine the relative influence of modifiable program features on parents' intent to enrol. 329 Australian parents of children aged 0-18 repeatedly selected their preferred program from randomized sets of hypothetical programs in an online survey. Each hypothetical program was unique, varying across four program features: module duration, program platform, user control, and program cost. Cumulative link models were used to predict choices, with education, household income, and community advantage used as indicators of SEP.\nRESULTS: Overall, parents preferred cheaper programs and briefer modules. Parents' preferences differed based on their socioeconomic challenges. Lower-income parents preferred briefer modules, cheaper programs and application-based programs compared to higher-income parents. Parents with less education preferred briefer modules and a predefined module order. Parents living in areas of less advantage preferred website-based programs, user choice of module order, and more expensive programs.\nCONCLUSIONS: This study offers program developers evidence-based strategies for tailoring internet- and mobile-based parenting interventions to increase lower-SEP parent enrolment. Findings also highlight the importance of considering parents' socioeconomic challenges to ensure programs do not perpetuate existing mental health inequalities, as \"one-size-fits-all\" approaches are likely insufficient for reaching lower-SEP parents.","container-title":"Internet Interventions","DOI":"10.1016/j.invent.2022.100522","ISSN":"2214-7829","journalAbbreviation":"Internet Interv","language":"eng","page":"100522","source":"PubMed","title":"Socioeconomic factors and parents' preferences for internet- and mobile-based parenting interventions to prevent youth mental health problems: A discrete choice experiment","title-short":"Socioeconomic factors and parents' preferences for internet- and mobile-based parenting interventions to prevent youth mental health problems","volume":"28","author":[{"family":"Broomfield","given":"Grace"},{"family":"Brown","given":"Scott D."},{"family":"Yap","given":"Marie B. H."}],"issued":{"date-parts":[["2022",4]]}}}],"schema":"https://github.com/citation-style-language/schema/raw/master/csl-citation.json"}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[62]</w:t>
            </w:r>
            <w:r w:rsidRPr="00A96B0A">
              <w:rPr>
                <w:rFonts w:asciiTheme="minorHAnsi" w:eastAsia="Calibri" w:hAnsiTheme="minorHAnsi" w:cstheme="minorHAnsi"/>
                <w:color w:val="000000" w:themeColor="text1"/>
                <w:sz w:val="16"/>
                <w:szCs w:val="26"/>
                <w:lang w:val="en-US"/>
              </w:rPr>
              <w:fldChar w:fldCharType="end"/>
            </w:r>
          </w:p>
          <w:p w14:paraId="5B0573FA"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Australia</w:t>
            </w:r>
          </w:p>
        </w:tc>
        <w:tc>
          <w:tcPr>
            <w:tcW w:w="1985" w:type="dxa"/>
          </w:tcPr>
          <w:p w14:paraId="7B3F1B1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Explore how internet- and mobile-based interventions can effectively engage parents in parenting programs aimed at improving youth mental health</w:t>
            </w:r>
          </w:p>
          <w:p w14:paraId="3EFFBA1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134" w:type="dxa"/>
          </w:tcPr>
          <w:p w14:paraId="7393EC8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lastRenderedPageBreak/>
              <w:t>DCE</w:t>
            </w:r>
          </w:p>
        </w:tc>
        <w:tc>
          <w:tcPr>
            <w:tcW w:w="2551" w:type="dxa"/>
          </w:tcPr>
          <w:p w14:paraId="0CE6233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Module duration</w:t>
            </w:r>
            <w:r w:rsidRPr="00A96B0A">
              <w:rPr>
                <w:rFonts w:ascii="Calibri" w:eastAsia="Calibri" w:hAnsi="Calibri" w:cs="Calibri"/>
                <w:color w:val="000000" w:themeColor="text1"/>
                <w:sz w:val="16"/>
                <w:szCs w:val="16"/>
                <w:lang w:val="en-US"/>
              </w:rPr>
              <w:br/>
              <w:t xml:space="preserve">• Program platform </w:t>
            </w:r>
            <w:r w:rsidRPr="00A96B0A">
              <w:rPr>
                <w:rFonts w:ascii="Calibri" w:eastAsia="Calibri" w:hAnsi="Calibri" w:cs="Calibri"/>
                <w:color w:val="000000" w:themeColor="text1"/>
                <w:sz w:val="16"/>
                <w:szCs w:val="16"/>
                <w:lang w:val="en-US"/>
              </w:rPr>
              <w:br/>
              <w:t>• User control of module order</w:t>
            </w:r>
            <w:r w:rsidRPr="00A96B0A">
              <w:rPr>
                <w:rFonts w:ascii="Calibri" w:eastAsia="Calibri" w:hAnsi="Calibri" w:cs="Calibri"/>
                <w:color w:val="000000" w:themeColor="text1"/>
                <w:sz w:val="16"/>
                <w:szCs w:val="16"/>
                <w:lang w:val="en-US"/>
              </w:rPr>
              <w:br/>
              <w:t xml:space="preserve">• Costs to access the program </w:t>
            </w:r>
          </w:p>
          <w:p w14:paraId="73E251A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(AU$ 20, AU$ 30, AU$50)</w:t>
            </w:r>
          </w:p>
          <w:p w14:paraId="4C62FE2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0CBD2EDC"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50BB57B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54A24CE2"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277AF811"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Chang et al.</w:t>
            </w:r>
          </w:p>
          <w:p w14:paraId="338B6870"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(2017)</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{"citationID":"I4lHhK1l","properties":{"formattedCitation":"[38]","plainCitation":"[38]","noteIndex":0},"citationItems":[{"id":2704,"uris":["http://zotero.org/users/4007286/items/G4GJ6XM5"],"itemData":{"id":2704,"type":"article-journal","abstract":"BACKGROUND: Research has outlined the benefits and costs of online health services, but these studies have typically focused on a specific geographic region or disease. Very few studies have estimated consumer demand for online health services.\nOBJECTIVE: This study estimated household's willingness to pay (WTP) for the ability to receive remote diagnosis, treatment, monitoring and consultations online (telehealth).\nMETHODS: WTP was estimated with a random utility model and household data from a US survey employing repeated discrete-choice experiments.\nRESULTS: The representative household was willing to pay $US4.39 per month for telehealth. This valuation increased to $US5.85 for households with higher opportunity costs, as measured by income, and to $US6.22 for households living more than 20 miles away from their nearest medical facility.\nCONCLUSION: WTP estimates offer insights into the potential benefits from policies intended to promote the expansion of online health services into underserved areas. These include the Federal Communications Commission's Rural Healthcare Pilot Program and the Department of Agriculture's Distance Learning and Telemedicine Grants programme.","container-title":"Applied Health Economics and Health Policy","DOI":"10.1007/s40258-017-0316-z","ISSN":"1179-1896","issue":"4","journalAbbreviation":"Appl Health Econ Health Policy","language":"eng","page":"491-500","source":"PubMed","title":"Estimating Willingness to Pay for Online Health Services with Discrete-Choice Experiments","volume":"15","author":[{"family":"Chang","given":"Jieun"},{"family":"Savage","given":"Scott J."},{"family":"Waldman","given":"Donald M."}],"issued":{"date-parts":[["2017",8]]}}}],"schema":"https://github.com/citation-style-language/schema/raw/master/csl-citation.json"}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[38]</w:t>
            </w:r>
            <w:r w:rsidRPr="00A96B0A">
              <w:rPr>
                <w:rFonts w:asciiTheme="minorHAnsi" w:eastAsia="Calibri" w:hAnsiTheme="minorHAnsi" w:cstheme="minorHAnsi"/>
                <w:color w:val="000000" w:themeColor="text1"/>
                <w:sz w:val="16"/>
                <w:szCs w:val="26"/>
                <w:lang w:val="en-US"/>
              </w:rPr>
              <w:fldChar w:fldCharType="end"/>
            </w:r>
          </w:p>
          <w:p w14:paraId="06325660"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USA</w:t>
            </w:r>
          </w:p>
        </w:tc>
        <w:tc>
          <w:tcPr>
            <w:tcW w:w="1985" w:type="dxa"/>
          </w:tcPr>
          <w:p w14:paraId="5428518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To estimate consumer demand for online health services</w:t>
            </w:r>
          </w:p>
        </w:tc>
        <w:tc>
          <w:tcPr>
            <w:tcW w:w="1134" w:type="dxa"/>
          </w:tcPr>
          <w:p w14:paraId="29CB974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027781B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Theme="majorEastAsia"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Speed</w:t>
            </w:r>
            <w:r w:rsidRPr="00A96B0A">
              <w:rPr>
                <w:rFonts w:ascii="Calibri" w:eastAsia="Calibri" w:hAnsi="Calibri" w:cs="Calibri"/>
                <w:color w:val="000000" w:themeColor="text1"/>
                <w:sz w:val="16"/>
                <w:szCs w:val="16"/>
                <w:lang w:val="en-US"/>
              </w:rPr>
              <w:br/>
              <w:t>• Abilities of Internet service</w:t>
            </w:r>
            <w:r w:rsidRPr="00A96B0A">
              <w:rPr>
                <w:rFonts w:ascii="Calibri" w:eastAsia="Calibri" w:hAnsi="Calibri" w:cs="Calibri"/>
                <w:color w:val="000000" w:themeColor="text1"/>
                <w:sz w:val="16"/>
                <w:szCs w:val="16"/>
                <w:lang w:val="en-US"/>
              </w:rPr>
              <w:br/>
              <w:t>• Reliability</w:t>
            </w:r>
            <w:r w:rsidRPr="00A96B0A">
              <w:rPr>
                <w:rFonts w:ascii="Calibri" w:eastAsia="Calibri" w:hAnsi="Calibri" w:cs="Calibri"/>
                <w:color w:val="000000" w:themeColor="text1"/>
                <w:sz w:val="16"/>
                <w:szCs w:val="16"/>
                <w:lang w:val="en-US"/>
              </w:rPr>
              <w:br/>
              <w:t xml:space="preserve">• Costs </w:t>
            </w:r>
            <w:r w:rsidRPr="00A96B0A">
              <w:rPr>
                <w:rFonts w:ascii="Calibri" w:eastAsiaTheme="majorEastAsia" w:hAnsi="Calibri" w:cs="Calibri"/>
                <w:color w:val="000000" w:themeColor="text1"/>
                <w:sz w:val="16"/>
                <w:szCs w:val="16"/>
                <w:lang w:val="en-US"/>
              </w:rPr>
              <w:t>for home Internet service</w:t>
            </w:r>
            <w:r w:rsidRPr="00A96B0A">
              <w:rPr>
                <w:rFonts w:ascii="Calibri" w:eastAsia="Calibri" w:hAnsi="Calibri" w:cs="Calibri"/>
                <w:color w:val="000000" w:themeColor="text1"/>
                <w:sz w:val="16"/>
                <w:szCs w:val="16"/>
                <w:lang w:val="en-US"/>
              </w:rPr>
              <w:t xml:space="preserve"> (</w:t>
            </w:r>
            <w:r w:rsidRPr="00A96B0A">
              <w:rPr>
                <w:rFonts w:ascii="Calibri" w:eastAsiaTheme="majorEastAsia" w:hAnsi="Calibri" w:cs="Calibri"/>
                <w:color w:val="000000" w:themeColor="text1"/>
                <w:sz w:val="16"/>
                <w:szCs w:val="16"/>
                <w:lang w:val="en-US"/>
              </w:rPr>
              <w:t>Ranging from $US5 to $US90 per month in increments of $US5</w:t>
            </w:r>
            <w:r w:rsidRPr="00A96B0A">
              <w:rPr>
                <w:rFonts w:ascii="Calibri" w:eastAsia="Calibri" w:hAnsi="Calibri" w:cs="Calibri"/>
                <w:color w:val="000000" w:themeColor="text1"/>
                <w:sz w:val="16"/>
                <w:szCs w:val="16"/>
                <w:lang w:val="en-US"/>
              </w:rPr>
              <w:t>)</w:t>
            </w:r>
          </w:p>
        </w:tc>
        <w:tc>
          <w:tcPr>
            <w:tcW w:w="1276" w:type="dxa"/>
          </w:tcPr>
          <w:p w14:paraId="3DB749A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3B916A2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2686E55E"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716C5776" w14:textId="77777777" w:rsidR="00A96B0A" w:rsidRPr="00A96B0A" w:rsidRDefault="00A96B0A" w:rsidP="00A96B0A">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A96B0A">
              <w:rPr>
                <w:rFonts w:ascii="Calibri" w:eastAsia="Calibri" w:hAnsi="Calibri" w:cs="Calibri"/>
                <w:b/>
                <w:bCs/>
                <w:i w:val="0"/>
                <w:iCs w:val="0"/>
                <w:color w:val="000000" w:themeColor="text1"/>
                <w:sz w:val="16"/>
                <w:szCs w:val="16"/>
                <w:lang w:val="en-US"/>
              </w:rPr>
              <w:t>Chen et al. (2025)</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{"citationID":"Qv6ZkXcD","properties":{"unsorted":false,"formattedCitation":"[97]","plainCitation":"[97]","noteIndex":0},"citationItems":[{"id":94,"uris":["http://zotero.org/users/4007286/items/9LDV32YH"],"itemData":{"id":94,"type":"article-journal","abstract":"Objective: Internet hospitals as a telehealth platform are rapidly growing in China both in quality and scale. This study aims to explore Chinese patients' preferences, trade-offs and willingness to pay for attributes of online outpatient follow-up clinics. Methods: A discrete choice experiment was designed to elicit respondents' stated preferences for six attributes. The online survey was conducted between November 2023 and December 2023, and mixed logit models were used to analyze the data. Results: A total of 337 valid Chinese respondents were recruited. The results showed that an online outpatient follow-up clinic preferred by respondents could be described as low cost, provided by a tertiary Internet hospital, available same-day appointment, appointment with their own first diagnosing doctor, video appointment consultation, and payment by medical insurance. People with higher e-health literacy were more likely to accept an online outpatient follow-up appointment. Conclusion: Chinese respondents place a high value on waiting time for appointments, online payment methods, and continuity of online doctors. They were willing to pay more to avoid waiting a week for an online appointment. Our study provides valuable information for the telehealth policy-making and operation of Internet hospitals for healthcare sustainability.","archive":"Medline","container-title":"Frontiers in public health","DOI":"10.3389/fpubh.2025.1508369","ISSN":"2296-2565","issue":"(Chen N.; Bai D.; Ning J.) School of Management, Shanghai University, Shanghai, China","journalAbbreviation":"Front Public Health","language":"English","page":"1508369","title":"A determination of patient preferences for China online outpatient follow-up clinics by using discrete choice experiment: an exploratory study","volume":"13","author":[{"family":"Chen","given":"N."},{"family":"Bai","given":"D."},{"family":"Ning","given":"J."}],"issued":{"date-parts":[["2025"]]}}}],"schema":"https://github.com/citation-style-language/schema/raw/master/csl-citation.json"}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[97]</w:t>
            </w:r>
            <w:r w:rsidRPr="00A96B0A">
              <w:rPr>
                <w:rFonts w:ascii="Calibri" w:eastAsia="Calibri" w:hAnsi="Calibri" w:cs="Calibri"/>
                <w:color w:val="000000" w:themeColor="text1"/>
                <w:sz w:val="16"/>
                <w:szCs w:val="16"/>
                <w:lang w:val="en-US"/>
              </w:rPr>
              <w:fldChar w:fldCharType="end"/>
            </w:r>
          </w:p>
          <w:p w14:paraId="64643024" w14:textId="77777777" w:rsidR="00A96B0A" w:rsidRPr="00A96B0A" w:rsidRDefault="00A96B0A" w:rsidP="00A96B0A">
            <w:pPr>
              <w:keepNext/>
              <w:keepLines/>
              <w:spacing w:before="40" w:line="240" w:lineRule="auto"/>
              <w:jc w:val="center"/>
              <w:outlineLvl w:val="1"/>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China</w:t>
            </w:r>
          </w:p>
        </w:tc>
        <w:tc>
          <w:tcPr>
            <w:tcW w:w="1985" w:type="dxa"/>
          </w:tcPr>
          <w:p w14:paraId="7297D308" w14:textId="77777777" w:rsidR="00A96B0A" w:rsidRPr="00A96B0A" w:rsidRDefault="00A96B0A" w:rsidP="00A96B0A">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A96B0A">
              <w:rPr>
                <w:rFonts w:ascii="Calibri" w:hAnsi="Calibri" w:cs="Calibri"/>
                <w:sz w:val="16"/>
                <w:szCs w:val="16"/>
                <w:lang w:val="en-US"/>
              </w:rPr>
              <w:t xml:space="preserve">To explore patients’ </w:t>
            </w:r>
            <w:r w:rsidRPr="00A96B0A">
              <w:rPr>
                <w:rFonts w:ascii="Calibri" w:eastAsiaTheme="majorEastAsia" w:hAnsi="Calibri" w:cs="Calibri"/>
                <w:color w:val="000000" w:themeColor="text1"/>
                <w:sz w:val="16"/>
                <w:szCs w:val="16"/>
                <w:lang w:val="en-US"/>
              </w:rPr>
              <w:t>preferences, trade-offs and willingness to pay for attributes of online outpatient follow-up clinics</w:t>
            </w:r>
          </w:p>
        </w:tc>
        <w:tc>
          <w:tcPr>
            <w:tcW w:w="1134" w:type="dxa"/>
          </w:tcPr>
          <w:p w14:paraId="4587C0B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03F8C1B0" w14:textId="77777777" w:rsidR="00A96B0A" w:rsidRPr="00A96B0A" w:rsidRDefault="00A96B0A" w:rsidP="00A96B0A">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Cost</w:t>
            </w:r>
          </w:p>
          <w:p w14:paraId="792B3FEC" w14:textId="77777777" w:rsidR="00A96B0A" w:rsidRPr="00A96B0A" w:rsidRDefault="00A96B0A" w:rsidP="00A96B0A">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A96B0A">
              <w:rPr>
                <w:rFonts w:ascii="Calibri" w:eastAsia="Calibri" w:hAnsi="Calibri" w:cs="Calibri"/>
                <w:color w:val="000000" w:themeColor="text1"/>
                <w:sz w:val="16"/>
                <w:szCs w:val="16"/>
                <w:lang w:val="en-US"/>
              </w:rPr>
              <w:t xml:space="preserve">• </w:t>
            </w:r>
            <w:r w:rsidRPr="00A96B0A">
              <w:rPr>
                <w:rFonts w:ascii="Calibri" w:hAnsi="Calibri" w:cs="Calibri"/>
                <w:sz w:val="16"/>
                <w:szCs w:val="16"/>
                <w:lang w:val="en-US"/>
              </w:rPr>
              <w:t>Type of internet hospital</w:t>
            </w:r>
            <w:r w:rsidRPr="00A96B0A">
              <w:rPr>
                <w:rFonts w:ascii="Calibri" w:eastAsia="Calibri" w:hAnsi="Calibri" w:cs="Calibri"/>
                <w:color w:val="000000" w:themeColor="text1"/>
                <w:sz w:val="16"/>
                <w:szCs w:val="16"/>
                <w:lang w:val="en-US"/>
              </w:rPr>
              <w:br/>
              <w:t xml:space="preserve">• Type of online doctor    </w:t>
            </w:r>
            <w:r w:rsidRPr="00A96B0A">
              <w:rPr>
                <w:rFonts w:ascii="Calibri" w:eastAsia="Calibri" w:hAnsi="Calibri" w:cs="Calibri"/>
                <w:color w:val="000000" w:themeColor="text1"/>
                <w:sz w:val="16"/>
                <w:szCs w:val="16"/>
                <w:lang w:val="en-US"/>
              </w:rPr>
              <w:br/>
              <w:t>• Waiting time for an appointment</w:t>
            </w:r>
          </w:p>
          <w:p w14:paraId="0B40296A" w14:textId="77777777" w:rsidR="00A96B0A" w:rsidRPr="00A96B0A" w:rsidRDefault="00A96B0A" w:rsidP="00A96B0A">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Communication mode</w:t>
            </w:r>
          </w:p>
          <w:p w14:paraId="3781718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Online payment method</w:t>
            </w:r>
          </w:p>
        </w:tc>
        <w:tc>
          <w:tcPr>
            <w:tcW w:w="1276" w:type="dxa"/>
          </w:tcPr>
          <w:p w14:paraId="7BEDB78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Relative importance (%) of attributes (range-based, normalized)</w:t>
            </w:r>
          </w:p>
        </w:tc>
        <w:tc>
          <w:tcPr>
            <w:tcW w:w="1559" w:type="dxa"/>
          </w:tcPr>
          <w:p w14:paraId="69A60A8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21EE090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Waiting time</w:t>
            </w:r>
          </w:p>
          <w:p w14:paraId="43DDF9C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2.  Payment method  </w:t>
            </w:r>
          </w:p>
          <w:p w14:paraId="35C55BF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Type of online doctor</w:t>
            </w:r>
          </w:p>
          <w:p w14:paraId="6F66879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4. Type of internet hospital</w:t>
            </w:r>
          </w:p>
          <w:p w14:paraId="4B6CC32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5. Communication mode</w:t>
            </w:r>
          </w:p>
        </w:tc>
      </w:tr>
      <w:tr w:rsidR="00A96B0A" w:rsidRPr="00A96B0A" w14:paraId="2062C041"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2019FDD9"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Deverill et al.</w:t>
            </w:r>
          </w:p>
          <w:p w14:paraId="202C383D"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(2010)</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{"citationID":"cEUl7rgo","properties":{"formattedCitation":"[78]","plainCitation":"[78]","noteIndex":0},"citationItems":[{"id":2439,"uris":["http://zotero.org/users/4007286/items/393783RS"],"itemData":{"id":2439,"type":"article-journal","abstract":"Objective: To investigate the views of women in relation to the provision of antenatal care. Methods: A discrete choice experiment using a sample of 100 women who were nulliparous (pregnant for the first time) and attending for routine ultrasound scan in the 20th week of their pregnancy. Results: Women preferred antenatal care visits to be provided by a community midwife at a local clinic and to have 10 visits rather than 7. In addition they favoured the provision of education/preparation for birth, the use of uterine artery Doppler screening, and the provision of a telephone advice line. The results show that women were prepared to trade-off fewer antenatal care visits to ensure access to their packages of antenatal care that reflected their preferences. Conclusions: Whilst the number of antenatal care visits is important to women they may accept fewer visits if antenatal care is provided by midwives and they receive enhanced service provision such as a telephone advice line and uterine artery Doppler screening. © 2010 Elsevier Ireland Ltd. All rights reserved.","archive":"Scopus","container-title":"European Journal of Obstetrics and Gynecology and Reproductive Biology","DOI":"10.1016/j.ejogrb.2010.03.015","issue":"1","page":"33-37","title":"Antenatal care for first time mothers: a discrete choice experiment of women's views on alternative packages of care","volume":"151","author":[{"family":"Deverill","given":"M."},{"family":"Lancsar","given":"E."},{"family":"Snaith","given":"V.B.A."},{"family":"Robson","given":"S.C."}],"issued":{"date-parts":[["2010"]]}}}],"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[78]</w:t>
            </w:r>
            <w:r w:rsidRPr="00A96B0A">
              <w:rPr>
                <w:rFonts w:asciiTheme="minorHAnsi" w:eastAsia="Calibri" w:hAnsiTheme="minorHAnsi" w:cstheme="minorHAnsi"/>
                <w:color w:val="000000" w:themeColor="text1"/>
                <w:sz w:val="16"/>
                <w:szCs w:val="26"/>
                <w:lang w:val="en-US"/>
              </w:rPr>
              <w:fldChar w:fldCharType="end"/>
            </w:r>
          </w:p>
          <w:p w14:paraId="5B763DCC"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UK</w:t>
            </w:r>
          </w:p>
        </w:tc>
        <w:tc>
          <w:tcPr>
            <w:tcW w:w="1985" w:type="dxa"/>
          </w:tcPr>
          <w:p w14:paraId="622D997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Investigate the views of women in relation to the provision of antenatal care</w:t>
            </w:r>
          </w:p>
        </w:tc>
        <w:tc>
          <w:tcPr>
            <w:tcW w:w="1134" w:type="dxa"/>
          </w:tcPr>
          <w:p w14:paraId="0A64783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4B63B81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Type of care provider and place</w:t>
            </w:r>
            <w:r w:rsidRPr="00A96B0A">
              <w:rPr>
                <w:rFonts w:ascii="Calibri" w:eastAsia="Calibri" w:hAnsi="Calibri" w:cs="Calibri"/>
                <w:color w:val="000000" w:themeColor="text1"/>
                <w:sz w:val="16"/>
                <w:szCs w:val="16"/>
                <w:lang w:val="en-US"/>
              </w:rPr>
              <w:br/>
              <w:t>• Payment towards the total costs of care (£0, £500, £1000, £1500)</w:t>
            </w:r>
            <w:r w:rsidRPr="00A96B0A">
              <w:rPr>
                <w:rFonts w:ascii="Calibri" w:eastAsia="Calibri" w:hAnsi="Calibri" w:cs="Calibri"/>
                <w:color w:val="000000" w:themeColor="text1"/>
                <w:sz w:val="16"/>
                <w:szCs w:val="16"/>
                <w:lang w:val="en-US"/>
              </w:rPr>
              <w:br/>
              <w:t>• Number of visits</w:t>
            </w:r>
            <w:r w:rsidRPr="00A96B0A">
              <w:rPr>
                <w:rFonts w:ascii="Calibri" w:eastAsia="Calibri" w:hAnsi="Calibri" w:cs="Calibri"/>
                <w:color w:val="000000" w:themeColor="text1"/>
                <w:sz w:val="16"/>
                <w:szCs w:val="16"/>
                <w:lang w:val="en-US"/>
              </w:rPr>
              <w:br/>
              <w:t>• Content of carer visits</w:t>
            </w:r>
            <w:r w:rsidRPr="00A96B0A">
              <w:rPr>
                <w:rFonts w:ascii="Calibri" w:eastAsia="Calibri" w:hAnsi="Calibri" w:cs="Calibri"/>
                <w:color w:val="000000" w:themeColor="text1"/>
                <w:sz w:val="16"/>
                <w:szCs w:val="16"/>
                <w:lang w:val="en-US"/>
              </w:rPr>
              <w:br/>
              <w:t>• Telephone advice line provided</w:t>
            </w:r>
            <w:r w:rsidRPr="00A96B0A">
              <w:rPr>
                <w:rFonts w:ascii="Calibri" w:eastAsia="Calibri" w:hAnsi="Calibri" w:cs="Calibri"/>
                <w:color w:val="000000" w:themeColor="text1"/>
                <w:sz w:val="16"/>
                <w:szCs w:val="16"/>
                <w:lang w:val="en-US"/>
              </w:rPr>
              <w:br/>
              <w:t xml:space="preserve">• Doppler screening provided </w:t>
            </w:r>
          </w:p>
          <w:p w14:paraId="4B9AC88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0C0B283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Marginal rates of substitution</w:t>
            </w:r>
          </w:p>
          <w:p w14:paraId="2312FC5C"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(between the payment and other attributes)</w:t>
            </w:r>
          </w:p>
          <w:p w14:paraId="2A680D3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559" w:type="dxa"/>
          </w:tcPr>
          <w:p w14:paraId="74D0E9B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0DA3551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Telephone advice line provided</w:t>
            </w:r>
          </w:p>
          <w:p w14:paraId="4E0543E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Type of care provider and place</w:t>
            </w:r>
            <w:r w:rsidRPr="00A96B0A">
              <w:rPr>
                <w:rFonts w:ascii="Calibri" w:eastAsia="Calibri" w:hAnsi="Calibri" w:cs="Calibri"/>
                <w:color w:val="000000" w:themeColor="text1"/>
                <w:sz w:val="16"/>
                <w:szCs w:val="16"/>
                <w:lang w:val="en-US"/>
              </w:rPr>
              <w:br/>
              <w:t xml:space="preserve">3. Doppler screening provided </w:t>
            </w:r>
          </w:p>
          <w:p w14:paraId="3B0BC7B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4. </w:t>
            </w:r>
            <w:r w:rsidRPr="00A96B0A">
              <w:rPr>
                <w:rFonts w:ascii="Calibri" w:eastAsiaTheme="majorEastAsia" w:hAnsi="Calibri" w:cs="Calibri"/>
                <w:color w:val="000000" w:themeColor="text1"/>
                <w:sz w:val="16"/>
                <w:szCs w:val="16"/>
                <w:lang w:val="en-US"/>
              </w:rPr>
              <w:t xml:space="preserve"> </w:t>
            </w:r>
            <w:r w:rsidRPr="00A96B0A">
              <w:rPr>
                <w:rFonts w:ascii="Calibri" w:eastAsia="Calibri" w:hAnsi="Calibri" w:cs="Calibri"/>
                <w:color w:val="000000" w:themeColor="text1"/>
                <w:sz w:val="16"/>
                <w:szCs w:val="16"/>
                <w:lang w:val="en-US"/>
              </w:rPr>
              <w:t>Content of carer visits</w:t>
            </w:r>
          </w:p>
          <w:p w14:paraId="4DFAAC6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5. Number of visits </w:t>
            </w:r>
          </w:p>
          <w:p w14:paraId="24B49FD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p w14:paraId="4065E72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r>
      <w:tr w:rsidR="00A96B0A" w:rsidRPr="00A96B0A" w14:paraId="6874B6B4"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077650B6" w14:textId="77777777" w:rsidR="00A96B0A" w:rsidRPr="00A96B0A" w:rsidRDefault="00A96B0A" w:rsidP="00A96B0A">
            <w:pPr>
              <w:keepNext/>
              <w:keepLines/>
              <w:spacing w:before="40" w:line="240" w:lineRule="auto"/>
              <w:jc w:val="center"/>
              <w:outlineLvl w:val="1"/>
              <w:rPr>
                <w:rFonts w:ascii="Calibri" w:eastAsia="Calibri" w:hAnsi="Calibri" w:cs="Calibri"/>
                <w:i w:val="0"/>
                <w:iCs w:val="0"/>
                <w:color w:val="000000" w:themeColor="text1"/>
                <w:sz w:val="16"/>
                <w:szCs w:val="16"/>
                <w:lang w:val="en-US"/>
              </w:rPr>
            </w:pPr>
            <w:proofErr w:type="spellStart"/>
            <w:r w:rsidRPr="00A96B0A">
              <w:rPr>
                <w:rFonts w:ascii="Calibri" w:eastAsia="Calibri" w:hAnsi="Calibri" w:cs="Calibri"/>
                <w:b/>
                <w:bCs/>
                <w:i w:val="0"/>
                <w:iCs w:val="0"/>
                <w:color w:val="000000" w:themeColor="text1"/>
                <w:sz w:val="16"/>
                <w:szCs w:val="16"/>
                <w:lang w:val="en-US"/>
              </w:rPr>
              <w:t>Enyioha</w:t>
            </w:r>
            <w:proofErr w:type="spellEnd"/>
            <w:r w:rsidRPr="00A96B0A">
              <w:rPr>
                <w:rFonts w:ascii="Calibri" w:eastAsia="Calibri" w:hAnsi="Calibri" w:cs="Calibri"/>
                <w:b/>
                <w:bCs/>
                <w:i w:val="0"/>
                <w:iCs w:val="0"/>
                <w:color w:val="000000" w:themeColor="text1"/>
                <w:sz w:val="16"/>
                <w:szCs w:val="16"/>
                <w:lang w:val="en-US"/>
              </w:rPr>
              <w:t xml:space="preserve"> et al. (2026)</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{"citationID":"Gc50OzHE","properties":{"unsorted":false,"formattedCitation":"[60]","plainCitation":"[60]","noteIndex":0},"citationItems":[{"id":28233,"uris":["http://zotero.org/users/4007286/items/6488TL4V"],"itemData":{"id":28233,"type":"article-journal","abstract":"BACKGROUND: Although mobile health (mHealth) apps for tobacco cessation augment traditional cessation methods and have contributed to increases in cessation rates, Black adults are underrepresented in mHealth app studies for tobacco cessation. As a result, their mHealth app preferences are not well-known.\nOBJECTIVE: Our goal was to identify features of mHealth apps for cessation that are important to Black adults who use tobacco products.\nMETHODS: We developed an online discrete choice experiment with 12 pairs of hypothetical mHealth apps for tobacco cessation. Inclusion criteria included being 21 years or older, current use of any tobacco product, and identifying as Black or African American. Participants had to be interested in tobacco cessation and have a history of mHealth app use or be willing to use one in the future. From each pair of hypothetical apps within the survey, participants had to choose the app they preferred. Each hypothetical app was made up of 7 features developed from existing mHealth literature and prior qualitative work: graphics, marketing, strategies for quitting, connection with others, personalization, benefits of quitting, and health information. Each feature had up to 4-5 levels (ie, variations of that attribute), and each hypothetical mHealth app was comprised of a random assortment of levels of features. Hierarchical Bayes estimation was used to determine the part-worth utility for each level within each feature for each participant, which was then used to calculate the importance score. Average importance scores across respondents were used to determine overall importance scores for each feature.\nRESULTS: We had 901 adult participants. The mean age was 41 (SD 14.02) years, and about a third of participants (377/901, 42%) were female. Two-thirds of participants (549/901, 61%) had used an mHealth app in the past, and the great majority (786/901, 87%) indicated a willingness to use an app for health purposes in the future. The features had the following importance: graphics (16%), marketing (15%), strategies for quitting (15%), connection with others (14%), personalization (13%), benefits of quitting (13%), and health information (13%). Within features, strategies for quitting had the highest and third-highest levels of \"making a step-by-step quit plan\" and \"recommendations to manage relapse or withdrawal,\" respectively. Marketing had the second-highest level of \"Historically Black Colleges and Universities-endorsed app.\" Graphics had the fourth-highest level of \"short video testimonials from people who successfully quit,\" while connection with others had the fifth-highest level of \"quit buddy program for support and accountability.\"\nCONCLUSIONS: This study identified features of mHealth apps important to Black adult tobacco users. To enhance the appeal of mHealth apps to such adults, prioritizing inclusion of highly preferred levels in apps may lead to higher use and improved cessation.","container-title":"JMIR formative research","DOI":"10.2196/83919","ISSN":"2561-326X","journalAbbreviation":"JMIR Form Res","language":"eng","page":"e83919","PMID":"41824745","PMCID":"PMC12987408","source":"PubMed","title":"Features of mHealth Apps for Tobacco Cessation Important to Black Adults: Discrete Choice Experiment","title-short":"Features of mHealth Apps for Tobacco Cessation Important to Black Adults","volume":"10","author":[{"family":"Enyioha","given":"Chineme"},{"family":"Gorstein","given":"Lauren"},{"family":"Clark","given":"Sonia"},{"family":"Goldstein","given":"Adam O."},{"family":"Vilardaga","given":"Roger"},{"family":"Hightow-Weidman","given":"Lisa B."},{"family":"Kistler","given":"Christine E."}],"issued":{"date-parts":[["2026",3,13]]}}}],"schema":"https://github.com/citation-style-language/schema/raw/master/csl-citation.json"}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[60]</w:t>
            </w:r>
            <w:r w:rsidRPr="00A96B0A">
              <w:rPr>
                <w:rFonts w:ascii="Calibri" w:eastAsia="Calibri" w:hAnsi="Calibri" w:cs="Calibri"/>
                <w:color w:val="000000" w:themeColor="text1"/>
                <w:sz w:val="16"/>
                <w:szCs w:val="16"/>
                <w:lang w:val="en-US"/>
              </w:rPr>
              <w:fldChar w:fldCharType="end"/>
            </w:r>
          </w:p>
          <w:p w14:paraId="61031A73" w14:textId="77777777" w:rsidR="00A96B0A" w:rsidRPr="00A96B0A" w:rsidRDefault="00A96B0A" w:rsidP="00A96B0A">
            <w:pPr>
              <w:keepNext/>
              <w:keepLines/>
              <w:spacing w:before="40" w:line="240" w:lineRule="auto"/>
              <w:jc w:val="center"/>
              <w:outlineLvl w:val="1"/>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USA</w:t>
            </w:r>
          </w:p>
        </w:tc>
        <w:tc>
          <w:tcPr>
            <w:tcW w:w="1985" w:type="dxa"/>
          </w:tcPr>
          <w:p w14:paraId="4F1AA0C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Identify features of mHealth apps for cessation that are important to Black adults who use tobacco</w:t>
            </w:r>
          </w:p>
          <w:p w14:paraId="4B975E9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products</w:t>
            </w:r>
          </w:p>
        </w:tc>
        <w:tc>
          <w:tcPr>
            <w:tcW w:w="1134" w:type="dxa"/>
          </w:tcPr>
          <w:p w14:paraId="0915A93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1F0895D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Graphics </w:t>
            </w:r>
            <w:r w:rsidRPr="00A96B0A">
              <w:rPr>
                <w:rFonts w:ascii="Calibri" w:eastAsia="Calibri" w:hAnsi="Calibri" w:cs="Calibri"/>
                <w:color w:val="000000" w:themeColor="text1"/>
                <w:sz w:val="16"/>
                <w:szCs w:val="16"/>
                <w:lang w:val="en-US"/>
              </w:rPr>
              <w:br/>
              <w:t>• Marketing</w:t>
            </w:r>
            <w:r w:rsidRPr="00A96B0A">
              <w:rPr>
                <w:rFonts w:ascii="Calibri" w:eastAsia="Calibri" w:hAnsi="Calibri" w:cs="Calibri"/>
                <w:color w:val="000000" w:themeColor="text1"/>
                <w:sz w:val="16"/>
                <w:szCs w:val="16"/>
                <w:lang w:val="en-US"/>
              </w:rPr>
              <w:br/>
              <w:t>• Strategies for quitting </w:t>
            </w:r>
            <w:r w:rsidRPr="00A96B0A">
              <w:rPr>
                <w:rFonts w:ascii="Calibri" w:eastAsia="Calibri" w:hAnsi="Calibri" w:cs="Calibri"/>
                <w:color w:val="000000" w:themeColor="text1"/>
                <w:sz w:val="16"/>
                <w:szCs w:val="16"/>
                <w:lang w:val="en-US"/>
              </w:rPr>
              <w:br/>
              <w:t>• Connection with others </w:t>
            </w:r>
            <w:r w:rsidRPr="00A96B0A">
              <w:rPr>
                <w:rFonts w:ascii="Calibri" w:eastAsia="Calibri" w:hAnsi="Calibri" w:cs="Calibri"/>
                <w:color w:val="000000" w:themeColor="text1"/>
                <w:sz w:val="16"/>
                <w:szCs w:val="16"/>
                <w:lang w:val="en-US"/>
              </w:rPr>
              <w:br/>
              <w:t>• Personalization</w:t>
            </w:r>
          </w:p>
          <w:p w14:paraId="276844A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Benefits of quitting </w:t>
            </w:r>
            <w:r w:rsidRPr="00A96B0A">
              <w:rPr>
                <w:rFonts w:ascii="Calibri" w:eastAsia="Calibri" w:hAnsi="Calibri" w:cs="Calibri"/>
                <w:color w:val="000000" w:themeColor="text1"/>
                <w:sz w:val="16"/>
                <w:szCs w:val="16"/>
                <w:lang w:val="en-US"/>
              </w:rPr>
              <w:br/>
              <w:t>• Health information</w:t>
            </w:r>
          </w:p>
        </w:tc>
        <w:tc>
          <w:tcPr>
            <w:tcW w:w="1276" w:type="dxa"/>
          </w:tcPr>
          <w:p w14:paraId="661F5AD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Part worth utility</w:t>
            </w:r>
          </w:p>
          <w:p w14:paraId="5BECDA9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559" w:type="dxa"/>
          </w:tcPr>
          <w:p w14:paraId="288A058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5202FADC"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Graphics </w:t>
            </w:r>
            <w:r w:rsidRPr="00A96B0A">
              <w:rPr>
                <w:rFonts w:ascii="Calibri" w:eastAsia="Calibri" w:hAnsi="Calibri" w:cs="Calibri"/>
                <w:color w:val="000000" w:themeColor="text1"/>
                <w:sz w:val="16"/>
                <w:szCs w:val="16"/>
                <w:lang w:val="en-US"/>
              </w:rPr>
              <w:br/>
              <w:t>2. Marketing </w:t>
            </w:r>
            <w:r w:rsidRPr="00A96B0A">
              <w:rPr>
                <w:rFonts w:ascii="Calibri" w:eastAsia="Calibri" w:hAnsi="Calibri" w:cs="Calibri"/>
                <w:color w:val="000000" w:themeColor="text1"/>
                <w:sz w:val="16"/>
                <w:szCs w:val="16"/>
                <w:lang w:val="en-US"/>
              </w:rPr>
              <w:br/>
              <w:t xml:space="preserve">3.  Strategies for quitting  </w:t>
            </w:r>
            <w:r w:rsidRPr="00A96B0A">
              <w:rPr>
                <w:rFonts w:ascii="Calibri" w:eastAsia="Calibri" w:hAnsi="Calibri" w:cs="Calibri"/>
                <w:color w:val="000000" w:themeColor="text1"/>
                <w:sz w:val="16"/>
                <w:szCs w:val="16"/>
                <w:lang w:val="en-US"/>
              </w:rPr>
              <w:br/>
              <w:t xml:space="preserve">4.  Connection with others  </w:t>
            </w:r>
            <w:r w:rsidRPr="00A96B0A">
              <w:rPr>
                <w:rFonts w:ascii="Calibri" w:eastAsia="Calibri" w:hAnsi="Calibri" w:cs="Calibri"/>
                <w:color w:val="000000" w:themeColor="text1"/>
                <w:sz w:val="16"/>
                <w:szCs w:val="16"/>
                <w:lang w:val="en-US"/>
              </w:rPr>
              <w:br/>
              <w:t>5. Personalization</w:t>
            </w:r>
          </w:p>
          <w:p w14:paraId="575EBC9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6. Benefits of quitting</w:t>
            </w:r>
            <w:r w:rsidRPr="00A96B0A">
              <w:rPr>
                <w:rFonts w:ascii="Calibri" w:eastAsia="Calibri" w:hAnsi="Calibri" w:cs="Calibri"/>
                <w:color w:val="000000" w:themeColor="text1"/>
                <w:sz w:val="16"/>
                <w:szCs w:val="16"/>
                <w:lang w:val="en-US"/>
              </w:rPr>
              <w:br/>
              <w:t>7. Health information</w:t>
            </w:r>
          </w:p>
        </w:tc>
      </w:tr>
      <w:tr w:rsidR="00A96B0A" w:rsidRPr="00A96B0A" w14:paraId="19AADCA9"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609201CA"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Fletcher et al.</w:t>
            </w:r>
          </w:p>
          <w:p w14:paraId="5C5B7986"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(2019)</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{"citationID":"rVb4sElZ","properties":{"formattedCitation":"[79]","plainCitation":"[79]","noteIndex":0},"citationItems":[{"id":2207,"uris":["http://zotero.org/users/4007286/items/BTU3I56P"],"itemData":{"id":2207,"type":"article-journal","abstract":"Background: With a variety of potentially effective hypertension management options, it is important to determine how patients value different models of care, and the relative importance of factors in their decision-making process.Aim: To explore patient preferences for the management of hypertension in the UK.Design and Setting: Online survey of patients who have hypertension in the UK including an unlabelled discrete choice experiment (DCE).Method: A DCE was developed to assess patient preferences for the management of hypertension based on four attributes: model of care, frequency of blood pressure (BP) measurement, reduction in 5-year cardiovascular risk, and costs to the NHS. A mixed logit model was used to estimate preferences, willingness-to-pay was modelled, and a scenario analysis was conducted to evaluate the impact of changes in attribute levels on the uptake of different models of care.Results: One hundred and sixty-seven participants completed the DCE (aged 61.4 years, 45.0% female, 82.0% &gt;5 years since diagnosis). All four attributes were significant in choice (P&lt;0.05). Reduction in 5-year cardiovascular risk was the main driver of patient preference as evidenced in the scenario and willingness-to-pay analyses. GP management was significantly preferred over self-management. Patients preferred scenarios with more frequent BP measurement, and lower costs to the NHS.Conclusion: Participants had similar preferences for GP management, pharmacist management, and telehealth, but a negative preference for self-management. When introducing new models of care for hypertension to patients, discussion of the potential benefits in terms of risk reduction should be prioritised to maximise uptake.","archive":"ccm","container-title":"British Journal of General Practice","DOI":"10.3399/bjgp19X705101","ISSN":"0960-1643","issue":"686","journalAbbreviation":"British Journal of General Practice","page":"e629-e637","source":"EBSCOhost","title":"Patient preferences for management of high blood pressure in the UK: a discrete choice experiment.","volume":"69","author":[{"family":"Fletcher","given":"Benjamin"},{"family":"Hinton","given":"Lisa"},{"family":"McManus","given":"Richard"},{"family":"Rivero-Arias","given":"Oliver"}],"issued":{"date-parts":[["2019",9]]}}}],"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[79]</w:t>
            </w:r>
            <w:r w:rsidRPr="00A96B0A">
              <w:rPr>
                <w:rFonts w:asciiTheme="minorHAnsi" w:eastAsia="Calibri" w:hAnsiTheme="minorHAnsi" w:cstheme="minorHAnsi"/>
                <w:color w:val="000000" w:themeColor="text1"/>
                <w:sz w:val="16"/>
                <w:szCs w:val="26"/>
                <w:lang w:val="en-US"/>
              </w:rPr>
              <w:fldChar w:fldCharType="end"/>
            </w:r>
          </w:p>
          <w:p w14:paraId="3C51ED09"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UK</w:t>
            </w:r>
          </w:p>
        </w:tc>
        <w:tc>
          <w:tcPr>
            <w:tcW w:w="1985" w:type="dxa"/>
          </w:tcPr>
          <w:p w14:paraId="2DFF469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Explore patient preferences for the management of hypertension in the UK</w:t>
            </w:r>
          </w:p>
          <w:p w14:paraId="3542E96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134" w:type="dxa"/>
          </w:tcPr>
          <w:p w14:paraId="63015EF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46A46924"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Model of care (GP, pharmacist, telehealth or self-management)</w:t>
            </w:r>
            <w:r w:rsidRPr="00A96B0A">
              <w:rPr>
                <w:rFonts w:ascii="Calibri" w:eastAsia="Calibri" w:hAnsi="Calibri" w:cs="Calibri"/>
                <w:color w:val="000000" w:themeColor="text1"/>
                <w:sz w:val="16"/>
                <w:szCs w:val="16"/>
                <w:lang w:val="en-US"/>
              </w:rPr>
              <w:br/>
              <w:t xml:space="preserve">• Frequency of measurement </w:t>
            </w:r>
            <w:r w:rsidRPr="00A96B0A">
              <w:rPr>
                <w:rFonts w:ascii="Calibri" w:eastAsia="Calibri" w:hAnsi="Calibri" w:cs="Calibri"/>
                <w:color w:val="000000" w:themeColor="text1"/>
                <w:sz w:val="16"/>
                <w:szCs w:val="16"/>
                <w:lang w:val="en-US"/>
              </w:rPr>
              <w:br/>
              <w:t>• Cardiovascular risk reduction</w:t>
            </w:r>
            <w:r w:rsidRPr="00A96B0A">
              <w:rPr>
                <w:rFonts w:ascii="Calibri" w:eastAsia="Calibri" w:hAnsi="Calibri" w:cs="Calibri"/>
                <w:color w:val="000000" w:themeColor="text1"/>
                <w:sz w:val="16"/>
                <w:szCs w:val="16"/>
                <w:lang w:val="en-US"/>
              </w:rPr>
              <w:br/>
              <w:t xml:space="preserve">• Annual cost to the NHS </w:t>
            </w:r>
          </w:p>
          <w:p w14:paraId="2C62744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(£50, £100, £250, £500)</w:t>
            </w:r>
          </w:p>
          <w:p w14:paraId="5812A3D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5E24AB8C"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Probability analysis</w:t>
            </w:r>
          </w:p>
          <w:p w14:paraId="3FD6136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(change in predicted probabilities)</w:t>
            </w:r>
          </w:p>
          <w:p w14:paraId="12B2D4F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559" w:type="dxa"/>
          </w:tcPr>
          <w:p w14:paraId="71A2032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Preferred scenarios with</w:t>
            </w:r>
          </w:p>
          <w:p w14:paraId="6F605BD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reduction in cardiovascular risk</w:t>
            </w:r>
          </w:p>
          <w:p w14:paraId="5EB125F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more frequent BP monitoring</w:t>
            </w:r>
          </w:p>
          <w:p w14:paraId="4D0B731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lower NHS costs</w:t>
            </w:r>
          </w:p>
          <w:p w14:paraId="4B4B0FD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r>
      <w:tr w:rsidR="00A96B0A" w:rsidRPr="00A96B0A" w14:paraId="21FD323E" w14:textId="77777777" w:rsidTr="00AB6102">
        <w:trPr>
          <w:trHeight w:val="1594"/>
        </w:trPr>
        <w:tc>
          <w:tcPr>
            <w:cnfStyle w:val="001000000000" w:firstRow="0" w:lastRow="0" w:firstColumn="1" w:lastColumn="0" w:oddVBand="0" w:evenVBand="0" w:oddHBand="0" w:evenHBand="0" w:firstRowFirstColumn="0" w:firstRowLastColumn="0" w:lastRowFirstColumn="0" w:lastRowLastColumn="0"/>
            <w:tcW w:w="1134" w:type="dxa"/>
          </w:tcPr>
          <w:p w14:paraId="4ADFEC0D"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 xml:space="preserve">Folkvord </w:t>
            </w:r>
          </w:p>
          <w:p w14:paraId="0B6F9275"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et al. (2023)</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{"citationID":"kNbkRIoL","properties":{"formattedCitation":"[106]","plainCitation":"[106]","noteIndex":0},"citationItems":[{"id":839,"uris":["http://zotero.org/users/4007286/items/DLG3NF8M"],"itemData":{"id":839,"type":"article-journal","abstract":"Background: Despite the worldwide growth in mobile health (mHealth) tools and the possible benefits for both patients and health care providers, the adoption of mHealth is low, and only a limited number of studies have examined the intention to Objective: In this study, we investigated individuals' preferences in the adoption of a health app. Methods: We conducted a discrete choice experimental study in 3 countries (Spain: n=800, Germany: n=800, and the Netherlands: n=416) with 4 different attributes and levels (ie, price: euro1.99 vs euro4.99 [a currency exchange rate of euro1=US $1.09 is applicable] vs for free, data protection: data protection vs no information, recommendation: patients' association vs doctors, and manufacturer: medical association vs pharmaceutical company). Participants were randomly assigned. For the analyses, we used the conditional logistic model separately for each country. Results: The results showed that price and data protection were considered important factors that significantly increased the probability to download an mHealth app. In general, the source of the recommendation and the manufacturer affected the probability to download the mHealth app less. However, in Germany and the Netherlands, we found that if the app was manufactured by a pharmaceutical company, the probability to download the mHealth app decreased. Conclusions: mHealth tools are highly promising to reduce health care costs and increase the effectiveness of traditional health interventions and therapies. Improving data protection, reducing costs, and creating sound business models are the major driving forces to increase the adoption of mHealth apps in the future. It is thereby essential to create trustworthy standards for mobile apps, whereby prices, legislation concerning data protection, and health professionals can have a leading role to inform the potential consumers.","archive_location":"WOS:001146695400002","container-title":"JMIR FORMATIVE RESEARCH","DOI":"10.2196/48335","ISSN":"2561-326X","title":"Preferences in the Willingness to Download an mHealth App: Discrete Choice Experimental Study in Spain, Germany, and the Netherlands","volume":"7","author":[{"family":"Folkvord","given":"F"},{"family":"Bol","given":"N"},{"family":"Stazi","given":"G"},{"family":"Peschke","given":"L"},{"family":"Lupianez-Villanueva","given":"F"}],"issued":{"date-parts":[["2023"]]}}}],"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[106]</w:t>
            </w:r>
            <w:r w:rsidRPr="00A96B0A">
              <w:rPr>
                <w:rFonts w:asciiTheme="minorHAnsi" w:eastAsia="Calibri" w:hAnsiTheme="minorHAnsi" w:cstheme="minorHAnsi"/>
                <w:color w:val="000000" w:themeColor="text1"/>
                <w:sz w:val="16"/>
                <w:szCs w:val="26"/>
                <w:lang w:val="en-US"/>
              </w:rPr>
              <w:fldChar w:fldCharType="end"/>
            </w:r>
          </w:p>
          <w:p w14:paraId="52523CEA"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Spain</w:t>
            </w:r>
          </w:p>
          <w:p w14:paraId="37F7AF81"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Germany</w:t>
            </w:r>
          </w:p>
          <w:p w14:paraId="3414C12E"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Netherlands</w:t>
            </w:r>
          </w:p>
        </w:tc>
        <w:tc>
          <w:tcPr>
            <w:tcW w:w="1985" w:type="dxa"/>
          </w:tcPr>
          <w:p w14:paraId="1B43C8F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Investigate individuals’ preferences in the adoption of a health app</w:t>
            </w:r>
          </w:p>
          <w:p w14:paraId="1281A1F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p w14:paraId="122F72B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134" w:type="dxa"/>
          </w:tcPr>
          <w:p w14:paraId="414FFB1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345FA44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Price app (€0, €1.99, €4.99)</w:t>
            </w:r>
            <w:r w:rsidRPr="00A96B0A">
              <w:rPr>
                <w:rFonts w:ascii="Calibri" w:eastAsia="Calibri" w:hAnsi="Calibri" w:cs="Calibri"/>
                <w:color w:val="000000" w:themeColor="text1"/>
                <w:sz w:val="16"/>
                <w:szCs w:val="16"/>
                <w:lang w:val="en-US"/>
              </w:rPr>
              <w:br/>
              <w:t>• Data protection</w:t>
            </w:r>
            <w:r w:rsidRPr="00A96B0A">
              <w:rPr>
                <w:rFonts w:ascii="Calibri" w:eastAsia="Calibri" w:hAnsi="Calibri" w:cs="Calibri"/>
                <w:color w:val="000000" w:themeColor="text1"/>
                <w:sz w:val="16"/>
                <w:szCs w:val="16"/>
                <w:lang w:val="en-US"/>
              </w:rPr>
              <w:br/>
              <w:t>• Recommendation</w:t>
            </w:r>
            <w:r w:rsidRPr="00A96B0A">
              <w:rPr>
                <w:rFonts w:ascii="Calibri" w:eastAsia="Calibri" w:hAnsi="Calibri" w:cs="Calibri"/>
                <w:color w:val="000000" w:themeColor="text1"/>
                <w:sz w:val="16"/>
                <w:szCs w:val="16"/>
                <w:lang w:val="en-US"/>
              </w:rPr>
              <w:br/>
              <w:t>• Manufacturer</w:t>
            </w:r>
          </w:p>
          <w:p w14:paraId="542EF1B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27FCE2B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2B922E0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3C345759"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097D2AA0" w14:textId="77777777" w:rsidR="00A96B0A" w:rsidRPr="00A96B0A" w:rsidRDefault="00A96B0A" w:rsidP="00A96B0A">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A96B0A">
              <w:rPr>
                <w:rFonts w:ascii="Calibri" w:eastAsia="Calibri" w:hAnsi="Calibri" w:cs="Calibri"/>
                <w:b/>
                <w:bCs/>
                <w:i w:val="0"/>
                <w:iCs w:val="0"/>
                <w:color w:val="000000" w:themeColor="text1"/>
                <w:sz w:val="16"/>
                <w:szCs w:val="16"/>
                <w:lang w:val="en-US"/>
              </w:rPr>
              <w:t>Hewage et al. (2025)</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{"citationID":"saZQ3WIA","properties":{"unsorted":false,"formattedCitation":"[70]","plainCitation":"[70]","noteIndex":0},"citationItems":[{"id":275,"uris":["http://zotero.org/users/4007286/items/ZIEUXBFQ"],"itemData":{"id":275,"type":"article-journal","abstract":"Background: Using digital health technologies to aid individuals in managing chronic diseases offers a promising solution to overcome health service barriers such as access and affordability. However, their effectiveness depends on adoption and sustained use, influenced by user preferences. Objectives: This study quantifies the preferences of individuals with chronic heart disease (CHD) for features of a mobile health app to self-navigate their disease condition. Methods: We conducted an unlabeled web-based choice survey among adults older than 18 years with CHD living in Australia, recruited via a web-based survey platform. Four app attributes-ease of navigation, monitoring of blood pressure and heart rhythm, health education, and symptom diary maintenance-were systematically chosen through a multistage process. This process involved a literature review, stakeholder interviews, and expert panel discussions. Participants chose a preferred mobile app out of 3 alternatives: app A, app B, or neither. A D-optimal design was developed using Ngene software, informed by Bayesian priors derived from pilot survey data. Latent class model analysis was conducted using Nlogit software (Econometric Software, Inc). We also estimated attribute importance and anticipated adoption rates for 3 app versions. Results: Our sample included 302 participants with a mean age of 50.5 (SD 18.2) years. Latent class model identified 2 classes. Older respondents with education beyond high school, prior experience with mobile health apps, and a positive perception of app usefulness were more likely to be in class 1 (257/303, 85%) than in class 2 (45/303, 15%). Class 1 membership preferred adopting a mobile app (app A: (3 coefficient 0.74, 95% uncertainty interval (UI) 0.41-1.06; app B: (3 coefficient 0.53, 95% UI 0.22-0.85). Participants favored apps providing postmonitoring recommendations ((3 coefficient 1.45, 95% UI 1.26-1.64), tailored health education ((3 coefficient 0.50, 95% UI 0.36-0.64), and unrestricted symptom diary entry ((3 coefficient 0.58, 95% UI 0.41-0.76). Class 2 showed no preference for app adoption (app A: (3 coefficient -1.18, 95% UI -2.36 to 0.006; app B: (3 coefficient -0.78, 95% UI -1.99 to 0.42) or any specific attribute levels. Vital sign monitoring was the most influential attribute among the 4. Scenario analysis revealed an 84% probability of app adoption with basic features, rising to 92% when app features aligned with respondents' preferences. Conclusions: The study's findings suggest that designing preference-informed mobile health apps could significantly enhance adoption rates and engagement among individuals with CHD, potentially leading to improved clinical outcomes. Adoption rates were notably higher when app attributes included easy navigation, vital sign monitoring, feedback provision, personalized health education, and flexible data entry for symptom diary maintenance. Future research to explore factors influencing app adoption among different groups of patients is warranted.","archive_location":"WOS:001481302700001","container-title":"JMIR MHEALTH AND UHEALTH","DOI":"10.2196/58556","ISSN":"2291-5222","language":"English","title":"Preferences for Mobile App Features to Support People Living With Chronic Heart Diseases: Discrete Choice Study","volume":"13","author":[{"family":"Hewage","given":"SA"},{"family":"Senanayake","given":"S"},{"family":"Brain","given":"D"},{"family":"Allen","given":"MJ"},{"family":"McPhail","given":"SM"},{"family":"Parsonage","given":"W"},{"family":"Walters","given":"T"},{"family":"Kularatna","given":"S"}],"issued":{"date-parts":[["2025"]]}}}],"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[70]</w:t>
            </w:r>
            <w:r w:rsidRPr="00A96B0A">
              <w:rPr>
                <w:rFonts w:ascii="Calibri" w:eastAsia="Calibri" w:hAnsi="Calibri" w:cs="Calibri"/>
                <w:color w:val="000000" w:themeColor="text1"/>
                <w:sz w:val="16"/>
                <w:szCs w:val="16"/>
                <w:lang w:val="en-US"/>
              </w:rPr>
              <w:fldChar w:fldCharType="end"/>
            </w:r>
          </w:p>
          <w:p w14:paraId="21D8F526"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Calibri" w:eastAsia="Calibri" w:hAnsi="Calibri" w:cs="Calibri"/>
                <w:color w:val="000000" w:themeColor="text1"/>
                <w:sz w:val="16"/>
                <w:szCs w:val="16"/>
                <w:lang w:val="en-US"/>
              </w:rPr>
              <w:t>Australia</w:t>
            </w:r>
          </w:p>
        </w:tc>
        <w:tc>
          <w:tcPr>
            <w:tcW w:w="1985" w:type="dxa"/>
          </w:tcPr>
          <w:p w14:paraId="1B416F0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Identify features of mHealth apps for individuals with chronic heart disease</w:t>
            </w:r>
          </w:p>
        </w:tc>
        <w:tc>
          <w:tcPr>
            <w:tcW w:w="1134" w:type="dxa"/>
          </w:tcPr>
          <w:p w14:paraId="384DFAB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2297689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Training </w:t>
            </w:r>
            <w:r w:rsidRPr="00A96B0A">
              <w:rPr>
                <w:rFonts w:ascii="Calibri" w:eastAsia="Calibri" w:hAnsi="Calibri" w:cs="Calibri"/>
                <w:color w:val="000000" w:themeColor="text1"/>
                <w:sz w:val="16"/>
                <w:szCs w:val="16"/>
                <w:lang w:val="en-US"/>
              </w:rPr>
              <w:br/>
              <w:t>• Monitoring</w:t>
            </w:r>
            <w:r w:rsidRPr="00A96B0A">
              <w:rPr>
                <w:rFonts w:ascii="Calibri" w:eastAsia="Calibri" w:hAnsi="Calibri" w:cs="Calibri"/>
                <w:color w:val="000000" w:themeColor="text1"/>
                <w:sz w:val="16"/>
                <w:szCs w:val="16"/>
                <w:lang w:val="en-US"/>
              </w:rPr>
              <w:br/>
              <w:t>• Health education </w:t>
            </w:r>
            <w:r w:rsidRPr="00A96B0A">
              <w:rPr>
                <w:rFonts w:ascii="Calibri" w:eastAsia="Calibri" w:hAnsi="Calibri" w:cs="Calibri"/>
                <w:color w:val="000000" w:themeColor="text1"/>
                <w:sz w:val="16"/>
                <w:szCs w:val="16"/>
                <w:lang w:val="en-US"/>
              </w:rPr>
              <w:br/>
              <w:t>• Symptom diary </w:t>
            </w:r>
          </w:p>
        </w:tc>
        <w:tc>
          <w:tcPr>
            <w:tcW w:w="1276" w:type="dxa"/>
          </w:tcPr>
          <w:p w14:paraId="259522B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Percentage from total utility range based using parameter coefficients from a </w:t>
            </w:r>
            <w:r w:rsidRPr="00A96B0A">
              <w:rPr>
                <w:rFonts w:ascii="Calibri" w:eastAsia="Calibri" w:hAnsi="Calibri" w:cs="Calibri"/>
                <w:color w:val="000000" w:themeColor="text1"/>
                <w:sz w:val="16"/>
                <w:szCs w:val="16"/>
                <w:lang w:val="en-US"/>
              </w:rPr>
              <w:lastRenderedPageBreak/>
              <w:t>Multinomial logit model</w:t>
            </w:r>
          </w:p>
        </w:tc>
        <w:tc>
          <w:tcPr>
            <w:tcW w:w="1559" w:type="dxa"/>
          </w:tcPr>
          <w:p w14:paraId="656235A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lastRenderedPageBreak/>
              <w:t>Ranking</w:t>
            </w:r>
          </w:p>
          <w:p w14:paraId="03B119B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Monitoring </w:t>
            </w:r>
            <w:r w:rsidRPr="00A96B0A">
              <w:rPr>
                <w:rFonts w:ascii="Calibri" w:eastAsia="Calibri" w:hAnsi="Calibri" w:cs="Calibri"/>
                <w:color w:val="000000" w:themeColor="text1"/>
                <w:sz w:val="16"/>
                <w:szCs w:val="16"/>
                <w:lang w:val="en-US"/>
              </w:rPr>
              <w:br/>
              <w:t>2. Health education </w:t>
            </w:r>
            <w:r w:rsidRPr="00A96B0A">
              <w:rPr>
                <w:rFonts w:ascii="Calibri" w:eastAsia="Calibri" w:hAnsi="Calibri" w:cs="Calibri"/>
                <w:color w:val="000000" w:themeColor="text1"/>
                <w:sz w:val="16"/>
                <w:szCs w:val="16"/>
                <w:lang w:val="en-US"/>
              </w:rPr>
              <w:br/>
              <w:t xml:space="preserve">3.  Symptom diary  </w:t>
            </w:r>
            <w:r w:rsidRPr="00A96B0A">
              <w:rPr>
                <w:rFonts w:ascii="Calibri" w:eastAsia="Calibri" w:hAnsi="Calibri" w:cs="Calibri"/>
                <w:color w:val="000000" w:themeColor="text1"/>
                <w:sz w:val="16"/>
                <w:szCs w:val="16"/>
                <w:lang w:val="en-US"/>
              </w:rPr>
              <w:br/>
              <w:t>4.  Training</w:t>
            </w:r>
          </w:p>
        </w:tc>
      </w:tr>
      <w:tr w:rsidR="00A96B0A" w:rsidRPr="00A96B0A" w14:paraId="79DA2824" w14:textId="77777777" w:rsidTr="00AB6102">
        <w:trPr>
          <w:trHeight w:val="1134"/>
        </w:trPr>
        <w:tc>
          <w:tcPr>
            <w:cnfStyle w:val="001000000000" w:firstRow="0" w:lastRow="0" w:firstColumn="1" w:lastColumn="0" w:oddVBand="0" w:evenVBand="0" w:oddHBand="0" w:evenHBand="0" w:firstRowFirstColumn="0" w:firstRowLastColumn="0" w:lastRowFirstColumn="0" w:lastRowLastColumn="0"/>
            <w:tcW w:w="1134" w:type="dxa"/>
          </w:tcPr>
          <w:p w14:paraId="3F07D151" w14:textId="77777777" w:rsidR="00A96B0A" w:rsidRPr="00A96B0A" w:rsidRDefault="00A96B0A" w:rsidP="00A96B0A">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A96B0A">
              <w:rPr>
                <w:rFonts w:ascii="Calibri" w:eastAsia="Calibri" w:hAnsi="Calibri" w:cs="Calibri"/>
                <w:b/>
                <w:bCs/>
                <w:i w:val="0"/>
                <w:iCs w:val="0"/>
                <w:color w:val="000000" w:themeColor="text1"/>
                <w:sz w:val="16"/>
                <w:szCs w:val="16"/>
                <w:lang w:val="en-US"/>
              </w:rPr>
              <w:t>Huang et al. (2025)</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{"citationID":"Zr4rzTv2","properties":{"unsorted":false,"formattedCitation":"[96]","plainCitation":"[96]","noteIndex":0},"citationItems":[{"id":97,"uris":["http://zotero.org/users/4007286/items/XTLDMVQL"],"itemData":{"id":97,"type":"article-journal","abstract":"Background: HIV pre-exposure prophylaxis (PrEP) is highly effective but not widely used by men who have sex with men (MSM; 27%) in China. Methods: In June 2023, an online cross-sectional survey with a discrete choice experiment (DCE) was distributed to PrEP-eligible MSM in China who were at least 18 years old. The DCE explored attributes of PrEP modality (daily pill, on-demand pill, injections, implants), clinical care model (same-day, 2-visit, telehealth prescription), medication pickup (clinic, community health center, pharmacy, MSM-focused community-based organization, home delivery), enhanced support (self-management, smartphone app, text reminder, anonymous peer support group), and cost. Results: A total of 1013 MSM completed the survey; the average age was 31 years, and a quarter had used PrEP. The most influential attributes were cost (relative importance: 64.6%), followed by PrEP modality (27.7%), medication pickup (4.0%), enhanced support (3.5%), and clinical care model (0.2%). The most preferred ways to access PrEP were no-cost on-demand pill, medication home delivery, self-management, and telehealth. The predicted uptake of on-demand PrEP was higher than other modalities, increasing from 22% with no subsidy to 79% with full subsidy, holding the other 3 attributes constant. Conclusions: Chinese MSM have strong preferences regarding accessing PrEP: Low cost is a critical priority, especially important because medication and clinical care are currently entirely unsubsidized in China. Preferences for on-demand PrEP and home delivery indicate methods that the health care system can utilize to best meet the needs of MSM and factors that should be incorporated into future interventions.","archive":"Embase","container-title":"Open Forum Infectious Diseases","DOI":"10.1093/ofid/ofae742","ISSN":"2328-8957","issue":"1","journalAbbreviation":"Open Forum Infect. Dis.","language":"English","title":"Preference for HIV Pre-exposure Prophylaxis Access Among Men who Have Sex With Men in China: A Discrete Choice Experiment","URL":"https://www.embase.com/search/results?subaction=viewrecord&amp;id=L2037086554&amp;from=export","volume":"12","author":[{"family":"Huang","given":"W."},{"family":"Stegmueller","given":"D."},{"family":"Sales","given":"J.M."},{"family":"Mi","given":"G."},{"family":"Yu","given":"F."},{"family":"Liu","given":"Y."},{"family":"Sullivan","given":"P.S."},{"family":"Siegler","given":"A.J."},{"family":"Ong","given":"J.J."}],"issued":{"date-parts":[["2025"]]}}}],"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[96]</w:t>
            </w:r>
            <w:r w:rsidRPr="00A96B0A">
              <w:rPr>
                <w:rFonts w:ascii="Calibri" w:eastAsia="Calibri" w:hAnsi="Calibri" w:cs="Calibri"/>
                <w:color w:val="000000" w:themeColor="text1"/>
                <w:sz w:val="16"/>
                <w:szCs w:val="16"/>
                <w:lang w:val="en-US"/>
              </w:rPr>
              <w:fldChar w:fldCharType="end"/>
            </w:r>
          </w:p>
          <w:p w14:paraId="29F5DE0E"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Calibri" w:eastAsia="Calibri" w:hAnsi="Calibri" w:cs="Calibri"/>
                <w:color w:val="000000" w:themeColor="text1"/>
                <w:sz w:val="16"/>
                <w:szCs w:val="16"/>
                <w:lang w:val="en-US"/>
              </w:rPr>
              <w:t>China</w:t>
            </w:r>
          </w:p>
        </w:tc>
        <w:tc>
          <w:tcPr>
            <w:tcW w:w="1985" w:type="dxa"/>
          </w:tcPr>
          <w:p w14:paraId="58547974" w14:textId="77777777" w:rsidR="00A96B0A" w:rsidRPr="00A96B0A" w:rsidRDefault="00A96B0A" w:rsidP="00A96B0A">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A96B0A">
              <w:rPr>
                <w:rFonts w:ascii="Calibri" w:eastAsia="Calibri" w:hAnsi="Calibri" w:cs="Calibri"/>
                <w:color w:val="000000" w:themeColor="text1"/>
                <w:sz w:val="16"/>
                <w:szCs w:val="16"/>
                <w:lang w:val="en-US"/>
              </w:rPr>
              <w:t xml:space="preserve">Elicit preferences for HIV </w:t>
            </w:r>
            <w:r w:rsidRPr="00A96B0A">
              <w:rPr>
                <w:rFonts w:ascii="Calibri" w:hAnsi="Calibri" w:cs="Calibri"/>
                <w:sz w:val="16"/>
                <w:szCs w:val="16"/>
                <w:lang w:val="en-US"/>
              </w:rPr>
              <w:t>Pre-exposure Prophylaxis (</w:t>
            </w:r>
            <w:proofErr w:type="spellStart"/>
            <w:r w:rsidRPr="00A96B0A">
              <w:rPr>
                <w:rFonts w:ascii="Calibri" w:hAnsi="Calibri" w:cs="Calibri"/>
                <w:sz w:val="16"/>
                <w:szCs w:val="16"/>
                <w:lang w:val="en-US"/>
              </w:rPr>
              <w:t>PrEP</w:t>
            </w:r>
            <w:proofErr w:type="spellEnd"/>
            <w:r w:rsidRPr="00A96B0A">
              <w:rPr>
                <w:rFonts w:ascii="Calibri" w:hAnsi="Calibri" w:cs="Calibri"/>
                <w:sz w:val="16"/>
                <w:szCs w:val="16"/>
                <w:lang w:val="en-US"/>
              </w:rPr>
              <w:t xml:space="preserve">) Access </w:t>
            </w:r>
            <w:r w:rsidRPr="00A96B0A">
              <w:rPr>
                <w:rFonts w:ascii="Calibri" w:eastAsiaTheme="majorEastAsia" w:hAnsi="Calibri" w:cs="Calibri"/>
                <w:color w:val="000000" w:themeColor="text1"/>
                <w:sz w:val="16"/>
                <w:szCs w:val="16"/>
                <w:lang w:val="en-US"/>
              </w:rPr>
              <w:t xml:space="preserve">Among Men </w:t>
            </w:r>
            <w:proofErr w:type="gramStart"/>
            <w:r w:rsidRPr="00A96B0A">
              <w:rPr>
                <w:rFonts w:ascii="Calibri" w:eastAsiaTheme="majorEastAsia" w:hAnsi="Calibri" w:cs="Calibri"/>
                <w:color w:val="000000" w:themeColor="text1"/>
                <w:sz w:val="16"/>
                <w:szCs w:val="16"/>
                <w:lang w:val="en-US"/>
              </w:rPr>
              <w:t>who</w:t>
            </w:r>
            <w:proofErr w:type="gramEnd"/>
            <w:r w:rsidRPr="00A96B0A">
              <w:rPr>
                <w:rFonts w:ascii="Calibri" w:eastAsiaTheme="majorEastAsia" w:hAnsi="Calibri" w:cs="Calibri"/>
                <w:color w:val="000000" w:themeColor="text1"/>
                <w:sz w:val="16"/>
                <w:szCs w:val="16"/>
                <w:lang w:val="en-US"/>
              </w:rPr>
              <w:t xml:space="preserve"> Have Sex </w:t>
            </w:r>
            <w:proofErr w:type="gramStart"/>
            <w:r w:rsidRPr="00A96B0A">
              <w:rPr>
                <w:rFonts w:ascii="Calibri" w:eastAsiaTheme="majorEastAsia" w:hAnsi="Calibri" w:cs="Calibri"/>
                <w:color w:val="000000" w:themeColor="text1"/>
                <w:sz w:val="16"/>
                <w:szCs w:val="16"/>
                <w:lang w:val="en-US"/>
              </w:rPr>
              <w:t>With</w:t>
            </w:r>
            <w:proofErr w:type="gramEnd"/>
            <w:r w:rsidRPr="00A96B0A">
              <w:rPr>
                <w:rFonts w:ascii="Calibri" w:eastAsiaTheme="majorEastAsia" w:hAnsi="Calibri" w:cs="Calibri"/>
                <w:color w:val="000000" w:themeColor="text1"/>
                <w:sz w:val="16"/>
                <w:szCs w:val="16"/>
                <w:lang w:val="en-US"/>
              </w:rPr>
              <w:t xml:space="preserve"> Men in China</w:t>
            </w:r>
          </w:p>
        </w:tc>
        <w:tc>
          <w:tcPr>
            <w:tcW w:w="1134" w:type="dxa"/>
          </w:tcPr>
          <w:p w14:paraId="3BC4441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7374DDE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w:t>
            </w:r>
            <w:proofErr w:type="spellStart"/>
            <w:r w:rsidRPr="00A96B0A">
              <w:rPr>
                <w:rFonts w:ascii="Calibri" w:eastAsia="Calibri" w:hAnsi="Calibri" w:cs="Calibri"/>
                <w:color w:val="000000" w:themeColor="text1"/>
                <w:sz w:val="16"/>
                <w:szCs w:val="16"/>
                <w:lang w:val="en-US"/>
              </w:rPr>
              <w:t>PrEP</w:t>
            </w:r>
            <w:proofErr w:type="spellEnd"/>
            <w:r w:rsidRPr="00A96B0A">
              <w:rPr>
                <w:rFonts w:ascii="Calibri" w:eastAsia="Calibri" w:hAnsi="Calibri" w:cs="Calibri"/>
                <w:color w:val="000000" w:themeColor="text1"/>
                <w:sz w:val="16"/>
                <w:szCs w:val="16"/>
                <w:lang w:val="en-US"/>
              </w:rPr>
              <w:t xml:space="preserve"> modality  </w:t>
            </w:r>
            <w:r w:rsidRPr="00A96B0A">
              <w:rPr>
                <w:rFonts w:ascii="Calibri" w:eastAsia="Calibri" w:hAnsi="Calibri" w:cs="Calibri"/>
                <w:color w:val="000000" w:themeColor="text1"/>
                <w:sz w:val="16"/>
                <w:szCs w:val="16"/>
                <w:lang w:val="en-US"/>
              </w:rPr>
              <w:br/>
              <w:t xml:space="preserve">• Clinical care model </w:t>
            </w:r>
            <w:r w:rsidRPr="00A96B0A">
              <w:rPr>
                <w:rFonts w:ascii="Calibri" w:eastAsia="Calibri" w:hAnsi="Calibri" w:cs="Calibri"/>
                <w:color w:val="000000" w:themeColor="text1"/>
                <w:sz w:val="16"/>
                <w:szCs w:val="16"/>
                <w:lang w:val="en-US"/>
              </w:rPr>
              <w:br/>
              <w:t xml:space="preserve">• Medication pick-up  </w:t>
            </w:r>
            <w:r w:rsidRPr="00A96B0A">
              <w:rPr>
                <w:rFonts w:ascii="Calibri" w:eastAsia="Calibri" w:hAnsi="Calibri" w:cs="Calibri"/>
                <w:color w:val="000000" w:themeColor="text1"/>
                <w:sz w:val="16"/>
                <w:szCs w:val="16"/>
                <w:lang w:val="en-US"/>
              </w:rPr>
              <w:br/>
              <w:t>• Enhanced support</w:t>
            </w:r>
          </w:p>
          <w:p w14:paraId="6570CB1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Cost per month (out-of-pocket)</w:t>
            </w:r>
          </w:p>
        </w:tc>
        <w:tc>
          <w:tcPr>
            <w:tcW w:w="1276" w:type="dxa"/>
          </w:tcPr>
          <w:p w14:paraId="332B2C3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Average relative important percentage of attribute [124]  </w:t>
            </w:r>
          </w:p>
        </w:tc>
        <w:tc>
          <w:tcPr>
            <w:tcW w:w="1559" w:type="dxa"/>
          </w:tcPr>
          <w:p w14:paraId="1A4BCFB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696C468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Cost </w:t>
            </w:r>
            <w:r w:rsidRPr="00A96B0A">
              <w:rPr>
                <w:rFonts w:ascii="Calibri" w:eastAsia="Calibri" w:hAnsi="Calibri" w:cs="Calibri"/>
                <w:color w:val="000000" w:themeColor="text1"/>
                <w:sz w:val="16"/>
                <w:szCs w:val="16"/>
                <w:lang w:val="en-US"/>
              </w:rPr>
              <w:br/>
              <w:t xml:space="preserve">2. </w:t>
            </w:r>
            <w:proofErr w:type="spellStart"/>
            <w:r w:rsidRPr="00A96B0A">
              <w:rPr>
                <w:rFonts w:ascii="Calibri" w:eastAsia="Calibri" w:hAnsi="Calibri" w:cs="Calibri"/>
                <w:color w:val="000000" w:themeColor="text1"/>
                <w:sz w:val="16"/>
                <w:szCs w:val="16"/>
                <w:lang w:val="en-US"/>
              </w:rPr>
              <w:t>PrEP</w:t>
            </w:r>
            <w:proofErr w:type="spellEnd"/>
            <w:r w:rsidRPr="00A96B0A">
              <w:rPr>
                <w:rFonts w:ascii="Calibri" w:eastAsia="Calibri" w:hAnsi="Calibri" w:cs="Calibri"/>
                <w:color w:val="000000" w:themeColor="text1"/>
                <w:sz w:val="16"/>
                <w:szCs w:val="16"/>
                <w:lang w:val="en-US"/>
              </w:rPr>
              <w:t xml:space="preserve"> modality </w:t>
            </w:r>
            <w:r w:rsidRPr="00A96B0A">
              <w:rPr>
                <w:rFonts w:ascii="Calibri" w:eastAsia="Calibri" w:hAnsi="Calibri" w:cs="Calibri"/>
                <w:color w:val="000000" w:themeColor="text1"/>
                <w:sz w:val="16"/>
                <w:szCs w:val="16"/>
                <w:lang w:val="en-US"/>
              </w:rPr>
              <w:br/>
              <w:t xml:space="preserve">3.  Medication pick-up  </w:t>
            </w:r>
            <w:r w:rsidRPr="00A96B0A">
              <w:rPr>
                <w:rFonts w:ascii="Calibri" w:eastAsia="Calibri" w:hAnsi="Calibri" w:cs="Calibri"/>
                <w:color w:val="000000" w:themeColor="text1"/>
                <w:sz w:val="16"/>
                <w:szCs w:val="16"/>
                <w:lang w:val="en-US"/>
              </w:rPr>
              <w:br/>
              <w:t>4.  Enhanced support</w:t>
            </w:r>
            <w:r w:rsidRPr="00A96B0A">
              <w:rPr>
                <w:rFonts w:ascii="Calibri" w:eastAsia="Calibri" w:hAnsi="Calibri" w:cs="Calibri"/>
                <w:color w:val="000000" w:themeColor="text1"/>
                <w:sz w:val="16"/>
                <w:szCs w:val="16"/>
                <w:lang w:val="en-US"/>
              </w:rPr>
              <w:br/>
              <w:t>5. Clinical care model</w:t>
            </w:r>
          </w:p>
        </w:tc>
      </w:tr>
      <w:tr w:rsidR="00A96B0A" w:rsidRPr="00A96B0A" w14:paraId="310BD63B" w14:textId="77777777" w:rsidTr="00AB6102">
        <w:trPr>
          <w:cnfStyle w:val="000000100000" w:firstRow="0" w:lastRow="0" w:firstColumn="0" w:lastColumn="0" w:oddVBand="0" w:evenVBand="0" w:oddHBand="1" w:evenHBand="0" w:firstRowFirstColumn="0" w:firstRowLastColumn="0" w:lastRowFirstColumn="0" w:lastRowLastColumn="0"/>
          <w:trHeight w:val="1846"/>
        </w:trPr>
        <w:tc>
          <w:tcPr>
            <w:cnfStyle w:val="001000000000" w:firstRow="0" w:lastRow="0" w:firstColumn="1" w:lastColumn="0" w:oddVBand="0" w:evenVBand="0" w:oddHBand="0" w:evenHBand="0" w:firstRowFirstColumn="0" w:firstRowLastColumn="0" w:lastRowFirstColumn="0" w:lastRowLastColumn="0"/>
            <w:tcW w:w="1134" w:type="dxa"/>
          </w:tcPr>
          <w:p w14:paraId="4142E663"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color w:val="000000" w:themeColor="text1"/>
                <w:sz w:val="16"/>
                <w:szCs w:val="26"/>
                <w:lang w:val="en-US"/>
              </w:rPr>
            </w:pPr>
            <w:r w:rsidRPr="00A96B0A">
              <w:rPr>
                <w:rFonts w:asciiTheme="minorHAnsi" w:eastAsia="Calibri" w:hAnsiTheme="minorHAnsi" w:cstheme="minorHAnsi"/>
                <w:b/>
                <w:bCs/>
                <w:color w:val="000000" w:themeColor="text1"/>
                <w:sz w:val="16"/>
                <w:szCs w:val="26"/>
                <w:lang w:val="en-US"/>
              </w:rPr>
              <w:t>Imbert et al.</w:t>
            </w:r>
          </w:p>
          <w:p w14:paraId="3E8D40CD"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b/>
                <w:bCs/>
                <w:color w:val="000000" w:themeColor="text1"/>
                <w:sz w:val="16"/>
                <w:szCs w:val="26"/>
                <w:lang w:val="en-US"/>
              </w:rPr>
              <w:t>(2022)</w:t>
            </w:r>
            <w:r w:rsidRPr="00A96B0A">
              <w:rPr>
                <w:rFonts w:asciiTheme="minorHAnsi" w:eastAsia="Calibri" w:hAnsiTheme="minorHAnsi" w:cstheme="minorHAnsi"/>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color w:val="000000" w:themeColor="text1"/>
                <w:sz w:val="16"/>
                <w:szCs w:val="26"/>
                <w:lang w:val="en-US"/>
              </w:rPr>
              <w:instrText xml:space="preserve"> ADDIN ZOTERO_ITEM CSL_CITATION {"citationID":"xUpF9i7U","properties":{"formattedCitation":"[41]","plainCitation":"[41]","noteIndex":0},"citationItems":[{"id":2406,"uris":["http://zotero.org/users/4007286/items/PKBCFL92"],"itemData":{"id":2406,"type":"article-journal","abstract":"Background/Setting:In San Francisco, HIV viral suppression is 71% among housed individuals but only 20% among unhoused individuals. We conducted a discrete choice experiment at a San Francisco public HIV clinic to evaluate care preferences among people living with HIV (PLH) experiencing homelessness/unstable housing during the COVID-19 pandemic.Methods:From July to November 2020, we conducted a discrete choice experiment among PLH experiencing homelessness/unstable housing who accessed care through (1) an incentivized, drop-in program (POP-UP) or (2) traditional primary care. We investigated 5 program features: Single provider vs team of providers; visit incentives ($0, $10, and $20); location (current site vs current + additional site); drop-in vs scheduled visits; in-person only vs optional telehealth visits; and navigator assistance. We estimated relative preferences using mixed-effects logistic regression and conducted latent class analysis to evaluate preference heterogeneity.Results:We enrolled 115 PLH experiencing homelessness/unstable housing, 40% of whom lived outdoors. The strongest preferences were for the same provider (β = 0.94, 95% CI: 0.48 to 1.41), visit incentives (β = 0.56 per $5; 95% CI: 0.47 to 0.66), and drop-in visits (β = 0.47, 95% CI: 0.12 to 0.82). Telehealth was not preferred. Latent class analysis revealed 2 distinct groups: 78 (68%) preferred a flexible care model, whereas 37 (32%) preferred a single provider.Conclusions:We identified heterogeneous care preferences among PLH experiencing homelessness/unstable housing during the COVID-19 pandemic, with two-thirds preferring greater flexibility and one-third preferring provider continuity. Telehealth was not preferred, even with navigator facilitation. Including patient choice in service delivery design can improve care engagement, particularly for marginalized populations, and is an essential tool for ending the HIV epidemic.","archive":"Embase","container-title":"Journal of Acquired Immune Deficiency Syndromes","DOI":"10.1097/QAI.0000000000002929","ISSN":"1077-9450","issue":"2","journalAbbreviation":"J. Acquired Immune Defic. Syndr.","language":"English","page":"140-145","title":"Brief Report: Heterogeneous Preferences for Care Engagement Among People With HIV Experiencing Homelessness or Unstable Housing During the COVID-19 Pandemic","volume":"90","author":[{"family":"Imbert","given":"E."},{"family":"Hickey","given":"M.D."},{"family":"Del Rosario","given":"J.B."},{"family":"Conte","given":"M."},{"family":"Kerkhoff","given":"A.D."},{"family":"Clemenzi-Allen","given":"A."},{"family":"Riley","given":"E.D."},{"family":"Havlir","given":"D.V."},{"family":"Gandhi","given":"M."}],"issued":{"date-parts":[["2022"]]}}}],"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color w:val="000000" w:themeColor="text1"/>
                <w:sz w:val="16"/>
                <w:szCs w:val="26"/>
                <w:lang w:val="en-US"/>
              </w:rPr>
              <w:t>[41]</w:t>
            </w:r>
            <w:r w:rsidRPr="00A96B0A">
              <w:rPr>
                <w:rFonts w:asciiTheme="minorHAnsi" w:eastAsia="Calibri" w:hAnsiTheme="minorHAnsi" w:cstheme="minorHAnsi"/>
                <w:color w:val="000000" w:themeColor="text1"/>
                <w:sz w:val="16"/>
                <w:szCs w:val="26"/>
                <w:lang w:val="en-US"/>
              </w:rPr>
              <w:fldChar w:fldCharType="end"/>
            </w:r>
          </w:p>
          <w:p w14:paraId="4BFBD456"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USA</w:t>
            </w:r>
          </w:p>
        </w:tc>
        <w:tc>
          <w:tcPr>
            <w:tcW w:w="1985" w:type="dxa"/>
          </w:tcPr>
          <w:p w14:paraId="170DB53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Evaluate care preferences among people living with HIV experiencing homelessness during the COVID-19 pandemic</w:t>
            </w:r>
          </w:p>
        </w:tc>
        <w:tc>
          <w:tcPr>
            <w:tcW w:w="1134" w:type="dxa"/>
          </w:tcPr>
          <w:p w14:paraId="03EEE8B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7F634CA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In-person + video vs in-person only</w:t>
            </w:r>
            <w:r w:rsidRPr="00A96B0A">
              <w:rPr>
                <w:rFonts w:ascii="Calibri" w:eastAsia="Calibri" w:hAnsi="Calibri" w:cs="Calibri"/>
                <w:color w:val="000000" w:themeColor="text1"/>
                <w:sz w:val="16"/>
                <w:szCs w:val="16"/>
                <w:lang w:val="en-US"/>
              </w:rPr>
              <w:br/>
              <w:t xml:space="preserve">• In-person + phone vs in-person only </w:t>
            </w:r>
            <w:r w:rsidRPr="00A96B0A">
              <w:rPr>
                <w:rFonts w:ascii="Calibri" w:eastAsia="Calibri" w:hAnsi="Calibri" w:cs="Calibri"/>
                <w:color w:val="000000" w:themeColor="text1"/>
                <w:sz w:val="16"/>
                <w:szCs w:val="16"/>
                <w:lang w:val="en-US"/>
              </w:rPr>
              <w:br/>
              <w:t>• Additional clinic location</w:t>
            </w:r>
            <w:r w:rsidRPr="00A96B0A">
              <w:rPr>
                <w:rFonts w:ascii="Calibri" w:eastAsia="Calibri" w:hAnsi="Calibri" w:cs="Calibri"/>
                <w:color w:val="000000" w:themeColor="text1"/>
                <w:sz w:val="16"/>
                <w:szCs w:val="16"/>
                <w:lang w:val="en-US"/>
              </w:rPr>
              <w:br/>
              <w:t>• Navigator assistance</w:t>
            </w:r>
            <w:r w:rsidRPr="00A96B0A">
              <w:rPr>
                <w:rFonts w:ascii="Calibri" w:eastAsia="Calibri" w:hAnsi="Calibri" w:cs="Calibri"/>
                <w:color w:val="000000" w:themeColor="text1"/>
                <w:sz w:val="16"/>
                <w:szCs w:val="16"/>
                <w:lang w:val="en-US"/>
              </w:rPr>
              <w:br/>
              <w:t>• Drop-in vs scheduled</w:t>
            </w:r>
            <w:r w:rsidRPr="00A96B0A">
              <w:rPr>
                <w:rFonts w:ascii="Calibri" w:eastAsia="Calibri" w:hAnsi="Calibri" w:cs="Calibri"/>
                <w:color w:val="000000" w:themeColor="text1"/>
                <w:sz w:val="16"/>
                <w:szCs w:val="16"/>
                <w:lang w:val="en-US"/>
              </w:rPr>
              <w:br/>
              <w:t>• Incentive</w:t>
            </w:r>
            <w:r w:rsidRPr="00A96B0A">
              <w:rPr>
                <w:rFonts w:ascii="Calibri" w:eastAsia="Calibri" w:hAnsi="Calibri" w:cs="Calibri"/>
                <w:color w:val="000000" w:themeColor="text1"/>
                <w:sz w:val="16"/>
                <w:szCs w:val="16"/>
                <w:lang w:val="en-US"/>
              </w:rPr>
              <w:br/>
              <w:t>• Same provider each time vs group</w:t>
            </w:r>
          </w:p>
        </w:tc>
        <w:tc>
          <w:tcPr>
            <w:tcW w:w="1276" w:type="dxa"/>
          </w:tcPr>
          <w:p w14:paraId="1F7FE8F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0919778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3598542C" w14:textId="77777777" w:rsidTr="00AB6102">
        <w:trPr>
          <w:trHeight w:val="1873"/>
        </w:trPr>
        <w:tc>
          <w:tcPr>
            <w:cnfStyle w:val="001000000000" w:firstRow="0" w:lastRow="0" w:firstColumn="1" w:lastColumn="0" w:oddVBand="0" w:evenVBand="0" w:oddHBand="0" w:evenHBand="0" w:firstRowFirstColumn="0" w:firstRowLastColumn="0" w:lastRowFirstColumn="0" w:lastRowLastColumn="0"/>
            <w:tcW w:w="1134" w:type="dxa"/>
          </w:tcPr>
          <w:p w14:paraId="2E265AE5"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proofErr w:type="spellStart"/>
            <w:r w:rsidRPr="00A96B0A">
              <w:rPr>
                <w:rFonts w:asciiTheme="minorHAnsi" w:eastAsia="Calibri" w:hAnsiTheme="minorHAnsi" w:cstheme="minorHAnsi"/>
                <w:b/>
                <w:bCs/>
                <w:i w:val="0"/>
                <w:iCs w:val="0"/>
                <w:color w:val="000000" w:themeColor="text1"/>
                <w:sz w:val="16"/>
                <w:szCs w:val="26"/>
                <w:lang w:val="en-US"/>
              </w:rPr>
              <w:t>Kaambwa</w:t>
            </w:r>
            <w:proofErr w:type="spellEnd"/>
            <w:r w:rsidRPr="00A96B0A">
              <w:rPr>
                <w:rFonts w:asciiTheme="minorHAnsi" w:eastAsia="Calibri" w:hAnsiTheme="minorHAnsi" w:cstheme="minorHAnsi"/>
                <w:b/>
                <w:bCs/>
                <w:i w:val="0"/>
                <w:iCs w:val="0"/>
                <w:color w:val="000000" w:themeColor="text1"/>
                <w:sz w:val="16"/>
                <w:szCs w:val="26"/>
                <w:lang w:val="en-US"/>
              </w:rPr>
              <w:t xml:space="preserve"> </w:t>
            </w:r>
          </w:p>
          <w:p w14:paraId="1079C548"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et al. (2017)</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{"citationID":"KYCFHpGc","properties":{"formattedCitation":"[63]","plainCitation":"[63]","noteIndex":0},"citationItems":[{"id":2255,"uris":["http://zotero.org/users/4007286/items/U59IFWRR"],"itemData":{"id":2255,"type":"article-journal","abstract":"Introduction Telehealth approaches to health care delivery can potentially improve quality of care and clinical outcomes, reduce mortality and hospital utilisation, and complement conventional treatments. However, substantial research into the potential for integrating telehealth within health care in Australia, particularly in the provision of services relevant to older people, including palliative care, aged care and rehabilitation, is lacking. Furthermore, to date, no discrete choice experiment (DCE) studies internationally have sought the views and preferences of older people about the basic features that should make up a telehealth approach to these services. Methods Using a DCE, we investigated the relative importance of six salient features of telehealth (what aspects of care are to be pursued during telehealth sessions, distance to the nearest hospital or clinic, clinicians' attitude to telehealth, patients' experience of using technology, what types of assessments should be conducted face-to-face versus via telehealth sessions and the costs associated with receiving telehealth). Data were obtained from an online panel of older people aged 65 years and above, drawn from the Australian general population. Results The mean age for 330 study participants was 69 years. In general, individuals expressed strong preferences for telehealth services that offered all aspects of care, were relatively inexpensive and targeted specifically at individuals living in remote regions without easy access to a hospital or clinic. Participants also preferred telehealth services to be offered to individuals with some prior experience of using technology, provided by clinicians who were positive about telehealth but wanted all or some pre-telehealth health assessments to take place in a hospital or clinic. Preferences only differed by gender. Additionally, respondents did not feel that telehealth led to loss of privacy and confidentiality. Discussion Our findings indicate a preference amongst respondents for face-to-face pre-telehealth health assessments and, thereafter, a comprehensive telehealth model (in terms of services offered) targeted at those with some technological know-how as a substitute for attendance at hospitals and clinics, especially where these health facilities were far away from older people's homes. The findings may be usefully incorporated into the design of future telehealth models of service delivery for older people.","archive":"ccm","container-title":"Journal of Telemedicine &amp; Telecare","DOI":"10.1177/1357633X16637725","ISSN":"1357-633X","issue":"2","journalAbbreviation":"Journal of Telemedicine &amp; Telecare","page":"301-313","source":"EBSCOhost","title":"Investigating the preferences of older people for telehealth as a new model of health care service delivery: A discrete choice experiment.","volume":"23","author":[{"family":"Kaambwa","given":"Billingsley"},{"family":"Ratcliffe","given":"Julie"},{"family":"Shulver","given":"Wendy"},{"family":"Killington","given":"Maggie"},{"family":"Taylor","given":"Alan"},{"family":"Crotty","given":"Maria"},{"family":"Carati","given":"Colin"},{"family":"Tieman","given":"Jennifer"},{"family":"Wade","given":"Victoria"},{"family":"Kidd","given":"Michael R."}],"issued":{"date-parts":[["2017",2]]}}}],"schema":"https://github.com/citation-style-language/schema/raw/master/csl-citation.json"}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[63]</w:t>
            </w:r>
            <w:r w:rsidRPr="00A96B0A">
              <w:rPr>
                <w:rFonts w:asciiTheme="minorHAnsi" w:eastAsia="Calibri" w:hAnsiTheme="minorHAnsi" w:cstheme="minorHAnsi"/>
                <w:color w:val="000000" w:themeColor="text1"/>
                <w:sz w:val="16"/>
                <w:szCs w:val="26"/>
                <w:lang w:val="en-US"/>
              </w:rPr>
              <w:fldChar w:fldCharType="end"/>
            </w:r>
          </w:p>
          <w:p w14:paraId="2A921693"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Australia</w:t>
            </w:r>
          </w:p>
        </w:tc>
        <w:tc>
          <w:tcPr>
            <w:tcW w:w="1985" w:type="dxa"/>
          </w:tcPr>
          <w:p w14:paraId="4178E0D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Utilize discrete choice experiment (DCE) methodology to assess older people's preferences regarding the key aspects of telehealth care</w:t>
            </w:r>
          </w:p>
          <w:p w14:paraId="55557C7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134" w:type="dxa"/>
          </w:tcPr>
          <w:p w14:paraId="4B954A4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394E9C1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Aspects of care in telehealth sessions</w:t>
            </w:r>
            <w:r w:rsidRPr="00A96B0A">
              <w:rPr>
                <w:rFonts w:ascii="Calibri" w:eastAsia="Calibri" w:hAnsi="Calibri" w:cs="Calibri"/>
                <w:color w:val="000000" w:themeColor="text1"/>
                <w:sz w:val="16"/>
                <w:szCs w:val="16"/>
                <w:lang w:val="en-US"/>
              </w:rPr>
              <w:br/>
              <w:t xml:space="preserve">• Distance to nearest hospital </w:t>
            </w:r>
            <w:r w:rsidRPr="00A96B0A">
              <w:rPr>
                <w:rFonts w:ascii="Calibri" w:eastAsia="Calibri" w:hAnsi="Calibri" w:cs="Calibri"/>
                <w:color w:val="000000" w:themeColor="text1"/>
                <w:sz w:val="16"/>
                <w:szCs w:val="16"/>
                <w:lang w:val="en-US"/>
              </w:rPr>
              <w:br/>
              <w:t>• Clinicians attitude to telehealth</w:t>
            </w:r>
            <w:r w:rsidRPr="00A96B0A">
              <w:rPr>
                <w:rFonts w:ascii="Calibri" w:eastAsia="Calibri" w:hAnsi="Calibri" w:cs="Calibri"/>
                <w:color w:val="000000" w:themeColor="text1"/>
                <w:sz w:val="16"/>
                <w:szCs w:val="16"/>
                <w:lang w:val="en-US"/>
              </w:rPr>
              <w:br/>
              <w:t>• Technology-experience levels</w:t>
            </w:r>
            <w:r w:rsidRPr="00A96B0A">
              <w:rPr>
                <w:rFonts w:ascii="Calibri" w:eastAsia="Calibri" w:hAnsi="Calibri" w:cs="Calibri"/>
                <w:color w:val="000000" w:themeColor="text1"/>
                <w:sz w:val="16"/>
                <w:szCs w:val="16"/>
                <w:lang w:val="en-US"/>
              </w:rPr>
              <w:br/>
              <w:t>• Assessments related to telehealth sessions</w:t>
            </w:r>
            <w:r w:rsidRPr="00A96B0A">
              <w:rPr>
                <w:rFonts w:ascii="Calibri" w:eastAsia="Calibri" w:hAnsi="Calibri" w:cs="Calibri"/>
                <w:color w:val="000000" w:themeColor="text1"/>
                <w:sz w:val="16"/>
                <w:szCs w:val="16"/>
                <w:lang w:val="en-US"/>
              </w:rPr>
              <w:br/>
              <w:t>• Costs of telehealth consultation</w:t>
            </w:r>
            <w:r w:rsidRPr="00A96B0A">
              <w:rPr>
                <w:rFonts w:ascii="Calibri" w:eastAsia="Calibri" w:hAnsi="Calibri" w:cs="Calibri"/>
                <w:color w:val="000000" w:themeColor="text1"/>
                <w:sz w:val="16"/>
                <w:szCs w:val="16"/>
                <w:lang w:val="en-US"/>
              </w:rPr>
              <w:br/>
              <w:t>(</w:t>
            </w:r>
            <w:r w:rsidRPr="00A96B0A">
              <w:rPr>
                <w:rFonts w:ascii="Calibri" w:eastAsiaTheme="majorEastAsia" w:hAnsi="Calibri" w:cs="Calibri"/>
                <w:color w:val="000000" w:themeColor="text1"/>
                <w:sz w:val="16"/>
                <w:szCs w:val="16"/>
                <w:lang w:val="en-US"/>
              </w:rPr>
              <w:t>AU$0, AU$40, AU$80)</w:t>
            </w:r>
          </w:p>
        </w:tc>
        <w:tc>
          <w:tcPr>
            <w:tcW w:w="1276" w:type="dxa"/>
          </w:tcPr>
          <w:p w14:paraId="17C62D1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Probability analysis (predicted probabilities)</w:t>
            </w:r>
          </w:p>
        </w:tc>
        <w:tc>
          <w:tcPr>
            <w:tcW w:w="1559" w:type="dxa"/>
          </w:tcPr>
          <w:p w14:paraId="28BBA67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Most preferred attributes: distance to nearest hospital and cost of telehealth</w:t>
            </w:r>
          </w:p>
          <w:p w14:paraId="41ECF88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p w14:paraId="3B07CEE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Presence of ranking of preferred telehealth package</w:t>
            </w:r>
          </w:p>
        </w:tc>
      </w:tr>
      <w:tr w:rsidR="00A96B0A" w:rsidRPr="00A96B0A" w14:paraId="13C2E9C7" w14:textId="77777777" w:rsidTr="00AB6102">
        <w:trPr>
          <w:cnfStyle w:val="000000100000" w:firstRow="0" w:lastRow="0" w:firstColumn="0" w:lastColumn="0" w:oddVBand="0" w:evenVBand="0" w:oddHBand="1" w:evenHBand="0" w:firstRowFirstColumn="0" w:firstRowLastColumn="0" w:lastRowFirstColumn="0" w:lastRowLastColumn="0"/>
          <w:trHeight w:val="1530"/>
        </w:trPr>
        <w:tc>
          <w:tcPr>
            <w:cnfStyle w:val="001000000000" w:firstRow="0" w:lastRow="0" w:firstColumn="1" w:lastColumn="0" w:oddVBand="0" w:evenVBand="0" w:oddHBand="0" w:evenHBand="0" w:firstRowFirstColumn="0" w:firstRowLastColumn="0" w:lastRowFirstColumn="0" w:lastRowLastColumn="0"/>
            <w:tcW w:w="1134" w:type="dxa"/>
          </w:tcPr>
          <w:p w14:paraId="2FE1EBEF" w14:textId="77777777" w:rsidR="00A96B0A" w:rsidRPr="00A96B0A" w:rsidRDefault="00A96B0A" w:rsidP="00A96B0A">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A96B0A">
              <w:rPr>
                <w:rFonts w:ascii="Calibri" w:eastAsia="Calibri" w:hAnsi="Calibri" w:cs="Calibri"/>
                <w:b/>
                <w:bCs/>
                <w:i w:val="0"/>
                <w:iCs w:val="0"/>
                <w:color w:val="000000" w:themeColor="text1"/>
                <w:sz w:val="16"/>
                <w:szCs w:val="16"/>
                <w:lang w:val="en-US"/>
              </w:rPr>
              <w:t>Lam et al. (2025)</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TiTKgRlZ","properties":{"unsorted":false,"formattedCitation":"[121]","plainCitation":"[121]","noteIndex":0},"citationItems":[{"id":31627,"uris":["http://zotero.org/users/4007286/items/3QZ2GBTC"],"itemData":{"id":31627,"type":"article-journal","archive":"Scopus","container-title":"Journal of primary health care","DOI":"10.1071/HC24158","issue":"3","page":"214-223","title":"Telerehabilitation for mild traumatic brain injury patients: patients' preferences in Aotearoa New Zealand","volume":"17","author":[{"family":"Lam","given":"Q."},{"family":"Clay","given":"L."},{"family":"Taylor","given":"D."},{"family":"Brown","given":"P."}],"issued":{"date-parts":[["2025"]]}}}],"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[121]</w:t>
            </w:r>
            <w:r w:rsidRPr="00A96B0A">
              <w:rPr>
                <w:rFonts w:ascii="Calibri" w:eastAsia="Calibri" w:hAnsi="Calibri" w:cs="Calibri"/>
                <w:color w:val="000000" w:themeColor="text1"/>
                <w:sz w:val="16"/>
                <w:szCs w:val="16"/>
                <w:lang w:val="en-US"/>
              </w:rPr>
              <w:fldChar w:fldCharType="end"/>
            </w:r>
          </w:p>
          <w:p w14:paraId="09250266"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Calibri" w:eastAsia="Calibri" w:hAnsi="Calibri" w:cs="Calibri"/>
                <w:color w:val="000000" w:themeColor="text1"/>
                <w:sz w:val="16"/>
                <w:szCs w:val="16"/>
                <w:lang w:val="en-US"/>
              </w:rPr>
              <w:t>New Zealand</w:t>
            </w:r>
          </w:p>
        </w:tc>
        <w:tc>
          <w:tcPr>
            <w:tcW w:w="1985" w:type="dxa"/>
          </w:tcPr>
          <w:p w14:paraId="6BD9BCF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Investigate preferences for telerehabilitation for mild traumatic brain injury (</w:t>
            </w:r>
            <w:proofErr w:type="spellStart"/>
            <w:r w:rsidRPr="00A96B0A">
              <w:rPr>
                <w:rFonts w:ascii="Calibri" w:eastAsia="Calibri" w:hAnsi="Calibri" w:cs="Calibri"/>
                <w:color w:val="000000" w:themeColor="text1"/>
                <w:sz w:val="16"/>
                <w:szCs w:val="16"/>
                <w:lang w:val="en-US"/>
              </w:rPr>
              <w:t>mTBI</w:t>
            </w:r>
            <w:proofErr w:type="spellEnd"/>
            <w:r w:rsidRPr="00A96B0A">
              <w:rPr>
                <w:rFonts w:ascii="Calibri" w:eastAsia="Calibri" w:hAnsi="Calibri" w:cs="Calibri"/>
                <w:color w:val="000000" w:themeColor="text1"/>
                <w:sz w:val="16"/>
                <w:szCs w:val="16"/>
                <w:lang w:val="en-US"/>
              </w:rPr>
              <w:t>) patients</w:t>
            </w:r>
          </w:p>
        </w:tc>
        <w:tc>
          <w:tcPr>
            <w:tcW w:w="1134" w:type="dxa"/>
          </w:tcPr>
          <w:p w14:paraId="1B3385F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22A6D84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Type of </w:t>
            </w:r>
            <w:proofErr w:type="spellStart"/>
            <w:r w:rsidRPr="00A96B0A">
              <w:rPr>
                <w:rFonts w:ascii="Calibri" w:eastAsia="Calibri" w:hAnsi="Calibri" w:cs="Calibri"/>
                <w:color w:val="000000" w:themeColor="text1"/>
                <w:sz w:val="16"/>
                <w:szCs w:val="16"/>
                <w:lang w:val="en-US"/>
              </w:rPr>
              <w:t>programme</w:t>
            </w:r>
            <w:proofErr w:type="spellEnd"/>
            <w:r w:rsidRPr="00A96B0A">
              <w:rPr>
                <w:rFonts w:ascii="Calibri" w:eastAsia="Calibri" w:hAnsi="Calibri" w:cs="Calibri"/>
                <w:color w:val="000000" w:themeColor="text1"/>
                <w:sz w:val="16"/>
                <w:szCs w:val="16"/>
                <w:lang w:val="en-US"/>
              </w:rPr>
              <w:t xml:space="preserve">  </w:t>
            </w:r>
            <w:r w:rsidRPr="00A96B0A">
              <w:rPr>
                <w:rFonts w:ascii="Calibri" w:eastAsia="Calibri" w:hAnsi="Calibri" w:cs="Calibri"/>
                <w:color w:val="000000" w:themeColor="text1"/>
                <w:sz w:val="16"/>
                <w:szCs w:val="16"/>
                <w:lang w:val="en-US"/>
              </w:rPr>
              <w:br/>
              <w:t xml:space="preserve">• Who conducts the session </w:t>
            </w:r>
            <w:r w:rsidRPr="00A96B0A">
              <w:rPr>
                <w:rFonts w:ascii="Calibri" w:eastAsia="Calibri" w:hAnsi="Calibri" w:cs="Calibri"/>
                <w:color w:val="000000" w:themeColor="text1"/>
                <w:sz w:val="16"/>
                <w:szCs w:val="16"/>
                <w:lang w:val="en-US"/>
              </w:rPr>
              <w:br/>
              <w:t xml:space="preserve">• Availability of online resources  </w:t>
            </w:r>
            <w:r w:rsidRPr="00A96B0A">
              <w:rPr>
                <w:rFonts w:ascii="Calibri" w:eastAsia="Calibri" w:hAnsi="Calibri" w:cs="Calibri"/>
                <w:color w:val="000000" w:themeColor="text1"/>
                <w:sz w:val="16"/>
                <w:szCs w:val="16"/>
                <w:lang w:val="en-US"/>
              </w:rPr>
              <w:br/>
              <w:t>• Cost per session</w:t>
            </w:r>
          </w:p>
          <w:p w14:paraId="75C2FDB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Covid-19 risk in the community</w:t>
            </w:r>
          </w:p>
        </w:tc>
        <w:tc>
          <w:tcPr>
            <w:tcW w:w="1276" w:type="dxa"/>
          </w:tcPr>
          <w:p w14:paraId="548B657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WTP derived from conditional logit model</w:t>
            </w:r>
          </w:p>
        </w:tc>
        <w:tc>
          <w:tcPr>
            <w:tcW w:w="1559" w:type="dxa"/>
          </w:tcPr>
          <w:p w14:paraId="02C04AF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2607C8A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1.  Who conducts the session </w:t>
            </w:r>
            <w:r w:rsidRPr="00A96B0A">
              <w:rPr>
                <w:rFonts w:ascii="Calibri" w:eastAsia="Calibri" w:hAnsi="Calibri" w:cs="Calibri"/>
                <w:color w:val="000000" w:themeColor="text1"/>
                <w:sz w:val="16"/>
                <w:szCs w:val="16"/>
                <w:lang w:val="en-US"/>
              </w:rPr>
              <w:br/>
              <w:t>2. Cost</w:t>
            </w:r>
          </w:p>
          <w:p w14:paraId="13AA9FD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3.  Type of </w:t>
            </w:r>
            <w:proofErr w:type="spellStart"/>
            <w:r w:rsidRPr="00A96B0A">
              <w:rPr>
                <w:rFonts w:ascii="Calibri" w:eastAsia="Calibri" w:hAnsi="Calibri" w:cs="Calibri"/>
                <w:color w:val="000000" w:themeColor="text1"/>
                <w:sz w:val="16"/>
                <w:szCs w:val="16"/>
                <w:lang w:val="en-US"/>
              </w:rPr>
              <w:t>programme</w:t>
            </w:r>
            <w:proofErr w:type="spellEnd"/>
            <w:r w:rsidRPr="00A96B0A">
              <w:rPr>
                <w:rFonts w:ascii="Calibri" w:eastAsia="Calibri" w:hAnsi="Calibri" w:cs="Calibri"/>
                <w:color w:val="000000" w:themeColor="text1"/>
                <w:sz w:val="16"/>
                <w:szCs w:val="16"/>
                <w:lang w:val="en-US"/>
              </w:rPr>
              <w:t xml:space="preserve">  </w:t>
            </w:r>
            <w:r w:rsidRPr="00A96B0A">
              <w:rPr>
                <w:rFonts w:ascii="Calibri" w:eastAsia="Calibri" w:hAnsi="Calibri" w:cs="Calibri"/>
                <w:color w:val="000000" w:themeColor="text1"/>
                <w:sz w:val="16"/>
                <w:szCs w:val="16"/>
                <w:lang w:val="en-US"/>
              </w:rPr>
              <w:br/>
              <w:t>4.  Covid-19 risk</w:t>
            </w:r>
            <w:r w:rsidRPr="00A96B0A">
              <w:rPr>
                <w:rFonts w:ascii="Calibri" w:eastAsia="Calibri" w:hAnsi="Calibri" w:cs="Calibri"/>
                <w:color w:val="000000" w:themeColor="text1"/>
                <w:sz w:val="16"/>
                <w:szCs w:val="16"/>
                <w:lang w:val="en-US"/>
              </w:rPr>
              <w:br/>
              <w:t xml:space="preserve">5. Online resources </w:t>
            </w:r>
          </w:p>
        </w:tc>
      </w:tr>
      <w:tr w:rsidR="00A96B0A" w:rsidRPr="00A96B0A" w14:paraId="6720FFCD"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378F35A2"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proofErr w:type="spellStart"/>
            <w:r w:rsidRPr="00A96B0A">
              <w:rPr>
                <w:rFonts w:asciiTheme="minorHAnsi" w:eastAsia="Calibri" w:hAnsiTheme="minorHAnsi" w:cstheme="minorHAnsi"/>
                <w:b/>
                <w:bCs/>
                <w:i w:val="0"/>
                <w:iCs w:val="0"/>
                <w:color w:val="000000" w:themeColor="text1"/>
                <w:sz w:val="16"/>
                <w:szCs w:val="26"/>
                <w:lang w:val="en-US"/>
              </w:rPr>
              <w:t>Nittas</w:t>
            </w:r>
            <w:proofErr w:type="spellEnd"/>
            <w:r w:rsidRPr="00A96B0A">
              <w:rPr>
                <w:rFonts w:asciiTheme="minorHAnsi" w:eastAsia="Calibri" w:hAnsiTheme="minorHAnsi" w:cstheme="minorHAnsi"/>
                <w:b/>
                <w:bCs/>
                <w:i w:val="0"/>
                <w:iCs w:val="0"/>
                <w:color w:val="000000" w:themeColor="text1"/>
                <w:sz w:val="16"/>
                <w:szCs w:val="26"/>
                <w:lang w:val="en-US"/>
              </w:rPr>
              <w:t xml:space="preserve"> et al.</w:t>
            </w:r>
          </w:p>
          <w:p w14:paraId="0C09667D"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(2020)</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{"citationID":"XKyW5eHV","properties":{"formattedCitation":"[118]","plainCitation":"[118]","noteIndex":0},"citationItems":[{"id":892,"uris":["http://zotero.org/users/4007286/items/D4ZTTW9T"],"itemData":{"id":892,"type":"article-journal","abstract":"Background: The availability and use of health apps continues to increase, revolutionizing the way mobile health interventions are delivered. Apps are increasingly used to prevent disease, improve well-being, and promote healthy behavior. On a similar rise is the incidence of skin cancers. Much of the underlying risk can be prevented through behavior change and adequate sun protection. Self-monitoring apps have the potential to facilitate prevention by measuring risk (eg, sun intensity) and encouraging protective behavior (eg, seeking shade).\nObjective: Our aim was to assess health care consumer preferences for sun protection with a self-monitoring app that tracks the duration and intensity of sun exposure and provides feedback on when and how to protect the skin.\nMethods: We conducted an unlabeled discrete choice experiment with 8 unique choice tasks, in which participants chose among 2 app alternatives, consisting of 5 preidentified 2-level attributes (self-monitoring method, privacy control, data sharing with health care provides, reminder customizability, and costs) that were the result of a multistep and multistakeholder qualitative approach. Participant preferences, and thus, the relative importance of attributes and their levels were estimated using conditional logit modeling. Analyses consisted of 200 usable surveys, yielding 3196 observations.\nResults: Our respondents strongly preferred automatic over manually operated self-monitoring (odds ratio [OR] 2.37, 95% CI 2.06-2.72) and no cost over a single payment of 3 Swiss francs (OR 1.72, 95% CI 1.49-1.99). They also preferred having over not having the option of sharing their data with a health care provider of their choice (OR 1.66, 95% CI 1.40-1.97), repeated over single user consents, whenever app data are shared with commercial thirds (OR 1.57, 95% CI 1.31-1.88), and customizable over noncustomizable reminders (OR 1.30, 95% CI 1.09-1.54). While most participants favored thorough privacy infrastructures, the attribute of privacy control was a relatively weak driver of app choice. The attribute of self-monitoring method significantly interacted with gender and perceived personal usefulness of health apps, suggesting that female gender and lower perceived usefulness are associated with relatively weaker preferences for automatic self-monitoring.\nConclusions: Based on the preferences of our respondents, we found that the utility of a self-monitoring sun protection app can be increased if the app is simple and adjustable; requires minimal effort, time, or expense; and has an interoperable design and thorough privacy infrastructure. Similar features might be desirable for preventive health apps in other areas, paving the way for future discrete choice experiments. Nonetheless, to fully understand these preference dynamics, further qualitative or mixed method research on mobile self-monitoring-based sun protection and broader preventive mobile self-monitoring is required.","archive_location":"WOS:000602375300001","container-title":"JOURNAL OF MEDICAL INTERNET RESEARCH","DOI":"10.2196/18889","ISSN":"1438-8871","issue":"11","title":"Self-Monitoring App Preferences for Sun Protection: Discrete Choice Experiment Survey Analysis","volume":"22","author":[{"family":"Nittas","given":"V"},{"family":"Mütsch","given":"M"},{"family":"Braun","given":"J"},{"family":"Puhan","given":"MA"}],"issued":{"date-parts":[["2020",11,27]]}}}],"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[118]</w:t>
            </w:r>
            <w:r w:rsidRPr="00A96B0A">
              <w:rPr>
                <w:rFonts w:asciiTheme="minorHAnsi" w:eastAsia="Calibri" w:hAnsiTheme="minorHAnsi" w:cstheme="minorHAnsi"/>
                <w:color w:val="000000" w:themeColor="text1"/>
                <w:sz w:val="16"/>
                <w:szCs w:val="26"/>
                <w:lang w:val="en-US"/>
              </w:rPr>
              <w:fldChar w:fldCharType="end"/>
            </w:r>
          </w:p>
          <w:p w14:paraId="5FAD8CB2"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Switzerland</w:t>
            </w:r>
          </w:p>
        </w:tc>
        <w:tc>
          <w:tcPr>
            <w:tcW w:w="1985" w:type="dxa"/>
          </w:tcPr>
          <w:p w14:paraId="1FFB66D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Asses healthcare consumer preferences for sun protection with self-monitoring app</w:t>
            </w:r>
          </w:p>
        </w:tc>
        <w:tc>
          <w:tcPr>
            <w:tcW w:w="1134" w:type="dxa"/>
          </w:tcPr>
          <w:p w14:paraId="0AA5790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09211ED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Self-monitoring method</w:t>
            </w:r>
            <w:r w:rsidRPr="00A96B0A">
              <w:rPr>
                <w:rFonts w:ascii="Calibri" w:eastAsia="Calibri" w:hAnsi="Calibri" w:cs="Calibri"/>
                <w:color w:val="000000" w:themeColor="text1"/>
                <w:sz w:val="16"/>
                <w:szCs w:val="16"/>
                <w:lang w:val="en-US"/>
              </w:rPr>
              <w:br/>
              <w:t>• Privacy control</w:t>
            </w:r>
            <w:r w:rsidRPr="00A96B0A">
              <w:rPr>
                <w:rFonts w:ascii="Calibri" w:eastAsia="Calibri" w:hAnsi="Calibri" w:cs="Calibri"/>
                <w:color w:val="000000" w:themeColor="text1"/>
                <w:sz w:val="16"/>
                <w:szCs w:val="16"/>
                <w:lang w:val="en-US"/>
              </w:rPr>
              <w:br/>
              <w:t>• Data sharing with health care providers</w:t>
            </w:r>
            <w:r w:rsidRPr="00A96B0A">
              <w:rPr>
                <w:rFonts w:ascii="Calibri" w:eastAsia="Calibri" w:hAnsi="Calibri" w:cs="Calibri"/>
                <w:color w:val="000000" w:themeColor="text1"/>
                <w:sz w:val="16"/>
                <w:szCs w:val="16"/>
                <w:lang w:val="en-US"/>
              </w:rPr>
              <w:br/>
              <w:t>• Reminder customizability</w:t>
            </w:r>
            <w:r w:rsidRPr="00A96B0A">
              <w:rPr>
                <w:rFonts w:ascii="Calibri" w:eastAsia="Calibri" w:hAnsi="Calibri" w:cs="Calibri"/>
                <w:color w:val="000000" w:themeColor="text1"/>
                <w:sz w:val="16"/>
                <w:szCs w:val="16"/>
                <w:lang w:val="en-US"/>
              </w:rPr>
              <w:br/>
              <w:t>• Costs (0 or one-time 3 Swiss franc)</w:t>
            </w:r>
          </w:p>
          <w:p w14:paraId="56A81BE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0A426C6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31460B0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6097EEF1"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78023E86"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proofErr w:type="spellStart"/>
            <w:r w:rsidRPr="00A96B0A">
              <w:rPr>
                <w:rFonts w:asciiTheme="minorHAnsi" w:eastAsia="Calibri" w:hAnsiTheme="minorHAnsi" w:cstheme="minorHAnsi"/>
                <w:b/>
                <w:bCs/>
                <w:i w:val="0"/>
                <w:iCs w:val="0"/>
                <w:color w:val="000000" w:themeColor="text1"/>
                <w:sz w:val="16"/>
                <w:szCs w:val="26"/>
                <w:lang w:val="en-US"/>
              </w:rPr>
              <w:t>O’Philbin</w:t>
            </w:r>
            <w:proofErr w:type="spellEnd"/>
            <w:r w:rsidRPr="00A96B0A">
              <w:rPr>
                <w:rFonts w:asciiTheme="minorHAnsi" w:eastAsia="Calibri" w:hAnsiTheme="minorHAnsi" w:cstheme="minorHAnsi"/>
                <w:b/>
                <w:bCs/>
                <w:i w:val="0"/>
                <w:iCs w:val="0"/>
                <w:color w:val="000000" w:themeColor="text1"/>
                <w:sz w:val="16"/>
                <w:szCs w:val="26"/>
                <w:lang w:val="en-US"/>
              </w:rPr>
              <w:t xml:space="preserve"> et al. (2018)</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{"citationID":"fBvrY4pX","properties":{"formattedCitation":"[81]","plainCitation":"[81]","noteIndex":0},"citationItems":[{"id":718,"uris":["http://zotero.org/users/4007286/items/4GDJZJ6L"],"itemData":{"id":718,"type":"article-journal","abstract":"Objectives: Little is understood about the optimal way to implement digital life story work (LSW). The aim of this research was to explore the preferences of people with dementia and caregivers in relation to digital LSW in an effort to improve future engagement. Methods: 67 caregivers responded to an online discrete choice experiment (DCE) survey containing 16 pairwise choices. The DCE was analysed using a random effects logit model. Willingness to pay and odds ratios were also calculated. 17 participants with dementia completed an online survey in which they made choices about different aspects of digital LSW services. Results: Caregivers valued four out of five attributes [setting (p = 0.000), price (p = 0.000), elementary usability and accessibility (p = 0.001), and follow-up assistance (p = 0.034)]. In data from participants with dementia, the most preferred setting was individual one-to-one (70.6%), and the most preferred use of digital life storybooks was to share memories with others (64.7%). Marginally more participants with dementia said they would pay for the service (53%) rather than only use it free of charge (47%). Those with advanced ICT skills preferred to learn how to use the digital life storybook (64.7%), while those with elementary/intermediate skills, preferred to have it created for them (35.3%). Conclusions: This exploratory study provides an insight into preferences of people with dementia and caregivers, of how digital LSW is implemented. Results can contribute to future planning and tailoring of these services.","archive":"ccm","container-title":"Aging &amp; Mental Health","DOI":"10.1080/13607863.2018.1525606","ISSN":"1360-7863","issue":"2","journalAbbreviation":"Aging &amp; Mental Health","page":"353-361","source":"EBSCOhost","title":"People with dementia and caregiver preferences for digital life story work service interventions. A discrete choice experiment and digital survey.","volume":"24","author":[{"family":"O'Philbin","given":"Laura"},{"family":"Woods","given":"Bob"},{"family":"Holmes","given":"Emily"}],"issued":{"date-parts":[["2020",2]]}}}],"schema":"https://github.com/citation-style-language/schema/raw/master/csl-citation.json"}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[81]</w:t>
            </w:r>
            <w:r w:rsidRPr="00A96B0A">
              <w:rPr>
                <w:rFonts w:asciiTheme="minorHAnsi" w:eastAsia="Calibri" w:hAnsiTheme="minorHAnsi" w:cstheme="minorHAnsi"/>
                <w:color w:val="000000" w:themeColor="text1"/>
                <w:sz w:val="16"/>
                <w:szCs w:val="26"/>
                <w:lang w:val="en-US"/>
              </w:rPr>
              <w:fldChar w:fldCharType="end"/>
            </w:r>
          </w:p>
          <w:p w14:paraId="09259FD5"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UK</w:t>
            </w:r>
          </w:p>
        </w:tc>
        <w:tc>
          <w:tcPr>
            <w:tcW w:w="1985" w:type="dxa"/>
          </w:tcPr>
          <w:p w14:paraId="0371595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Explore the preferences of people with dementia and caregivers in</w:t>
            </w:r>
          </w:p>
          <w:p w14:paraId="2E7C2EF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relation to digital life story work (LSW) in an effort to improve future engagement</w:t>
            </w:r>
          </w:p>
        </w:tc>
        <w:tc>
          <w:tcPr>
            <w:tcW w:w="1134" w:type="dxa"/>
          </w:tcPr>
          <w:p w14:paraId="6D22E94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6F5C85C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Setting</w:t>
            </w:r>
            <w:r w:rsidRPr="00A96B0A">
              <w:rPr>
                <w:rFonts w:ascii="Calibri" w:eastAsia="Calibri" w:hAnsi="Calibri" w:cs="Calibri"/>
                <w:color w:val="000000" w:themeColor="text1"/>
                <w:sz w:val="16"/>
                <w:szCs w:val="16"/>
                <w:lang w:val="en-US"/>
              </w:rPr>
              <w:br/>
              <w:t>• Price for the service of 2 hours/week during 6 weeks</w:t>
            </w:r>
            <w:r w:rsidRPr="00A96B0A">
              <w:rPr>
                <w:rFonts w:ascii="Calibri" w:eastAsia="Calibri" w:hAnsi="Calibri" w:cs="Calibri"/>
                <w:color w:val="000000" w:themeColor="text1"/>
                <w:sz w:val="16"/>
                <w:szCs w:val="16"/>
                <w:lang w:val="en-US"/>
              </w:rPr>
              <w:br/>
              <w:t>(0, £25, £50)</w:t>
            </w:r>
            <w:r w:rsidRPr="00A96B0A">
              <w:rPr>
                <w:rFonts w:ascii="Calibri" w:eastAsia="Calibri" w:hAnsi="Calibri" w:cs="Calibri"/>
                <w:color w:val="000000" w:themeColor="text1"/>
                <w:sz w:val="16"/>
                <w:szCs w:val="16"/>
                <w:lang w:val="en-US"/>
              </w:rPr>
              <w:br/>
              <w:t>• App accessibility and usability</w:t>
            </w:r>
            <w:r w:rsidRPr="00A96B0A">
              <w:rPr>
                <w:rFonts w:ascii="Calibri" w:eastAsia="Calibri" w:hAnsi="Calibri" w:cs="Calibri"/>
                <w:color w:val="000000" w:themeColor="text1"/>
                <w:sz w:val="16"/>
                <w:szCs w:val="16"/>
                <w:lang w:val="en-US"/>
              </w:rPr>
              <w:br/>
              <w:t>• Follow Up</w:t>
            </w:r>
            <w:r w:rsidRPr="00A96B0A">
              <w:rPr>
                <w:rFonts w:ascii="Calibri" w:eastAsia="Calibri" w:hAnsi="Calibri" w:cs="Calibri"/>
                <w:color w:val="000000" w:themeColor="text1"/>
                <w:sz w:val="16"/>
                <w:szCs w:val="16"/>
                <w:lang w:val="en-US"/>
              </w:rPr>
              <w:br/>
              <w:t>• Session Focus</w:t>
            </w:r>
          </w:p>
          <w:p w14:paraId="4B84676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3180957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Marginal rates substitution (values of WTP) </w:t>
            </w:r>
          </w:p>
        </w:tc>
        <w:tc>
          <w:tcPr>
            <w:tcW w:w="1559" w:type="dxa"/>
          </w:tcPr>
          <w:p w14:paraId="2CF3D4E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213B320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Setting</w:t>
            </w:r>
          </w:p>
          <w:p w14:paraId="76FB126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App accessibility and usability</w:t>
            </w:r>
          </w:p>
          <w:p w14:paraId="18FDEDC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Follow up</w:t>
            </w:r>
          </w:p>
        </w:tc>
      </w:tr>
      <w:tr w:rsidR="00A96B0A" w:rsidRPr="00A96B0A" w14:paraId="08DE25AF"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3FB672DC"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Park et al.</w:t>
            </w:r>
          </w:p>
          <w:p w14:paraId="55613D8F"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(2011)</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{"citationID":"WQKWnD9Q","properties":{"formattedCitation":"[103]","plainCitation":"[103]","noteIndex":0},"citationItems":[{"id":834,"uris":["http://zotero.org/users/4007286/items/F9WPWQPQ"],"itemData":{"id":834,"type":"article-journal","abstract":"Objective: Attempts to introduce telemedicine in South Korea have failed mostly, leaving critical questions for service developers and providers about whether patients would be willing to pay for the service and how the service should be designed to encourage patient buy-in. In this study, we explore patients' valuations and preferences for each attribute of telemedicine service for diabetes management and evaluate patient willingness to pay for specific service attributes. Materials and Methods: We conducted a conjoint survey to collect data on patients' stated preferences among telemedicine service alternatives. The alternatives for diabetes-related service differed in 10 attributes, including those related to price, type of service provider, and service scope. To estimate the relative importance of attributes, patients' willingness to pay for each attribute, and their probable choice of specific alternatives, we used a rank-ordered logit model. A total of 118 respondents participated in the survey. Results: All 10 attributes significantly affected patients' valuations and preferences, and demographic and disease characteristics, such as existence of complications and comorbidities, significantly affected patients' valuations of the attributes. Price was the most important attribute, followed by comprehensive scope of service, the availability of mobile phone-based delivery, and large general-hospital provided services. Conclusions: The study findings have significant implications for adoption policy and strategy of telemedicine in diabetes management care. Further, the methodology presented in this study can be used to draw knowledge needed to formulate effective policy for adoption of the necessary technology and for the design of services that attract potential beneficiaries.","archive_location":"WOS:000292872100009","container-title":"TELEMEDICINE AND E-HEALTH","DOI":"10.1089/tmj.2010.0201","ISSN":"1530-5627","issue":"6","page":"442-451","title":"Service Design Attributes Affecting Diabetic Patient Preferences of Telemedicine in South Korea","volume":"17","author":[{"family":"Park","given":"H"},{"family":"Chon","given":"Y"},{"family":"Lee","given":"J"},{"family":"Choi","given":"IJ"},{"family":"Yoon","given":"KH"}],"issued":{"date-parts":[["2011",7]]}}}],"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[103]</w:t>
            </w:r>
            <w:r w:rsidRPr="00A96B0A">
              <w:rPr>
                <w:rFonts w:asciiTheme="minorHAnsi" w:eastAsia="Calibri" w:hAnsiTheme="minorHAnsi" w:cstheme="minorHAnsi"/>
                <w:color w:val="000000" w:themeColor="text1"/>
                <w:sz w:val="16"/>
                <w:szCs w:val="26"/>
                <w:lang w:val="en-US"/>
              </w:rPr>
              <w:fldChar w:fldCharType="end"/>
            </w:r>
          </w:p>
          <w:p w14:paraId="0E837669"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South Korea</w:t>
            </w:r>
          </w:p>
        </w:tc>
        <w:tc>
          <w:tcPr>
            <w:tcW w:w="1985" w:type="dxa"/>
          </w:tcPr>
          <w:p w14:paraId="64625D5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Explore patients’ valuations and preferences for telemedicine attributes in diabetes management and evaluates their willingness to pay for specific services features</w:t>
            </w:r>
          </w:p>
        </w:tc>
        <w:tc>
          <w:tcPr>
            <w:tcW w:w="1134" w:type="dxa"/>
          </w:tcPr>
          <w:p w14:paraId="2CA44347" w14:textId="77777777" w:rsidR="00A96B0A" w:rsidRPr="00A96B0A" w:rsidDel="00636136"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Conjoint Analysis</w:t>
            </w:r>
          </w:p>
        </w:tc>
        <w:tc>
          <w:tcPr>
            <w:tcW w:w="2551" w:type="dxa"/>
          </w:tcPr>
          <w:p w14:paraId="34B5BEC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Monthly fee </w:t>
            </w:r>
          </w:p>
          <w:p w14:paraId="3B63C24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(₩10,000; ₩30,000; ₩50,000)</w:t>
            </w:r>
          </w:p>
          <w:p w14:paraId="7D2151F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Ease of use</w:t>
            </w:r>
            <w:r w:rsidRPr="00A96B0A">
              <w:rPr>
                <w:rFonts w:ascii="Calibri" w:eastAsia="Calibri" w:hAnsi="Calibri" w:cs="Calibri"/>
                <w:color w:val="000000" w:themeColor="text1"/>
                <w:sz w:val="16"/>
                <w:szCs w:val="16"/>
                <w:lang w:val="en-US"/>
              </w:rPr>
              <w:br/>
              <w:t>• Tangibles</w:t>
            </w:r>
            <w:r w:rsidRPr="00A96B0A">
              <w:rPr>
                <w:rFonts w:ascii="Calibri" w:eastAsia="Calibri" w:hAnsi="Calibri" w:cs="Calibri"/>
                <w:color w:val="000000" w:themeColor="text1"/>
                <w:sz w:val="16"/>
                <w:szCs w:val="16"/>
                <w:lang w:val="en-US"/>
              </w:rPr>
              <w:br/>
              <w:t>• Information availability and content</w:t>
            </w:r>
            <w:r w:rsidRPr="00A96B0A">
              <w:rPr>
                <w:rFonts w:ascii="Calibri" w:eastAsia="Calibri" w:hAnsi="Calibri" w:cs="Calibri"/>
                <w:color w:val="000000" w:themeColor="text1"/>
                <w:sz w:val="16"/>
                <w:szCs w:val="16"/>
                <w:lang w:val="en-US"/>
              </w:rPr>
              <w:br/>
              <w:t>• Empathy</w:t>
            </w:r>
            <w:r w:rsidRPr="00A96B0A">
              <w:rPr>
                <w:rFonts w:ascii="Calibri" w:eastAsia="Calibri" w:hAnsi="Calibri" w:cs="Calibri"/>
                <w:color w:val="000000" w:themeColor="text1"/>
                <w:sz w:val="16"/>
                <w:szCs w:val="16"/>
                <w:lang w:val="en-US"/>
              </w:rPr>
              <w:br/>
              <w:t>• Accessibility</w:t>
            </w:r>
            <w:r w:rsidRPr="00A96B0A">
              <w:rPr>
                <w:rFonts w:ascii="Calibri" w:eastAsia="Calibri" w:hAnsi="Calibri" w:cs="Calibri"/>
                <w:color w:val="000000" w:themeColor="text1"/>
                <w:sz w:val="16"/>
                <w:szCs w:val="16"/>
                <w:lang w:val="en-US"/>
              </w:rPr>
              <w:br/>
              <w:t>• Responsiveness</w:t>
            </w:r>
            <w:r w:rsidRPr="00A96B0A">
              <w:rPr>
                <w:rFonts w:ascii="Calibri" w:eastAsia="Calibri" w:hAnsi="Calibri" w:cs="Calibri"/>
                <w:color w:val="000000" w:themeColor="text1"/>
                <w:sz w:val="16"/>
                <w:szCs w:val="16"/>
                <w:lang w:val="en-US"/>
              </w:rPr>
              <w:br/>
              <w:t>• Assurance</w:t>
            </w:r>
            <w:r w:rsidRPr="00A96B0A">
              <w:rPr>
                <w:rFonts w:ascii="Calibri" w:eastAsia="Calibri" w:hAnsi="Calibri" w:cs="Calibri"/>
                <w:color w:val="000000" w:themeColor="text1"/>
                <w:sz w:val="16"/>
                <w:szCs w:val="16"/>
                <w:lang w:val="en-US"/>
              </w:rPr>
              <w:br/>
              <w:t>• Reliability</w:t>
            </w:r>
            <w:r w:rsidRPr="00A96B0A">
              <w:rPr>
                <w:rFonts w:ascii="Calibri" w:eastAsia="Calibri" w:hAnsi="Calibri" w:cs="Calibri"/>
                <w:color w:val="000000" w:themeColor="text1"/>
                <w:sz w:val="16"/>
                <w:szCs w:val="16"/>
                <w:lang w:val="en-US"/>
              </w:rPr>
              <w:br/>
              <w:t>• Privacy</w:t>
            </w:r>
          </w:p>
          <w:p w14:paraId="0253778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571E6D3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lastRenderedPageBreak/>
              <w:t xml:space="preserve">Average relative important percentage of attribute [124]  </w:t>
            </w:r>
          </w:p>
          <w:p w14:paraId="4550764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559" w:type="dxa"/>
          </w:tcPr>
          <w:p w14:paraId="3AD755F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7209D77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Monthly fee</w:t>
            </w:r>
          </w:p>
          <w:p w14:paraId="7E9B0DC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Information availability and content</w:t>
            </w:r>
          </w:p>
          <w:p w14:paraId="1D6C4B3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Ease of use</w:t>
            </w:r>
          </w:p>
          <w:p w14:paraId="5E8E07D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4.  Tangibles</w:t>
            </w:r>
          </w:p>
          <w:p w14:paraId="09CFD04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5. Assurance</w:t>
            </w:r>
          </w:p>
          <w:p w14:paraId="0475C90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6. Reliability</w:t>
            </w:r>
          </w:p>
          <w:p w14:paraId="35ACC7F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7. Empathy</w:t>
            </w:r>
          </w:p>
          <w:p w14:paraId="4080F73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8. Accessibility</w:t>
            </w:r>
          </w:p>
          <w:p w14:paraId="2E99160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lastRenderedPageBreak/>
              <w:t>9. Privacy</w:t>
            </w:r>
          </w:p>
          <w:p w14:paraId="41EEFFF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10. Responsiveness</w:t>
            </w:r>
            <w:r w:rsidRPr="00A96B0A">
              <w:rPr>
                <w:rFonts w:ascii="Calibri" w:eastAsia="Calibri" w:hAnsi="Calibri" w:cs="Calibri"/>
                <w:color w:val="000000" w:themeColor="text1"/>
                <w:sz w:val="16"/>
                <w:szCs w:val="16"/>
                <w:lang w:val="en-US"/>
              </w:rPr>
              <w:br/>
            </w:r>
          </w:p>
        </w:tc>
      </w:tr>
      <w:tr w:rsidR="00A96B0A" w:rsidRPr="00A96B0A" w14:paraId="2A53E045" w14:textId="77777777" w:rsidTr="00AB6102">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134" w:type="dxa"/>
          </w:tcPr>
          <w:p w14:paraId="4D586F95"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lastRenderedPageBreak/>
              <w:t>Phillips et al.</w:t>
            </w:r>
          </w:p>
          <w:p w14:paraId="54BD8C22"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(2021)</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{"citationID":"Wd99oSaI","properties":{"formattedCitation":"[114]","plainCitation":"[114]","noteIndex":0},"citationItems":[{"id":891,"uris":["http://zotero.org/users/4007286/items/2S8VJ388"],"itemData":{"id":891,"type":"article-journal","abstract":"Objectives: Recent evidence suggests that e-mental health interventions can be effective at improving mental health but that there is still a notable hesitation among patients to use them. Previous research has revealed that they are perceived by patients as being less helpful than face-to-face psychotherapy. The reasons for this unfavorable perception are, however, not yet well understood. The aim of our study was to address this question by eliciting preferences for individual components of e-mental health interventions in a discrete choice experiment.Methods: Using a stepwise qualitative approach, we developed the following 5 attributes of eMHIs: introductory training, human contact, peer support, proven effectiveness, content delivery, and price. Additionally, we asked questions about respondents' demographics, attitudes, and previous experience of traditional psychotherapy, as well as their distress level.Results: A total of 1984 respondents completed the survey. Using mixed logit models, we found that personal contact with a psychotherapist in blended care, proven effectiveness, and low price were highly valued by participants. Participants were indifferent toward the mode of content delivery but showed a slight preference for introductory training via phone, as well as for peer support via online forum alongside coach-led group meetings on site.Discussion: Our results suggest a clear preference for blended care that includes face-to-face contact with a psychotherapist. This preference remained stable irrespective of sociodemographics, previous experience of psychotherapy, distress level, and the 2 context scenarios used in our discrete choice experiment. Further investigations looking at the potential benefits and risks of blended care are needed.","archive":"ccm","container-title":"Value in Health","DOI":"10.1016/j.jval.2020.09.018","ISSN":"1098-3015","issue":"3","journalAbbreviation":"Value in Health","page":"421-430","source":"EBSCOhost","title":"Preferences for e-Mental Health Interventions in Germany: A Discrete Choice Experiment.","volume":"24","author":[{"family":"Phillips","given":"Elena A."},{"family":"Himmler","given":"Sebastian F."},{"family":"Schreyögg","given":"Jonas"}],"issued":{"date-parts":[["2021",3]]}}}],"schema":"https://github.com/citation-style-language/schema/raw/master/csl-citation.json"}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[114]</w:t>
            </w:r>
            <w:r w:rsidRPr="00A96B0A">
              <w:rPr>
                <w:rFonts w:asciiTheme="minorHAnsi" w:eastAsia="Calibri" w:hAnsiTheme="minorHAnsi" w:cstheme="minorHAnsi"/>
                <w:color w:val="000000" w:themeColor="text1"/>
                <w:sz w:val="16"/>
                <w:szCs w:val="26"/>
                <w:lang w:val="en-US"/>
              </w:rPr>
              <w:fldChar w:fldCharType="end"/>
            </w:r>
          </w:p>
          <w:p w14:paraId="06B5C880"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Germany</w:t>
            </w:r>
          </w:p>
        </w:tc>
        <w:tc>
          <w:tcPr>
            <w:tcW w:w="1985" w:type="dxa"/>
          </w:tcPr>
          <w:p w14:paraId="06D9894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Understand why patients perceive e-mental health interventions as less helpful than face-to-face psychotherapy by eliciting preferences for individual components of e-mental health interventions</w:t>
            </w:r>
          </w:p>
        </w:tc>
        <w:tc>
          <w:tcPr>
            <w:tcW w:w="1134" w:type="dxa"/>
          </w:tcPr>
          <w:p w14:paraId="62752EA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448BBB2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Introductory training</w:t>
            </w:r>
            <w:r w:rsidRPr="00A96B0A">
              <w:rPr>
                <w:rFonts w:ascii="Calibri" w:eastAsia="Calibri" w:hAnsi="Calibri" w:cs="Calibri"/>
                <w:color w:val="000000" w:themeColor="text1"/>
                <w:sz w:val="16"/>
                <w:szCs w:val="16"/>
                <w:lang w:val="en-US"/>
              </w:rPr>
              <w:br/>
              <w:t>• Human contact</w:t>
            </w:r>
            <w:r w:rsidRPr="00A96B0A">
              <w:rPr>
                <w:rFonts w:ascii="Calibri" w:eastAsia="Calibri" w:hAnsi="Calibri" w:cs="Calibri"/>
                <w:color w:val="000000" w:themeColor="text1"/>
                <w:sz w:val="16"/>
                <w:szCs w:val="16"/>
                <w:lang w:val="en-US"/>
              </w:rPr>
              <w:br/>
              <w:t>• Peer support</w:t>
            </w:r>
            <w:r w:rsidRPr="00A96B0A">
              <w:rPr>
                <w:rFonts w:ascii="Calibri" w:eastAsia="Calibri" w:hAnsi="Calibri" w:cs="Calibri"/>
                <w:color w:val="000000" w:themeColor="text1"/>
                <w:sz w:val="16"/>
                <w:szCs w:val="16"/>
                <w:lang w:val="en-US"/>
              </w:rPr>
              <w:br/>
              <w:t>• Proven effectiveness</w:t>
            </w:r>
            <w:r w:rsidRPr="00A96B0A">
              <w:rPr>
                <w:rFonts w:ascii="Calibri" w:eastAsia="Calibri" w:hAnsi="Calibri" w:cs="Calibri"/>
                <w:color w:val="000000" w:themeColor="text1"/>
                <w:sz w:val="16"/>
                <w:szCs w:val="16"/>
                <w:lang w:val="en-US"/>
              </w:rPr>
              <w:br/>
              <w:t>• Mode of content delivery</w:t>
            </w:r>
            <w:r w:rsidRPr="00A96B0A">
              <w:rPr>
                <w:rFonts w:ascii="Calibri" w:eastAsia="Calibri" w:hAnsi="Calibri" w:cs="Calibri"/>
                <w:color w:val="000000" w:themeColor="text1"/>
                <w:sz w:val="16"/>
                <w:szCs w:val="16"/>
                <w:lang w:val="en-US"/>
              </w:rPr>
              <w:br/>
              <w:t xml:space="preserve">• Costs per month </w:t>
            </w:r>
            <w:r w:rsidRPr="00A96B0A">
              <w:rPr>
                <w:rFonts w:ascii="Calibri" w:eastAsia="Calibri" w:hAnsi="Calibri" w:cs="Calibri"/>
                <w:color w:val="000000" w:themeColor="text1"/>
                <w:sz w:val="16"/>
                <w:szCs w:val="16"/>
                <w:lang w:val="en-US"/>
              </w:rPr>
              <w:br/>
              <w:t>(</w:t>
            </w:r>
            <w:r w:rsidRPr="00A96B0A">
              <w:rPr>
                <w:rFonts w:ascii="Calibri" w:eastAsiaTheme="majorEastAsia" w:hAnsi="Calibri" w:cs="Calibri"/>
                <w:color w:val="000000" w:themeColor="text1"/>
                <w:sz w:val="16"/>
                <w:szCs w:val="16"/>
                <w:lang w:val="en-US"/>
              </w:rPr>
              <w:t xml:space="preserve">€0; €69.90, €99.90, €179.90) </w:t>
            </w:r>
          </w:p>
          <w:p w14:paraId="3F976BA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2F09F77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2C67EF4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7E2B5B82"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6ECF909A" w14:textId="77777777" w:rsidR="00A96B0A" w:rsidRPr="00A96B0A" w:rsidRDefault="00A96B0A" w:rsidP="00A96B0A">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A96B0A">
              <w:rPr>
                <w:rFonts w:ascii="Calibri" w:eastAsia="Calibri" w:hAnsi="Calibri" w:cs="Calibri"/>
                <w:b/>
                <w:bCs/>
                <w:i w:val="0"/>
                <w:iCs w:val="0"/>
                <w:color w:val="000000" w:themeColor="text1"/>
                <w:sz w:val="16"/>
                <w:szCs w:val="16"/>
                <w:lang w:val="en-US"/>
              </w:rPr>
              <w:t xml:space="preserve">Ride et al. (2025)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{"citationID":"ADtZgkR7","properties":{"unsorted":false,"formattedCitation":"[71]","plainCitation":"[71]","noteIndex":0},"citationItems":[{"id":120,"uris":["http://zotero.org/users/4007286/items/DP86YEAX"],"itemData":{"id":120,"type":"article-journal","abstract":"Objectives: This study examines the role of mental health in consumer healthcare choices, using a discrete choice experiment to analyze choices regarding routine primary care visits in Australia. It captures mental health through 3 variables: self-reported current mental health condition and clinically validated measures of depression and anxiety symptoms, the Patient Health Questionnaire-9 capturing depression, and the Generalized Anxiety Disorder 7-item scale capturing anxiety. Methods: Data were collected during November and December 2021 from a sample (N = 568) representative of the Australian population in age, gender, and location. Participants made hypothetical choices between in-person and telehealth alternatives or a no-visit alternative. Alternatives were described in terms of general practitioner familiarity, out-of-pocket cost, wait time, waiting area size, mask requirements, and modality of telehealth. Results: The results suggest that symptoms of depression and anxiety could affect healthcare choices with opposite direction of effect on uptake and distinct from the presence of a mental health condition. Conclusions: These findings support the need for more careful consideration of the role of mental health in the analysis of discrete choice experiments, particularly in healthcare, including a better understanding of the mechanisms and time-varying nature of any effect.","archive":"Embase","container-title":"Value in Health","DOI":"10.1016/j.jval.2025.03.001","ISSN":"1524-4733","issue":"7","journalAbbreviation":"Value Health","language":"English","page":"1100-1109","title":"The Role of Mental Health in Healthcare Choices: A Discrete Choice Experiment Examining Preferences for Primary Care","volume":"28","author":[{"family":"Ride","given":"J."},{"family":"Lancsar","given":"E."},{"family":"Ozols","given":"I."}],"issued":{"date-parts":[["2025"]]}}}],"schema":"https://github.com/citation-style-language/schema/raw/master/csl-citation.json"}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[71]</w:t>
            </w:r>
            <w:r w:rsidRPr="00A96B0A">
              <w:rPr>
                <w:rFonts w:ascii="Calibri" w:eastAsia="Calibri" w:hAnsi="Calibri" w:cs="Calibri"/>
                <w:color w:val="000000" w:themeColor="text1"/>
                <w:sz w:val="16"/>
                <w:szCs w:val="16"/>
                <w:lang w:val="en-US"/>
              </w:rPr>
              <w:fldChar w:fldCharType="end"/>
            </w:r>
          </w:p>
          <w:p w14:paraId="2BEB6679"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Calibri" w:eastAsia="Calibri" w:hAnsi="Calibri" w:cs="Calibri"/>
                <w:color w:val="000000" w:themeColor="text1"/>
                <w:sz w:val="16"/>
                <w:szCs w:val="16"/>
                <w:lang w:val="en-US"/>
              </w:rPr>
              <w:t>Australia</w:t>
            </w:r>
          </w:p>
        </w:tc>
        <w:tc>
          <w:tcPr>
            <w:tcW w:w="1985" w:type="dxa"/>
          </w:tcPr>
          <w:p w14:paraId="00C6F37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Assess how mental health influences individuals’ preferences among healthcare utilization options, (in-person visits, telehealth services, and foregoing care)</w:t>
            </w:r>
          </w:p>
        </w:tc>
        <w:tc>
          <w:tcPr>
            <w:tcW w:w="1134" w:type="dxa"/>
          </w:tcPr>
          <w:p w14:paraId="6B770F5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519396A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General practitioner type  </w:t>
            </w:r>
            <w:r w:rsidRPr="00A96B0A">
              <w:rPr>
                <w:rFonts w:ascii="Calibri" w:eastAsia="Calibri" w:hAnsi="Calibri" w:cs="Calibri"/>
                <w:color w:val="000000" w:themeColor="text1"/>
                <w:sz w:val="16"/>
                <w:szCs w:val="16"/>
                <w:lang w:val="en-US"/>
              </w:rPr>
              <w:br/>
              <w:t>• Out-of-pocket cost</w:t>
            </w:r>
            <w:r w:rsidRPr="00A96B0A">
              <w:rPr>
                <w:rFonts w:ascii="Calibri" w:eastAsia="Calibri" w:hAnsi="Calibri" w:cs="Calibri"/>
                <w:color w:val="000000" w:themeColor="text1"/>
                <w:sz w:val="16"/>
                <w:szCs w:val="16"/>
                <w:lang w:val="en-US"/>
              </w:rPr>
              <w:br/>
              <w:t xml:space="preserve">• Wait time  </w:t>
            </w:r>
            <w:r w:rsidRPr="00A96B0A">
              <w:rPr>
                <w:rFonts w:ascii="Calibri" w:eastAsia="Calibri" w:hAnsi="Calibri" w:cs="Calibri"/>
                <w:color w:val="000000" w:themeColor="text1"/>
                <w:sz w:val="16"/>
                <w:szCs w:val="16"/>
                <w:lang w:val="en-US"/>
              </w:rPr>
              <w:br/>
              <w:t>• Waiting area</w:t>
            </w:r>
          </w:p>
          <w:p w14:paraId="26067BA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Mask requirements</w:t>
            </w:r>
          </w:p>
          <w:p w14:paraId="61C17A7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Type of telehealth</w:t>
            </w:r>
          </w:p>
        </w:tc>
        <w:tc>
          <w:tcPr>
            <w:tcW w:w="1276" w:type="dxa"/>
          </w:tcPr>
          <w:p w14:paraId="56853E0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50A8FE2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76127C91"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60628AA7"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Calibri" w:eastAsia="Calibri" w:hAnsi="Calibri" w:cs="Calibri"/>
                <w:b/>
                <w:bCs/>
                <w:i w:val="0"/>
                <w:iCs w:val="0"/>
                <w:color w:val="000000" w:themeColor="text1"/>
                <w:sz w:val="16"/>
                <w:szCs w:val="16"/>
                <w:lang w:val="en-US"/>
              </w:rPr>
              <w:t>Ross et al. (2026)</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{"citationID":"FUpsObZl","properties":{"unsorted":false,"formattedCitation":"[76]","plainCitation":"[76]","noteIndex":0},"citationItems":[{"id":385,"uris":["http://zotero.org/users/4007286/items/Q4T38X8F"],"itemData":{"id":385,"type":"article-journal","abstract":"Objective:To investigate the key factors that influence patients' preferences for telerehabilitation consultations in comparison to traditional in-person physiotherapy consultations and explore how these factors vary across different patient demographic characteristics. Methods: A binary discrete choice experiment was conducted with 152 participants who had participated in physiotherapy. The primary outcome measures were the attributes related to telerehabilitation and in-person consultations, including appointment duration, cost, distance, purpose, therapist, time of day, and wait time. Participants' preferences were assessed based on their choices in the binary choice experiment. Results: The study did not identify any attributes of consultations that clearly influenced patients' preference for telerehabilitation versus in-person physiotherapy. There was a trend towards preferring telerehabilitation with decreased appointment wait times and lower monetary costs. Patient demographics revealed that individuals with a single chronic health condition were clearly less inclined towards telerehabilitation (OR = 0.5, 95% CI 0.27-0.93), as were those located in outer regional locations (OR = 0.34, 95% CI 0.12-0.99). Additionally, respondents preferring a short 5 km travel distance showed markedly lower preference for telerehabilitation (beta TelerehabxDistance_5km = -0.94, 95% CI -4.34 to -0.51, p &lt; 0.001). Conclusion: To enable broader access to physiotherapy via telerehabilitation, clinicians, and policymakers should prioritize offering timely and cost-effective sessions. The results of this study can then inform the development of telerehabilitation offerings that are better matched to patient preferences.","archive_location":"WOS:001433012300001","container-title":"PHYSIOTHERAPY RESEARCH INTERNATIONAL","DOI":"10.1002/pri.70042","ISSN":"1358-2267","issue":"2","language":"English","title":"Patient Preferences for Telerehabilitation Compared to In-Person Physiotherapy: A Binary Discrete Choice Experiment","volume":"30","author":[{"family":"Ross","given":"MH"},{"family":"Simmich","given":"J"},{"family":"Magor","given":"T"},{"family":"Russell","given":"T"}],"issued":{"date-parts":[["2025",4]]}}}],"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[76]</w:t>
            </w:r>
            <w:r w:rsidRPr="00A96B0A">
              <w:rPr>
                <w:rFonts w:ascii="Calibri" w:eastAsia="Calibri" w:hAnsi="Calibri" w:cs="Calibri"/>
                <w:color w:val="000000" w:themeColor="text1"/>
                <w:sz w:val="16"/>
                <w:szCs w:val="16"/>
                <w:lang w:val="en-US"/>
              </w:rPr>
              <w:fldChar w:fldCharType="end"/>
            </w:r>
            <w:r w:rsidRPr="00A96B0A">
              <w:rPr>
                <w:rFonts w:ascii="Calibri" w:eastAsia="Calibri" w:hAnsi="Calibri" w:cs="Calibri"/>
                <w:color w:val="000000" w:themeColor="text1"/>
                <w:sz w:val="16"/>
                <w:szCs w:val="16"/>
                <w:lang w:val="en-US"/>
              </w:rPr>
              <w:br/>
              <w:t>Australia</w:t>
            </w:r>
          </w:p>
        </w:tc>
        <w:tc>
          <w:tcPr>
            <w:tcW w:w="1985" w:type="dxa"/>
          </w:tcPr>
          <w:p w14:paraId="3F6E0F3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Investigate patients' preferences for telerehabilitation consultations versus traditional in‐person physiotherapy consultations</w:t>
            </w:r>
          </w:p>
        </w:tc>
        <w:tc>
          <w:tcPr>
            <w:tcW w:w="1134" w:type="dxa"/>
          </w:tcPr>
          <w:p w14:paraId="7C4BB0E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7ECED05A" w14:textId="77777777" w:rsidR="00A96B0A" w:rsidRPr="00A96B0A" w:rsidRDefault="00A96B0A" w:rsidP="00A96B0A">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A96B0A">
              <w:rPr>
                <w:rFonts w:ascii="Calibri" w:eastAsia="Calibri" w:hAnsi="Calibri" w:cs="Calibri"/>
                <w:color w:val="000000" w:themeColor="text1"/>
                <w:sz w:val="16"/>
                <w:szCs w:val="16"/>
                <w:lang w:val="en-US"/>
              </w:rPr>
              <w:t xml:space="preserve">• Therapist  </w:t>
            </w:r>
            <w:r w:rsidRPr="00A96B0A">
              <w:rPr>
                <w:rFonts w:ascii="Calibri" w:eastAsia="Calibri" w:hAnsi="Calibri" w:cs="Calibri"/>
                <w:color w:val="000000" w:themeColor="text1"/>
                <w:sz w:val="16"/>
                <w:szCs w:val="16"/>
                <w:lang w:val="en-US"/>
              </w:rPr>
              <w:br/>
              <w:t xml:space="preserve">• </w:t>
            </w:r>
            <w:r w:rsidRPr="00A96B0A">
              <w:rPr>
                <w:rFonts w:ascii="Calibri" w:hAnsi="Calibri" w:cs="Calibri"/>
                <w:sz w:val="16"/>
                <w:szCs w:val="16"/>
                <w:lang w:val="en-US"/>
              </w:rPr>
              <w:t>Wait time until appointment</w:t>
            </w:r>
            <w:r w:rsidRPr="00A96B0A">
              <w:rPr>
                <w:rFonts w:ascii="Calibri" w:eastAsia="Calibri" w:hAnsi="Calibri" w:cs="Calibri"/>
                <w:color w:val="000000" w:themeColor="text1"/>
                <w:sz w:val="16"/>
                <w:szCs w:val="16"/>
                <w:lang w:val="en-US"/>
              </w:rPr>
              <w:br/>
              <w:t xml:space="preserve">• Time of day of appointment  </w:t>
            </w:r>
            <w:r w:rsidRPr="00A96B0A">
              <w:rPr>
                <w:rFonts w:ascii="Calibri" w:eastAsia="Calibri" w:hAnsi="Calibri" w:cs="Calibri"/>
                <w:color w:val="000000" w:themeColor="text1"/>
                <w:sz w:val="16"/>
                <w:szCs w:val="16"/>
                <w:lang w:val="en-US"/>
              </w:rPr>
              <w:br/>
              <w:t>• Distance to travel (in-person only)</w:t>
            </w:r>
          </w:p>
          <w:p w14:paraId="5F1C1AA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Purpose of the appointment</w:t>
            </w:r>
          </w:p>
          <w:p w14:paraId="54388D8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Cost per appointment</w:t>
            </w:r>
          </w:p>
        </w:tc>
        <w:tc>
          <w:tcPr>
            <w:tcW w:w="1276" w:type="dxa"/>
          </w:tcPr>
          <w:p w14:paraId="1899773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527F3B4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1D54D031"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3E41BC17"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Savira et al.</w:t>
            </w:r>
          </w:p>
          <w:p w14:paraId="7AD98A1B"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(2023)</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{"citationID":"5jvexUZv","properties":{"formattedCitation":"[64]","plainCitation":"[64]","noteIndex":0},"citationItems":[{"id":2279,"uris":["http://zotero.org/users/4007286/items/Q5V949S4"],"itemData":{"id":2279,"type":"article-journal","abstract":"This study aims to elicit consumer preferences regarding telehealth and face-to-face consultations in Australia. It used a discrete choice experiment, presenting participants with a series of hypothetical choices, and based on their responses, infer what is most important to them. Data were analysed using conditional logit regression and latent class analysis. A total of 1,025 participants completed the survey, considering four different clinical scenarios. Face-to-face contacts were, on average, preferred to either telephone or video services. However, telehealth was identified as an attractive option if it prevents significant travel and can be conducted with a familiar doctor. Participants were strongly driven by cost, particularly greater than $30. Telehealth was least preferred for situations involving a new and unknown physical symptom, and relatively more preferred for surgical follow-up. The latent class analysis demonstrates only 15.9% of participants appeared unwilling to consider telehealth. The findings of this study suggest that meeting the needs of the Australian population requires a blended approach to service delivery, with telehealth being valued in a range of clinical scenarios. Price sensitivity was evident, therefore if telehealth services can be delivered with lower patient cost, then they are likely to be attractive.","archive":"Embase","container-title":"PLoS ONE","DOI":"10.1371/journal.pone.0283821","ISSN":"1932-6203","issue":"3 MARCH","journalAbbreviation":"PLoS ONE","language":"English","title":"Consumer preferences for telehealth in Australia: A discrete choice experiment","URL":"https://www.embase.com/search/results?subaction=viewrecord&amp;id=L2023670457&amp;from=export","volume":"18","author":[{"family":"Savira","given":"F."},{"family":"Robinson","given":"S."},{"family":"Toll","given":"K."},{"family":"Spark","given":"L."},{"family":"Thomas","given":"E."},{"family":"Nesbitt","given":"J."},{"family":"Frean","given":"I."},{"family":"Norman","given":"R."}],"issued":{"date-parts":[["2023"]]}}}],"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[64]</w:t>
            </w:r>
            <w:r w:rsidRPr="00A96B0A">
              <w:rPr>
                <w:rFonts w:asciiTheme="minorHAnsi" w:eastAsia="Calibri" w:hAnsiTheme="minorHAnsi" w:cstheme="minorHAnsi"/>
                <w:color w:val="000000" w:themeColor="text1"/>
                <w:sz w:val="16"/>
                <w:szCs w:val="26"/>
                <w:lang w:val="en-US"/>
              </w:rPr>
              <w:fldChar w:fldCharType="end"/>
            </w:r>
          </w:p>
          <w:p w14:paraId="06942027"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Australia</w:t>
            </w:r>
          </w:p>
        </w:tc>
        <w:tc>
          <w:tcPr>
            <w:tcW w:w="1985" w:type="dxa"/>
          </w:tcPr>
          <w:p w14:paraId="7BA232A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Elicit consumer preferences regarding telehealth and face-to-face consultations in Australia</w:t>
            </w:r>
          </w:p>
          <w:p w14:paraId="187F5E7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134" w:type="dxa"/>
          </w:tcPr>
          <w:p w14:paraId="6957842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5D7570E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Mode of communication with the GP</w:t>
            </w:r>
            <w:r w:rsidRPr="00A96B0A">
              <w:rPr>
                <w:rFonts w:ascii="Calibri" w:eastAsia="Calibri" w:hAnsi="Calibri" w:cs="Calibri"/>
                <w:color w:val="000000" w:themeColor="text1"/>
                <w:sz w:val="16"/>
                <w:szCs w:val="16"/>
                <w:lang w:val="en-US"/>
              </w:rPr>
              <w:br/>
              <w:t>• Distance to the GP</w:t>
            </w:r>
          </w:p>
          <w:p w14:paraId="7D78681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Familiarity with the GP</w:t>
            </w:r>
            <w:r w:rsidRPr="00A96B0A">
              <w:rPr>
                <w:rFonts w:ascii="Calibri" w:eastAsia="Calibri" w:hAnsi="Calibri" w:cs="Calibri"/>
                <w:color w:val="000000" w:themeColor="text1"/>
                <w:sz w:val="16"/>
                <w:szCs w:val="16"/>
                <w:lang w:val="en-US"/>
              </w:rPr>
              <w:br/>
              <w:t>• GP’s access to complete medical history</w:t>
            </w:r>
            <w:r w:rsidRPr="00A96B0A">
              <w:rPr>
                <w:rFonts w:ascii="Calibri" w:eastAsia="Calibri" w:hAnsi="Calibri" w:cs="Calibri"/>
                <w:color w:val="000000" w:themeColor="text1"/>
                <w:sz w:val="16"/>
                <w:szCs w:val="16"/>
                <w:lang w:val="en-US"/>
              </w:rPr>
              <w:br/>
              <w:t>• Wait time</w:t>
            </w:r>
            <w:r w:rsidRPr="00A96B0A">
              <w:rPr>
                <w:rFonts w:ascii="Calibri" w:eastAsia="Calibri" w:hAnsi="Calibri" w:cs="Calibri"/>
                <w:color w:val="000000" w:themeColor="text1"/>
                <w:sz w:val="16"/>
                <w:szCs w:val="16"/>
                <w:lang w:val="en-US"/>
              </w:rPr>
              <w:br/>
              <w:t xml:space="preserve">• Technical quality </w:t>
            </w:r>
            <w:r w:rsidRPr="00A96B0A">
              <w:rPr>
                <w:rFonts w:ascii="Calibri" w:eastAsia="Calibri" w:hAnsi="Calibri" w:cs="Calibri"/>
                <w:color w:val="000000" w:themeColor="text1"/>
                <w:sz w:val="16"/>
                <w:szCs w:val="16"/>
                <w:lang w:val="en-US"/>
              </w:rPr>
              <w:br/>
              <w:t xml:space="preserve">• Opportunity to ask additional questions </w:t>
            </w:r>
            <w:r w:rsidRPr="00A96B0A">
              <w:rPr>
                <w:rFonts w:ascii="Calibri" w:eastAsia="Calibri" w:hAnsi="Calibri" w:cs="Calibri"/>
                <w:color w:val="000000" w:themeColor="text1"/>
                <w:sz w:val="16"/>
                <w:szCs w:val="16"/>
                <w:lang w:val="en-US"/>
              </w:rPr>
              <w:br/>
              <w:t xml:space="preserve">• Out of pocket cost (0, $10, $30, $50 </w:t>
            </w:r>
          </w:p>
          <w:p w14:paraId="0F3E19F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5C76E9E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58F72BB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614C1DE2"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59C3B0EE" w14:textId="77777777" w:rsidR="00A96B0A" w:rsidRPr="00A96B0A" w:rsidRDefault="00A96B0A" w:rsidP="00A96B0A">
            <w:pPr>
              <w:keepNext/>
              <w:keepLines/>
              <w:spacing w:before="40" w:line="240" w:lineRule="auto"/>
              <w:jc w:val="center"/>
              <w:outlineLvl w:val="1"/>
              <w:rPr>
                <w:rFonts w:ascii="Calibri" w:eastAsia="Calibri" w:hAnsi="Calibri" w:cs="Calibri"/>
                <w:color w:val="000000" w:themeColor="text1"/>
                <w:sz w:val="16"/>
                <w:szCs w:val="16"/>
                <w:lang w:val="en-US"/>
              </w:rPr>
            </w:pPr>
            <w:proofErr w:type="spellStart"/>
            <w:r w:rsidRPr="00A96B0A">
              <w:rPr>
                <w:rFonts w:ascii="Calibri" w:eastAsia="Calibri" w:hAnsi="Calibri" w:cs="Calibri"/>
                <w:b/>
                <w:bCs/>
                <w:i w:val="0"/>
                <w:iCs w:val="0"/>
                <w:color w:val="000000" w:themeColor="text1"/>
                <w:sz w:val="16"/>
                <w:szCs w:val="16"/>
                <w:lang w:val="en-US"/>
              </w:rPr>
              <w:t>Seghieri</w:t>
            </w:r>
            <w:proofErr w:type="spellEnd"/>
            <w:r w:rsidRPr="00A96B0A">
              <w:rPr>
                <w:rFonts w:ascii="Calibri" w:eastAsia="Calibri" w:hAnsi="Calibri" w:cs="Calibri"/>
                <w:b/>
                <w:bCs/>
                <w:i w:val="0"/>
                <w:iCs w:val="0"/>
                <w:color w:val="000000" w:themeColor="text1"/>
                <w:sz w:val="16"/>
                <w:szCs w:val="16"/>
                <w:lang w:val="en-US"/>
              </w:rPr>
              <w:t xml:space="preserve"> et al. (2026)</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p5B3r4y0","properties":{"unsorted":false,"formattedCitation":"[113]","plainCitation":"[113]","noteIndex":0},"citationItems":[{"id":28215,"uris":["http://zotero.org/users/4007286/items/JQV5REGS"],"itemData":{"id":28215,"type":"article-journal","abstract":"BACKGROUND: Health apps designed to monitor, motivate, and educate people towards their health goals are getting more users and features each time. These apps offer valuable support for self-managing health behaviors and achieving long-term objectives. However, there is limited understanding of user preferences regarding essential app features. The aim of the study is to get insights about potential users' preferences, in order to tailor better apps for lifestyle management.\nMETHODS: We conducted a three-part web survey with 389 respondents from four countries as part of the DigiCare4You European Union (EU) project. In the first part, we collected the socioeconomic characteristics and health status of each respondent. In the following stage, we asked five questions on a Likert scale to ascertain the individual level of usage and general attitude towards technology. Finally, we performed a discrete choice experiment (DCE) using an unlabeled design and estimated the odds ratio for each feature using conditional logit analysis. We also ran alternative estimations stratifying by non-communicable disease (NCD) patients and non-NCD patients, and explored latent profile analysis (LPA) to understand whether the general attitude towards technology impacts the preference pattern between users.\nRESULTS: The DCE revealed that respondents showed a clear preference for monitoring physical health over emotional status. They favored receiving lifestyle achievement notifications weekly rather than daily, and daily rather than more frequently. Similarly, respondents preferred uploading body weight measurements on a weekly or monthly basis rather than daily. Users expressed a preference for collaborating with their doctors to set exercise and diet goals, rather than either deciding independently or delegating entirely to their doctors. End-users also show a pattern of preferring notifications for goals instead of challenging other users. Preferences regarding the subjects of health content between workout routines, food recipes, and new scientific evidence were not significant; also, no statistical significance was found for the decision between follow-up visits with their doctor in person or remotely. LPA returned two groups regarding their general attitude towards technology: a lower, an intermediate, and a higher usage in their private life based on their responses to the questionnaire. Stratified DCEs have shown heterogeneity of users' preferences according to their specific attitude towards technology.\nCONCLUSIONS: Our study indicates that potential mobile health (mHealth) app users managing chronic conditions prefer platforms that enable shared responsibility with their doctors in defining health goals while having an intermediate level of interaction frequency with the app. These findings are key to tailoring mHealth apps that can optimize motivation triggers, support healthier lifestyles, and empower patients with chronic conditions.","container-title":"mHealth","DOI":"10.21037/mhealth-25-30","ISSN":"2306-9740","journalAbbreviation":"Mhealth","language":"eng","page":"3","PMID":"41675093","PMCID":"PMC12885856","source":"PubMed","title":"Tailoring mobile health apps for lifestyle management: a discrete choice experiment","title-short":"Tailoring mobile health apps for lifestyle management","volume":"12","author":[{"family":"Seghieri","given":"Chiara"},{"family":"Feldens","given":"Tallys"},{"family":"Tortù","given":"Costanza"},{"family":"Usheva","given":"Natalya"},{"family":"Toti","given":"Florian"},{"family":"Doracaj","given":"Ditila"},{"family":"Giménez-Legarre","given":"Natalia"},{"family":"Karaglani","given":"Eva"},{"family":"Manios","given":"Yannis"}],"issued":{"date-parts":[["2026"]]}}}],"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[113]</w:t>
            </w:r>
            <w:r w:rsidRPr="00A96B0A">
              <w:rPr>
                <w:rFonts w:ascii="Calibri" w:eastAsia="Calibri" w:hAnsi="Calibri" w:cs="Calibri"/>
                <w:color w:val="000000" w:themeColor="text1"/>
                <w:sz w:val="16"/>
                <w:szCs w:val="16"/>
                <w:lang w:val="en-US"/>
              </w:rPr>
              <w:fldChar w:fldCharType="end"/>
            </w:r>
            <w:r w:rsidRPr="00A96B0A">
              <w:rPr>
                <w:rFonts w:ascii="Calibri" w:eastAsia="Calibri" w:hAnsi="Calibri" w:cs="Calibri"/>
                <w:color w:val="000000" w:themeColor="text1"/>
                <w:sz w:val="16"/>
                <w:szCs w:val="16"/>
                <w:lang w:val="en-US"/>
              </w:rPr>
              <w:br/>
              <w:t>Albania Bulgaria</w:t>
            </w:r>
            <w:r w:rsidRPr="00A96B0A">
              <w:rPr>
                <w:rFonts w:ascii="Calibri" w:eastAsia="Calibri" w:hAnsi="Calibri" w:cs="Calibri"/>
                <w:color w:val="000000" w:themeColor="text1"/>
                <w:sz w:val="16"/>
                <w:szCs w:val="16"/>
                <w:lang w:val="en-US"/>
              </w:rPr>
              <w:br/>
              <w:t xml:space="preserve"> Spain </w:t>
            </w:r>
            <w:r w:rsidRPr="00A96B0A">
              <w:rPr>
                <w:rFonts w:ascii="Calibri" w:eastAsia="Calibri" w:hAnsi="Calibri" w:cs="Calibri"/>
                <w:color w:val="000000" w:themeColor="text1"/>
                <w:sz w:val="16"/>
                <w:szCs w:val="16"/>
                <w:lang w:val="en-US"/>
              </w:rPr>
              <w:br/>
              <w:t>Greece</w:t>
            </w:r>
          </w:p>
        </w:tc>
        <w:tc>
          <w:tcPr>
            <w:tcW w:w="1985" w:type="dxa"/>
          </w:tcPr>
          <w:p w14:paraId="43677F1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Identify preferences for features of mobile health apps for lifestyle management</w:t>
            </w:r>
          </w:p>
        </w:tc>
        <w:tc>
          <w:tcPr>
            <w:tcW w:w="1134" w:type="dxa"/>
          </w:tcPr>
          <w:p w14:paraId="74836D0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70FA4695" w14:textId="77777777" w:rsidR="00A96B0A" w:rsidRPr="00A96B0A" w:rsidRDefault="00A96B0A" w:rsidP="00A96B0A">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A96B0A">
              <w:rPr>
                <w:rFonts w:ascii="Calibri" w:eastAsia="Calibri" w:hAnsi="Calibri" w:cs="Calibri"/>
                <w:color w:val="000000" w:themeColor="text1"/>
                <w:sz w:val="16"/>
                <w:szCs w:val="16"/>
                <w:lang w:val="en-US"/>
              </w:rPr>
              <w:t xml:space="preserve">• Monitoring perceptions  </w:t>
            </w:r>
            <w:r w:rsidRPr="00A96B0A">
              <w:rPr>
                <w:rFonts w:ascii="Calibri" w:eastAsia="Calibri" w:hAnsi="Calibri" w:cs="Calibri"/>
                <w:color w:val="000000" w:themeColor="text1"/>
                <w:sz w:val="16"/>
                <w:szCs w:val="16"/>
                <w:lang w:val="en-US"/>
              </w:rPr>
              <w:br/>
              <w:t xml:space="preserve">• </w:t>
            </w:r>
            <w:r w:rsidRPr="00A96B0A">
              <w:rPr>
                <w:rFonts w:ascii="Calibri" w:hAnsi="Calibri" w:cs="Calibri"/>
                <w:sz w:val="16"/>
                <w:szCs w:val="16"/>
                <w:lang w:val="en-US"/>
              </w:rPr>
              <w:t>Frequency of notifications</w:t>
            </w:r>
            <w:r w:rsidRPr="00A96B0A">
              <w:rPr>
                <w:rFonts w:ascii="Calibri" w:eastAsia="Calibri" w:hAnsi="Calibri" w:cs="Calibri"/>
                <w:color w:val="000000" w:themeColor="text1"/>
                <w:sz w:val="16"/>
                <w:szCs w:val="16"/>
                <w:lang w:val="en-US"/>
              </w:rPr>
              <w:br/>
              <w:t xml:space="preserve">• Frequency of uploading body weight and circumferences  </w:t>
            </w:r>
            <w:r w:rsidRPr="00A96B0A">
              <w:rPr>
                <w:rFonts w:ascii="Calibri" w:eastAsia="Calibri" w:hAnsi="Calibri" w:cs="Calibri"/>
                <w:color w:val="000000" w:themeColor="text1"/>
                <w:sz w:val="16"/>
                <w:szCs w:val="16"/>
                <w:lang w:val="en-US"/>
              </w:rPr>
              <w:br/>
              <w:t>• Additional wellness content</w:t>
            </w:r>
          </w:p>
          <w:p w14:paraId="4C72C660"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Follow-up visits with doctor</w:t>
            </w:r>
          </w:p>
          <w:p w14:paraId="6A3141A4" w14:textId="77777777" w:rsidR="00A96B0A" w:rsidRPr="00A96B0A" w:rsidRDefault="00A96B0A" w:rsidP="00A96B0A">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Responsibility for setting goals</w:t>
            </w:r>
          </w:p>
          <w:p w14:paraId="7EB0189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Encouragement </w:t>
            </w:r>
          </w:p>
        </w:tc>
        <w:tc>
          <w:tcPr>
            <w:tcW w:w="1276" w:type="dxa"/>
          </w:tcPr>
          <w:p w14:paraId="44ABC41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0C8EE74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3893B1C4"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402347AF"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proofErr w:type="spellStart"/>
            <w:r w:rsidRPr="00A96B0A">
              <w:rPr>
                <w:rFonts w:asciiTheme="minorHAnsi" w:eastAsia="Calibri" w:hAnsiTheme="minorHAnsi" w:cstheme="minorHAnsi"/>
                <w:b/>
                <w:bCs/>
                <w:i w:val="0"/>
                <w:iCs w:val="0"/>
                <w:color w:val="000000" w:themeColor="text1"/>
                <w:sz w:val="16"/>
                <w:szCs w:val="26"/>
                <w:lang w:val="en-US"/>
              </w:rPr>
              <w:t>Simblett</w:t>
            </w:r>
            <w:proofErr w:type="spellEnd"/>
            <w:r w:rsidRPr="00A96B0A">
              <w:rPr>
                <w:rFonts w:asciiTheme="minorHAnsi" w:eastAsia="Calibri" w:hAnsiTheme="minorHAnsi" w:cstheme="minorHAnsi"/>
                <w:b/>
                <w:bCs/>
                <w:i w:val="0"/>
                <w:iCs w:val="0"/>
                <w:color w:val="000000" w:themeColor="text1"/>
                <w:sz w:val="16"/>
                <w:szCs w:val="26"/>
                <w:lang w:val="en-US"/>
              </w:rPr>
              <w:t xml:space="preserve"> et al. (2022)</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{"citationID":"fefo8Kj7","properties":{"formattedCitation":"[84]","plainCitation":"[84]","noteIndex":0},"citationItems":[{"id":2270,"uris":["http://zotero.org/users/4007286/items/9ZBUTX9T"],"itemData":{"id":2270,"type":"article-journal","abstract":"BACKGROUND: There is increasing interest in the potential uses of mobile health (mHealth) technologies, such as wearable biosensors, as supplements for the care of people with neurological conditions. However, adherence is low, especially over long periods. If people are to benefit from these resources, we need a better long-term understanding of what influences patient engagement. Previous research suggests that engagement is moderated by several barriers and facilitators, but their relative importance is unknown.\nOBJECTIVE: To determine preferences and the relative importance of user-generated factors influencing engagement with mHealth technologies for 2 common neurological conditions with a relapsing-remitting course: multiple sclerosis (MS) and epilepsy.\nMETHODS: In a discrete choice experiment, people with a diagnosis of MS (n=141) or epilepsy (n=175) were asked to select their preferred technology from a series of 8 vignettes with 4 characteristics: privacy, clinical support, established benefit, and device accuracy; each of these characteristics was greater or lower in each vignette. These characteristics had previously been emphasized by people with MS and or epilepsy as influencing engagement with technology. Mixed multinomial logistic regression models were used to establish which characteristics were most likely to affect engagement. Subgroup analyses explored the effects of demographic factors (such as age, gender, and education), acceptance of and familiarity with mobile technology, neurological diagnosis (MS or epilepsy), and symptoms that could influence motivation (such as depression).\nRESULTS: Analysis of the responses to the discrete choice experiment validated previous qualitative findings that a higher level of privacy, greater clinical support, increased perceived benefit, and better device accuracy are important to people with a neurological condition. Accuracy was perceived as the most important factor, followed by privacy. Clinical support was the least valued of the attributes. People were prepared to trade a modest amount of accuracy to achieve an improvement in privacy, but less likely to make this compromise for other factors. The type of neurological condition (epilepsy or MS) did not influence these preferences, nor did the age, gender, or mental health status of the participants. Those who were less accepting of technology were the most concerned about privacy and those with a lower level of education were prepared to trade accuracy for more clinical support.\nCONCLUSIONS: For people with neurological conditions such as epilepsy and MS, accuracy (ie, the ability to detect symptoms) is of the greatest interest. However, there are individual differences, and people who are less accepting of technology may need far greater reassurance about data privacy. People with lower levels of education value greater clinician involvement. These patient preferences should be considered when designing mHealth technologies.","container-title":"JMIR formative research","DOI":"10.2196/29509","ISSN":"2561-326X","issue":"5","journalAbbreviation":"JMIR Form Res","language":"eng","page":"e29509","source":"PubMed","title":"Key Drivers and Facilitators of the Choice to Use mHealth Technology in People With Neurological Conditions: Observational Study","title-short":"Key Drivers and Facilitators of the Choice to Use mHealth Technology in People With Neurological Conditions","volume":"6","author":[{"family":"Simblett","given":"Sara"},{"family":"Pennington","given":"Mark"},{"family":"Quaife","given":"Matthew"},{"family":"Theochari","given":"Evangelia"},{"family":"Burke","given":"Patrick"},{"family":"Brichetto","given":"Giampaolo"},{"family":"Devonshire","given":"Julie"},{"family":"Lees","given":"Simon"},{"family":"Little","given":"Ann"},{"family":"Pullen","given":"Angie"},{"family":"Stoneman","given":"Amanda"},{"family":"Thorpe","given":"Sarah"},{"family":"Weyer","given":"Janice"},{"family":"Polhemus","given":"Ashley"},{"family":"Novak","given":"Jan"},{"family":"Dawe-Lane","given":"Erin"},{"family":"Morris","given":"Daniel"},{"family":"Mutepua","given":"Magano"},{"family":"Odoi","given":"Clarissa"},{"family":"Wilson","given":"Emma"},{"family":"Wykes","given":"Til"}],"issued":{"date-parts":[["2022",5,23]]}}}],"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[84]</w:t>
            </w:r>
            <w:r w:rsidRPr="00A96B0A">
              <w:rPr>
                <w:rFonts w:asciiTheme="minorHAnsi" w:eastAsia="Calibri" w:hAnsiTheme="minorHAnsi" w:cstheme="minorHAnsi"/>
                <w:color w:val="000000" w:themeColor="text1"/>
                <w:sz w:val="16"/>
                <w:szCs w:val="26"/>
                <w:lang w:val="en-US"/>
              </w:rPr>
              <w:fldChar w:fldCharType="end"/>
            </w:r>
          </w:p>
          <w:p w14:paraId="2481E396"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UK</w:t>
            </w:r>
          </w:p>
        </w:tc>
        <w:tc>
          <w:tcPr>
            <w:tcW w:w="1985" w:type="dxa"/>
          </w:tcPr>
          <w:p w14:paraId="2604B14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Determine preferences and the relative importance of user generated factors influencing engagement with mHealth technologies for 2 common neurological conditions. </w:t>
            </w:r>
          </w:p>
          <w:p w14:paraId="1D10FA8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134" w:type="dxa"/>
          </w:tcPr>
          <w:p w14:paraId="2F6901A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6A7195B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Accuracy of detection</w:t>
            </w:r>
            <w:r w:rsidRPr="00A96B0A">
              <w:rPr>
                <w:rFonts w:ascii="Calibri" w:eastAsia="Calibri" w:hAnsi="Calibri" w:cs="Calibri"/>
                <w:color w:val="000000" w:themeColor="text1"/>
                <w:sz w:val="16"/>
                <w:szCs w:val="16"/>
                <w:lang w:val="en-US"/>
              </w:rPr>
              <w:br/>
              <w:t>• Privacy</w:t>
            </w:r>
            <w:r w:rsidRPr="00A96B0A">
              <w:rPr>
                <w:rFonts w:ascii="Calibri" w:eastAsia="Calibri" w:hAnsi="Calibri" w:cs="Calibri"/>
                <w:color w:val="000000" w:themeColor="text1"/>
                <w:sz w:val="16"/>
                <w:szCs w:val="16"/>
                <w:lang w:val="en-US"/>
              </w:rPr>
              <w:br/>
              <w:t>• Benefit to user</w:t>
            </w:r>
            <w:r w:rsidRPr="00A96B0A">
              <w:rPr>
                <w:rFonts w:ascii="Calibri" w:eastAsia="Calibri" w:hAnsi="Calibri" w:cs="Calibri"/>
                <w:color w:val="000000" w:themeColor="text1"/>
                <w:sz w:val="16"/>
                <w:szCs w:val="16"/>
                <w:lang w:val="en-US"/>
              </w:rPr>
              <w:br/>
              <w:t>• Scope for support</w:t>
            </w:r>
          </w:p>
          <w:p w14:paraId="2288BDA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72E1AB4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Marginal rates of substitution (attributes compared to accuracy of detection)</w:t>
            </w:r>
          </w:p>
        </w:tc>
        <w:tc>
          <w:tcPr>
            <w:tcW w:w="1559" w:type="dxa"/>
          </w:tcPr>
          <w:p w14:paraId="5673BDC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3145053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Privacy</w:t>
            </w:r>
          </w:p>
          <w:p w14:paraId="3FE5DB1C"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Benefit to user</w:t>
            </w:r>
          </w:p>
          <w:p w14:paraId="701389A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Scope for support</w:t>
            </w:r>
          </w:p>
        </w:tc>
      </w:tr>
      <w:tr w:rsidR="00A96B0A" w:rsidRPr="00A96B0A" w14:paraId="60A8AC1F"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15178299" w14:textId="77777777" w:rsidR="00A96B0A" w:rsidRDefault="00A96B0A" w:rsidP="00A96B0A">
            <w:pPr>
              <w:keepNext/>
              <w:keepLines/>
              <w:spacing w:before="40" w:line="240" w:lineRule="auto"/>
              <w:jc w:val="center"/>
              <w:outlineLvl w:val="1"/>
              <w:rPr>
                <w:rFonts w:asciiTheme="minorHAnsi" w:eastAsia="Calibri" w:hAnsiTheme="minorHAnsi" w:cstheme="minorHAnsi"/>
                <w:b/>
                <w:bCs/>
                <w:color w:val="000000" w:themeColor="text1"/>
                <w:sz w:val="16"/>
                <w:szCs w:val="26"/>
                <w:lang w:val="en-US"/>
              </w:rPr>
            </w:pPr>
            <w:proofErr w:type="spellStart"/>
            <w:r w:rsidRPr="00A96B0A">
              <w:rPr>
                <w:rFonts w:asciiTheme="minorHAnsi" w:eastAsia="Calibri" w:hAnsiTheme="minorHAnsi" w:cstheme="minorHAnsi"/>
                <w:b/>
                <w:bCs/>
                <w:i w:val="0"/>
                <w:iCs w:val="0"/>
                <w:color w:val="000000" w:themeColor="text1"/>
                <w:sz w:val="16"/>
                <w:szCs w:val="26"/>
                <w:lang w:val="en-US"/>
              </w:rPr>
              <w:t>Simblett</w:t>
            </w:r>
            <w:proofErr w:type="spellEnd"/>
            <w:r w:rsidRPr="00A96B0A">
              <w:rPr>
                <w:rFonts w:asciiTheme="minorHAnsi" w:eastAsia="Calibri" w:hAnsiTheme="minorHAnsi" w:cstheme="minorHAnsi"/>
                <w:b/>
                <w:bCs/>
                <w:i w:val="0"/>
                <w:iCs w:val="0"/>
                <w:color w:val="000000" w:themeColor="text1"/>
                <w:sz w:val="16"/>
                <w:szCs w:val="26"/>
                <w:lang w:val="en-US"/>
              </w:rPr>
              <w:t xml:space="preserve"> </w:t>
            </w:r>
          </w:p>
          <w:p w14:paraId="41F9EB9E"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et al.</w:t>
            </w:r>
            <w:r>
              <w:rPr>
                <w:rFonts w:asciiTheme="minorHAnsi" w:eastAsia="Calibri" w:hAnsiTheme="minorHAnsi" w:cstheme="minorHAnsi"/>
                <w:b/>
                <w:bCs/>
                <w:i w:val="0"/>
                <w:iCs w:val="0"/>
                <w:color w:val="000000" w:themeColor="text1"/>
                <w:sz w:val="16"/>
                <w:szCs w:val="26"/>
                <w:lang w:val="en-US"/>
              </w:rPr>
              <w:t xml:space="preserve"> </w:t>
            </w:r>
            <w:r w:rsidRPr="00A96B0A">
              <w:rPr>
                <w:rFonts w:asciiTheme="minorHAnsi" w:eastAsia="Calibri" w:hAnsiTheme="minorHAnsi" w:cstheme="minorHAnsi"/>
                <w:b/>
                <w:bCs/>
                <w:i w:val="0"/>
                <w:iCs w:val="0"/>
                <w:color w:val="000000" w:themeColor="text1"/>
                <w:sz w:val="16"/>
                <w:szCs w:val="26"/>
                <w:lang w:val="en-US"/>
              </w:rPr>
              <w:t>(2023)</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{"citationID":"zSenAJOU","properties":{"formattedCitation":"[85]","plainCitation":"[85]","noteIndex":0},"citationItems":[{"id":2196,"uris":["http://zotero.org/users/4007286/items/NF3LRT8V"],"itemData":{"id":2196,"type":"article-journal","abstract":"Background: In time, we may be able to detect the early onset of symptoms of depression and even predict relapse using behavioural data gathered through mobile technologies. However, barriers to adoption exist and understanding the importance of these factors to users is vital to ensure maximum adoption. Method: In a discrete choice experiment, people with a history of depression (N = 171) were asked to select their preferred technology from a series of vignettes containing four characteristics: privacy, clinical support, established benefit and device accuracy (i.e., ability to detect symptoms), with different levels. Mixed logit models were used to establish what was most likely to affect adoption. Sub-group analyses explored effects of age, gender, education, technology acceptance and familiarity, and nationality. Results: Higher level of privacy, greater clinical support, increased perceived benefit and better device accuracy were important. Accuracy was the most important, with only modest compromises willing to be made to increase other factors such as privacy. Established benefit was the least valued of the attributes with participants happy with technology that had possible but unknown benefits. Preferences were moderated by technology acceptance, age, nationality, and educational background. Conclusion: For people with a history of depression, adoption of technology may be driven by the desire for accurate detection of symptoms. However, people with lower technology acceptance and educational attainment, those who were younger, and specific nationalities may be willing to compromise on some accuracy for more privacy and clinical support. These preferences should help shape design of mHealth tools.","archive":"Embase","container-title":"Journal of Affective Disorders","DOI":"10.1016/j.jad.2023.03.030","ISSN":"1573-2517","issue":"(Simblett S.K., sara.simblett@kcl.ac.uk; Dawe-Lane E.; Morris D.; Mutepua M.; Odoi C.; Wilson E.; Wykes T.) Department of Psychology, King's College London, London, United Kingdom","journalAbbreviation":"J. Affective Disord.","language":"English","page":"334-341","title":"Patient preferences for key drivers and facilitators of adoption of mHealth technology to manage depression: A discrete choice experiment","volume":"331","author":[{"family":"Simblett","given":"S.K."},{"family":"Pennington","given":"M."},{"family":"Quaife","given":"M."},{"family":"Siddi","given":"S."},{"family":"Lombardini","given":"F."},{"family":"Haro","given":"J.M."},{"family":"Peñarrubia-Maria","given":"M.T."},{"family":"Bruce","given":"S."},{"family":"Nica","given":"R."},{"family":"Zorbas","given":"S."},{"family":"Polhemus","given":"A."},{"family":"Novak","given":"J."},{"family":"Dawe-Lane","given":"E."},{"family":"Morris","given":"D."},{"family":"Mutepua","given":"M."},{"family":"Odoi","given":"C."},{"family":"Wilson","given":"E."},{"family":"Matcham","given":"F."},{"family":"White","given":"K.M."},{"family":"Hotopf","given":"M."},{"family":"Wykes","given":"T."}],"issued":{"date-parts":[["2023"]]}}}],"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[85]</w:t>
            </w:r>
            <w:r w:rsidRPr="00A96B0A">
              <w:rPr>
                <w:rFonts w:asciiTheme="minorHAnsi" w:eastAsia="Calibri" w:hAnsiTheme="minorHAnsi" w:cstheme="minorHAnsi"/>
                <w:color w:val="000000" w:themeColor="text1"/>
                <w:sz w:val="16"/>
                <w:szCs w:val="26"/>
                <w:lang w:val="en-US"/>
              </w:rPr>
              <w:fldChar w:fldCharType="end"/>
            </w:r>
          </w:p>
          <w:p w14:paraId="2BD0E38B"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i w:val="0"/>
                <w:iCs w:val="0"/>
                <w:color w:val="000000" w:themeColor="text1"/>
                <w:sz w:val="16"/>
                <w:szCs w:val="26"/>
                <w:lang w:val="en-US"/>
              </w:rPr>
              <w:t>UK</w:t>
            </w:r>
          </w:p>
          <w:p w14:paraId="07B6087E"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Spain</w:t>
            </w:r>
          </w:p>
        </w:tc>
        <w:tc>
          <w:tcPr>
            <w:tcW w:w="1985" w:type="dxa"/>
          </w:tcPr>
          <w:p w14:paraId="6D7077B4"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Explore the relative importance of several dimensions that affect mobile technology adoption for people with a history of depression</w:t>
            </w:r>
          </w:p>
          <w:p w14:paraId="0EAD1B7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134" w:type="dxa"/>
          </w:tcPr>
          <w:p w14:paraId="2204883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22EA7ED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Accuracy of detection</w:t>
            </w:r>
            <w:r w:rsidRPr="00A96B0A">
              <w:rPr>
                <w:rFonts w:ascii="Calibri" w:eastAsia="Calibri" w:hAnsi="Calibri" w:cs="Calibri"/>
                <w:color w:val="000000" w:themeColor="text1"/>
                <w:sz w:val="16"/>
                <w:szCs w:val="16"/>
                <w:lang w:val="en-US"/>
              </w:rPr>
              <w:br/>
              <w:t>• Privacy</w:t>
            </w:r>
            <w:r w:rsidRPr="00A96B0A">
              <w:rPr>
                <w:rFonts w:ascii="Calibri" w:eastAsia="Calibri" w:hAnsi="Calibri" w:cs="Calibri"/>
                <w:color w:val="000000" w:themeColor="text1"/>
                <w:sz w:val="16"/>
                <w:szCs w:val="16"/>
                <w:lang w:val="en-US"/>
              </w:rPr>
              <w:br/>
              <w:t>• Benefit to user</w:t>
            </w:r>
            <w:r w:rsidRPr="00A96B0A">
              <w:rPr>
                <w:rFonts w:ascii="Calibri" w:eastAsia="Calibri" w:hAnsi="Calibri" w:cs="Calibri"/>
                <w:color w:val="000000" w:themeColor="text1"/>
                <w:sz w:val="16"/>
                <w:szCs w:val="16"/>
                <w:lang w:val="en-US"/>
              </w:rPr>
              <w:br/>
              <w:t>• Scope for support</w:t>
            </w:r>
          </w:p>
          <w:p w14:paraId="19110EA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3E6B922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Marginal rates of substitution (attributes compared to accuracy of detection)</w:t>
            </w:r>
          </w:p>
          <w:p w14:paraId="3FD3B81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559" w:type="dxa"/>
          </w:tcPr>
          <w:p w14:paraId="3849375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6BDD1CA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Privacy</w:t>
            </w:r>
          </w:p>
          <w:p w14:paraId="1CA061B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2. Scope for support </w:t>
            </w:r>
          </w:p>
          <w:p w14:paraId="4FD2AFA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Benefit to user</w:t>
            </w:r>
          </w:p>
        </w:tc>
      </w:tr>
      <w:tr w:rsidR="00A96B0A" w:rsidRPr="00A96B0A" w14:paraId="5AA37529" w14:textId="77777777" w:rsidTr="00AB6102">
        <w:trPr>
          <w:trHeight w:val="426"/>
        </w:trPr>
        <w:tc>
          <w:tcPr>
            <w:cnfStyle w:val="001000000000" w:firstRow="0" w:lastRow="0" w:firstColumn="1" w:lastColumn="0" w:oddVBand="0" w:evenVBand="0" w:oddHBand="0" w:evenHBand="0" w:firstRowFirstColumn="0" w:firstRowLastColumn="0" w:lastRowFirstColumn="0" w:lastRowLastColumn="0"/>
            <w:tcW w:w="1134" w:type="dxa"/>
          </w:tcPr>
          <w:p w14:paraId="41E00C09"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proofErr w:type="spellStart"/>
            <w:r w:rsidRPr="00A96B0A">
              <w:rPr>
                <w:rFonts w:asciiTheme="minorHAnsi" w:eastAsia="Calibri" w:hAnsiTheme="minorHAnsi" w:cstheme="minorHAnsi"/>
                <w:b/>
                <w:bCs/>
                <w:i w:val="0"/>
                <w:iCs w:val="0"/>
                <w:color w:val="000000" w:themeColor="text1"/>
                <w:sz w:val="16"/>
                <w:szCs w:val="26"/>
                <w:lang w:val="en-US"/>
              </w:rPr>
              <w:lastRenderedPageBreak/>
              <w:t>Snoswell</w:t>
            </w:r>
            <w:proofErr w:type="spellEnd"/>
            <w:r w:rsidRPr="00A96B0A">
              <w:rPr>
                <w:rFonts w:asciiTheme="minorHAnsi" w:eastAsia="Calibri" w:hAnsiTheme="minorHAnsi" w:cstheme="minorHAnsi"/>
                <w:b/>
                <w:bCs/>
                <w:i w:val="0"/>
                <w:iCs w:val="0"/>
                <w:color w:val="000000" w:themeColor="text1"/>
                <w:sz w:val="16"/>
                <w:szCs w:val="26"/>
                <w:lang w:val="en-US"/>
              </w:rPr>
              <w:t xml:space="preserve"> et al. (2022)</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{"citationID":"ClRE9gwg","properties":{"formattedCitation":"[66]","plainCitation":"[66]","noteIndex":0},"citationItems":[{"id":2606,"uris":["http://zotero.org/users/4007286/items/JUIWSMGS"],"itemData":{"id":2606,"type":"article-journal","abstract":"Objective: To investigate consumer preference and willingness to pay for mobile teledermoscopy services in Australia. Methods: Consumers who were taking part in a randomised controlled trial comparing mobile teledermoscopy and skin self-examination were asked to complete a survey which incorporated a discrete choice experiment (DCE) and a contingent valuation question. Responses were used to determine their willingness to pay for mobile teledermoscopy services in Australia and their overall service preferences. Results: The 199 consumers who responded were 71% female and had a mean age of 42 years (range, 18-73). The DCE results showed that consumers prefer a trained medical professional to be involved in their skin cancer screening. Consumers were willing to pay AUD 41 to change from a general practitioner reviewing their lesions in-person to having a dermatologist reviewing the teledermoscopy images. Additionally, they were willing to pay for services that had shorter waiting times, that reduced the time away from their usual activities, and that have higher accuracy and lower likelihood of unnecessary excision of a skin lesion. When asked directly about their willingness to pay for a teledermoscopy service using a contingent valuation question, the majority (73%) of consumers selected the lowest two value brackets of AUD 1-20 or AUD 21-40. Conclusion: Consumers are willing to pay out of pocket to access services with attributes such as a dermatologist review, improved accuracy, and fewer excisions.  © 2021 The Author(s) Published by S. Karger AG, Basel.","archive":"Scopus","container-title":"Dermatology","DOI":"10.1159/000517257","issue":"2","page":"358-367","title":"Consumer Preference and Willingness to Pay for Direct-to-Consumer Mobile Teledermoscopy Services in Australia","volume":"238","author":[{"family":"Snoswell","given":"C.L."},{"family":"Whitty","given":"J.A."},{"family":"Caffery","given":"L.J."},{"family":"Kho","given":"J."},{"family":"Horsham","given":"C."},{"family":"Loescher","given":"L.J."},{"family":"Vagenas","given":"D."},{"family":"Gillespie","given":"N."},{"family":"Soyer","given":"H.P."},{"family":"Janda","given":"M."}],"issued":{"date-parts":[["2022"]]}}}],"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[66]</w:t>
            </w:r>
            <w:r w:rsidRPr="00A96B0A">
              <w:rPr>
                <w:rFonts w:asciiTheme="minorHAnsi" w:eastAsia="Calibri" w:hAnsiTheme="minorHAnsi" w:cstheme="minorHAnsi"/>
                <w:color w:val="000000" w:themeColor="text1"/>
                <w:sz w:val="16"/>
                <w:szCs w:val="26"/>
                <w:lang w:val="en-US"/>
              </w:rPr>
              <w:fldChar w:fldCharType="end"/>
            </w:r>
          </w:p>
          <w:p w14:paraId="4B3A88E4"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Australia</w:t>
            </w:r>
          </w:p>
        </w:tc>
        <w:tc>
          <w:tcPr>
            <w:tcW w:w="1985" w:type="dxa"/>
          </w:tcPr>
          <w:p w14:paraId="1FA2619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Examine preferences and willingness to pay of consumers regarding </w:t>
            </w:r>
            <w:proofErr w:type="spellStart"/>
            <w:r w:rsidRPr="00A96B0A">
              <w:rPr>
                <w:rFonts w:ascii="Calibri" w:eastAsia="Calibri" w:hAnsi="Calibri" w:cs="Calibri"/>
                <w:color w:val="000000" w:themeColor="text1"/>
                <w:sz w:val="16"/>
                <w:szCs w:val="16"/>
                <w:lang w:val="en-US"/>
              </w:rPr>
              <w:t>teledermoscopy</w:t>
            </w:r>
            <w:proofErr w:type="spellEnd"/>
            <w:r w:rsidRPr="00A96B0A">
              <w:rPr>
                <w:rFonts w:ascii="Calibri" w:eastAsia="Calibri" w:hAnsi="Calibri" w:cs="Calibri"/>
                <w:color w:val="000000" w:themeColor="text1"/>
                <w:sz w:val="16"/>
                <w:szCs w:val="16"/>
                <w:lang w:val="en-US"/>
              </w:rPr>
              <w:t xml:space="preserve"> services</w:t>
            </w:r>
          </w:p>
        </w:tc>
        <w:tc>
          <w:tcPr>
            <w:tcW w:w="1134" w:type="dxa"/>
          </w:tcPr>
          <w:p w14:paraId="338640E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4075E65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Method of screening</w:t>
            </w:r>
            <w:r w:rsidRPr="00A96B0A">
              <w:rPr>
                <w:rFonts w:ascii="Calibri" w:eastAsia="Calibri" w:hAnsi="Calibri" w:cs="Calibri"/>
                <w:color w:val="000000" w:themeColor="text1"/>
                <w:sz w:val="16"/>
                <w:szCs w:val="16"/>
                <w:lang w:val="en-US"/>
              </w:rPr>
              <w:br/>
              <w:t>• Time away from usual activities including travel</w:t>
            </w:r>
            <w:r w:rsidRPr="00A96B0A">
              <w:rPr>
                <w:rFonts w:ascii="Calibri" w:eastAsia="Calibri" w:hAnsi="Calibri" w:cs="Calibri"/>
                <w:color w:val="000000" w:themeColor="text1"/>
                <w:sz w:val="16"/>
                <w:szCs w:val="16"/>
                <w:lang w:val="en-US"/>
              </w:rPr>
              <w:br/>
              <w:t>• Chance of accurately diagnosing a skin lesion</w:t>
            </w:r>
            <w:r w:rsidRPr="00A96B0A">
              <w:rPr>
                <w:rFonts w:ascii="Calibri" w:eastAsia="Calibri" w:hAnsi="Calibri" w:cs="Calibri"/>
                <w:color w:val="000000" w:themeColor="text1"/>
                <w:sz w:val="16"/>
                <w:szCs w:val="16"/>
                <w:lang w:val="en-US"/>
              </w:rPr>
              <w:br/>
              <w:t>• Wait time to get result</w:t>
            </w:r>
            <w:r w:rsidRPr="00A96B0A">
              <w:rPr>
                <w:rFonts w:ascii="Calibri" w:eastAsia="Calibri" w:hAnsi="Calibri" w:cs="Calibri"/>
                <w:color w:val="000000" w:themeColor="text1"/>
                <w:sz w:val="16"/>
                <w:szCs w:val="16"/>
                <w:lang w:val="en-US"/>
              </w:rPr>
              <w:br/>
              <w:t xml:space="preserve">• Who reviews the result </w:t>
            </w:r>
            <w:r w:rsidRPr="00A96B0A">
              <w:rPr>
                <w:rFonts w:ascii="Calibri" w:eastAsia="Calibri" w:hAnsi="Calibri" w:cs="Calibri"/>
                <w:color w:val="000000" w:themeColor="text1"/>
                <w:sz w:val="16"/>
                <w:szCs w:val="16"/>
                <w:lang w:val="en-US"/>
              </w:rPr>
              <w:br/>
              <w:t>• Number of non-cancerous lesions removed to detect one skin cancer</w:t>
            </w:r>
            <w:r w:rsidRPr="00A96B0A">
              <w:rPr>
                <w:rFonts w:ascii="Calibri" w:eastAsia="Calibri" w:hAnsi="Calibri" w:cs="Calibri"/>
                <w:color w:val="000000" w:themeColor="text1"/>
                <w:sz w:val="16"/>
                <w:szCs w:val="16"/>
                <w:lang w:val="en-US"/>
              </w:rPr>
              <w:br/>
              <w:t>• Out of pocket cost (continuous)</w:t>
            </w:r>
          </w:p>
        </w:tc>
        <w:tc>
          <w:tcPr>
            <w:tcW w:w="1276" w:type="dxa"/>
          </w:tcPr>
          <w:p w14:paraId="061194E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6B8B50B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2F352AE8"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4BD27E16"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proofErr w:type="spellStart"/>
            <w:r w:rsidRPr="00A96B0A">
              <w:rPr>
                <w:rFonts w:asciiTheme="minorHAnsi" w:eastAsia="Calibri" w:hAnsiTheme="minorHAnsi" w:cstheme="minorHAnsi"/>
                <w:b/>
                <w:bCs/>
                <w:i w:val="0"/>
                <w:iCs w:val="0"/>
                <w:color w:val="000000" w:themeColor="text1"/>
                <w:sz w:val="16"/>
                <w:szCs w:val="26"/>
                <w:lang w:val="en-US"/>
              </w:rPr>
              <w:t>Snoswell</w:t>
            </w:r>
            <w:proofErr w:type="spellEnd"/>
            <w:r w:rsidRPr="00A96B0A">
              <w:rPr>
                <w:rFonts w:asciiTheme="minorHAnsi" w:eastAsia="Calibri" w:hAnsiTheme="minorHAnsi" w:cstheme="minorHAnsi"/>
                <w:b/>
                <w:bCs/>
                <w:i w:val="0"/>
                <w:iCs w:val="0"/>
                <w:color w:val="000000" w:themeColor="text1"/>
                <w:sz w:val="16"/>
                <w:szCs w:val="26"/>
                <w:lang w:val="en-US"/>
              </w:rPr>
              <w:t xml:space="preserve"> et al. (2021)</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{"citationID":"KAAXdx6z","properties":{"formattedCitation":"[65]","plainCitation":"[65]","noteIndex":0},"citationItems":[{"id":2204,"uris":["http://zotero.org/users/4007286/items/FPV34272"],"itemData":{"id":2204,"type":"article-journal","abstract":"INTRODUCTION: Telehealth has been shown to improve access to care, reduce personal expenses and reduce the need for travel. Despite these benefits, patients may be less inclined to seek a telehealth service, if they consider it inferior to an in-person encounter. The aims of this study were to identify patient preferences for attributes of a healthcare service and to quantify the value of these attributes. METHODS: We surveyed patients who had taken an outpatient telehealth consult in the previous year using a survey that included a discrete choice experiment. We investigated patient preferences for attributes of healthcare delivery and their willingness to pay for out-of-pocket costs. RESULTS: Patients (n = 62) preferred to have a consultation, regardless of type, than no consultation at all. Patients preferred healthcare services with lower out-of-pocket costs, higher levels of perceived benefit and less time away from usual activities (p &lt; 0.008). Most patients preferred specialist care over in-person general practitioner care. Their order of preference to obtain specialist care was a videoconsultation into the patient's local general practitioner practice or hospital (p &lt; 0.003), a videoconsultation into the home, and finally travelling for in-person appointment. Patients were willing to pay out-of-pocket costs for attributes they valued: to be seen by a specialist over videoconference ($129) and to reduce time away from usual activities ($160). CONCLUSION: Patients value specialist care, lower out-of-pocket costs and less time away from usual activities. Telehealth is more likely than in-person care to cater to these preferences in many instances.","archive":"Medline","container-title":"Journal of telemedicine and telecare","DOI":"10.1177/1357633X211022898","ISSN":"1758-1109","issue":"(Snoswell C.L.; Smith A.C.; Caffery L.J.) Centre for Online Health, 1974The University of Queensland, Australia","journalAbbreviation":"J Telemed Telecare","language":"English","page":"1357633X211022898","title":"Patient preferences for specialist outpatient video consultations: A discrete choice experiment","author":[{"family":"Snoswell","given":"C.L."},{"family":"Smith","given":"A.C."},{"family":"Page","given":"M."},{"family":"Caffery","given":"L.J."}],"issued":{"date-parts":[["2021"]]}}}],"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[65]</w:t>
            </w:r>
            <w:r w:rsidRPr="00A96B0A">
              <w:rPr>
                <w:rFonts w:asciiTheme="minorHAnsi" w:eastAsia="Calibri" w:hAnsiTheme="minorHAnsi" w:cstheme="minorHAnsi"/>
                <w:color w:val="000000" w:themeColor="text1"/>
                <w:sz w:val="16"/>
                <w:szCs w:val="26"/>
                <w:lang w:val="en-US"/>
              </w:rPr>
              <w:fldChar w:fldCharType="end"/>
            </w:r>
          </w:p>
          <w:p w14:paraId="653BE3D0"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Australia</w:t>
            </w:r>
          </w:p>
        </w:tc>
        <w:tc>
          <w:tcPr>
            <w:tcW w:w="1985" w:type="dxa"/>
          </w:tcPr>
          <w:p w14:paraId="459F89E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Identify patient preferences for specialist outpatient video consultations</w:t>
            </w:r>
          </w:p>
        </w:tc>
        <w:tc>
          <w:tcPr>
            <w:tcW w:w="1134" w:type="dxa"/>
          </w:tcPr>
          <w:p w14:paraId="1479B5D0"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1C40B91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Type of consultation </w:t>
            </w:r>
            <w:r w:rsidRPr="00A96B0A">
              <w:rPr>
                <w:rFonts w:ascii="Calibri" w:eastAsia="Calibri" w:hAnsi="Calibri" w:cs="Calibri"/>
                <w:color w:val="000000" w:themeColor="text1"/>
                <w:sz w:val="16"/>
                <w:szCs w:val="16"/>
                <w:lang w:val="en-US"/>
              </w:rPr>
              <w:br/>
              <w:t>• Perceived benefit from the consult</w:t>
            </w:r>
            <w:r w:rsidRPr="00A96B0A">
              <w:rPr>
                <w:rFonts w:ascii="Calibri" w:eastAsia="Calibri" w:hAnsi="Calibri" w:cs="Calibri"/>
                <w:color w:val="000000" w:themeColor="text1"/>
                <w:sz w:val="16"/>
                <w:szCs w:val="16"/>
                <w:lang w:val="en-US"/>
              </w:rPr>
              <w:br/>
              <w:t>• Patients time away from usual activities</w:t>
            </w:r>
            <w:r w:rsidRPr="00A96B0A">
              <w:rPr>
                <w:rFonts w:ascii="Calibri" w:eastAsia="Calibri" w:hAnsi="Calibri" w:cs="Calibri"/>
                <w:color w:val="000000" w:themeColor="text1"/>
                <w:sz w:val="16"/>
                <w:szCs w:val="16"/>
                <w:lang w:val="en-US"/>
              </w:rPr>
              <w:br/>
              <w:t>• Total out-of-pocket cost to attend the consult (continuous)</w:t>
            </w:r>
          </w:p>
          <w:p w14:paraId="7A08861B"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340DBE3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NA</w:t>
            </w:r>
          </w:p>
        </w:tc>
        <w:tc>
          <w:tcPr>
            <w:tcW w:w="1559" w:type="dxa"/>
          </w:tcPr>
          <w:p w14:paraId="0E46CF9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p w14:paraId="4D96D9F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r>
      <w:tr w:rsidR="00A96B0A" w:rsidRPr="00A96B0A" w14:paraId="2B2174E5"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25BBCD04"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Spinks et al.</w:t>
            </w:r>
          </w:p>
          <w:p w14:paraId="30B4D7EA"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(2016)</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{"citationID":"rSfB0LQ9","properties":{"formattedCitation":"[67]","plainCitation":"[67]","noteIndex":0},"citationItems":[{"id":2426,"uris":["http://zotero.org/users/4007286/items/9T5Y3WWR"],"itemData":{"id":2426,"type":"article-journal","abstract":"Introduction: 'Store and forward' teledermoscopy is a technology with potential advantages for melanoma screening. Any large-scale implementation of this technology is dependent on consumer acceptance. Aim: To investigate preferences for melanoma screening options compared with skin self-examination in adults considered to be at increased risk of developing skin cancer. Methods: A discrete choice experiment was completed by 35 consumers, all of whom had prior experience with the use of teledermoscopy, in Queensland, Australia. Participants made 12 choices between screening alternatives described by seven attributes including monetary cost. A mixed logit model was used to estimate the relative weights that consumers place on different aspects of screening, along with the marginal willingness to pay for teledermoscopy as opposed to screening at a clinic. Results: Overall, participants preferred screening/diagnosis by a health professional rather than skin self-examination. Key drivers of screening choice were for results to be reviewed by a dermatologist; a higher detection rate; fewer non-cancerous moles being removed in relation to every skin cancer detected; and less time spent away from usual activities. On average, participants were willing to pay AUD110 to have teledermoscopy with dermatologist review available to them as a screening option. Discussion and Conclusions: Consumers preferentially value aspects of care that are more feasible with a teledermoscopy screening model, as compared with other skin cancer screening and diagnosis options. This study adds to previous literature in the area which has relied on the use of consumer satisfaction scales to assess the acceptability of teledermoscopy.","archive":"ccm","container-title":"Journal of Telemedicine &amp; Telecare","DOI":"10.1177/1357633X15586701","ISSN":"1357-633X","issue":"1","journalAbbreviation":"Journal of Telemedicine &amp; Telecare","page":"39-46","source":"EBSCOhost","title":"Consumer preferences for teledermoscopy screening to detect melanoma early.","volume":"22","author":[{"family":"Spinks","given":"Jean"},{"family":"Janda","given":"Monika"},{"family":"Soyer","given":"H. Peter"},{"family":"Whitty","given":"Jennifer A."}],"issued":{"date-parts":[["2016",1]]}}}],"schema":"https://github.com/citation-style-language/schema/raw/master/csl-citation.json"}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[67]</w:t>
            </w:r>
            <w:r w:rsidRPr="00A96B0A">
              <w:rPr>
                <w:rFonts w:asciiTheme="minorHAnsi" w:eastAsia="Calibri" w:hAnsiTheme="minorHAnsi" w:cstheme="minorHAnsi"/>
                <w:color w:val="000000" w:themeColor="text1"/>
                <w:sz w:val="16"/>
                <w:szCs w:val="26"/>
                <w:lang w:val="en-US"/>
              </w:rPr>
              <w:fldChar w:fldCharType="end"/>
            </w:r>
          </w:p>
          <w:p w14:paraId="24CBEE19"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Australia</w:t>
            </w:r>
          </w:p>
        </w:tc>
        <w:tc>
          <w:tcPr>
            <w:tcW w:w="1985" w:type="dxa"/>
          </w:tcPr>
          <w:p w14:paraId="3E79F08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Investigate preferences for melanoma screening options compared with skin self-examination</w:t>
            </w:r>
          </w:p>
        </w:tc>
        <w:tc>
          <w:tcPr>
            <w:tcW w:w="1134" w:type="dxa"/>
          </w:tcPr>
          <w:p w14:paraId="670C39E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5B16908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Method of screening </w:t>
            </w:r>
            <w:r w:rsidRPr="00A96B0A">
              <w:rPr>
                <w:rFonts w:ascii="Calibri" w:eastAsia="Calibri" w:hAnsi="Calibri" w:cs="Calibri"/>
                <w:color w:val="000000" w:themeColor="text1"/>
                <w:sz w:val="16"/>
                <w:szCs w:val="16"/>
                <w:lang w:val="en-US"/>
              </w:rPr>
              <w:br/>
              <w:t>• Time away from home including travel</w:t>
            </w:r>
            <w:r w:rsidRPr="00A96B0A">
              <w:rPr>
                <w:rFonts w:ascii="Calibri" w:eastAsia="Calibri" w:hAnsi="Calibri" w:cs="Calibri"/>
                <w:color w:val="000000" w:themeColor="text1"/>
                <w:sz w:val="16"/>
                <w:szCs w:val="16"/>
                <w:lang w:val="en-US"/>
              </w:rPr>
              <w:br/>
              <w:t>• Chance of detection of melanoma if one is present</w:t>
            </w:r>
            <w:r w:rsidRPr="00A96B0A">
              <w:rPr>
                <w:rFonts w:ascii="Calibri" w:eastAsia="Calibri" w:hAnsi="Calibri" w:cs="Calibri"/>
                <w:color w:val="000000" w:themeColor="text1"/>
                <w:sz w:val="16"/>
                <w:szCs w:val="16"/>
                <w:lang w:val="en-US"/>
              </w:rPr>
              <w:br/>
              <w:t xml:space="preserve">• Wait time to get result </w:t>
            </w:r>
            <w:r w:rsidRPr="00A96B0A">
              <w:rPr>
                <w:rFonts w:ascii="Calibri" w:eastAsia="Calibri" w:hAnsi="Calibri" w:cs="Calibri"/>
                <w:color w:val="000000" w:themeColor="text1"/>
                <w:sz w:val="16"/>
                <w:szCs w:val="16"/>
                <w:lang w:val="en-US"/>
              </w:rPr>
              <w:br/>
              <w:t>• Number of non-cancerous moles removed to find one melanoma</w:t>
            </w:r>
          </w:p>
          <w:p w14:paraId="0BB4B3E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Who reviews the results</w:t>
            </w:r>
          </w:p>
          <w:p w14:paraId="2E65E18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Out of pocket cost (continuous)</w:t>
            </w:r>
          </w:p>
          <w:p w14:paraId="158AF97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0F917E9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Compensating variation (Welfare gain </w:t>
            </w:r>
            <w:r w:rsidRPr="00A96B0A">
              <w:rPr>
                <w:rFonts w:ascii="Calibri" w:eastAsiaTheme="majorEastAsia" w:hAnsi="Calibri" w:cs="Calibri"/>
                <w:color w:val="000000" w:themeColor="text1"/>
                <w:sz w:val="16"/>
                <w:szCs w:val="16"/>
                <w:lang w:val="en-US"/>
              </w:rPr>
              <w:t>associated</w:t>
            </w:r>
            <w:r w:rsidRPr="00A96B0A">
              <w:rPr>
                <w:rFonts w:ascii="Calibri" w:eastAsia="Calibri" w:hAnsi="Calibri" w:cs="Calibri"/>
                <w:color w:val="000000" w:themeColor="text1"/>
                <w:sz w:val="16"/>
                <w:szCs w:val="16"/>
                <w:lang w:val="en-US"/>
              </w:rPr>
              <w:t xml:space="preserve"> with different screening models)</w:t>
            </w:r>
          </w:p>
        </w:tc>
        <w:tc>
          <w:tcPr>
            <w:tcW w:w="1559" w:type="dxa"/>
          </w:tcPr>
          <w:p w14:paraId="5BB1FBFC"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Patients were willing to pay more for the option to have</w:t>
            </w:r>
            <w:r w:rsidRPr="00A96B0A">
              <w:rPr>
                <w:rFonts w:ascii="Calibri" w:eastAsiaTheme="majorEastAsia" w:hAnsi="Calibri" w:cs="Calibri"/>
                <w:color w:val="000000" w:themeColor="text1"/>
                <w:sz w:val="16"/>
                <w:szCs w:val="16"/>
                <w:lang w:val="en-US"/>
              </w:rPr>
              <w:t xml:space="preserve"> </w:t>
            </w:r>
            <w:proofErr w:type="spellStart"/>
            <w:r w:rsidRPr="00A96B0A">
              <w:rPr>
                <w:rFonts w:ascii="Calibri" w:eastAsiaTheme="majorEastAsia" w:hAnsi="Calibri" w:cs="Calibri"/>
                <w:color w:val="000000" w:themeColor="text1"/>
                <w:sz w:val="16"/>
                <w:szCs w:val="16"/>
                <w:lang w:val="en-US"/>
              </w:rPr>
              <w:t>t</w:t>
            </w:r>
            <w:r w:rsidRPr="00A96B0A">
              <w:rPr>
                <w:rFonts w:ascii="Calibri" w:eastAsia="Calibri" w:hAnsi="Calibri" w:cs="Calibri"/>
                <w:color w:val="000000" w:themeColor="text1"/>
                <w:sz w:val="16"/>
                <w:szCs w:val="16"/>
                <w:lang w:val="en-US"/>
              </w:rPr>
              <w:t>eledermoscopy</w:t>
            </w:r>
            <w:proofErr w:type="spellEnd"/>
            <w:r w:rsidRPr="00A96B0A">
              <w:rPr>
                <w:rFonts w:ascii="Calibri" w:eastAsia="Calibri" w:hAnsi="Calibri" w:cs="Calibri"/>
                <w:color w:val="000000" w:themeColor="text1"/>
                <w:sz w:val="16"/>
                <w:szCs w:val="16"/>
                <w:lang w:val="en-US"/>
              </w:rPr>
              <w:t xml:space="preserve"> with dermatologist review in addition to alternatives such as</w:t>
            </w:r>
            <w:r w:rsidRPr="00A96B0A">
              <w:rPr>
                <w:rFonts w:ascii="Calibri" w:eastAsiaTheme="majorEastAsia" w:hAnsi="Calibri" w:cs="Calibri"/>
                <w:color w:val="000000" w:themeColor="text1"/>
                <w:sz w:val="16"/>
                <w:szCs w:val="16"/>
                <w:lang w:val="en-US"/>
              </w:rPr>
              <w:t xml:space="preserve"> </w:t>
            </w:r>
            <w:r w:rsidRPr="00A96B0A">
              <w:rPr>
                <w:rFonts w:ascii="Calibri" w:eastAsia="Calibri" w:hAnsi="Calibri" w:cs="Calibri"/>
                <w:color w:val="000000" w:themeColor="text1"/>
                <w:sz w:val="16"/>
                <w:szCs w:val="16"/>
                <w:lang w:val="en-US"/>
              </w:rPr>
              <w:t>skin self-</w:t>
            </w:r>
            <w:proofErr w:type="gramStart"/>
            <w:r w:rsidRPr="00A96B0A">
              <w:rPr>
                <w:rFonts w:ascii="Calibri" w:eastAsia="Calibri" w:hAnsi="Calibri" w:cs="Calibri"/>
                <w:color w:val="000000" w:themeColor="text1"/>
                <w:sz w:val="16"/>
                <w:szCs w:val="16"/>
                <w:lang w:val="en-US"/>
              </w:rPr>
              <w:t xml:space="preserve">examination, </w:t>
            </w:r>
            <w:r w:rsidRPr="00A96B0A">
              <w:rPr>
                <w:rFonts w:ascii="Calibri" w:eastAsiaTheme="majorEastAsia" w:hAnsi="Calibri" w:cs="Calibri"/>
                <w:color w:val="000000" w:themeColor="text1"/>
                <w:sz w:val="16"/>
                <w:szCs w:val="16"/>
                <w:lang w:val="en-US"/>
              </w:rPr>
              <w:t xml:space="preserve"> </w:t>
            </w:r>
            <w:r w:rsidRPr="00A96B0A">
              <w:rPr>
                <w:rFonts w:ascii="Calibri" w:eastAsia="Calibri" w:hAnsi="Calibri" w:cs="Calibri"/>
                <w:color w:val="000000" w:themeColor="text1"/>
                <w:sz w:val="16"/>
                <w:szCs w:val="16"/>
                <w:lang w:val="en-US"/>
              </w:rPr>
              <w:t>skin</w:t>
            </w:r>
            <w:proofErr w:type="gramEnd"/>
            <w:r w:rsidRPr="00A96B0A">
              <w:rPr>
                <w:rFonts w:ascii="Calibri" w:eastAsia="Calibri" w:hAnsi="Calibri" w:cs="Calibri"/>
                <w:color w:val="000000" w:themeColor="text1"/>
                <w:sz w:val="16"/>
                <w:szCs w:val="16"/>
                <w:lang w:val="en-US"/>
              </w:rPr>
              <w:t xml:space="preserve"> cancer clinic screening and GP screening</w:t>
            </w:r>
          </w:p>
          <w:p w14:paraId="561CD4E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r>
      <w:tr w:rsidR="00A96B0A" w:rsidRPr="00A96B0A" w14:paraId="68EAF736"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3D8E4524"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Calibri" w:eastAsia="Calibri" w:hAnsi="Calibri" w:cs="Calibri"/>
                <w:b/>
                <w:bCs/>
                <w:i w:val="0"/>
                <w:iCs w:val="0"/>
                <w:color w:val="000000" w:themeColor="text1"/>
                <w:sz w:val="16"/>
                <w:szCs w:val="16"/>
                <w:lang w:val="en-US"/>
              </w:rPr>
              <w:t>Szinay et al. (2026)</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{"citationID":"cIRA6osJ","properties":{"unsorted":false,"formattedCitation":"[86]","plainCitation":"[86]","noteIndex":0},"citationItems":[{"id":374,"uris":["http://zotero.org/users/4007286/items/76L9747D"],"itemData":{"id":374,"type":"article-journal","abstract":"Background: If the most evidence-based and effective smoking cessation apps are not selected by smokers wanting to quit, their potential to support cessation is limited. Objective: This study sought to determine the attributes that influence smoking cessation app uptake and understand their relative importance to support future efforts to present evidence-based apps more effectively to maximize uptake. Methods: Adult smokers from the United Kingdom were invited to participate in a discrete choice experiment. Participants made 12 choices between two hypothetical smoking cessation app alternatives, with five predefined attributes reflecting domains from the theoretical domains framework: (1) monthly price of the app (environmental resources), (2) credible source as app developer (social influence), (3) social proof as star rating (social influence), (4) app description type (beliefs about consequences), and (5) images shown (beliefs about consequences); or opting out (choosing neither app). Preferences and the relative importance of attributes were estimated using mixed logit modeling. Willingness to pay and predicted uptake of the most and least preferred app were also calculated. Results: A total of 337 adult smokers completed the survey (n=168, 49.8% female; mean age 35, SD 11 years). Participants selected a smoking cessation app rather than opting out for 90% of the choices. Relative to other attributes, a 4.8-star user rating, representing social proof, was the strongest driver of app selection (mean preference parameter 2.27, SD 1.55; 95% CI 1.95-2.59). Participants preferred an app developed by health care-orientated trusted organization (credible source) over a hypothetical company (mean preference parameter 0.93, SD 1.23; 95% CI 0.72-1.15), with a logo and screenshots over logo only (mean preference parameter 0.39, SD 0.96; 95% CI 0.19-0.59), and with a lower monthly cost (mean preference parameter -0.38, SD 0.33; 95% CI -0.44 to -0.32). App description did not influence preferences. The uptake estimate for the best hypothetical app was 93% and for the worst, 3%. Participants were willing to pay a single payment of up to an additional US $6.96 (UK 5.49) pound for 4.8-star ratings, US $3.58 (UK 2.82) pound for 4-star ratings, and US $2.61(UK 2.06) pound for an app developed by a trusted organization. Conclusions: On average, social proof appeared to be the most influential factor in app uptake, followed by credible source, one perceived as most likely to provide evidence-based apps. These attributes may support the selection of evidence-based apps.","archive_location":"WOS:001412550600006","container-title":"JOURNAL OF MEDICAL INTERNET RESEARCH","DOI":"10.2196/37083","ISSN":"1438-8871","language":"English","title":"Eliciting Preferences for the Uptake of Smoking Cessation Apps: Discrete Choice Experiment","volume":"27","author":[{"family":"Szinay","given":"D"},{"family":"Cameron","given":"RA"},{"family":"Jones","given":"A"},{"family":"Whitty","given":"JA"},{"family":"Chadborn","given":"T"},{"family":"Brown","given":"J"},{"family":"Naughton","given":"F"}],"issued":{"date-parts":[["2025",1,14]]}}}],"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[86]</w:t>
            </w:r>
            <w:r w:rsidRPr="00A96B0A">
              <w:rPr>
                <w:rFonts w:ascii="Calibri" w:eastAsia="Calibri" w:hAnsi="Calibri" w:cs="Calibri"/>
                <w:color w:val="000000" w:themeColor="text1"/>
                <w:sz w:val="16"/>
                <w:szCs w:val="16"/>
                <w:lang w:val="en-US"/>
              </w:rPr>
              <w:fldChar w:fldCharType="end"/>
            </w:r>
            <w:r w:rsidRPr="00A96B0A">
              <w:rPr>
                <w:rFonts w:ascii="Calibri" w:eastAsia="Calibri" w:hAnsi="Calibri" w:cs="Calibri"/>
                <w:color w:val="000000" w:themeColor="text1"/>
                <w:sz w:val="16"/>
                <w:szCs w:val="16"/>
                <w:lang w:val="en-US"/>
              </w:rPr>
              <w:br/>
              <w:t>UK</w:t>
            </w:r>
          </w:p>
        </w:tc>
        <w:tc>
          <w:tcPr>
            <w:tcW w:w="1985" w:type="dxa"/>
          </w:tcPr>
          <w:p w14:paraId="15FF48A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Elicit preference for the uptake of smoking cessation apps</w:t>
            </w:r>
          </w:p>
        </w:tc>
        <w:tc>
          <w:tcPr>
            <w:tcW w:w="1134" w:type="dxa"/>
          </w:tcPr>
          <w:p w14:paraId="7D92E89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07F1ABFF" w14:textId="77777777" w:rsidR="00A96B0A" w:rsidRPr="00A96B0A" w:rsidRDefault="00A96B0A" w:rsidP="00A96B0A">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A96B0A">
              <w:rPr>
                <w:rFonts w:ascii="Calibri" w:eastAsia="Calibri" w:hAnsi="Calibri" w:cs="Calibri"/>
                <w:color w:val="000000" w:themeColor="text1"/>
                <w:sz w:val="16"/>
                <w:szCs w:val="16"/>
                <w:lang w:val="en-US"/>
              </w:rPr>
              <w:t>• Monthly price of the app</w:t>
            </w:r>
            <w:r w:rsidRPr="00A96B0A">
              <w:rPr>
                <w:rFonts w:ascii="Calibri" w:eastAsia="Calibri" w:hAnsi="Calibri" w:cs="Calibri"/>
                <w:color w:val="000000" w:themeColor="text1"/>
                <w:sz w:val="16"/>
                <w:szCs w:val="16"/>
                <w:lang w:val="en-US"/>
              </w:rPr>
              <w:br/>
              <w:t xml:space="preserve">• </w:t>
            </w:r>
            <w:r w:rsidRPr="00A96B0A">
              <w:rPr>
                <w:rFonts w:ascii="Calibri" w:hAnsi="Calibri" w:cs="Calibri"/>
                <w:sz w:val="16"/>
                <w:szCs w:val="16"/>
                <w:lang w:val="en-US"/>
              </w:rPr>
              <w:t>Who develop the app</w:t>
            </w:r>
            <w:r w:rsidRPr="00A96B0A">
              <w:rPr>
                <w:rFonts w:ascii="Calibri" w:eastAsia="Calibri" w:hAnsi="Calibri" w:cs="Calibri"/>
                <w:color w:val="000000" w:themeColor="text1"/>
                <w:sz w:val="16"/>
                <w:szCs w:val="16"/>
                <w:lang w:val="en-US"/>
              </w:rPr>
              <w:br/>
              <w:t xml:space="preserve">• Ratings of the app  </w:t>
            </w:r>
            <w:r w:rsidRPr="00A96B0A">
              <w:rPr>
                <w:rFonts w:ascii="Calibri" w:eastAsia="Calibri" w:hAnsi="Calibri" w:cs="Calibri"/>
                <w:color w:val="000000" w:themeColor="text1"/>
                <w:sz w:val="16"/>
                <w:szCs w:val="16"/>
                <w:lang w:val="en-US"/>
              </w:rPr>
              <w:br/>
              <w:t>• App description</w:t>
            </w:r>
          </w:p>
          <w:p w14:paraId="5D5FFF8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Images </w:t>
            </w:r>
          </w:p>
        </w:tc>
        <w:tc>
          <w:tcPr>
            <w:tcW w:w="1276" w:type="dxa"/>
          </w:tcPr>
          <w:p w14:paraId="46DA7FC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47642BA3"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438804DF" w14:textId="77777777" w:rsidTr="00AB6102">
        <w:trPr>
          <w:trHeight w:val="568"/>
        </w:trPr>
        <w:tc>
          <w:tcPr>
            <w:cnfStyle w:val="001000000000" w:firstRow="0" w:lastRow="0" w:firstColumn="1" w:lastColumn="0" w:oddVBand="0" w:evenVBand="0" w:oddHBand="0" w:evenHBand="0" w:firstRowFirstColumn="0" w:firstRowLastColumn="0" w:lastRowFirstColumn="0" w:lastRowLastColumn="0"/>
            <w:tcW w:w="1134" w:type="dxa"/>
          </w:tcPr>
          <w:p w14:paraId="191ABB25"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Tatar et al.</w:t>
            </w:r>
          </w:p>
          <w:p w14:paraId="318A3CD4"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(2023</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{"citationID":"AOyA5mt0","properties":{"formattedCitation":"[90]","plainCitation":"[90]","noteIndex":0},"citationItems":[{"id":2709,"uris":["http://zotero.org/users/4007286/items/VSCS3QW3"],"itemData":{"id":2709,"type":"article-journal","abstract":"Innovative technology-based solutions have the potential to improve access to clinically proven interventions for cannabis use disorder (CUD) in individuals with first episode psychosis (FEP). High patient engagement with app-based interventions is critical for achieving optimal outcomes. 104 individuals 18 to 35 years old with FEP and CUD from three Canadian provinces completed an electronic survey to evaluate preferences for online psychological intervention intensity, participation autonomy, feedback related to cannabis use, and technology platforms and app functionalities. The development of the questionnaire was informed by a qualitative study that included patients and clinicians. We used Best-Worst Scaling (BWS) and item ranking methodologies to measure preferences. Conditional logistic regression models for BWS data revealed high preferences for moderate intervention intensity (e.g., modules with a length of 15 min) and treatment autonomy that included preferences for using technology-based interventions and receiving feedback related to cannabis use once a week. Luce regression models for rank items revealed high preferences for smartphone-based apps, video intervention components, and having access to synchronous communications with clinicians and gamification elements. Results informed the development of iCanChange (iCC), a smartphone-based intervention for the treatment of CUD in individuals with FEP that is undergoing clinical testing.","container-title":"Psychiatry Research","DOI":"10.1016/j.psychres.2023.115276","ISSN":"1872-7123","journalAbbreviation":"Psychiatry Res","language":"eng","page":"115276","source":"PubMed","title":"Evaluating preferences for online psychological interventions to decrease cannabis use in young adults with psychosis: An observational study","title-short":"Evaluating preferences for online psychological interventions to decrease cannabis use in young adults with psychosis","volume":"326","author":[{"family":"Tatar","given":"Ovidiu"},{"family":"Abdel-Baki","given":"Amal"},{"family":"Dyachenko","given":"Alina"},{"family":"Bakouni","given":"Hamzah"},{"family":"Bahremand","given":"Arash"},{"family":"Tibbo","given":"Philip G."},{"family":"Crockford","given":"David"},{"family":"Roy","given":"Marc-André"},{"family":"Copeland","given":"Jan"},{"family":"Fischer","given":"Benedikt"},{"family":"Lecomte","given":"Tania"},{"family":"Côté","given":"José"},{"family":"Ouellet-Plamondon","given":"Clairélaine"},{"family":"L'Heureux","given":"Sophie"},{"family":"Villeneuve","given":"Marie"},{"family":"Jutras-Aswad","given":"Didier"}],"issued":{"date-parts":[["2023",8]]}}}],"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[90]</w:t>
            </w:r>
            <w:r w:rsidRPr="00A96B0A">
              <w:rPr>
                <w:rFonts w:asciiTheme="minorHAnsi" w:eastAsia="Calibri" w:hAnsiTheme="minorHAnsi" w:cstheme="minorHAnsi"/>
                <w:color w:val="000000" w:themeColor="text1"/>
                <w:sz w:val="16"/>
                <w:szCs w:val="26"/>
                <w:lang w:val="en-US"/>
              </w:rPr>
              <w:fldChar w:fldCharType="end"/>
            </w:r>
          </w:p>
          <w:p w14:paraId="1F4C684F"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Canada</w:t>
            </w:r>
          </w:p>
        </w:tc>
        <w:tc>
          <w:tcPr>
            <w:tcW w:w="1985" w:type="dxa"/>
          </w:tcPr>
          <w:p w14:paraId="514A69A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Evaluate patient preferences regarding the structure and content of app-based psychological interventions for the treatment of Cannabis Use Disorder (CUD)</w:t>
            </w:r>
          </w:p>
        </w:tc>
        <w:tc>
          <w:tcPr>
            <w:tcW w:w="1134" w:type="dxa"/>
          </w:tcPr>
          <w:p w14:paraId="2EC3118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BWS </w:t>
            </w:r>
          </w:p>
          <w:p w14:paraId="0C84C2F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case 2</w:t>
            </w:r>
          </w:p>
          <w:p w14:paraId="5C390DF2" w14:textId="77777777" w:rsidR="00A96B0A" w:rsidRPr="00A96B0A" w:rsidDel="00636136"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(profile case)</w:t>
            </w:r>
          </w:p>
        </w:tc>
        <w:tc>
          <w:tcPr>
            <w:tcW w:w="2551" w:type="dxa"/>
          </w:tcPr>
          <w:p w14:paraId="13D8D2E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domains with 3 attributes:</w:t>
            </w:r>
          </w:p>
          <w:p w14:paraId="0020E26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Intervention intensity</w:t>
            </w:r>
          </w:p>
          <w:p w14:paraId="08998EF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Intervention duration </w:t>
            </w:r>
            <w:r w:rsidRPr="00A96B0A">
              <w:rPr>
                <w:rFonts w:ascii="Calibri" w:eastAsia="Calibri" w:hAnsi="Calibri" w:cs="Calibri"/>
                <w:color w:val="000000" w:themeColor="text1"/>
                <w:sz w:val="16"/>
                <w:szCs w:val="16"/>
                <w:lang w:val="en-US"/>
              </w:rPr>
              <w:br/>
              <w:t>• Session duration</w:t>
            </w:r>
            <w:r w:rsidRPr="00A96B0A">
              <w:rPr>
                <w:rFonts w:ascii="Calibri" w:eastAsia="Calibri" w:hAnsi="Calibri" w:cs="Calibri"/>
                <w:color w:val="000000" w:themeColor="text1"/>
                <w:sz w:val="16"/>
                <w:szCs w:val="16"/>
                <w:lang w:val="en-US"/>
              </w:rPr>
              <w:br/>
              <w:t>• Session frequency</w:t>
            </w:r>
          </w:p>
          <w:p w14:paraId="060F3B0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Autonomy in completing the intervention</w:t>
            </w:r>
          </w:p>
          <w:p w14:paraId="11586FD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Frequency of assistance from the clinician </w:t>
            </w:r>
            <w:r w:rsidRPr="00A96B0A">
              <w:rPr>
                <w:rFonts w:ascii="Calibri" w:eastAsia="Calibri" w:hAnsi="Calibri" w:cs="Calibri"/>
                <w:color w:val="000000" w:themeColor="text1"/>
                <w:sz w:val="16"/>
                <w:szCs w:val="16"/>
                <w:lang w:val="en-US"/>
              </w:rPr>
              <w:br/>
              <w:t>• Mode of receiving the intervention</w:t>
            </w:r>
            <w:r w:rsidRPr="00A96B0A">
              <w:rPr>
                <w:rFonts w:ascii="Calibri" w:eastAsia="Calibri" w:hAnsi="Calibri" w:cs="Calibri"/>
                <w:color w:val="000000" w:themeColor="text1"/>
                <w:sz w:val="16"/>
                <w:szCs w:val="16"/>
                <w:lang w:val="en-US"/>
              </w:rPr>
              <w:br/>
              <w:t>• Location for participating in the intervention</w:t>
            </w:r>
          </w:p>
          <w:p w14:paraId="08C6B8A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p w14:paraId="4AA626F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Feedback related to cannabis use</w:t>
            </w:r>
          </w:p>
          <w:p w14:paraId="6332E00C"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Frequency of feedback from the treating clinician </w:t>
            </w:r>
            <w:r w:rsidRPr="00A96B0A">
              <w:rPr>
                <w:rFonts w:ascii="Calibri" w:eastAsia="Calibri" w:hAnsi="Calibri" w:cs="Calibri"/>
                <w:color w:val="000000" w:themeColor="text1"/>
                <w:sz w:val="16"/>
                <w:szCs w:val="16"/>
                <w:lang w:val="en-US"/>
              </w:rPr>
              <w:br/>
              <w:t>• Frequency of feedback from the application</w:t>
            </w:r>
            <w:r w:rsidRPr="00A96B0A">
              <w:rPr>
                <w:rFonts w:ascii="Calibri" w:eastAsia="Calibri" w:hAnsi="Calibri" w:cs="Calibri"/>
                <w:color w:val="000000" w:themeColor="text1"/>
                <w:sz w:val="16"/>
                <w:szCs w:val="16"/>
                <w:lang w:val="en-US"/>
              </w:rPr>
              <w:br/>
              <w:t>• Feedback delivery method</w:t>
            </w:r>
          </w:p>
          <w:p w14:paraId="31CA1D4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br/>
              <w:t xml:space="preserve">1 domain with 6 attributes Technology platforms and app functionalities </w:t>
            </w:r>
          </w:p>
          <w:p w14:paraId="31D1FC5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Device support</w:t>
            </w:r>
            <w:r w:rsidRPr="00A96B0A">
              <w:rPr>
                <w:rFonts w:ascii="Calibri" w:eastAsia="Calibri" w:hAnsi="Calibri" w:cs="Calibri"/>
                <w:color w:val="000000" w:themeColor="text1"/>
                <w:sz w:val="16"/>
                <w:szCs w:val="16"/>
                <w:lang w:val="en-US"/>
              </w:rPr>
              <w:br/>
              <w:t xml:space="preserve">• Format </w:t>
            </w:r>
            <w:r w:rsidRPr="00A96B0A">
              <w:rPr>
                <w:rFonts w:ascii="Calibri" w:eastAsia="Calibri" w:hAnsi="Calibri" w:cs="Calibri"/>
                <w:color w:val="000000" w:themeColor="text1"/>
                <w:sz w:val="16"/>
                <w:szCs w:val="16"/>
                <w:lang w:val="en-US"/>
              </w:rPr>
              <w:br/>
              <w:t>• Modules of application</w:t>
            </w:r>
          </w:p>
          <w:p w14:paraId="5FCB783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Subject log </w:t>
            </w:r>
            <w:r w:rsidRPr="00A96B0A">
              <w:rPr>
                <w:rFonts w:ascii="Calibri" w:eastAsia="Calibri" w:hAnsi="Calibri" w:cs="Calibri"/>
                <w:color w:val="000000" w:themeColor="text1"/>
                <w:sz w:val="16"/>
                <w:szCs w:val="16"/>
                <w:lang w:val="en-US"/>
              </w:rPr>
              <w:br/>
              <w:t xml:space="preserve">• Communication </w:t>
            </w:r>
            <w:r w:rsidRPr="00A96B0A">
              <w:rPr>
                <w:rFonts w:ascii="Calibri" w:eastAsia="Calibri" w:hAnsi="Calibri" w:cs="Calibri"/>
                <w:color w:val="000000" w:themeColor="text1"/>
                <w:sz w:val="16"/>
                <w:szCs w:val="16"/>
                <w:lang w:val="en-US"/>
              </w:rPr>
              <w:br/>
              <w:t>• Incentives</w:t>
            </w:r>
          </w:p>
          <w:p w14:paraId="1BD0B10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p w14:paraId="302500F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p w14:paraId="16A3A56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1F0D42C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lastRenderedPageBreak/>
              <w:t>BWSs score</w:t>
            </w:r>
          </w:p>
        </w:tc>
        <w:tc>
          <w:tcPr>
            <w:tcW w:w="1559" w:type="dxa"/>
          </w:tcPr>
          <w:p w14:paraId="5AC878E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Domain: Intervention intensity</w:t>
            </w:r>
          </w:p>
          <w:p w14:paraId="57D32C3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Session duration: 15 min</w:t>
            </w:r>
          </w:p>
          <w:p w14:paraId="5B54A60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Session frequency: once a week</w:t>
            </w:r>
          </w:p>
          <w:p w14:paraId="597154A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Intervention duration</w:t>
            </w:r>
          </w:p>
          <w:p w14:paraId="6BC9277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p w14:paraId="1EFAEA4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Domain: Autonomy</w:t>
            </w:r>
          </w:p>
          <w:p w14:paraId="1AFB542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Mode of receiving the intervention: technology</w:t>
            </w:r>
          </w:p>
          <w:p w14:paraId="36D74CC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Frequency of assistance: once a week</w:t>
            </w:r>
          </w:p>
          <w:p w14:paraId="7CA86EF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Location: outside the clinic</w:t>
            </w:r>
          </w:p>
          <w:p w14:paraId="64B6C8C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p w14:paraId="5342926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Domain: Feedback</w:t>
            </w:r>
          </w:p>
          <w:p w14:paraId="3BF848A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Feedback delivery method: app and clinician</w:t>
            </w:r>
          </w:p>
          <w:p w14:paraId="3F07D51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Frequency of feedback from the treating clinician: once a week</w:t>
            </w:r>
          </w:p>
          <w:p w14:paraId="2A874D9E"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lastRenderedPageBreak/>
              <w:t>3. Frequency of feedback from the application</w:t>
            </w:r>
          </w:p>
          <w:p w14:paraId="23B973F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p w14:paraId="1CA20B0B"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Domain: Technology and app</w:t>
            </w:r>
          </w:p>
          <w:p w14:paraId="0F8E6FB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Device: smartphone</w:t>
            </w:r>
          </w:p>
          <w:p w14:paraId="6660038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Format: video</w:t>
            </w:r>
          </w:p>
          <w:p w14:paraId="0C7492F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Communication: chat with clinician</w:t>
            </w:r>
          </w:p>
          <w:p w14:paraId="6F379CD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4. Incentives: reward point table</w:t>
            </w:r>
          </w:p>
        </w:tc>
      </w:tr>
      <w:tr w:rsidR="00A96B0A" w:rsidRPr="00A96B0A" w14:paraId="0C5E7738"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542FBE18" w14:textId="77777777" w:rsidR="00A96B0A" w:rsidRDefault="00A96B0A" w:rsidP="00A96B0A">
            <w:pPr>
              <w:keepNext/>
              <w:keepLines/>
              <w:spacing w:before="40" w:line="240" w:lineRule="auto"/>
              <w:jc w:val="center"/>
              <w:outlineLvl w:val="1"/>
              <w:rPr>
                <w:rFonts w:asciiTheme="minorHAnsi" w:eastAsia="Calibri" w:hAnsiTheme="minorHAnsi" w:cstheme="minorHAnsi"/>
                <w:b/>
                <w:bCs/>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lastRenderedPageBreak/>
              <w:t xml:space="preserve">Tauscher </w:t>
            </w:r>
          </w:p>
          <w:p w14:paraId="469C8BD0"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et al.</w:t>
            </w:r>
            <w:r>
              <w:rPr>
                <w:rFonts w:asciiTheme="minorHAnsi" w:eastAsia="Calibri" w:hAnsiTheme="minorHAnsi" w:cstheme="minorHAnsi"/>
                <w:b/>
                <w:bCs/>
                <w:i w:val="0"/>
                <w:iCs w:val="0"/>
                <w:color w:val="000000" w:themeColor="text1"/>
                <w:sz w:val="16"/>
                <w:szCs w:val="26"/>
                <w:lang w:val="en-US"/>
              </w:rPr>
              <w:t xml:space="preserve"> </w:t>
            </w:r>
            <w:r w:rsidRPr="00A96B0A">
              <w:rPr>
                <w:rFonts w:asciiTheme="minorHAnsi" w:eastAsia="Calibri" w:hAnsiTheme="minorHAnsi" w:cstheme="minorHAnsi"/>
                <w:b/>
                <w:bCs/>
                <w:i w:val="0"/>
                <w:iCs w:val="0"/>
                <w:color w:val="000000" w:themeColor="text1"/>
                <w:sz w:val="16"/>
                <w:szCs w:val="26"/>
                <w:lang w:val="en-US"/>
              </w:rPr>
              <w:t>(2023</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{"citationID":"LB1Euraz","properties":{"formattedCitation":"[56]","plainCitation":"[56]","noteIndex":0},"citationItems":[{"id":884,"uris":["http://zotero.org/users/4007286/items/UR7PSW5I"],"itemData":{"id":884,"type":"article-journal","abstract":"Introduction: Access to substance use disorder (SUD) treatment remains a significant issue in the United States. Telehealth has potential for increasing access to services; however, it is underutilized in SUD treatment compared to mental health treatment. This study uses a discrete choice experiment (DCE) to examine stated preferences for telehealth (videoconferencing, text-based + video, text only) versus in-person SUD treatment (community-based, in-home) and the attributes (location, cost, therapist choice, wait time, evidence-based practices) most important when choosing between modalities. Subgroup analyses are reported about preference differences based on type of substance and substance use severity. Methods: Four hundred participants completed a survey containing a DCE with eighteen choice sets, the alcohol use disorders inventory test, drug abuse screening test, and a brief demographic questionnaire. The study collected data between April 15, 2020, and April 22, 2020. Conditional logit regression provided a measure of strength for participant preferences for technology-assisted treatment compared to in-person care. The study provides willingness to pay estimates as a real-world measure for the importance of each attribute in participants' decision-making. Results: Telehealth options that include a video conference option were equally preferrable to in-person care modalities. Text-only treatment was significantly less preferable to all other modalities of care. The ability to choose one's own therapist was a significant driver of treatment preference beyond modality, while wait time did not appear significant in making decisions. Participants with the most severe substance use differed in that they were open to text-based care without video conferencing, did not express a preference for evidence-based care, and valued therapist choice significantly more than those with only moderate substance use. Conclusions: Telehealth for SUD treatment is equally preferable to in-person care offered in the community or at home, signifying preference is not a barrier for utilization. Text-only modalities may be enhanced by offering videoconference options for most individuals. Individuals with the most severe substance use issues may be willing to engage in text-based support without synchronous meetings with a provider. This approach may offer a less intensive method to engage individuals in treatment who may not otherwise access services.","archive_location":"WOS:001081795900001","container-title":"JOURNAL OF SUBSTANCE USE &amp; ADDICTION TREATMENT","DOI":"10.1016/j.josat.2022.208938","ISSN":"2949-8767","title":"Determinants of preference for telehealth versus in-person treatment for substance use disorders: A discrete choice experiment","volume":"146","author":[{"family":"Tauscher","given":"JS"},{"family":"DePue","given":"MK"},{"family":"Swank","given":"J"},{"family":"Salloum","given":"RG"}],"issued":{"date-parts":[["2023",3]]}}}],"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[56]</w:t>
            </w:r>
            <w:r w:rsidRPr="00A96B0A">
              <w:rPr>
                <w:rFonts w:asciiTheme="minorHAnsi" w:eastAsia="Calibri" w:hAnsiTheme="minorHAnsi" w:cstheme="minorHAnsi"/>
                <w:color w:val="000000" w:themeColor="text1"/>
                <w:sz w:val="16"/>
                <w:szCs w:val="26"/>
                <w:lang w:val="en-US"/>
              </w:rPr>
              <w:fldChar w:fldCharType="end"/>
            </w:r>
          </w:p>
          <w:p w14:paraId="7EAC9661"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USA</w:t>
            </w:r>
          </w:p>
        </w:tc>
        <w:tc>
          <w:tcPr>
            <w:tcW w:w="1985" w:type="dxa"/>
          </w:tcPr>
          <w:p w14:paraId="3E12160D"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Examine stated preferences for telehealth versus in-person substance use disorder treatment</w:t>
            </w:r>
          </w:p>
        </w:tc>
        <w:tc>
          <w:tcPr>
            <w:tcW w:w="1134" w:type="dxa"/>
          </w:tcPr>
          <w:p w14:paraId="56E4D28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236C7A4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Therapy details</w:t>
            </w:r>
            <w:r w:rsidRPr="00A96B0A">
              <w:rPr>
                <w:rFonts w:ascii="Calibri" w:eastAsia="Calibri" w:hAnsi="Calibri" w:cs="Calibri"/>
                <w:color w:val="000000" w:themeColor="text1"/>
                <w:sz w:val="16"/>
                <w:szCs w:val="16"/>
                <w:lang w:val="en-US"/>
              </w:rPr>
              <w:br/>
              <w:t>• Out of pocket costs to meet a therapist per week</w:t>
            </w:r>
          </w:p>
          <w:p w14:paraId="139BC05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(0, $25, $55, $85)</w:t>
            </w:r>
            <w:r w:rsidRPr="00A96B0A">
              <w:rPr>
                <w:rFonts w:ascii="Calibri" w:eastAsia="Calibri" w:hAnsi="Calibri" w:cs="Calibri"/>
                <w:color w:val="000000" w:themeColor="text1"/>
                <w:sz w:val="16"/>
                <w:szCs w:val="16"/>
                <w:lang w:val="en-US"/>
              </w:rPr>
              <w:br/>
              <w:t>• Therapist selection</w:t>
            </w:r>
            <w:r w:rsidRPr="00A96B0A">
              <w:rPr>
                <w:rFonts w:ascii="Calibri" w:eastAsia="Calibri" w:hAnsi="Calibri" w:cs="Calibri"/>
                <w:color w:val="000000" w:themeColor="text1"/>
                <w:sz w:val="16"/>
                <w:szCs w:val="16"/>
                <w:lang w:val="en-US"/>
              </w:rPr>
              <w:br/>
              <w:t>• Waiting time for appointments</w:t>
            </w:r>
            <w:r w:rsidRPr="00A96B0A">
              <w:rPr>
                <w:rFonts w:ascii="Calibri" w:eastAsia="Calibri" w:hAnsi="Calibri" w:cs="Calibri"/>
                <w:color w:val="000000" w:themeColor="text1"/>
                <w:sz w:val="16"/>
                <w:szCs w:val="16"/>
                <w:lang w:val="en-US"/>
              </w:rPr>
              <w:br/>
              <w:t>• Provide evidence-based treatment</w:t>
            </w:r>
          </w:p>
          <w:p w14:paraId="592EE5E8"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7736CB5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Average relative important percentage of attribute</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color w:val="000000" w:themeColor="text1"/>
                <w:sz w:val="16"/>
                <w:szCs w:val="16"/>
                <w:lang w:val="en-US"/>
              </w:rPr>
              <w:instrText xml:space="preserve"> ADDIN ZOTERO_ITEM CSL_CITATION {"citationID":"oXACDPml","properties":{"formattedCitation":"[125]","plainCitation":"[125]","noteIndex":0},"citationItems":[{"id":711,"uris":["http://zotero.org/users/4007286/items/3HQBL95Y"],"itemData":{"id":711,"type":"article-journal","abstract":"Conjoint analysis is a stated-preference survey method that can be used to elicit responses that reveal preferences, priorities, and the relative importance of individual features associated with health care interventions or services. Conjoint analysis methods, particularly discrete choice experiments (DCEs), have been increasingly used to quantify preferences of patients, caregivers, physicians, and other stakeholders. Recent consensus-based guidance on good research practices, including two recent task force reports from the International Society for Pharmacoeconomics and Outcomes Research, has aided in improving the quality of conjoint analyses and DCEs in outcomes research. Nevertheless, uncertainty regarding good research practices for the statistical analysis of data from DCEs persists. There are multiple methods for analyzing DCE data. Understanding the characteristics and appropriate use of different analysis methods is critical to conducting a well-designed DCE study. This report will assist researchers in evaluating and selecting among alternative approaches to conducting statistical analysis of DCE data. We first present a simplistic DCE example and a simple method for using the resulting data. We then present a pedagogical example of a DCE and one of the most common approaches to analyzing data from such a question format—conditional logit. We then describe some common alternative methods for analyzing these data and the strengths and weaknesses of each alternative. We present the ESTIMATE checklist, which includes a list of questions to consider when justifying the choice of analysis method, describing the analysis, and interpreting the results.","container-title":"Value in Health","DOI":"10.1016/j.jval.2016.04.004","ISSN":"1098-3015","issue":"4","journalAbbreviation":"Value in Health","page":"300-315","source":"ScienceDirect","title":"Statistical Methods for the Analysis of Discrete Choice Experiments: A Report of the ISPOR Conjoint Analysis Good Research Practices Task Force","title-short":"Statistical Methods for the Analysis of Discrete Choice Experiments","volume":"19","author":[{"family":"Hauber","given":"A. Brett"},{"family":"González","given":"Juan Marcos"},{"family":"Groothuis-Oudshoorn","given":"Catharina G. M."},{"family":"Prior","given":"Thomas"},{"family":"Marshall","given":"Deborah A."},{"family":"Cunningham","given":"Charles"},{"family":"IJzerman","given":"Maarten J."},{"family":"Bridges","given":"John F. P."}],"issued":{"date-parts":[["2016",6,1]]}}}],"schema":"https://github.com/citation-style-language/schema/raw/master/csl-citation.json"}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Theme="majorEastAsia" w:hAnsi="Calibri" w:cs="Calibri"/>
                <w:color w:val="000000" w:themeColor="text1"/>
                <w:sz w:val="16"/>
                <w:szCs w:val="16"/>
                <w:lang w:val="en-US"/>
              </w:rPr>
              <w:t>[125]</w:t>
            </w:r>
            <w:r w:rsidRPr="00A96B0A">
              <w:rPr>
                <w:rFonts w:ascii="Calibri" w:eastAsia="Calibri" w:hAnsi="Calibri" w:cs="Calibri"/>
                <w:color w:val="000000" w:themeColor="text1"/>
                <w:sz w:val="16"/>
                <w:szCs w:val="16"/>
                <w:lang w:val="en-US"/>
              </w:rPr>
              <w:fldChar w:fldCharType="end"/>
            </w:r>
            <w:r w:rsidRPr="00A96B0A">
              <w:rPr>
                <w:rFonts w:ascii="Calibri" w:eastAsia="Calibri" w:hAnsi="Calibri" w:cs="Calibri"/>
                <w:color w:val="000000" w:themeColor="text1"/>
                <w:sz w:val="16"/>
                <w:szCs w:val="16"/>
                <w:lang w:val="en-US"/>
              </w:rPr>
              <w:t xml:space="preserve">  </w:t>
            </w:r>
          </w:p>
          <w:p w14:paraId="0C24F06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highlight w:val="yellow"/>
                <w:lang w:val="en-US"/>
              </w:rPr>
            </w:pPr>
          </w:p>
        </w:tc>
        <w:tc>
          <w:tcPr>
            <w:tcW w:w="1559" w:type="dxa"/>
          </w:tcPr>
          <w:p w14:paraId="002760A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01B4D51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Therapy details</w:t>
            </w:r>
          </w:p>
          <w:p w14:paraId="115ECF90"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Therapist selection</w:t>
            </w:r>
          </w:p>
          <w:p w14:paraId="7D4D75C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Provide evidence-based treatment</w:t>
            </w:r>
          </w:p>
          <w:p w14:paraId="1FAB5EB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highlight w:val="yellow"/>
                <w:lang w:val="en-US"/>
              </w:rPr>
            </w:pPr>
            <w:r w:rsidRPr="00A96B0A">
              <w:rPr>
                <w:rFonts w:ascii="Calibri" w:eastAsia="Calibri" w:hAnsi="Calibri" w:cs="Calibri"/>
                <w:color w:val="000000" w:themeColor="text1"/>
                <w:sz w:val="16"/>
                <w:szCs w:val="16"/>
                <w:lang w:val="en-US"/>
              </w:rPr>
              <w:t>4. Waiting time</w:t>
            </w:r>
          </w:p>
        </w:tc>
      </w:tr>
      <w:tr w:rsidR="00A96B0A" w:rsidRPr="00A96B0A" w14:paraId="012C6551"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1F104ACE" w14:textId="77777777" w:rsidR="00A96B0A" w:rsidRPr="00A96B0A" w:rsidRDefault="00A96B0A" w:rsidP="00A96B0A">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A96B0A">
              <w:rPr>
                <w:rFonts w:ascii="Calibri" w:eastAsia="Calibri" w:hAnsi="Calibri" w:cs="Calibri"/>
                <w:b/>
                <w:bCs/>
                <w:i w:val="0"/>
                <w:iCs w:val="0"/>
                <w:color w:val="000000" w:themeColor="text1"/>
                <w:sz w:val="16"/>
                <w:szCs w:val="16"/>
                <w:lang w:val="en-US"/>
              </w:rPr>
              <w:t>Vo et al. (2025)</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{"citationID":"n7VNX7q5","properties":{"unsorted":false,"formattedCitation":"[73]","plainCitation":"[73]","noteIndex":0},"citationItems":[{"id":451,"uris":["http://zotero.org/users/4007286/items/6EWMV4H4"],"itemData":{"id":451,"type":"article-journal","abstract":"OBJECTIVE: To explore public opinion on the factors that drive the use of Artificial Intelligence (AI) mobile health (mHealth) applications for heart disease and mental health, with a particular emphasis on diagnostics and virtual health assistance (VHA).\nMETHODS: This study adopted a discrete choice experiment (DCE) to investigate the preferences of the Australian general public for heart disease and depression. Five attributes were considered, including anonymised data sharing, human-AI interaction, accuracy of AI results, explanation of results provided by AI, and funding source. Mixed logit and latent class logit models were used to investigate potential preference heterogeneity among respondents.\nRESULTS: Respondents (n=1,176) showed that AI accuracy was the most crucial factor in AI mHealth applications, followed by human doctor - AI interaction. Preferences for not sharing anonymised data were reported in depression while there were no statistically significant results for heart disease. Results explained by AI and funding source were generally less important. Those who expressed fear of AI were less likely to opt for AI diagnostics and VHA in heart disease. Older adults (60+) were less likely to use AI in both health conditions, while younger adults (18-29) were more inclined to use VHA for heart disease.\nCONCLUSIONS: It is evident that beyond the technical feasibility of AI applications, there are nuanced differences in public preferences for AI mHealth applications in Australia. Understanding factors leading to these discrepancies would be valuable to ensuring safe and equitable acceptance and harnessing the full potential of AI in healthcare delivery and outcomes.","container-title":"Value in Health: The Journal of the International Society for Pharmacoeconomics and Outcomes Research","DOI":"10.1016/j.jval.2025.06.013","ISSN":"1524-4733","journalAbbreviation":"Value Health","language":"eng","page":"S1098-3015(25)02428-3","PMID":"40633727","source":"PubMed","title":"Unravelling public preferences for the use of Artificial Intelligence mobile health applications in Australia","author":[{"family":"Vo","given":"Vinh"},{"family":"Woode","given":"Maame E."},{"family":"Carter","given":"Stacy M."},{"family":"Degeling","given":"Chris"},{"family":"Chen","given":"Gang"}],"issued":{"date-parts":[["2025",7,7]]}}}],"schema":"https://github.com/citation-style-language/schema/raw/master/csl-citation.json"}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[73]</w:t>
            </w:r>
            <w:r w:rsidRPr="00A96B0A">
              <w:rPr>
                <w:rFonts w:ascii="Calibri" w:eastAsia="Calibri" w:hAnsi="Calibri" w:cs="Calibri"/>
                <w:color w:val="000000" w:themeColor="text1"/>
                <w:sz w:val="16"/>
                <w:szCs w:val="16"/>
                <w:lang w:val="en-US"/>
              </w:rPr>
              <w:fldChar w:fldCharType="end"/>
            </w:r>
          </w:p>
          <w:p w14:paraId="4F1281CC"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Calibri" w:eastAsia="Calibri" w:hAnsi="Calibri" w:cs="Calibri"/>
                <w:color w:val="000000" w:themeColor="text1"/>
                <w:sz w:val="16"/>
                <w:szCs w:val="16"/>
                <w:lang w:val="en-US"/>
              </w:rPr>
              <w:t>Australia</w:t>
            </w:r>
          </w:p>
        </w:tc>
        <w:tc>
          <w:tcPr>
            <w:tcW w:w="1985" w:type="dxa"/>
          </w:tcPr>
          <w:p w14:paraId="140A5B7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Explore public opinion on the factors that drive the use of artificial intelligence (AI) mobile health (mHealth) apps for heart disease and mental health</w:t>
            </w:r>
          </w:p>
        </w:tc>
        <w:tc>
          <w:tcPr>
            <w:tcW w:w="1134" w:type="dxa"/>
          </w:tcPr>
          <w:p w14:paraId="6C63640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3C0065A9" w14:textId="77777777" w:rsidR="00A96B0A" w:rsidRPr="00A96B0A" w:rsidRDefault="00A96B0A" w:rsidP="00A96B0A">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A96B0A">
              <w:rPr>
                <w:rFonts w:ascii="Calibri" w:eastAsia="Calibri" w:hAnsi="Calibri" w:cs="Calibri"/>
                <w:color w:val="000000" w:themeColor="text1"/>
                <w:sz w:val="16"/>
                <w:szCs w:val="16"/>
                <w:lang w:val="en-US"/>
              </w:rPr>
              <w:t>• Anonymized data sharing</w:t>
            </w:r>
            <w:r w:rsidRPr="00A96B0A">
              <w:rPr>
                <w:rFonts w:ascii="Calibri" w:eastAsia="Calibri" w:hAnsi="Calibri" w:cs="Calibri"/>
                <w:color w:val="000000" w:themeColor="text1"/>
                <w:sz w:val="16"/>
                <w:szCs w:val="16"/>
                <w:lang w:val="en-US"/>
              </w:rPr>
              <w:br/>
              <w:t xml:space="preserve">• </w:t>
            </w:r>
            <w:r w:rsidRPr="00A96B0A">
              <w:rPr>
                <w:rFonts w:ascii="Calibri" w:hAnsi="Calibri" w:cs="Calibri"/>
                <w:sz w:val="16"/>
                <w:szCs w:val="16"/>
                <w:lang w:val="en-US"/>
              </w:rPr>
              <w:t>AI application interaction</w:t>
            </w:r>
            <w:r w:rsidRPr="00A96B0A">
              <w:rPr>
                <w:rFonts w:ascii="Calibri" w:eastAsia="Calibri" w:hAnsi="Calibri" w:cs="Calibri"/>
                <w:color w:val="000000" w:themeColor="text1"/>
                <w:sz w:val="16"/>
                <w:szCs w:val="16"/>
                <w:lang w:val="en-US"/>
              </w:rPr>
              <w:br/>
              <w:t xml:space="preserve">• Accuracy of AI results  </w:t>
            </w:r>
            <w:r w:rsidRPr="00A96B0A">
              <w:rPr>
                <w:rFonts w:ascii="Calibri" w:eastAsia="Calibri" w:hAnsi="Calibri" w:cs="Calibri"/>
                <w:color w:val="000000" w:themeColor="text1"/>
                <w:sz w:val="16"/>
                <w:szCs w:val="16"/>
                <w:lang w:val="en-US"/>
              </w:rPr>
              <w:br/>
              <w:t>• Explanation of AI results</w:t>
            </w:r>
          </w:p>
          <w:p w14:paraId="7648E26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Funding source</w:t>
            </w:r>
          </w:p>
        </w:tc>
        <w:tc>
          <w:tcPr>
            <w:tcW w:w="1276" w:type="dxa"/>
          </w:tcPr>
          <w:p w14:paraId="65236E3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Relative importance (%) of attributes (range-based, normalized)</w:t>
            </w:r>
          </w:p>
        </w:tc>
        <w:tc>
          <w:tcPr>
            <w:tcW w:w="1559" w:type="dxa"/>
          </w:tcPr>
          <w:p w14:paraId="1B487FD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475DFE20"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Accuracy of AI results </w:t>
            </w:r>
            <w:r w:rsidRPr="00A96B0A">
              <w:rPr>
                <w:rFonts w:ascii="Calibri" w:eastAsia="Calibri" w:hAnsi="Calibri" w:cs="Calibri"/>
                <w:color w:val="000000" w:themeColor="text1"/>
                <w:sz w:val="16"/>
                <w:szCs w:val="16"/>
                <w:lang w:val="en-US"/>
              </w:rPr>
              <w:br/>
              <w:t xml:space="preserve">2. </w:t>
            </w:r>
            <w:r w:rsidRPr="00A96B0A">
              <w:rPr>
                <w:rFonts w:ascii="Calibri" w:hAnsi="Calibri" w:cs="Calibri"/>
                <w:sz w:val="16"/>
                <w:szCs w:val="16"/>
                <w:lang w:val="en-US"/>
              </w:rPr>
              <w:t>AI application interaction</w:t>
            </w:r>
          </w:p>
          <w:p w14:paraId="7BEAFE5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color w:val="000000" w:themeColor="text1"/>
                <w:sz w:val="16"/>
                <w:szCs w:val="16"/>
                <w:lang w:val="en-US"/>
              </w:rPr>
              <w:t xml:space="preserve">3.  Anonymized data sharing </w:t>
            </w:r>
            <w:r w:rsidRPr="00A96B0A">
              <w:rPr>
                <w:rFonts w:ascii="Calibri" w:eastAsia="Calibri" w:hAnsi="Calibri" w:cs="Calibri"/>
                <w:color w:val="000000" w:themeColor="text1"/>
                <w:sz w:val="16"/>
                <w:szCs w:val="16"/>
                <w:lang w:val="en-US"/>
              </w:rPr>
              <w:br/>
              <w:t>4.  Explanation of AI results</w:t>
            </w:r>
            <w:r w:rsidRPr="00A96B0A">
              <w:rPr>
                <w:rFonts w:ascii="Calibri" w:eastAsia="Calibri" w:hAnsi="Calibri" w:cs="Calibri"/>
                <w:color w:val="000000" w:themeColor="text1"/>
                <w:sz w:val="16"/>
                <w:szCs w:val="16"/>
                <w:lang w:val="en-US"/>
              </w:rPr>
              <w:br/>
              <w:t>5. Funding source</w:t>
            </w:r>
          </w:p>
        </w:tc>
      </w:tr>
      <w:tr w:rsidR="00A96B0A" w:rsidRPr="00A96B0A" w14:paraId="1E335544"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1F3784C2"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Wang et al.</w:t>
            </w:r>
          </w:p>
          <w:p w14:paraId="2FECC006"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(2023)</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{"citationID":"ko3SU9AQ","properties":{"formattedCitation":"[92]","plainCitation":"[92]","noteIndex":0},"citationItems":[{"id":831,"uris":["http://zotero.org/users/4007286/items/N3STQWP8"],"itemData":{"id":831,"type":"article-journal","abstract":"BackgroundOnline medical consultation (OMC) is significant to promote the utilization and accessibility of healthcare resources and save time on consultation. However, the usage and public acceptance rates of it are still low in China. Meanwhile, few studies have focused on consumers' demand of OMC services. This study aims to identify attributes that influence users' preference for OMC services, quantify the value of these characteristics, and compare their relative importance.MethodsA nationwide discrete choice experiment was conducted to survey Chinese residents' preference choices for six attributes of OMC services. Conditional logit model and mixed logit model were used to analyze respondents' preference. Willingness to pay and heterogeneity were estimated by the mixed logit model.ResultsA total of 856 respondents completed the study, and 668 questionnaires passed the consistency test. All of 6 attributes in the study were statistically significant except for \"Doctor's professional title - Associate Senior.\" When choosing OMC services, respondents preferred to spend as little time and money as possible on a large online medical platform to consult a high-rated physician with a senior title from a well-known Grade-A tertiary hospital. Besides, respondents valued doctor's evaluation score most and were willing to pay yen 107 to obtain the services of higher-scored doctors.ConclusionThe study measured Chinese residents' preferences for six attributes of OMC and showed the heterogeneity of attributes among subgroups. Our findings suggested that OMC services providers should reduce the customers' waiting time, improve the quality of services and enhance professional skills to meet the customers' requirements. More research on preferences for OMC needs to be conducted in China, especially for key populations such as patients with chronic diseases.","archive_location":"WOS:001135886300001","container-title":"FRONTIERS IN PUBLIC HEALTH","DOI":"10.3389/fpubh.2023.1282387","ISSN":"2296-2565","title":"Public preferences for online medical consultations in China: a discrete choice experiment","volume":"11","author":[{"family":"Wang","given":"P"},{"family":"Huang","given":"YK"},{"family":"Li","given":"HT"},{"family":"Xi","given":"XY"}],"issued":{"date-parts":[["2023",12,13]]}}}],"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[92]</w:t>
            </w:r>
            <w:r w:rsidRPr="00A96B0A">
              <w:rPr>
                <w:rFonts w:asciiTheme="minorHAnsi" w:eastAsia="Calibri" w:hAnsiTheme="minorHAnsi" w:cstheme="minorHAnsi"/>
                <w:color w:val="000000" w:themeColor="text1"/>
                <w:sz w:val="16"/>
                <w:szCs w:val="26"/>
                <w:lang w:val="en-US"/>
              </w:rPr>
              <w:fldChar w:fldCharType="end"/>
            </w:r>
          </w:p>
          <w:p w14:paraId="288F7857"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China</w:t>
            </w:r>
          </w:p>
        </w:tc>
        <w:tc>
          <w:tcPr>
            <w:tcW w:w="1985" w:type="dxa"/>
          </w:tcPr>
          <w:p w14:paraId="23086EBF"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Identify attributes that influence users’ preference for online medical consultations (OMC)</w:t>
            </w:r>
          </w:p>
        </w:tc>
        <w:tc>
          <w:tcPr>
            <w:tcW w:w="1134" w:type="dxa"/>
          </w:tcPr>
          <w:p w14:paraId="158D5C02"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6B0F86E9"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Waiting time</w:t>
            </w:r>
            <w:r w:rsidRPr="00A96B0A">
              <w:rPr>
                <w:rFonts w:ascii="Calibri" w:eastAsia="Calibri" w:hAnsi="Calibri" w:cs="Calibri"/>
                <w:color w:val="000000" w:themeColor="text1"/>
                <w:sz w:val="16"/>
                <w:szCs w:val="16"/>
                <w:lang w:val="en-US"/>
              </w:rPr>
              <w:br/>
              <w:t>• Doctor’s professional title</w:t>
            </w:r>
            <w:r w:rsidRPr="00A96B0A">
              <w:rPr>
                <w:rFonts w:ascii="Calibri" w:eastAsia="Calibri" w:hAnsi="Calibri" w:cs="Calibri"/>
                <w:color w:val="000000" w:themeColor="text1"/>
                <w:sz w:val="16"/>
                <w:szCs w:val="16"/>
                <w:lang w:val="en-US"/>
              </w:rPr>
              <w:br/>
              <w:t>• Doctor’s evaluation score</w:t>
            </w:r>
            <w:r w:rsidRPr="00A96B0A">
              <w:rPr>
                <w:rFonts w:ascii="Calibri" w:eastAsia="Calibri" w:hAnsi="Calibri" w:cs="Calibri"/>
                <w:color w:val="000000" w:themeColor="text1"/>
                <w:sz w:val="16"/>
                <w:szCs w:val="16"/>
                <w:lang w:val="en-US"/>
              </w:rPr>
              <w:br/>
              <w:t>• Grades of the hospital</w:t>
            </w:r>
            <w:r w:rsidRPr="00A96B0A">
              <w:rPr>
                <w:rFonts w:ascii="Calibri" w:eastAsia="Calibri" w:hAnsi="Calibri" w:cs="Calibri"/>
                <w:color w:val="000000" w:themeColor="text1"/>
                <w:sz w:val="16"/>
                <w:szCs w:val="16"/>
                <w:lang w:val="en-US"/>
              </w:rPr>
              <w:br/>
              <w:t>• Scale of consultation platform</w:t>
            </w:r>
            <w:r w:rsidRPr="00A96B0A">
              <w:rPr>
                <w:rFonts w:ascii="Calibri" w:eastAsia="Calibri" w:hAnsi="Calibri" w:cs="Calibri"/>
                <w:color w:val="000000" w:themeColor="text1"/>
                <w:sz w:val="16"/>
                <w:szCs w:val="16"/>
                <w:lang w:val="en-US"/>
              </w:rPr>
              <w:br/>
              <w:t>• Costs for OMC (</w:t>
            </w:r>
            <w:r w:rsidRPr="00A96B0A">
              <w:rPr>
                <w:rFonts w:ascii="Calibri" w:eastAsiaTheme="majorEastAsia" w:hAnsi="Calibri" w:cs="Calibri"/>
                <w:color w:val="141515"/>
                <w:sz w:val="16"/>
                <w:szCs w:val="16"/>
                <w:lang w:val="en-US"/>
              </w:rPr>
              <w:t>¥25, ¥60, ¥100)</w:t>
            </w:r>
          </w:p>
          <w:p w14:paraId="4DB79A75"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17AD5BB0"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70A338F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p w14:paraId="40CD474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r>
      <w:tr w:rsidR="00A96B0A" w:rsidRPr="00A96B0A" w14:paraId="4389B4EF"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325AE493" w14:textId="77777777" w:rsidR="00A96B0A" w:rsidRPr="00A96B0A" w:rsidRDefault="00A96B0A" w:rsidP="00A96B0A">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A96B0A">
              <w:rPr>
                <w:rFonts w:ascii="Calibri" w:eastAsia="Calibri" w:hAnsi="Calibri" w:cs="Calibri"/>
                <w:b/>
                <w:bCs/>
                <w:i w:val="0"/>
                <w:iCs w:val="0"/>
                <w:color w:val="000000" w:themeColor="text1"/>
                <w:sz w:val="16"/>
                <w:szCs w:val="16"/>
                <w:lang w:val="en-US"/>
              </w:rPr>
              <w:t>Wang et al. (2026)</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{"citationID":"PuOlR7F1","properties":{"unsorted":false,"formattedCitation":"[69]","plainCitation":"[69]","noteIndex":0},"citationItems":[{"id":28613,"uris":["http://zotero.org/users/4007286/items/9BENSG56"],"itemData":{"id":28613,"type":"article-journal","abstract":"Context: Mobile health (mHealth) applications are widely used for chronic disease management, but usability and accessibility challenges persist due to the diverse needs of users. Adaptive User Interfaces (AUIs) offer a promising approach to personalizing interactions and improving user experience. However, their adoption remains limited, partly due to a lack of understanding of how users perceive and evaluate different adaptation strategies. Addressing this gap is crucial for advancing user-centered design and requirements engineering in software systems for health contexts. Objective: This study identifies key factors influencing user preferences and trade-offs in mHealth adaptation design. Method: A Discrete Choice Experiment (DCE) was conducted with 186 participants living with chronic conditions who regularly use mHealth applications. Each participant completed a series of choice tasks, selecting their preferred adaptation designs from scenarios composed of six attributes with varying levels. A mixed logit model was applied to examine preference heterogeneity. Subgroup analyses were also conducted to explore variations in preferences across age, gender, health condition, and coping mechanism. Results: Participants preferred adaptation designs that preserved usability, offered controllability, introduced changes infrequently, and applied small-scale modifications. Conversely, adaptations affecting frequently used functions and those involving caregiver input were generally viewed less favorably. These findings highlight key trade-offs that influence user acceptance of adaptive mHealth interfaces. Conclusion: This study employs a data-driven approach to quantify user preferences, identify key tradeoffs, and reveal variations across demographic and behavioral subgroups through preference heterogeneity modeling. These insights provide actionable guidance for designing more user-centered adaptive interfaces and contribute to advancing requirements prioritization practices in software engineering-particularly in the context of health technologies.","archive_location":"WOS:001664955900001","container-title":"INFORMATION AND SOFTWARE TECHNOLOGY","DOI":"10.1016/j.infsof.2026.108014","ISSN":"0950-5849","language":"English","title":"User-centric requirements prioritization in mHealth applications: Insights from a Discrete Choice Experiment","volume":"192","author":[{"family":"Wang","given":"W"},{"family":"Khalajzadeh","given":"H"},{"family":"Grundy","given":"J"},{"family":"Madugalla","given":"A"},{"family":"Obie","given":"HO"}],"issued":{"date-parts":[["2026",4]]}}}],"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[69]</w:t>
            </w:r>
            <w:r w:rsidRPr="00A96B0A">
              <w:rPr>
                <w:rFonts w:ascii="Calibri" w:eastAsia="Calibri" w:hAnsi="Calibri" w:cs="Calibri"/>
                <w:color w:val="000000" w:themeColor="text1"/>
                <w:sz w:val="16"/>
                <w:szCs w:val="16"/>
                <w:lang w:val="en-US"/>
              </w:rPr>
              <w:fldChar w:fldCharType="end"/>
            </w:r>
          </w:p>
          <w:p w14:paraId="63FFB132"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Calibri" w:eastAsia="Calibri" w:hAnsi="Calibri" w:cs="Calibri"/>
                <w:color w:val="000000" w:themeColor="text1"/>
                <w:sz w:val="16"/>
                <w:szCs w:val="16"/>
                <w:lang w:val="en-US"/>
              </w:rPr>
              <w:t>Australia</w:t>
            </w:r>
          </w:p>
        </w:tc>
        <w:tc>
          <w:tcPr>
            <w:tcW w:w="1985" w:type="dxa"/>
          </w:tcPr>
          <w:p w14:paraId="633DA42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Identify key factors influencing user preferences in mHealth adaptation design</w:t>
            </w:r>
          </w:p>
        </w:tc>
        <w:tc>
          <w:tcPr>
            <w:tcW w:w="1134" w:type="dxa"/>
          </w:tcPr>
          <w:p w14:paraId="4ED04A7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27C54ADD" w14:textId="77777777" w:rsidR="00A96B0A" w:rsidRPr="00A96B0A" w:rsidRDefault="00A96B0A" w:rsidP="00A96B0A">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r w:rsidRPr="00A96B0A">
              <w:rPr>
                <w:rFonts w:ascii="Calibri" w:eastAsia="Calibri" w:hAnsi="Calibri" w:cs="Calibri"/>
                <w:color w:val="000000" w:themeColor="text1"/>
                <w:sz w:val="16"/>
                <w:szCs w:val="16"/>
                <w:lang w:val="en-US"/>
              </w:rPr>
              <w:t>• Involvement of caregivers</w:t>
            </w:r>
            <w:r w:rsidRPr="00A96B0A">
              <w:rPr>
                <w:rFonts w:ascii="Calibri" w:eastAsia="Calibri" w:hAnsi="Calibri" w:cs="Calibri"/>
                <w:color w:val="000000" w:themeColor="text1"/>
                <w:sz w:val="16"/>
                <w:szCs w:val="16"/>
                <w:lang w:val="en-US"/>
              </w:rPr>
              <w:br/>
              <w:t xml:space="preserve">• </w:t>
            </w:r>
            <w:r w:rsidRPr="00A96B0A">
              <w:rPr>
                <w:rFonts w:ascii="Calibri" w:hAnsi="Calibri" w:cs="Calibri"/>
                <w:sz w:val="16"/>
                <w:szCs w:val="16"/>
                <w:lang w:val="en-US"/>
              </w:rPr>
              <w:t>Usability of the app</w:t>
            </w:r>
            <w:r w:rsidRPr="00A96B0A">
              <w:rPr>
                <w:rFonts w:ascii="Calibri" w:eastAsia="Calibri" w:hAnsi="Calibri" w:cs="Calibri"/>
                <w:color w:val="000000" w:themeColor="text1"/>
                <w:sz w:val="16"/>
                <w:szCs w:val="16"/>
                <w:lang w:val="en-US"/>
              </w:rPr>
              <w:br/>
              <w:t xml:space="preserve">• Controllability over adaptations   </w:t>
            </w:r>
            <w:r w:rsidRPr="00A96B0A">
              <w:rPr>
                <w:rFonts w:ascii="Calibri" w:eastAsia="Calibri" w:hAnsi="Calibri" w:cs="Calibri"/>
                <w:color w:val="000000" w:themeColor="text1"/>
                <w:sz w:val="16"/>
                <w:szCs w:val="16"/>
                <w:lang w:val="en-US"/>
              </w:rPr>
              <w:br/>
              <w:t>• Frequency of adaptations</w:t>
            </w:r>
          </w:p>
          <w:p w14:paraId="56D5CA63" w14:textId="77777777" w:rsidR="00A96B0A" w:rsidRPr="00A96B0A" w:rsidRDefault="00A96B0A" w:rsidP="00A96B0A">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Granularity of adaptations</w:t>
            </w:r>
          </w:p>
          <w:p w14:paraId="62C22A7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Function usage patterns</w:t>
            </w:r>
          </w:p>
        </w:tc>
        <w:tc>
          <w:tcPr>
            <w:tcW w:w="1276" w:type="dxa"/>
          </w:tcPr>
          <w:p w14:paraId="4DE392F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Relative importance (%) of attributes (range-based, normalized)</w:t>
            </w:r>
          </w:p>
        </w:tc>
        <w:tc>
          <w:tcPr>
            <w:tcW w:w="1559" w:type="dxa"/>
          </w:tcPr>
          <w:p w14:paraId="2E89B3A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73BD975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Usability of the app</w:t>
            </w:r>
            <w:r w:rsidRPr="00A96B0A">
              <w:rPr>
                <w:rFonts w:ascii="Calibri" w:eastAsia="Calibri" w:hAnsi="Calibri" w:cs="Calibri"/>
                <w:color w:val="000000" w:themeColor="text1"/>
                <w:sz w:val="16"/>
                <w:szCs w:val="16"/>
                <w:lang w:val="en-US"/>
              </w:rPr>
              <w:br/>
              <w:t>2.  Controllability over adaptations  </w:t>
            </w:r>
            <w:r w:rsidRPr="00A96B0A">
              <w:rPr>
                <w:rFonts w:ascii="Calibri" w:eastAsia="Calibri" w:hAnsi="Calibri" w:cs="Calibri"/>
                <w:color w:val="000000" w:themeColor="text1"/>
                <w:sz w:val="16"/>
                <w:szCs w:val="16"/>
                <w:lang w:val="en-US"/>
              </w:rPr>
              <w:br/>
              <w:t>3. Frequency of adaptations</w:t>
            </w:r>
            <w:r w:rsidRPr="00A96B0A">
              <w:rPr>
                <w:rFonts w:ascii="Calibri" w:eastAsia="Calibri" w:hAnsi="Calibri" w:cs="Calibri"/>
                <w:color w:val="000000" w:themeColor="text1"/>
                <w:sz w:val="16"/>
                <w:szCs w:val="16"/>
                <w:lang w:val="en-US"/>
              </w:rPr>
              <w:br/>
              <w:t>4.Granulity of adaptations</w:t>
            </w:r>
          </w:p>
          <w:p w14:paraId="4B63824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5. Function usage patterns</w:t>
            </w:r>
            <w:r w:rsidRPr="00A96B0A">
              <w:rPr>
                <w:rFonts w:ascii="Calibri" w:eastAsia="Calibri" w:hAnsi="Calibri" w:cs="Calibri"/>
                <w:color w:val="000000" w:themeColor="text1"/>
                <w:sz w:val="16"/>
                <w:szCs w:val="16"/>
                <w:lang w:val="en-US"/>
              </w:rPr>
              <w:br/>
              <w:t>6. Involvement of caregivers</w:t>
            </w:r>
          </w:p>
        </w:tc>
      </w:tr>
      <w:tr w:rsidR="00A96B0A" w:rsidRPr="00A96B0A" w14:paraId="0B04D459"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14EF182F" w14:textId="77777777" w:rsidR="00A96B0A" w:rsidRPr="00A96B0A" w:rsidRDefault="00A96B0A" w:rsidP="00A96B0A">
            <w:pPr>
              <w:keepNext/>
              <w:keepLines/>
              <w:spacing w:before="40" w:line="240" w:lineRule="auto"/>
              <w:jc w:val="center"/>
              <w:outlineLvl w:val="1"/>
              <w:rPr>
                <w:rFonts w:ascii="Calibri" w:eastAsia="Calibri" w:hAnsi="Calibri" w:cs="Calibri"/>
                <w:i w:val="0"/>
                <w:iCs w:val="0"/>
                <w:color w:val="000000" w:themeColor="text1"/>
                <w:sz w:val="16"/>
                <w:szCs w:val="16"/>
                <w:lang w:val="en-US"/>
              </w:rPr>
            </w:pPr>
            <w:r w:rsidRPr="00A96B0A">
              <w:rPr>
                <w:rFonts w:ascii="Calibri" w:eastAsia="Calibri" w:hAnsi="Calibri" w:cs="Calibri"/>
                <w:b/>
                <w:bCs/>
                <w:i w:val="0"/>
                <w:iCs w:val="0"/>
                <w:color w:val="000000" w:themeColor="text1"/>
                <w:sz w:val="16"/>
                <w:szCs w:val="16"/>
                <w:lang w:val="en-US"/>
              </w:rPr>
              <w:t>Woode et al. (2025)</w:t>
            </w:r>
            <w:r w:rsidRPr="00A96B0A">
              <w:rPr>
                <w:rFonts w:ascii="Calibri" w:eastAsia="Calibri" w:hAnsi="Calibri" w:cs="Calibri"/>
                <w:i w:val="0"/>
                <w:iCs w:val="0"/>
                <w:color w:val="000000" w:themeColor="text1"/>
                <w:sz w:val="16"/>
                <w:szCs w:val="16"/>
                <w:lang w:val="en-US"/>
              </w:rPr>
              <w:t xml:space="preserve"> </w:t>
            </w:r>
            <w:r w:rsidRPr="00A96B0A">
              <w:rPr>
                <w:rFonts w:ascii="Calibri" w:eastAsia="Calibri" w:hAnsi="Calibri" w:cs="Calibri"/>
                <w:color w:val="000000" w:themeColor="text1"/>
                <w:sz w:val="16"/>
                <w:szCs w:val="16"/>
                <w:lang w:val="en-US"/>
              </w:rPr>
              <w:fldChar w:fldCharType="begin"/>
            </w:r>
            <w:r w:rsidRPr="00A96B0A">
              <w:rPr>
                <w:rFonts w:ascii="Calibri" w:eastAsia="Calibri" w:hAnsi="Calibri" w:cs="Calibri"/>
                <w:i w:val="0"/>
                <w:iCs w:val="0"/>
                <w:color w:val="000000" w:themeColor="text1"/>
                <w:sz w:val="16"/>
                <w:szCs w:val="16"/>
                <w:lang w:val="en-US"/>
              </w:rPr>
              <w:instrText xml:space="preserve"> ADDIN ZOTERO_ITEM CSL_CITATION {"citationID":"W9nYPSpU","properties":{"unsorted":false,"formattedCitation":"[74]","plainCitation":"[74]","noteIndex":0},"citationItems":[{"id":28619,"uris":["http://zotero.org/users/4007286/items/YUPCYVAV"],"itemData":{"id":28619,"type":"article-journal","abstract":"Question: What do people with chronic knee pain value in physiotherapy consultations and how much are they willing to pay for a telerehabilitation consultation as opposed to an in-person consultation? Design: Discrete choice experiment and contingent valuation. Participants: A total of 844 Australian adults with a clinical diagnosis of knee osteoarthritis were recruited in April 2021. Data collection: Participants were presented with a series of hypothetical scenarios and asked to choose between telerehabilitation (videoconferencing) or in-person physiotherapy consultations. Seven attributes (listening and discussion time; choice of physiotherapist; consultation security/privacy; travel time; pain improvement; waiting time; and consultation cost) with varying levels presented in each scenario. Data analysis: A generalised mixed multinomial logit model was used to estimate the strength of preferences across attributes, the implied monetary willingness to pay for telerehabilitation consultations, and the likely uptake of telerehabilitation in the population. Results: Participants were willing to pay AU$38.68 less for a telerehabilitation consultation compared with an in-person consultation. For a plausible set of base case attribute values, 40% of participants chose telerehabilitation. However, preferences for telerehabilitation consults increased when there was less waiting and travel time, more communication time, and when offered at a lower fee. Younger adults, females, those not working, those more confident using videoconferencing technology and those with less knee pain were more likely to prefer telerehabilitation. Conclusion: People with chronic knee pain prefer in-person consultations but there is a demand for telerehabilitation physiotherapy consultations, particularly if offered at a lower fee, if there is a substantial amount of travel and waiting time for an inperson consultation, or if telerehabilitation offers more communication time with the physiotherapist. [Woode ME, Hinman RS, Harris A, Bennell KL, Lawford BJ (2025) People with chronic knee pain are willing to pay for telerehabilitation physiotherapy consultations if they offer more communication time, greater pain improvement and less travel and waiting time: a discrete choice experiment. Journal of Physiotherapy 71:268-275] (c) 2025 Australian Physiotherapy Association. Published by Elsevier B.V. This is an open access article under the CC BY-NC-ND license (http://creativecommons.org/licenses/by-nc-nd/4.0/).","archive_location":"WOS:001592502000006","container-title":"JOURNAL OF PHYSIOTHERAPY","DOI":"10.1016/j.jphys.2025.09.006","ISSN":"1836-9553","issue":"4","language":"English","page":"268-275","title":"People with chronic knee pain are willing to pay for telerehabilitation physiotherapy consultations if they offer more communication time, greater pain improvement and less travel and waiting time: a discrete choice experiment","volume":"71","author":[{"family":"Woode","given":"ME"},{"family":"Hinman","given":"RS"},{"family":"Harris","given":"A"},{"family":"Bennell","given":"KL"},{"family":"Lawford","given":"BJ"}],"issued":{"date-parts":[["2025",10]]}}}],"schema":"https://github.com/citation-style-language/schema/raw/master/csl-citation.json"} </w:instrText>
            </w:r>
            <w:r w:rsidRPr="00A96B0A">
              <w:rPr>
                <w:rFonts w:ascii="Calibri" w:eastAsia="Calibri" w:hAnsi="Calibri" w:cs="Calibri"/>
                <w:color w:val="000000" w:themeColor="text1"/>
                <w:sz w:val="16"/>
                <w:szCs w:val="16"/>
                <w:lang w:val="en-US"/>
              </w:rPr>
              <w:fldChar w:fldCharType="separate"/>
            </w:r>
            <w:r w:rsidRPr="00A96B0A">
              <w:rPr>
                <w:rFonts w:ascii="Calibri" w:eastAsia="Calibri" w:hAnsi="Calibri" w:cs="Calibri"/>
                <w:i w:val="0"/>
                <w:iCs w:val="0"/>
                <w:noProof/>
                <w:color w:val="000000" w:themeColor="text1"/>
                <w:sz w:val="16"/>
                <w:szCs w:val="16"/>
                <w:lang w:val="en-US"/>
              </w:rPr>
              <w:t>[74]</w:t>
            </w:r>
            <w:r w:rsidRPr="00A96B0A">
              <w:rPr>
                <w:rFonts w:ascii="Calibri" w:eastAsia="Calibri" w:hAnsi="Calibri" w:cs="Calibri"/>
                <w:color w:val="000000" w:themeColor="text1"/>
                <w:sz w:val="16"/>
                <w:szCs w:val="16"/>
                <w:lang w:val="en-US"/>
              </w:rPr>
              <w:fldChar w:fldCharType="end"/>
            </w:r>
          </w:p>
          <w:p w14:paraId="337F7102" w14:textId="77777777" w:rsidR="00A96B0A" w:rsidRPr="00A96B0A" w:rsidRDefault="00A96B0A" w:rsidP="00A96B0A">
            <w:pPr>
              <w:keepNext/>
              <w:keepLines/>
              <w:spacing w:before="40" w:line="240" w:lineRule="auto"/>
              <w:jc w:val="center"/>
              <w:outlineLvl w:val="1"/>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Australia</w:t>
            </w:r>
          </w:p>
        </w:tc>
        <w:tc>
          <w:tcPr>
            <w:tcW w:w="1985" w:type="dxa"/>
          </w:tcPr>
          <w:p w14:paraId="3B1F1A77"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Investigate patients' preferences for telerehabilitation consultations versus traditional in‐person physiotherapy consultations</w:t>
            </w:r>
          </w:p>
        </w:tc>
        <w:tc>
          <w:tcPr>
            <w:tcW w:w="1134" w:type="dxa"/>
          </w:tcPr>
          <w:p w14:paraId="33471EAC"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DCE </w:t>
            </w:r>
          </w:p>
        </w:tc>
        <w:tc>
          <w:tcPr>
            <w:tcW w:w="2551" w:type="dxa"/>
          </w:tcPr>
          <w:p w14:paraId="4A708559" w14:textId="77777777" w:rsidR="00A96B0A" w:rsidRPr="00A96B0A" w:rsidRDefault="00A96B0A" w:rsidP="00A96B0A">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6"/>
                <w:szCs w:val="16"/>
                <w:lang w:val="en-US"/>
              </w:rPr>
            </w:pPr>
            <w:r w:rsidRPr="00A96B0A">
              <w:rPr>
                <w:rFonts w:ascii="Calibri" w:eastAsia="Calibri" w:hAnsi="Calibri" w:cs="Calibri"/>
                <w:color w:val="000000" w:themeColor="text1"/>
                <w:sz w:val="16"/>
                <w:szCs w:val="16"/>
                <w:lang w:val="en-US"/>
              </w:rPr>
              <w:t>• Choice of physiotherapist</w:t>
            </w:r>
            <w:r w:rsidRPr="00A96B0A">
              <w:rPr>
                <w:rFonts w:ascii="Calibri" w:eastAsia="Calibri" w:hAnsi="Calibri" w:cs="Calibri"/>
                <w:color w:val="000000" w:themeColor="text1"/>
                <w:sz w:val="16"/>
                <w:szCs w:val="16"/>
                <w:lang w:val="en-US"/>
              </w:rPr>
              <w:br/>
              <w:t xml:space="preserve">• </w:t>
            </w:r>
            <w:r w:rsidRPr="00A96B0A">
              <w:rPr>
                <w:rFonts w:ascii="Calibri" w:hAnsi="Calibri" w:cs="Calibri"/>
                <w:sz w:val="16"/>
                <w:szCs w:val="16"/>
                <w:lang w:val="en-US"/>
              </w:rPr>
              <w:t>Travel time one-way</w:t>
            </w:r>
            <w:r w:rsidRPr="00A96B0A">
              <w:rPr>
                <w:rFonts w:ascii="Calibri" w:eastAsia="Calibri" w:hAnsi="Calibri" w:cs="Calibri"/>
                <w:color w:val="000000" w:themeColor="text1"/>
                <w:sz w:val="16"/>
                <w:szCs w:val="16"/>
                <w:lang w:val="en-US"/>
              </w:rPr>
              <w:br/>
              <w:t xml:space="preserve">• Waiting time    </w:t>
            </w:r>
            <w:r w:rsidRPr="00A96B0A">
              <w:rPr>
                <w:rFonts w:ascii="Calibri" w:eastAsia="Calibri" w:hAnsi="Calibri" w:cs="Calibri"/>
                <w:color w:val="000000" w:themeColor="text1"/>
                <w:sz w:val="16"/>
                <w:szCs w:val="16"/>
                <w:lang w:val="en-US"/>
              </w:rPr>
              <w:br/>
              <w:t>• Listening and discussion time</w:t>
            </w:r>
          </w:p>
          <w:p w14:paraId="59B89181" w14:textId="77777777" w:rsidR="00A96B0A" w:rsidRPr="00A96B0A" w:rsidRDefault="00A96B0A" w:rsidP="00A96B0A">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Security and privacy</w:t>
            </w:r>
          </w:p>
          <w:p w14:paraId="18B2EA77" w14:textId="77777777" w:rsidR="00A96B0A" w:rsidRPr="00A96B0A" w:rsidRDefault="00A96B0A" w:rsidP="00A96B0A">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Pain outcome</w:t>
            </w:r>
          </w:p>
          <w:p w14:paraId="22D9A096" w14:textId="77777777" w:rsidR="00A96B0A" w:rsidRPr="00A96B0A" w:rsidRDefault="00A96B0A" w:rsidP="00A96B0A">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Consultation cost</w:t>
            </w:r>
          </w:p>
        </w:tc>
        <w:tc>
          <w:tcPr>
            <w:tcW w:w="1276" w:type="dxa"/>
          </w:tcPr>
          <w:p w14:paraId="11F26DA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1C65DE10"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6475B0E9"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Pr>
          <w:p w14:paraId="53530737"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Xie et al. (2023)</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{"citationID":"VL4Z70bg","properties":{"unsorted":false,"formattedCitation":"[93]","plainCitation":"[93]","noteIndex":0},"citationItems":[{"id":2441,"uris":["http://zotero.org/users/4007286/items/HDJ7SV8M"],"itemData":{"id":2441,"type":"article-journal","abstract":"BACKGROUND: The benefits of health apps can only be realized when consumers purchase them for use. Thus, it is important to understand what factors influence consumers' willingness to purchase health apps. Therefore, this study aimed to examine the influence of health app attributes and sociodemographic characteristics on consumers' willingness to purchase health apps, and how the value of the health app attributes varies for individuals with different sociodemographic characteristics.\nMETHODS: A questionnaire-based discrete choice experiment (DCE) was conducted with a random sample of 561 adults. A standard logit regression was applied to assess the influence of health app attributes and sociodemographic characteristics on consumers' willingness to purchase health apps, and marginal willingness to pay (MWTP) was calculated for each factor using regression coefficients. Interaction effects were also examined to determine how the value of health app attributes varies by sociodemographic characteristics.\nRESULTS: Usefulness, ease of use, security and privacy, and attitudes of healthcare professionals toward consumers' use of health apps were the attributes of health apps that positively influenced consumers' willingness to purchase them. Conversely, smartphone storage consumption, mobile Internet data consumption, and app price negatively influenced consumers' willingness to purchase the apps. For sociodemographic characteristics, being male, having a household size greater than three, having a monthly household income of HK$30,000 or more, having a lower education level (below diploma), having previously used health apps, and having previously purchased health apps were associated with a higher willingness to purchase health apps.\nCONCLUSIONS: Health app attributes that influenced consumers' willingness to purchase the apps and populations that were less willing to purchase health apps were identified. Efforts should be made to improve health app attributes and enhance the promotion of health apps among these underserved populations.","container-title":"mHealth","DOI":"10.21037/mhealth-22-39","ISSN":"2306-9740","journalAbbreviation":"Mhealth","language":"eng","page":"21","source":"PubMed","title":"A discrete choice experiment to examine the factors influencing consumers' willingness to purchase health apps","volume":"9","author":[{"family":"Xie","given":"Zhenzhen"},{"family":"Liu","given":"Hao"},{"family":"Or","given":"Calvin"}],"issued":{"date-parts":[["2023"]]}}}],"schema":"https://github.com/citation-style-language/schema/raw/master/csl-citation.json"}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[93]</w:t>
            </w:r>
            <w:r w:rsidRPr="00A96B0A">
              <w:rPr>
                <w:rFonts w:asciiTheme="minorHAnsi" w:eastAsia="Calibri" w:hAnsiTheme="minorHAnsi" w:cstheme="minorHAnsi"/>
                <w:color w:val="000000" w:themeColor="text1"/>
                <w:sz w:val="16"/>
                <w:szCs w:val="26"/>
                <w:lang w:val="en-US"/>
              </w:rPr>
              <w:fldChar w:fldCharType="end"/>
            </w:r>
          </w:p>
          <w:p w14:paraId="33489B41"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China</w:t>
            </w:r>
          </w:p>
        </w:tc>
        <w:tc>
          <w:tcPr>
            <w:tcW w:w="1985" w:type="dxa"/>
          </w:tcPr>
          <w:p w14:paraId="0378D10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Examine consumer preferences for health apps </w:t>
            </w:r>
          </w:p>
        </w:tc>
        <w:tc>
          <w:tcPr>
            <w:tcW w:w="1134" w:type="dxa"/>
          </w:tcPr>
          <w:p w14:paraId="4CF7A6C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53C6D53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Usefulness</w:t>
            </w:r>
            <w:r w:rsidRPr="00A96B0A">
              <w:rPr>
                <w:rFonts w:ascii="Calibri" w:eastAsia="Calibri" w:hAnsi="Calibri" w:cs="Calibri"/>
                <w:color w:val="000000" w:themeColor="text1"/>
                <w:sz w:val="16"/>
                <w:szCs w:val="16"/>
                <w:lang w:val="en-US"/>
              </w:rPr>
              <w:br/>
              <w:t>• Ease of use</w:t>
            </w:r>
            <w:r w:rsidRPr="00A96B0A">
              <w:rPr>
                <w:rFonts w:ascii="Calibri" w:eastAsia="Calibri" w:hAnsi="Calibri" w:cs="Calibri"/>
                <w:color w:val="000000" w:themeColor="text1"/>
                <w:sz w:val="16"/>
                <w:szCs w:val="16"/>
                <w:lang w:val="en-US"/>
              </w:rPr>
              <w:br/>
              <w:t>• Security and privacy</w:t>
            </w:r>
            <w:r w:rsidRPr="00A96B0A">
              <w:rPr>
                <w:rFonts w:ascii="Calibri" w:eastAsia="Calibri" w:hAnsi="Calibri" w:cs="Calibri"/>
                <w:color w:val="000000" w:themeColor="text1"/>
                <w:sz w:val="16"/>
                <w:szCs w:val="16"/>
                <w:lang w:val="en-US"/>
              </w:rPr>
              <w:br/>
              <w:t xml:space="preserve">• Health care professionals’ </w:t>
            </w:r>
            <w:r w:rsidRPr="00A96B0A">
              <w:rPr>
                <w:rFonts w:ascii="Calibri" w:eastAsia="Calibri" w:hAnsi="Calibri" w:cs="Calibri"/>
                <w:color w:val="000000" w:themeColor="text1"/>
                <w:sz w:val="16"/>
                <w:szCs w:val="16"/>
                <w:lang w:val="en-US"/>
              </w:rPr>
              <w:lastRenderedPageBreak/>
              <w:t>attitudes</w:t>
            </w:r>
            <w:r w:rsidRPr="00A96B0A">
              <w:rPr>
                <w:rFonts w:ascii="Calibri" w:eastAsia="Calibri" w:hAnsi="Calibri" w:cs="Calibri"/>
                <w:color w:val="000000" w:themeColor="text1"/>
                <w:sz w:val="16"/>
                <w:szCs w:val="16"/>
                <w:lang w:val="en-US"/>
              </w:rPr>
              <w:br/>
              <w:t>• Smartphone storage consumption</w:t>
            </w:r>
            <w:r w:rsidRPr="00A96B0A">
              <w:rPr>
                <w:rFonts w:ascii="Calibri" w:eastAsia="Calibri" w:hAnsi="Calibri" w:cs="Calibri"/>
                <w:color w:val="000000" w:themeColor="text1"/>
                <w:sz w:val="16"/>
                <w:szCs w:val="16"/>
                <w:lang w:val="en-US"/>
              </w:rPr>
              <w:br/>
              <w:t>• Mobile data consumption</w:t>
            </w:r>
            <w:r w:rsidRPr="00A96B0A">
              <w:rPr>
                <w:rFonts w:ascii="Calibri" w:eastAsia="Calibri" w:hAnsi="Calibri" w:cs="Calibri"/>
                <w:color w:val="000000" w:themeColor="text1"/>
                <w:sz w:val="16"/>
                <w:szCs w:val="16"/>
                <w:lang w:val="en-US"/>
              </w:rPr>
              <w:br/>
              <w:t xml:space="preserve">• Cost of app </w:t>
            </w:r>
          </w:p>
          <w:p w14:paraId="0DEEC1E1"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(HK$10, HK$50, HK$100)</w:t>
            </w:r>
          </w:p>
          <w:p w14:paraId="1B9083D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121FBF28"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lastRenderedPageBreak/>
              <w:t>NA</w:t>
            </w:r>
          </w:p>
        </w:tc>
        <w:tc>
          <w:tcPr>
            <w:tcW w:w="1559" w:type="dxa"/>
          </w:tcPr>
          <w:p w14:paraId="66F51D6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0390C16C" w14:textId="77777777" w:rsidTr="00AB6102">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134" w:type="dxa"/>
          </w:tcPr>
          <w:p w14:paraId="1210D934"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Xie and Or (2023)</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{"citationID":"YtlTiO3m","properties":{"formattedCitation":"[94]","plainCitation":"[94]","noteIndex":0},"citationItems":[{"id":2240,"uris":["http://zotero.org/users/4007286/items/TRWHWPQM"],"itemData":{"id":2240,"type":"article-journal","abstract":"Background: There is growing interest in mobile health apps; however, not all of them have been successful. The most common issue has been users' nonadoption or abandonment of health apps because the app designs do not meet their preferences. Therefore, to facilitate design-preference fit, understanding consumers' preferences for health apps is necessary, which can be accomplished by using a discrete choice experiment. Objective: This study aims to examine consumer preferences for health apps and how these preferences differ across individuals with different sociodemographic characteristics and health app usage and purchase experiences. Methods: A cross-sectional discrete choice experiment questionnaire survey was conducted with 593 adults living in Hong Kong. A total of 7 health app attributes that might affect consumers' preferences for health apps were examined, including usefulness, ease of use, security and privacy, health care professionals' attitudes, smartphone storage consumption, mobile data consumption, and cost. Mixed-effect logit regressions were used to examine how these attributes affected consumer preferences for health apps. Fixed effects (coefficient β) of the attributes and random effects of individual differences were modeled. Subgroup analyses of consumer preferences by sex, age, household income, education level, and health app usage and purchase experiences were conducted. Results: Cost was the attribute that had the greatest effect on consumers' choice of health apps (compared to HK $10 [US $1.27]-HK $50 [US $6.37]: β=-1.064; P&lt;.001; HK $100 [US $12.75]: β=-2.053; P&lt;.001), followed by security and privacy (compared to no security insurance-some security policies: β=.782; P&lt;.001; complete security system: β=1.164; P&lt;.001) and usefulness (compared to slightly useful-moderately useful: β=.234; P&lt;.001; very useful: β=.979; P=.007), mobile data consumption (compared to data-consuming-a bit data-consuming: β=.647; P&lt;.001; data-saving: β=.815; P&lt;.001), smartphone storage consumption (compared to &gt;100 MB-around 38 MB: β=.334; P&lt;.001; &lt;10 MB: β=.511; P&lt;.001), and attitudes of health care professionals (compared to neutral-moderately supportive: β=.301; P&lt;.001; very supportive: β=.324; P&lt;.001). In terms of ease of use, consumers preferred health apps that were moderately easy to use (compared to not easy to use-moderately easy to use: β=.761; P&lt;.001; very easy to use: β=.690; P&lt;.001). Our results also showed that consumers with different sociodemographic characteristics and different usage and purchase experiences with health apps differed in their preferences for health apps. Conclusions: It is recommended that future health apps keep their mobile data and phone storage consumption low, include a complete security system to protect personal health information, provide useful content and features, adopt user-friendly interfaces, and involve health care professionals. In addition, health app developers should identify the characteristics of their intended users and design and develop health apps to fit the preferences of the intended users.","archive":"Medline","container-title":"JMIR mHealth and uHealth","DOI":"10.2196/25908","ISSN":"2291-5222","issue":"(Xie Z.; Or C.K.) Department of Industrial and Manufacturing Systems Engineering, University of Hong Kong, Hong Kong, China","journalAbbreviation":"JMIR Mhealth Uhealth","language":"English","page":"e25908","title":"Consumers' Preferences for Purchasing mHealth Apps: Discrete Choice Experiment","volume":"11","author":[{"family":"Xie","given":"Z."},{"family":"Or","given":"C.K."}],"issued":{"date-parts":[["2023"]]}}}],"schema":"https://github.com/citation-style-language/schema/raw/master/csl-citation.json"}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[94]</w:t>
            </w:r>
            <w:r w:rsidRPr="00A96B0A">
              <w:rPr>
                <w:rFonts w:asciiTheme="minorHAnsi" w:eastAsia="Calibri" w:hAnsiTheme="minorHAnsi" w:cstheme="minorHAnsi"/>
                <w:color w:val="000000" w:themeColor="text1"/>
                <w:sz w:val="16"/>
                <w:szCs w:val="26"/>
                <w:lang w:val="en-US"/>
              </w:rPr>
              <w:fldChar w:fldCharType="end"/>
            </w:r>
          </w:p>
          <w:p w14:paraId="2B694B5A"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China</w:t>
            </w:r>
          </w:p>
        </w:tc>
        <w:tc>
          <w:tcPr>
            <w:tcW w:w="1985" w:type="dxa"/>
          </w:tcPr>
          <w:p w14:paraId="017C7CA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Examine the influence of health app attributes and sociodemographic characteristics on consumers’ willingness to purchase health apps</w:t>
            </w:r>
          </w:p>
        </w:tc>
        <w:tc>
          <w:tcPr>
            <w:tcW w:w="1134" w:type="dxa"/>
          </w:tcPr>
          <w:p w14:paraId="1FC72561"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DCE</w:t>
            </w:r>
          </w:p>
        </w:tc>
        <w:tc>
          <w:tcPr>
            <w:tcW w:w="2551" w:type="dxa"/>
          </w:tcPr>
          <w:p w14:paraId="35F1C6BE"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Usefulness</w:t>
            </w:r>
            <w:r w:rsidRPr="00A96B0A">
              <w:rPr>
                <w:rFonts w:ascii="Calibri" w:eastAsia="Calibri" w:hAnsi="Calibri" w:cs="Calibri"/>
                <w:color w:val="000000" w:themeColor="text1"/>
                <w:sz w:val="16"/>
                <w:szCs w:val="16"/>
                <w:lang w:val="en-US"/>
              </w:rPr>
              <w:br/>
              <w:t>• Ease of use</w:t>
            </w:r>
            <w:r w:rsidRPr="00A96B0A">
              <w:rPr>
                <w:rFonts w:ascii="Calibri" w:eastAsia="Calibri" w:hAnsi="Calibri" w:cs="Calibri"/>
                <w:color w:val="000000" w:themeColor="text1"/>
                <w:sz w:val="16"/>
                <w:szCs w:val="16"/>
                <w:lang w:val="en-US"/>
              </w:rPr>
              <w:br/>
              <w:t>• Security and privacy</w:t>
            </w:r>
            <w:r w:rsidRPr="00A96B0A">
              <w:rPr>
                <w:rFonts w:ascii="Calibri" w:eastAsia="Calibri" w:hAnsi="Calibri" w:cs="Calibri"/>
                <w:color w:val="000000" w:themeColor="text1"/>
                <w:sz w:val="16"/>
                <w:szCs w:val="16"/>
                <w:lang w:val="en-US"/>
              </w:rPr>
              <w:br/>
              <w:t>• Health care professionals’ attitudes</w:t>
            </w:r>
            <w:r w:rsidRPr="00A96B0A">
              <w:rPr>
                <w:rFonts w:ascii="Calibri" w:eastAsia="Calibri" w:hAnsi="Calibri" w:cs="Calibri"/>
                <w:color w:val="000000" w:themeColor="text1"/>
                <w:sz w:val="16"/>
                <w:szCs w:val="16"/>
                <w:lang w:val="en-US"/>
              </w:rPr>
              <w:br/>
              <w:t>• Smartphone storage consumption</w:t>
            </w:r>
            <w:r w:rsidRPr="00A96B0A">
              <w:rPr>
                <w:rFonts w:ascii="Calibri" w:eastAsia="Calibri" w:hAnsi="Calibri" w:cs="Calibri"/>
                <w:color w:val="000000" w:themeColor="text1"/>
                <w:sz w:val="16"/>
                <w:szCs w:val="16"/>
                <w:lang w:val="en-US"/>
              </w:rPr>
              <w:br/>
              <w:t>• Mobile data consumption</w:t>
            </w:r>
            <w:r w:rsidRPr="00A96B0A">
              <w:rPr>
                <w:rFonts w:ascii="Calibri" w:eastAsia="Calibri" w:hAnsi="Calibri" w:cs="Calibri"/>
                <w:color w:val="000000" w:themeColor="text1"/>
                <w:sz w:val="16"/>
                <w:szCs w:val="16"/>
                <w:lang w:val="en-US"/>
              </w:rPr>
              <w:br/>
              <w:t xml:space="preserve">• Cost of app </w:t>
            </w:r>
          </w:p>
          <w:p w14:paraId="17623776"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(HK$10, HK$50, HK$100)</w:t>
            </w:r>
          </w:p>
          <w:p w14:paraId="2DF6703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Pr>
          <w:p w14:paraId="623C2A0C"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c>
          <w:tcPr>
            <w:tcW w:w="1559" w:type="dxa"/>
          </w:tcPr>
          <w:p w14:paraId="39260B6A" w14:textId="77777777" w:rsidR="00A96B0A" w:rsidRPr="00A96B0A" w:rsidRDefault="00A96B0A" w:rsidP="00A96B0A">
            <w:pPr>
              <w:keepNext/>
              <w:keepLines/>
              <w:spacing w:before="40" w:line="240" w:lineRule="auto"/>
              <w:outlineLvl w:val="1"/>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NA</w:t>
            </w:r>
          </w:p>
        </w:tc>
      </w:tr>
      <w:tr w:rsidR="00A96B0A" w:rsidRPr="00A96B0A" w14:paraId="2DDE428E" w14:textId="77777777" w:rsidTr="00AB6102">
        <w:trPr>
          <w:trHeight w:val="871"/>
        </w:trPr>
        <w:tc>
          <w:tcPr>
            <w:cnfStyle w:val="001000000000" w:firstRow="0" w:lastRow="0" w:firstColumn="1" w:lastColumn="0" w:oddVBand="0" w:evenVBand="0" w:oddHBand="0" w:evenHBand="0" w:firstRowFirstColumn="0" w:firstRowLastColumn="0" w:lastRowFirstColumn="0" w:lastRowLastColumn="0"/>
            <w:tcW w:w="1134" w:type="dxa"/>
            <w:tcBorders>
              <w:bottom w:val="double" w:sz="4" w:space="0" w:color="auto"/>
            </w:tcBorders>
          </w:tcPr>
          <w:p w14:paraId="6358EC87"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b/>
                <w:bCs/>
                <w:i w:val="0"/>
                <w:iCs w:val="0"/>
                <w:color w:val="000000" w:themeColor="text1"/>
                <w:sz w:val="16"/>
                <w:szCs w:val="26"/>
                <w:lang w:val="en-US"/>
              </w:rPr>
            </w:pPr>
            <w:r w:rsidRPr="00A96B0A">
              <w:rPr>
                <w:rFonts w:asciiTheme="minorHAnsi" w:eastAsia="Calibri" w:hAnsiTheme="minorHAnsi" w:cstheme="minorHAnsi"/>
                <w:b/>
                <w:bCs/>
                <w:i w:val="0"/>
                <w:iCs w:val="0"/>
                <w:color w:val="000000" w:themeColor="text1"/>
                <w:sz w:val="16"/>
                <w:szCs w:val="26"/>
                <w:lang w:val="en-US"/>
              </w:rPr>
              <w:t>Xu et al. (2023)</w:t>
            </w:r>
            <w:r w:rsidRPr="00A96B0A">
              <w:rPr>
                <w:rFonts w:asciiTheme="minorHAnsi" w:eastAsia="Calibri" w:hAnsiTheme="minorHAnsi" w:cstheme="minorHAnsi"/>
                <w:i w:val="0"/>
                <w:iCs w:val="0"/>
                <w:color w:val="000000" w:themeColor="text1"/>
                <w:sz w:val="16"/>
                <w:szCs w:val="26"/>
                <w:lang w:val="en-US"/>
              </w:rPr>
              <w:t xml:space="preserve"> </w:t>
            </w:r>
            <w:r w:rsidRPr="00A96B0A">
              <w:rPr>
                <w:rFonts w:asciiTheme="minorHAnsi" w:eastAsia="Calibri" w:hAnsiTheme="minorHAnsi" w:cstheme="minorHAnsi"/>
                <w:color w:val="000000" w:themeColor="text1"/>
                <w:sz w:val="16"/>
                <w:szCs w:val="26"/>
                <w:lang w:val="en-US"/>
              </w:rPr>
              <w:fldChar w:fldCharType="begin"/>
            </w:r>
            <w:r w:rsidRPr="00A96B0A">
              <w:rPr>
                <w:rFonts w:asciiTheme="minorHAnsi" w:eastAsia="Calibri" w:hAnsiTheme="minorHAnsi" w:cstheme="minorHAnsi"/>
                <w:i w:val="0"/>
                <w:iCs w:val="0"/>
                <w:color w:val="000000" w:themeColor="text1"/>
                <w:sz w:val="16"/>
                <w:szCs w:val="26"/>
                <w:lang w:val="en-US"/>
              </w:rPr>
              <w:instrText xml:space="preserve"> ADDIN ZOTERO_ITEM CSL_CITATION {"citationID":"r0dxDrBb","properties":{"formattedCitation":"[95]","plainCitation":"[95]","noteIndex":0},"citationItems":[{"id":824,"uris":["http://zotero.org/users/4007286/items/EHLA2ENC"],"itemData":{"id":824,"type":"article-journal","abstract":"Background: Smartphone apps have been beneficial in controlling and preventing the COVID-19 pandemic. However, there is a gap in research surrounding the importance of smartphone app functions from a user's perspective. Although the insights and opinions of different stakeholders, such as policymakers and medical professionals, can influence the success of a public health policy, any strategy will face difficulty in achieving the expected effect if it is not based on a method that users can accept.\nObjective: This study aimed to assess the importance of a hypothetical smartphone app's functions for managing health during a pandemic based on the perspective of user preferences.\nMethods: A cross-sectional and web-based survey using the best-worst scaling (BWS) method was used to investigate the general population's preferences for important smartphone app functions. Participants were recruited from a professional surveying company's web-based surveying panel. The attributes of the BWS questionnaire were developed based on a robust process, including literature review, interviews, and expert discussion. A balanced incomplete block design was used to construct the choice task to ensure the effectiveness of the research design. Count analysis, conditional logit model analysis, and mixed logit analysis were used to estimate preference heterogeneity among respondents.\nResults: The responses of 2153 participants were eligible for analysis. Nearly 55% (1192/2153) were female, and the mean age was 31.4 years. Most participants (1765/2153, 81.9%) had completed tertiary or higher education, and approximately 70% (1523/2153) were urban residents. The 3 most vital functions according to their selection were \"surveillance and monitoring of infected cases,\" \"quick self-screening,\" and \"early detection of infected cases.\" The mixed logit regression model identified significant heterogeneity in preferences among respondents, and stratified analysis showed that some heterogeneities varied in respondents by demographics and COVID-19-related characteristics. Participants who preferred to use the app were more likely to assign a high weight to the preventive functions than those who did not prefer to use it. Conversely, participants who showed lower willingness to use the app tended to indicate a higher preference for supportive functions than those who preferred to use it.\nConclusions: This study ranks the importance of smartphone app features that provide health care services during a pandemic based on the general population's preferences in China. It provides empirical evidence for decision-makers to develop eHealth policies and strategies that address future public health crises from a person-centered care perspective. Continued use of apps and smart investment in digital health can help improve health outcomes and reduce the burden of disease on individuals and communities.","archive_location":"WOS:001062195600002","container-title":"JOURNAL OF MEDICAL INTERNET RESEARCH","DOI":"10.2196/48308","ISSN":"1438-8871","title":"Investigating Individuals' Preferences in Determining the Functions of Smartphone Apps for Fighting Pandemics: Best-Worst Scaling Survey Study","volume":"25","author":[{"family":"Xu","given":"RH"},{"family":"Shi","given":"L"},{"family":"Shi","given":"ZP"},{"family":"Li","given":"T"},{"family":"Wang","given":"D"}],"issued":{"date-parts":[["2023",8,15]]}}}],"schema":"https://github.com/citation-style-language/schema/raw/master/csl-citation.json"} </w:instrText>
            </w:r>
            <w:r w:rsidRPr="00A96B0A">
              <w:rPr>
                <w:rFonts w:asciiTheme="minorHAnsi" w:eastAsia="Calibri" w:hAnsiTheme="minorHAnsi" w:cstheme="minorHAnsi"/>
                <w:color w:val="000000" w:themeColor="text1"/>
                <w:sz w:val="16"/>
                <w:szCs w:val="26"/>
                <w:lang w:val="en-US"/>
              </w:rPr>
              <w:fldChar w:fldCharType="separate"/>
            </w:r>
            <w:r w:rsidRPr="00A96B0A">
              <w:rPr>
                <w:rFonts w:asciiTheme="minorHAnsi" w:eastAsiaTheme="majorEastAsia" w:hAnsiTheme="minorHAnsi" w:cstheme="minorHAnsi"/>
                <w:i w:val="0"/>
                <w:iCs w:val="0"/>
                <w:color w:val="000000" w:themeColor="text1"/>
                <w:sz w:val="16"/>
                <w:szCs w:val="26"/>
                <w:lang w:val="en-US"/>
              </w:rPr>
              <w:t>[95]</w:t>
            </w:r>
            <w:r w:rsidRPr="00A96B0A">
              <w:rPr>
                <w:rFonts w:asciiTheme="minorHAnsi" w:eastAsia="Calibri" w:hAnsiTheme="minorHAnsi" w:cstheme="minorHAnsi"/>
                <w:color w:val="000000" w:themeColor="text1"/>
                <w:sz w:val="16"/>
                <w:szCs w:val="26"/>
                <w:lang w:val="en-US"/>
              </w:rPr>
              <w:fldChar w:fldCharType="end"/>
            </w:r>
          </w:p>
          <w:p w14:paraId="6576DBE5" w14:textId="77777777" w:rsidR="00A96B0A" w:rsidRPr="00A96B0A" w:rsidRDefault="00A96B0A" w:rsidP="00A96B0A">
            <w:pPr>
              <w:keepNext/>
              <w:keepLines/>
              <w:spacing w:before="40" w:line="240" w:lineRule="auto"/>
              <w:jc w:val="center"/>
              <w:outlineLvl w:val="1"/>
              <w:rPr>
                <w:rFonts w:asciiTheme="minorHAnsi" w:eastAsia="Calibri" w:hAnsiTheme="minorHAnsi" w:cstheme="minorHAnsi"/>
                <w:color w:val="000000" w:themeColor="text1"/>
                <w:sz w:val="16"/>
                <w:szCs w:val="26"/>
                <w:lang w:val="en-US"/>
              </w:rPr>
            </w:pPr>
            <w:r w:rsidRPr="00A96B0A">
              <w:rPr>
                <w:rFonts w:asciiTheme="minorHAnsi" w:eastAsia="Calibri" w:hAnsiTheme="minorHAnsi" w:cstheme="minorHAnsi"/>
                <w:color w:val="000000" w:themeColor="text1"/>
                <w:sz w:val="16"/>
                <w:szCs w:val="26"/>
                <w:lang w:val="en-US"/>
              </w:rPr>
              <w:t>China</w:t>
            </w:r>
          </w:p>
        </w:tc>
        <w:tc>
          <w:tcPr>
            <w:tcW w:w="1985" w:type="dxa"/>
            <w:tcBorders>
              <w:bottom w:val="double" w:sz="4" w:space="0" w:color="auto"/>
            </w:tcBorders>
          </w:tcPr>
          <w:p w14:paraId="1BDECCC4"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Evaluate the importance of various features within a hypothetical smartphone app designed for health management during the pandemic </w:t>
            </w:r>
          </w:p>
        </w:tc>
        <w:tc>
          <w:tcPr>
            <w:tcW w:w="1134" w:type="dxa"/>
            <w:tcBorders>
              <w:bottom w:val="double" w:sz="4" w:space="0" w:color="auto"/>
            </w:tcBorders>
          </w:tcPr>
          <w:p w14:paraId="4D62363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BWS case 1 (object case)</w:t>
            </w:r>
          </w:p>
        </w:tc>
        <w:tc>
          <w:tcPr>
            <w:tcW w:w="2551" w:type="dxa"/>
            <w:tcBorders>
              <w:bottom w:val="double" w:sz="4" w:space="0" w:color="auto"/>
            </w:tcBorders>
          </w:tcPr>
          <w:p w14:paraId="4BC7EDD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Surveillance and monitoring of infected cases</w:t>
            </w:r>
            <w:r w:rsidRPr="00A96B0A">
              <w:rPr>
                <w:rFonts w:ascii="Calibri" w:eastAsia="Calibri" w:hAnsi="Calibri" w:cs="Calibri"/>
                <w:color w:val="000000" w:themeColor="text1"/>
                <w:sz w:val="16"/>
                <w:szCs w:val="16"/>
                <w:lang w:val="en-US"/>
              </w:rPr>
              <w:br/>
              <w:t>• Quick self-screening</w:t>
            </w:r>
            <w:r w:rsidRPr="00A96B0A">
              <w:rPr>
                <w:rFonts w:ascii="Calibri" w:eastAsia="Calibri" w:hAnsi="Calibri" w:cs="Calibri"/>
                <w:color w:val="000000" w:themeColor="text1"/>
                <w:sz w:val="16"/>
                <w:szCs w:val="16"/>
                <w:lang w:val="en-US"/>
              </w:rPr>
              <w:br/>
              <w:t>• Early detection of infected cases</w:t>
            </w:r>
            <w:r w:rsidRPr="00A96B0A">
              <w:rPr>
                <w:rFonts w:ascii="Calibri" w:eastAsia="Calibri" w:hAnsi="Calibri" w:cs="Calibri"/>
                <w:color w:val="000000" w:themeColor="text1"/>
                <w:sz w:val="16"/>
                <w:szCs w:val="16"/>
                <w:lang w:val="en-US"/>
              </w:rPr>
              <w:br/>
              <w:t>• Informing prevention protocol</w:t>
            </w:r>
            <w:r w:rsidRPr="00A96B0A">
              <w:rPr>
                <w:rFonts w:ascii="Calibri" w:eastAsia="Calibri" w:hAnsi="Calibri" w:cs="Calibri"/>
                <w:color w:val="000000" w:themeColor="text1"/>
                <w:sz w:val="16"/>
                <w:szCs w:val="16"/>
                <w:lang w:val="en-US"/>
              </w:rPr>
              <w:br/>
              <w:t>• Contact tracing</w:t>
            </w:r>
            <w:r w:rsidRPr="00A96B0A">
              <w:rPr>
                <w:rFonts w:ascii="Calibri" w:eastAsia="Calibri" w:hAnsi="Calibri" w:cs="Calibri"/>
                <w:color w:val="000000" w:themeColor="text1"/>
                <w:sz w:val="16"/>
                <w:szCs w:val="16"/>
                <w:lang w:val="en-US"/>
              </w:rPr>
              <w:br/>
              <w:t>• Mobile-based consultation for treatment</w:t>
            </w:r>
            <w:r w:rsidRPr="00A96B0A">
              <w:rPr>
                <w:rFonts w:ascii="Calibri" w:eastAsia="Calibri" w:hAnsi="Calibri" w:cs="Calibri"/>
                <w:color w:val="000000" w:themeColor="text1"/>
                <w:sz w:val="16"/>
                <w:szCs w:val="16"/>
                <w:lang w:val="en-US"/>
              </w:rPr>
              <w:br/>
              <w:t>• Mobile-based consultation for rehabilitation</w:t>
            </w:r>
            <w:r w:rsidRPr="00A96B0A">
              <w:rPr>
                <w:rFonts w:ascii="Calibri" w:eastAsia="Calibri" w:hAnsi="Calibri" w:cs="Calibri"/>
                <w:color w:val="000000" w:themeColor="text1"/>
                <w:sz w:val="16"/>
                <w:szCs w:val="16"/>
                <w:lang w:val="en-US"/>
              </w:rPr>
              <w:br/>
              <w:t>• Offering education</w:t>
            </w:r>
            <w:r w:rsidRPr="00A96B0A">
              <w:rPr>
                <w:rFonts w:ascii="Calibri" w:eastAsia="Calibri" w:hAnsi="Calibri" w:cs="Calibri"/>
                <w:color w:val="000000" w:themeColor="text1"/>
                <w:sz w:val="16"/>
                <w:szCs w:val="16"/>
                <w:lang w:val="en-US"/>
              </w:rPr>
              <w:br/>
              <w:t>• Supporting medical research</w:t>
            </w:r>
            <w:r w:rsidRPr="00A96B0A">
              <w:rPr>
                <w:rFonts w:ascii="Calibri" w:eastAsia="Calibri" w:hAnsi="Calibri" w:cs="Calibri"/>
                <w:color w:val="000000" w:themeColor="text1"/>
                <w:sz w:val="16"/>
                <w:szCs w:val="16"/>
                <w:lang w:val="en-US"/>
              </w:rPr>
              <w:br/>
              <w:t>• Platform for experience sharing</w:t>
            </w:r>
            <w:r w:rsidRPr="00A96B0A">
              <w:rPr>
                <w:rFonts w:ascii="Calibri" w:eastAsia="Calibri" w:hAnsi="Calibri" w:cs="Calibri"/>
                <w:color w:val="000000" w:themeColor="text1"/>
                <w:sz w:val="16"/>
                <w:szCs w:val="16"/>
                <w:lang w:val="en-US"/>
              </w:rPr>
              <w:br/>
              <w:t>• Mental health therapy</w:t>
            </w:r>
          </w:p>
          <w:p w14:paraId="4FFB7073"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p>
        </w:tc>
        <w:tc>
          <w:tcPr>
            <w:tcW w:w="1276" w:type="dxa"/>
            <w:tcBorders>
              <w:bottom w:val="double" w:sz="4" w:space="0" w:color="auto"/>
            </w:tcBorders>
          </w:tcPr>
          <w:p w14:paraId="7C15B97A"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BWSs score</w:t>
            </w:r>
          </w:p>
        </w:tc>
        <w:tc>
          <w:tcPr>
            <w:tcW w:w="1559" w:type="dxa"/>
            <w:tcBorders>
              <w:bottom w:val="double" w:sz="4" w:space="0" w:color="auto"/>
            </w:tcBorders>
          </w:tcPr>
          <w:p w14:paraId="6879650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i/>
                <w:color w:val="000000" w:themeColor="text1"/>
                <w:sz w:val="16"/>
                <w:szCs w:val="16"/>
                <w:lang w:val="en-US"/>
              </w:rPr>
            </w:pPr>
            <w:r w:rsidRPr="00A96B0A">
              <w:rPr>
                <w:rFonts w:ascii="Calibri" w:eastAsia="Calibri" w:hAnsi="Calibri" w:cs="Calibri"/>
                <w:i/>
                <w:color w:val="000000" w:themeColor="text1"/>
                <w:sz w:val="16"/>
                <w:szCs w:val="16"/>
                <w:lang w:val="en-US"/>
              </w:rPr>
              <w:t>Ranking</w:t>
            </w:r>
          </w:p>
          <w:p w14:paraId="142559A5"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  Surveillance and monitoring of infected cases</w:t>
            </w:r>
          </w:p>
          <w:p w14:paraId="77ECC6D6"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2. Quick self-screening</w:t>
            </w:r>
          </w:p>
          <w:p w14:paraId="5194ECE9"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3. Early detection of infected cases</w:t>
            </w:r>
          </w:p>
          <w:p w14:paraId="59519982"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4. Informing prevention protocol </w:t>
            </w:r>
          </w:p>
          <w:p w14:paraId="2A7AFB8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5. Contact tracing</w:t>
            </w:r>
            <w:r w:rsidRPr="00A96B0A">
              <w:rPr>
                <w:rFonts w:ascii="Calibri" w:eastAsia="Calibri" w:hAnsi="Calibri" w:cs="Calibri"/>
                <w:color w:val="000000" w:themeColor="text1"/>
                <w:sz w:val="16"/>
                <w:szCs w:val="16"/>
                <w:lang w:val="en-US"/>
              </w:rPr>
              <w:br/>
              <w:t>6. Mobile-based consultation for treatment</w:t>
            </w:r>
          </w:p>
          <w:p w14:paraId="4B1021B7"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7. Mobile-based consultation for rehabilitation</w:t>
            </w:r>
            <w:r w:rsidRPr="00A96B0A">
              <w:rPr>
                <w:rFonts w:ascii="Calibri" w:eastAsia="Calibri" w:hAnsi="Calibri" w:cs="Calibri"/>
                <w:color w:val="000000" w:themeColor="text1"/>
                <w:sz w:val="16"/>
                <w:szCs w:val="16"/>
                <w:lang w:val="en-US"/>
              </w:rPr>
              <w:br/>
              <w:t>8. Offering education</w:t>
            </w:r>
            <w:r w:rsidRPr="00A96B0A">
              <w:rPr>
                <w:rFonts w:ascii="Calibri" w:eastAsia="Calibri" w:hAnsi="Calibri" w:cs="Calibri"/>
                <w:color w:val="000000" w:themeColor="text1"/>
                <w:sz w:val="16"/>
                <w:szCs w:val="16"/>
                <w:lang w:val="en-US"/>
              </w:rPr>
              <w:br/>
              <w:t>9. Supporting medical research</w:t>
            </w:r>
          </w:p>
          <w:p w14:paraId="44EA41BF"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10. Platform for experience sharing</w:t>
            </w:r>
            <w:r w:rsidRPr="00A96B0A">
              <w:rPr>
                <w:rFonts w:ascii="Calibri" w:eastAsia="Calibri" w:hAnsi="Calibri" w:cs="Calibri"/>
                <w:color w:val="000000" w:themeColor="text1"/>
                <w:sz w:val="16"/>
                <w:szCs w:val="16"/>
                <w:lang w:val="en-US"/>
              </w:rPr>
              <w:br/>
              <w:t>11. Mental health therapy</w:t>
            </w:r>
          </w:p>
          <w:p w14:paraId="69E9152D" w14:textId="77777777" w:rsidR="00A96B0A" w:rsidRPr="00A96B0A" w:rsidRDefault="00A96B0A" w:rsidP="00A96B0A">
            <w:pPr>
              <w:keepNext/>
              <w:keepLines/>
              <w:spacing w:before="40" w:line="240" w:lineRule="auto"/>
              <w:outlineLvl w:val="1"/>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16"/>
                <w:szCs w:val="16"/>
                <w:lang w:val="en-US"/>
              </w:rPr>
            </w:pPr>
            <w:r w:rsidRPr="00A96B0A">
              <w:rPr>
                <w:rFonts w:ascii="Calibri" w:eastAsia="Calibri" w:hAnsi="Calibri" w:cs="Calibri"/>
                <w:color w:val="000000" w:themeColor="text1"/>
                <w:sz w:val="16"/>
                <w:szCs w:val="16"/>
                <w:lang w:val="en-US"/>
              </w:rPr>
              <w:t xml:space="preserve"> </w:t>
            </w:r>
          </w:p>
        </w:tc>
      </w:tr>
    </w:tbl>
    <w:p w14:paraId="42AC07F2" w14:textId="77777777" w:rsidR="00D760D2" w:rsidRPr="000B4CB4" w:rsidRDefault="00D760D2" w:rsidP="001156F7">
      <w:pPr>
        <w:pStyle w:val="NormalWeb"/>
        <w:spacing w:line="240" w:lineRule="auto"/>
        <w:rPr>
          <w:rFonts w:asciiTheme="minorHAnsi" w:hAnsiTheme="minorHAnsi" w:cstheme="minorHAnsi"/>
          <w:sz w:val="20"/>
          <w:szCs w:val="22"/>
          <w:lang w:val="en-US"/>
        </w:rPr>
      </w:pPr>
      <w:r w:rsidRPr="000B4CB4">
        <w:rPr>
          <w:rFonts w:asciiTheme="minorHAnsi" w:hAnsiTheme="minorHAnsi" w:cstheme="minorHAnsi"/>
          <w:sz w:val="20"/>
          <w:szCs w:val="22"/>
          <w:lang w:val="en-US"/>
        </w:rPr>
        <w:t>NA: non-available</w:t>
      </w:r>
    </w:p>
    <w:p w14:paraId="5CB997E5" w14:textId="77777777" w:rsidR="00D760D2" w:rsidRPr="000B4CB4" w:rsidRDefault="00D760D2" w:rsidP="001156F7">
      <w:pPr>
        <w:spacing w:line="240" w:lineRule="auto"/>
        <w:rPr>
          <w:rFonts w:asciiTheme="minorHAnsi" w:hAnsiTheme="minorHAnsi" w:cstheme="minorHAnsi"/>
          <w:sz w:val="20"/>
          <w:szCs w:val="22"/>
          <w:lang w:val="en-US"/>
        </w:rPr>
      </w:pPr>
      <w:r w:rsidRPr="000B4CB4">
        <w:rPr>
          <w:rFonts w:asciiTheme="minorHAnsi" w:hAnsiTheme="minorHAnsi" w:cstheme="minorHAnsi"/>
          <w:sz w:val="20"/>
          <w:szCs w:val="22"/>
          <w:lang w:val="en-US"/>
        </w:rPr>
        <w:t>Note: The Average relative importance</w:t>
      </w:r>
      <w:r w:rsidRPr="000B4CB4">
        <w:rPr>
          <w:rFonts w:asciiTheme="minorHAnsi" w:eastAsia="Calibri" w:hAnsiTheme="minorHAnsi" w:cstheme="minorHAnsi"/>
          <w:sz w:val="20"/>
          <w:szCs w:val="22"/>
          <w:lang w:val="en-US"/>
        </w:rPr>
        <w:t xml:space="preserve"> of attribute (Hauber et al., 2016)</w:t>
      </w:r>
      <w:r w:rsidR="00270751" w:rsidRPr="000B4CB4">
        <w:rPr>
          <w:rFonts w:asciiTheme="minorHAnsi" w:eastAsia="Calibri" w:hAnsiTheme="minorHAnsi" w:cstheme="minorHAnsi"/>
          <w:sz w:val="20"/>
          <w:szCs w:val="22"/>
          <w:lang w:val="en-US"/>
        </w:rPr>
        <w:t xml:space="preserve"> [124]</w:t>
      </w:r>
      <w:r w:rsidRPr="000B4CB4">
        <w:rPr>
          <w:rFonts w:asciiTheme="minorHAnsi" w:eastAsia="Calibri" w:hAnsiTheme="minorHAnsi" w:cstheme="minorHAnsi"/>
          <w:sz w:val="20"/>
          <w:szCs w:val="22"/>
          <w:lang w:val="en-US"/>
        </w:rPr>
        <w:t xml:space="preserve"> </w:t>
      </w:r>
      <w:r w:rsidRPr="000B4CB4">
        <w:rPr>
          <w:rFonts w:asciiTheme="minorHAnsi" w:hAnsiTheme="minorHAnsi" w:cstheme="minorHAnsi"/>
          <w:sz w:val="20"/>
          <w:szCs w:val="22"/>
          <w:lang w:val="en-US"/>
        </w:rPr>
        <w:t>is calculated by taking the difference in preference weights between each attribute’s most preferred and least preferred level, dividing this difference by the sum of the differences across all attributes, and multiplying by 100. The attribute importance values add up to 100%.</w:t>
      </w:r>
    </w:p>
    <w:p w14:paraId="570502E2" w14:textId="77777777" w:rsidR="00EF17A1" w:rsidRPr="00EF17A1" w:rsidRDefault="00EF17A1" w:rsidP="00EF17A1">
      <w:pPr>
        <w:spacing w:line="240" w:lineRule="auto"/>
        <w:rPr>
          <w:rFonts w:asciiTheme="minorHAnsi" w:hAnsiTheme="minorHAnsi" w:cstheme="minorHAnsi"/>
          <w:sz w:val="20"/>
          <w:szCs w:val="22"/>
          <w:lang w:val="en-US"/>
        </w:rPr>
      </w:pPr>
      <w:r w:rsidRPr="000B4CB4">
        <w:rPr>
          <w:rFonts w:asciiTheme="minorHAnsi" w:hAnsiTheme="minorHAnsi" w:cstheme="minorHAnsi"/>
          <w:sz w:val="20"/>
          <w:szCs w:val="22"/>
          <w:lang w:val="en-US"/>
        </w:rPr>
        <w:t>Note: Bracketed references in the tables correspond to the full citations provided in the References section of the main manuscript.</w:t>
      </w:r>
    </w:p>
    <w:p w14:paraId="764C7802" w14:textId="77777777" w:rsidR="00EF17A1" w:rsidRPr="000B4CB4" w:rsidRDefault="00EF17A1" w:rsidP="001156F7">
      <w:pPr>
        <w:spacing w:line="240" w:lineRule="auto"/>
        <w:rPr>
          <w:rFonts w:asciiTheme="minorHAnsi" w:hAnsiTheme="minorHAnsi" w:cstheme="minorHAnsi"/>
          <w:sz w:val="20"/>
          <w:szCs w:val="22"/>
          <w:lang w:val="en-US"/>
        </w:rPr>
      </w:pPr>
    </w:p>
    <w:p w14:paraId="6EA4D1BF" w14:textId="77777777" w:rsidR="00D760D2" w:rsidRPr="000B4CB4" w:rsidRDefault="00D760D2" w:rsidP="00D760D2">
      <w:pPr>
        <w:rPr>
          <w:rFonts w:asciiTheme="minorHAnsi" w:hAnsiTheme="minorHAnsi" w:cstheme="minorHAnsi"/>
          <w:sz w:val="22"/>
          <w:lang w:val="en-US"/>
        </w:rPr>
      </w:pPr>
    </w:p>
    <w:p w14:paraId="440F7151" w14:textId="77777777" w:rsidR="00D760D2" w:rsidRPr="000B4CB4" w:rsidRDefault="00D760D2" w:rsidP="00D760D2">
      <w:pPr>
        <w:pStyle w:val="NormalWeb"/>
        <w:rPr>
          <w:rFonts w:asciiTheme="minorHAnsi" w:hAnsiTheme="minorHAnsi" w:cstheme="minorHAnsi"/>
          <w:lang w:val="en-US"/>
        </w:rPr>
      </w:pPr>
      <w:r w:rsidRPr="000B4CB4">
        <w:rPr>
          <w:rFonts w:asciiTheme="minorHAnsi" w:hAnsiTheme="minorHAnsi" w:cstheme="minorHAnsi"/>
          <w:sz w:val="21"/>
          <w:lang w:val="en-US"/>
        </w:rPr>
        <w:br/>
      </w:r>
    </w:p>
    <w:p w14:paraId="1F7AFDAE" w14:textId="77777777" w:rsidR="00CD13DF" w:rsidRPr="000B4CB4" w:rsidRDefault="00CD13DF" w:rsidP="00674D18">
      <w:pPr>
        <w:rPr>
          <w:rFonts w:asciiTheme="minorHAnsi" w:hAnsiTheme="minorHAnsi" w:cstheme="minorHAnsi"/>
          <w:b/>
          <w:sz w:val="28"/>
          <w:lang w:val="en-US"/>
        </w:rPr>
      </w:pPr>
    </w:p>
    <w:sectPr w:rsidR="00CD13DF" w:rsidRPr="000B4CB4" w:rsidSect="00D760D2">
      <w:footerReference w:type="even" r:id="rId10"/>
      <w:footerReference w:type="default" r:id="rId11"/>
      <w:pgSz w:w="11900" w:h="16840"/>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C6EEE" w14:textId="77777777" w:rsidR="00B9349A" w:rsidRDefault="00B9349A" w:rsidP="00D760D2">
      <w:pPr>
        <w:spacing w:line="240" w:lineRule="auto"/>
      </w:pPr>
      <w:r>
        <w:separator/>
      </w:r>
    </w:p>
  </w:endnote>
  <w:endnote w:type="continuationSeparator" w:id="0">
    <w:p w14:paraId="1BCEF612" w14:textId="77777777" w:rsidR="00B9349A" w:rsidRDefault="00B9349A" w:rsidP="00D760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844623009"/>
      <w:docPartObj>
        <w:docPartGallery w:val="Page Numbers (Bottom of Page)"/>
        <w:docPartUnique/>
      </w:docPartObj>
    </w:sdtPr>
    <w:sdtContent>
      <w:p w14:paraId="4C6F49DD" w14:textId="77777777" w:rsidR="001D6A7D" w:rsidRDefault="001D6A7D" w:rsidP="001D6A7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4717D7F" w14:textId="77777777" w:rsidR="001D6A7D" w:rsidRDefault="001D6A7D" w:rsidP="001D6A7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774749496"/>
      <w:docPartObj>
        <w:docPartGallery w:val="Page Numbers (Bottom of Page)"/>
        <w:docPartUnique/>
      </w:docPartObj>
    </w:sdtPr>
    <w:sdtEndPr>
      <w:rPr>
        <w:rStyle w:val="Numrodepage"/>
        <w:sz w:val="18"/>
        <w:szCs w:val="18"/>
      </w:rPr>
    </w:sdtEndPr>
    <w:sdtContent>
      <w:p w14:paraId="1E907C74" w14:textId="77777777" w:rsidR="001D6A7D" w:rsidRPr="00311670" w:rsidRDefault="001D6A7D" w:rsidP="001D6A7D">
        <w:pPr>
          <w:pStyle w:val="Pieddepage"/>
          <w:framePr w:wrap="none" w:vAnchor="text" w:hAnchor="margin" w:xAlign="center" w:y="1"/>
          <w:rPr>
            <w:rStyle w:val="Numrodepage"/>
            <w:sz w:val="18"/>
            <w:szCs w:val="18"/>
          </w:rPr>
        </w:pPr>
        <w:r w:rsidRPr="00311670">
          <w:rPr>
            <w:rStyle w:val="Numrodepage"/>
            <w:sz w:val="18"/>
            <w:szCs w:val="18"/>
          </w:rPr>
          <w:fldChar w:fldCharType="begin"/>
        </w:r>
        <w:r w:rsidRPr="00311670">
          <w:rPr>
            <w:rStyle w:val="Numrodepage"/>
            <w:sz w:val="18"/>
            <w:szCs w:val="18"/>
          </w:rPr>
          <w:instrText xml:space="preserve"> PAGE </w:instrText>
        </w:r>
        <w:r w:rsidRPr="00311670">
          <w:rPr>
            <w:rStyle w:val="Numrodepage"/>
            <w:sz w:val="18"/>
            <w:szCs w:val="18"/>
          </w:rPr>
          <w:fldChar w:fldCharType="separate"/>
        </w:r>
        <w:r w:rsidRPr="00311670">
          <w:rPr>
            <w:rStyle w:val="Numrodepage"/>
            <w:noProof/>
            <w:sz w:val="18"/>
            <w:szCs w:val="18"/>
          </w:rPr>
          <w:t>1</w:t>
        </w:r>
        <w:r w:rsidRPr="00311670">
          <w:rPr>
            <w:rStyle w:val="Numrodepage"/>
            <w:sz w:val="18"/>
            <w:szCs w:val="18"/>
          </w:rPr>
          <w:fldChar w:fldCharType="end"/>
        </w:r>
      </w:p>
    </w:sdtContent>
  </w:sdt>
  <w:p w14:paraId="28033E3E" w14:textId="77777777" w:rsidR="001D6A7D" w:rsidRPr="00311670" w:rsidRDefault="001D6A7D" w:rsidP="001D6A7D">
    <w:pPr>
      <w:pStyle w:val="Pieddepage"/>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366AB" w14:textId="77777777" w:rsidR="00B9349A" w:rsidRDefault="00B9349A" w:rsidP="00D760D2">
      <w:pPr>
        <w:spacing w:line="240" w:lineRule="auto"/>
      </w:pPr>
      <w:r>
        <w:separator/>
      </w:r>
    </w:p>
  </w:footnote>
  <w:footnote w:type="continuationSeparator" w:id="0">
    <w:p w14:paraId="73286719" w14:textId="77777777" w:rsidR="00B9349A" w:rsidRDefault="00B9349A" w:rsidP="00D760D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2914"/>
    <w:multiLevelType w:val="multilevel"/>
    <w:tmpl w:val="477E2B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2418B"/>
    <w:multiLevelType w:val="multilevel"/>
    <w:tmpl w:val="49362D7C"/>
    <w:lvl w:ilvl="0">
      <w:start w:val="1"/>
      <w:numFmt w:val="decimal"/>
      <w:lvlText w:val="%1."/>
      <w:lvlJc w:val="left"/>
      <w:pPr>
        <w:tabs>
          <w:tab w:val="num" w:pos="0"/>
        </w:tabs>
        <w:ind w:left="785" w:hanging="360"/>
      </w:pPr>
    </w:lvl>
    <w:lvl w:ilvl="1">
      <w:start w:val="1"/>
      <w:numFmt w:val="lowerLetter"/>
      <w:lvlText w:val="%2."/>
      <w:lvlJc w:val="left"/>
      <w:pPr>
        <w:tabs>
          <w:tab w:val="num" w:pos="0"/>
        </w:tabs>
        <w:ind w:left="1505" w:hanging="360"/>
      </w:pPr>
    </w:lvl>
    <w:lvl w:ilvl="2">
      <w:start w:val="1"/>
      <w:numFmt w:val="lowerRoman"/>
      <w:lvlText w:val="%3."/>
      <w:lvlJc w:val="right"/>
      <w:pPr>
        <w:tabs>
          <w:tab w:val="num" w:pos="0"/>
        </w:tabs>
        <w:ind w:left="2225" w:hanging="180"/>
      </w:pPr>
    </w:lvl>
    <w:lvl w:ilvl="3">
      <w:start w:val="1"/>
      <w:numFmt w:val="decimal"/>
      <w:lvlText w:val="%4."/>
      <w:lvlJc w:val="left"/>
      <w:pPr>
        <w:tabs>
          <w:tab w:val="num" w:pos="0"/>
        </w:tabs>
        <w:ind w:left="2945" w:hanging="360"/>
      </w:pPr>
    </w:lvl>
    <w:lvl w:ilvl="4">
      <w:start w:val="1"/>
      <w:numFmt w:val="lowerLetter"/>
      <w:lvlText w:val="%5."/>
      <w:lvlJc w:val="left"/>
      <w:pPr>
        <w:tabs>
          <w:tab w:val="num" w:pos="0"/>
        </w:tabs>
        <w:ind w:left="3665" w:hanging="360"/>
      </w:pPr>
    </w:lvl>
    <w:lvl w:ilvl="5">
      <w:start w:val="1"/>
      <w:numFmt w:val="lowerRoman"/>
      <w:lvlText w:val="%6."/>
      <w:lvlJc w:val="right"/>
      <w:pPr>
        <w:tabs>
          <w:tab w:val="num" w:pos="0"/>
        </w:tabs>
        <w:ind w:left="4385" w:hanging="180"/>
      </w:pPr>
    </w:lvl>
    <w:lvl w:ilvl="6">
      <w:start w:val="1"/>
      <w:numFmt w:val="decimal"/>
      <w:lvlText w:val="%7."/>
      <w:lvlJc w:val="left"/>
      <w:pPr>
        <w:tabs>
          <w:tab w:val="num" w:pos="0"/>
        </w:tabs>
        <w:ind w:left="5105" w:hanging="360"/>
      </w:pPr>
    </w:lvl>
    <w:lvl w:ilvl="7">
      <w:start w:val="1"/>
      <w:numFmt w:val="lowerLetter"/>
      <w:lvlText w:val="%8."/>
      <w:lvlJc w:val="left"/>
      <w:pPr>
        <w:tabs>
          <w:tab w:val="num" w:pos="0"/>
        </w:tabs>
        <w:ind w:left="5825" w:hanging="360"/>
      </w:pPr>
    </w:lvl>
    <w:lvl w:ilvl="8">
      <w:start w:val="1"/>
      <w:numFmt w:val="lowerRoman"/>
      <w:lvlText w:val="%9."/>
      <w:lvlJc w:val="right"/>
      <w:pPr>
        <w:tabs>
          <w:tab w:val="num" w:pos="0"/>
        </w:tabs>
        <w:ind w:left="6545" w:hanging="180"/>
      </w:pPr>
    </w:lvl>
  </w:abstractNum>
  <w:abstractNum w:abstractNumId="2" w15:restartNumberingAfterBreak="0">
    <w:nsid w:val="222651FB"/>
    <w:multiLevelType w:val="hybridMultilevel"/>
    <w:tmpl w:val="EAAED600"/>
    <w:lvl w:ilvl="0" w:tplc="C98ED0D4">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391241B"/>
    <w:multiLevelType w:val="multilevel"/>
    <w:tmpl w:val="B34638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BDE6D1B"/>
    <w:multiLevelType w:val="hybridMultilevel"/>
    <w:tmpl w:val="DB586A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5C31A40"/>
    <w:multiLevelType w:val="multilevel"/>
    <w:tmpl w:val="5FCA54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8145A2F"/>
    <w:multiLevelType w:val="hybridMultilevel"/>
    <w:tmpl w:val="416081A6"/>
    <w:lvl w:ilvl="0" w:tplc="03E61258">
      <w:start w:val="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EC17C06"/>
    <w:multiLevelType w:val="multilevel"/>
    <w:tmpl w:val="9836C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4534F5"/>
    <w:multiLevelType w:val="multilevel"/>
    <w:tmpl w:val="B880B5A6"/>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707297"/>
    <w:multiLevelType w:val="multilevel"/>
    <w:tmpl w:val="C3CC0098"/>
    <w:lvl w:ilvl="0">
      <w:start w:val="1"/>
      <w:numFmt w:val="bullet"/>
      <w:pStyle w:val="Titre1"/>
      <w:lvlText w:val="l"/>
      <w:lvlJc w:val="left"/>
      <w:pPr>
        <w:tabs>
          <w:tab w:val="num" w:pos="0"/>
        </w:tabs>
        <w:ind w:left="720" w:hanging="360"/>
      </w:pPr>
      <w:rPr>
        <w:rFonts w:ascii="Wingdings" w:hAnsi="Wingdings" w:cs="Wingding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7FCB5BBE"/>
    <w:multiLevelType w:val="hybridMultilevel"/>
    <w:tmpl w:val="95A08F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5521815">
    <w:abstractNumId w:val="10"/>
  </w:num>
  <w:num w:numId="2" w16cid:durableId="1313367224">
    <w:abstractNumId w:val="9"/>
  </w:num>
  <w:num w:numId="3" w16cid:durableId="349769172">
    <w:abstractNumId w:val="1"/>
  </w:num>
  <w:num w:numId="4" w16cid:durableId="2103453292">
    <w:abstractNumId w:val="3"/>
  </w:num>
  <w:num w:numId="5" w16cid:durableId="336543875">
    <w:abstractNumId w:val="5"/>
  </w:num>
  <w:num w:numId="6" w16cid:durableId="299849571">
    <w:abstractNumId w:val="6"/>
  </w:num>
  <w:num w:numId="7" w16cid:durableId="1704600597">
    <w:abstractNumId w:val="2"/>
  </w:num>
  <w:num w:numId="8" w16cid:durableId="1519273557">
    <w:abstractNumId w:val="4"/>
  </w:num>
  <w:num w:numId="9" w16cid:durableId="1635409079">
    <w:abstractNumId w:val="7"/>
  </w:num>
  <w:num w:numId="10" w16cid:durableId="1651254363">
    <w:abstractNumId w:val="8"/>
  </w:num>
  <w:num w:numId="11" w16cid:durableId="492648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0D2"/>
    <w:rsid w:val="000B4CB4"/>
    <w:rsid w:val="000C6F1F"/>
    <w:rsid w:val="000E3189"/>
    <w:rsid w:val="001156F7"/>
    <w:rsid w:val="001376C0"/>
    <w:rsid w:val="00170724"/>
    <w:rsid w:val="001B5345"/>
    <w:rsid w:val="001D6A7D"/>
    <w:rsid w:val="001E57E7"/>
    <w:rsid w:val="00212119"/>
    <w:rsid w:val="0022555D"/>
    <w:rsid w:val="00270751"/>
    <w:rsid w:val="002A1399"/>
    <w:rsid w:val="002B22AE"/>
    <w:rsid w:val="00311670"/>
    <w:rsid w:val="00367E3C"/>
    <w:rsid w:val="00390F8C"/>
    <w:rsid w:val="003B71A6"/>
    <w:rsid w:val="00402F7C"/>
    <w:rsid w:val="0049585E"/>
    <w:rsid w:val="004A33DE"/>
    <w:rsid w:val="004A5AC6"/>
    <w:rsid w:val="005B648A"/>
    <w:rsid w:val="005E005D"/>
    <w:rsid w:val="00674D18"/>
    <w:rsid w:val="006941CE"/>
    <w:rsid w:val="006B23CB"/>
    <w:rsid w:val="00773FA4"/>
    <w:rsid w:val="0078548C"/>
    <w:rsid w:val="007E0EC2"/>
    <w:rsid w:val="007F5C4C"/>
    <w:rsid w:val="00806704"/>
    <w:rsid w:val="00887749"/>
    <w:rsid w:val="008E7557"/>
    <w:rsid w:val="0091393F"/>
    <w:rsid w:val="00916FC0"/>
    <w:rsid w:val="009523A8"/>
    <w:rsid w:val="009A328C"/>
    <w:rsid w:val="009E57A6"/>
    <w:rsid w:val="009E738D"/>
    <w:rsid w:val="00A11DBF"/>
    <w:rsid w:val="00A5277A"/>
    <w:rsid w:val="00A96B0A"/>
    <w:rsid w:val="00AD09AE"/>
    <w:rsid w:val="00AE7CCD"/>
    <w:rsid w:val="00AF363F"/>
    <w:rsid w:val="00B62FF3"/>
    <w:rsid w:val="00B831EC"/>
    <w:rsid w:val="00B8714C"/>
    <w:rsid w:val="00B9349A"/>
    <w:rsid w:val="00BA574A"/>
    <w:rsid w:val="00C4493A"/>
    <w:rsid w:val="00C50087"/>
    <w:rsid w:val="00CA1F93"/>
    <w:rsid w:val="00CD13DF"/>
    <w:rsid w:val="00D760D2"/>
    <w:rsid w:val="00DA5B42"/>
    <w:rsid w:val="00E05718"/>
    <w:rsid w:val="00E43E6D"/>
    <w:rsid w:val="00E601CB"/>
    <w:rsid w:val="00E71B35"/>
    <w:rsid w:val="00EC2203"/>
    <w:rsid w:val="00EC5792"/>
    <w:rsid w:val="00EE0821"/>
    <w:rsid w:val="00EF17A1"/>
    <w:rsid w:val="00F26BE0"/>
    <w:rsid w:val="00F555BB"/>
    <w:rsid w:val="00F958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AB1A5"/>
  <w15:chartTrackingRefBased/>
  <w15:docId w15:val="{180062ED-0324-2846-B207-8D31C9DF6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D760D2"/>
    <w:pPr>
      <w:spacing w:line="480" w:lineRule="auto"/>
    </w:pPr>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8E7557"/>
    <w:pPr>
      <w:numPr>
        <w:numId w:val="2"/>
      </w:numPr>
      <w:suppressAutoHyphens/>
      <w:spacing w:line="240" w:lineRule="auto"/>
      <w:ind w:left="714" w:hanging="357"/>
      <w:outlineLvl w:val="0"/>
    </w:pPr>
    <w:rPr>
      <w:rFonts w:eastAsia="Calibri"/>
      <w:kern w:val="2"/>
      <w:sz w:val="16"/>
      <w:szCs w:val="16"/>
      <w:lang w:val="en-AU"/>
      <w14:ligatures w14:val="standardContextual"/>
    </w:rPr>
  </w:style>
  <w:style w:type="paragraph" w:styleId="Titre2">
    <w:name w:val="heading 2"/>
    <w:basedOn w:val="Normal"/>
    <w:next w:val="Normal"/>
    <w:link w:val="Titre2Car"/>
    <w:uiPriority w:val="9"/>
    <w:unhideWhenUsed/>
    <w:qFormat/>
    <w:rsid w:val="00D760D2"/>
    <w:pPr>
      <w:keepNext/>
      <w:keepLines/>
      <w:spacing w:before="40" w:line="240" w:lineRule="auto"/>
      <w:outlineLvl w:val="1"/>
    </w:pPr>
    <w:rPr>
      <w:rFonts w:eastAsiaTheme="majorEastAsia" w:cstheme="majorBidi"/>
      <w:color w:val="000000" w:themeColor="text1"/>
      <w:sz w:val="1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qFormat/>
    <w:rsid w:val="00D760D2"/>
    <w:rPr>
      <w:rFonts w:ascii="Times New Roman" w:eastAsiaTheme="majorEastAsia" w:hAnsi="Times New Roman" w:cstheme="majorBidi"/>
      <w:color w:val="000000" w:themeColor="text1"/>
      <w:sz w:val="16"/>
      <w:szCs w:val="26"/>
      <w:lang w:eastAsia="fr-FR"/>
    </w:rPr>
  </w:style>
  <w:style w:type="paragraph" w:styleId="Paragraphedeliste">
    <w:name w:val="List Paragraph"/>
    <w:basedOn w:val="Normal"/>
    <w:uiPriority w:val="34"/>
    <w:qFormat/>
    <w:rsid w:val="00D760D2"/>
    <w:pPr>
      <w:ind w:left="720"/>
      <w:contextualSpacing/>
    </w:pPr>
  </w:style>
  <w:style w:type="paragraph" w:styleId="Pieddepage">
    <w:name w:val="footer"/>
    <w:basedOn w:val="Normal"/>
    <w:link w:val="PieddepageCar"/>
    <w:uiPriority w:val="99"/>
    <w:unhideWhenUsed/>
    <w:rsid w:val="00D760D2"/>
    <w:pPr>
      <w:tabs>
        <w:tab w:val="center" w:pos="4536"/>
        <w:tab w:val="right" w:pos="9072"/>
      </w:tabs>
    </w:pPr>
  </w:style>
  <w:style w:type="character" w:customStyle="1" w:styleId="PieddepageCar">
    <w:name w:val="Pied de page Car"/>
    <w:basedOn w:val="Policepardfaut"/>
    <w:link w:val="Pieddepage"/>
    <w:uiPriority w:val="99"/>
    <w:qFormat/>
    <w:rsid w:val="00D760D2"/>
    <w:rPr>
      <w:rFonts w:ascii="Times New Roman" w:eastAsia="Times New Roman" w:hAnsi="Times New Roman" w:cs="Times New Roman"/>
      <w:lang w:eastAsia="fr-FR"/>
    </w:rPr>
  </w:style>
  <w:style w:type="character" w:styleId="Numrodepage">
    <w:name w:val="page number"/>
    <w:basedOn w:val="Policepardfaut"/>
    <w:uiPriority w:val="99"/>
    <w:semiHidden/>
    <w:unhideWhenUsed/>
    <w:qFormat/>
    <w:rsid w:val="00D760D2"/>
  </w:style>
  <w:style w:type="paragraph" w:styleId="NormalWeb">
    <w:name w:val="Normal (Web)"/>
    <w:basedOn w:val="Normal"/>
    <w:uiPriority w:val="99"/>
    <w:semiHidden/>
    <w:unhideWhenUsed/>
    <w:qFormat/>
    <w:rsid w:val="00D760D2"/>
  </w:style>
  <w:style w:type="table" w:customStyle="1" w:styleId="TableauGrille2-Accentuation33">
    <w:name w:val="Tableau Grille 2 - Accentuation 33"/>
    <w:basedOn w:val="TableauNormal"/>
    <w:next w:val="TableauGrille2-Accentuation3"/>
    <w:uiPriority w:val="47"/>
    <w:rsid w:val="00D760D2"/>
    <w:rPr>
      <w:kern w:val="2"/>
      <w14:ligatures w14:val="standardContextual"/>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Light1">
    <w:name w:val="Table Grid Light1"/>
    <w:basedOn w:val="TableauNormal"/>
    <w:uiPriority w:val="40"/>
    <w:rsid w:val="00D760D2"/>
    <w:rPr>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Grille2-Accentuation3">
    <w:name w:val="Grid Table 2 Accent 3"/>
    <w:basedOn w:val="TableauNormal"/>
    <w:uiPriority w:val="47"/>
    <w:rsid w:val="00D760D2"/>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En-tte">
    <w:name w:val="header"/>
    <w:basedOn w:val="Normal"/>
    <w:link w:val="En-tteCar"/>
    <w:uiPriority w:val="99"/>
    <w:unhideWhenUsed/>
    <w:rsid w:val="00D760D2"/>
    <w:pPr>
      <w:tabs>
        <w:tab w:val="center" w:pos="4536"/>
        <w:tab w:val="right" w:pos="9072"/>
      </w:tabs>
      <w:spacing w:line="240" w:lineRule="auto"/>
    </w:pPr>
  </w:style>
  <w:style w:type="character" w:customStyle="1" w:styleId="En-tteCar">
    <w:name w:val="En-tête Car"/>
    <w:basedOn w:val="Policepardfaut"/>
    <w:link w:val="En-tte"/>
    <w:uiPriority w:val="99"/>
    <w:qFormat/>
    <w:rsid w:val="00D760D2"/>
    <w:rPr>
      <w:rFonts w:ascii="Times New Roman" w:eastAsia="Times New Roman" w:hAnsi="Times New Roman" w:cs="Times New Roman"/>
      <w:lang w:eastAsia="fr-FR"/>
    </w:rPr>
  </w:style>
  <w:style w:type="character" w:customStyle="1" w:styleId="Titre1Car">
    <w:name w:val="Titre 1 Car"/>
    <w:basedOn w:val="Policepardfaut"/>
    <w:link w:val="Titre1"/>
    <w:uiPriority w:val="9"/>
    <w:qFormat/>
    <w:rsid w:val="008E7557"/>
    <w:rPr>
      <w:rFonts w:ascii="Times New Roman" w:eastAsia="Calibri" w:hAnsi="Times New Roman" w:cs="Times New Roman"/>
      <w:kern w:val="2"/>
      <w:sz w:val="16"/>
      <w:szCs w:val="16"/>
      <w:lang w:val="en-AU" w:eastAsia="fr-FR"/>
      <w14:ligatures w14:val="standardContextual"/>
    </w:rPr>
  </w:style>
  <w:style w:type="character" w:customStyle="1" w:styleId="BibliographyCar">
    <w:name w:val="Bibliography Car"/>
    <w:basedOn w:val="Policepardfaut"/>
    <w:link w:val="Bibliographie1"/>
    <w:qFormat/>
    <w:rsid w:val="008E7557"/>
    <w:rPr>
      <w:lang w:val="en-US"/>
    </w:rPr>
  </w:style>
  <w:style w:type="character" w:customStyle="1" w:styleId="BibliographyCar1">
    <w:name w:val="Bibliography Car1"/>
    <w:basedOn w:val="BibliographyCar"/>
    <w:link w:val="Bibliographie2"/>
    <w:qFormat/>
    <w:rsid w:val="008E7557"/>
    <w:rPr>
      <w:rFonts w:ascii="Times New Roman" w:hAnsi="Times New Roman" w:cs="Times New Roman"/>
      <w:lang w:val="en-US"/>
    </w:rPr>
  </w:style>
  <w:style w:type="character" w:customStyle="1" w:styleId="Sous-titreCar">
    <w:name w:val="Sous-titre Car"/>
    <w:basedOn w:val="Policepardfaut"/>
    <w:uiPriority w:val="11"/>
    <w:qFormat/>
    <w:rsid w:val="008E7557"/>
    <w:rPr>
      <w:rFonts w:ascii="Times New Roman" w:eastAsia="Times New Roman" w:hAnsi="Times New Roman" w:cs="Times New Roman"/>
      <w:bCs/>
      <w:color w:val="000000" w:themeColor="dark1"/>
      <w:kern w:val="2"/>
      <w:sz w:val="22"/>
      <w:szCs w:val="22"/>
      <w:lang w:val="en-US"/>
    </w:rPr>
  </w:style>
  <w:style w:type="character" w:styleId="Textedelespacerserv">
    <w:name w:val="Placeholder Text"/>
    <w:basedOn w:val="Policepardfaut"/>
    <w:uiPriority w:val="99"/>
    <w:semiHidden/>
    <w:qFormat/>
    <w:rsid w:val="008E7557"/>
    <w:rPr>
      <w:color w:val="808080"/>
    </w:rPr>
  </w:style>
  <w:style w:type="character" w:customStyle="1" w:styleId="LienInternet">
    <w:name w:val="Lien Internet"/>
    <w:basedOn w:val="Policepardfaut"/>
    <w:uiPriority w:val="99"/>
    <w:unhideWhenUsed/>
    <w:rsid w:val="008E7557"/>
    <w:rPr>
      <w:color w:val="0563C1" w:themeColor="hyperlink"/>
      <w:u w:val="single"/>
    </w:rPr>
  </w:style>
  <w:style w:type="character" w:styleId="Mentionnonrsolue">
    <w:name w:val="Unresolved Mention"/>
    <w:basedOn w:val="Policepardfaut"/>
    <w:uiPriority w:val="99"/>
    <w:semiHidden/>
    <w:unhideWhenUsed/>
    <w:qFormat/>
    <w:rsid w:val="008E7557"/>
    <w:rPr>
      <w:color w:val="605E5C"/>
      <w:shd w:val="clear" w:color="auto" w:fill="E1DFDD"/>
    </w:rPr>
  </w:style>
  <w:style w:type="character" w:styleId="Marquedecommentaire">
    <w:name w:val="annotation reference"/>
    <w:basedOn w:val="Policepardfaut"/>
    <w:uiPriority w:val="99"/>
    <w:semiHidden/>
    <w:unhideWhenUsed/>
    <w:qFormat/>
    <w:rsid w:val="008E7557"/>
    <w:rPr>
      <w:sz w:val="16"/>
      <w:szCs w:val="16"/>
    </w:rPr>
  </w:style>
  <w:style w:type="character" w:customStyle="1" w:styleId="CommentaireCar">
    <w:name w:val="Commentaire Car"/>
    <w:basedOn w:val="Policepardfaut"/>
    <w:link w:val="Commentaire"/>
    <w:uiPriority w:val="99"/>
    <w:semiHidden/>
    <w:qFormat/>
    <w:rsid w:val="008E7557"/>
    <w:rPr>
      <w:rFonts w:ascii="Times New Roman" w:hAnsi="Times New Roman"/>
      <w:sz w:val="20"/>
      <w:szCs w:val="20"/>
    </w:rPr>
  </w:style>
  <w:style w:type="character" w:customStyle="1" w:styleId="ObjetducommentaireCar">
    <w:name w:val="Objet du commentaire Car"/>
    <w:basedOn w:val="CommentaireCar"/>
    <w:link w:val="Objetducommentaire"/>
    <w:uiPriority w:val="99"/>
    <w:semiHidden/>
    <w:qFormat/>
    <w:rsid w:val="008E7557"/>
    <w:rPr>
      <w:rFonts w:ascii="Times New Roman" w:hAnsi="Times New Roman"/>
      <w:b/>
      <w:bCs/>
      <w:sz w:val="20"/>
      <w:szCs w:val="20"/>
    </w:rPr>
  </w:style>
  <w:style w:type="character" w:customStyle="1" w:styleId="TextedebullesCar">
    <w:name w:val="Texte de bulles Car"/>
    <w:basedOn w:val="Policepardfaut"/>
    <w:link w:val="Textedebulles"/>
    <w:uiPriority w:val="99"/>
    <w:semiHidden/>
    <w:qFormat/>
    <w:rsid w:val="008E7557"/>
    <w:rPr>
      <w:rFonts w:ascii="Times New Roman" w:hAnsi="Times New Roman" w:cs="Times New Roman"/>
      <w:sz w:val="18"/>
      <w:szCs w:val="18"/>
    </w:rPr>
  </w:style>
  <w:style w:type="character" w:customStyle="1" w:styleId="c9dxtc">
    <w:name w:val="c9dxtc"/>
    <w:basedOn w:val="Policepardfaut"/>
    <w:qFormat/>
    <w:rsid w:val="008E7557"/>
  </w:style>
  <w:style w:type="character" w:styleId="lev">
    <w:name w:val="Strong"/>
    <w:basedOn w:val="Policepardfaut"/>
    <w:uiPriority w:val="22"/>
    <w:qFormat/>
    <w:rsid w:val="008E7557"/>
    <w:rPr>
      <w:b/>
      <w:bCs/>
    </w:rPr>
  </w:style>
  <w:style w:type="paragraph" w:styleId="Titre">
    <w:name w:val="Title"/>
    <w:basedOn w:val="Normal"/>
    <w:next w:val="Corpsdetexte"/>
    <w:link w:val="TitreCar"/>
    <w:qFormat/>
    <w:rsid w:val="00C4493A"/>
    <w:rPr>
      <w:rFonts w:asciiTheme="minorHAnsi" w:hAnsiTheme="minorHAnsi" w:cstheme="minorHAnsi"/>
      <w:b/>
      <w:lang w:val="en-US"/>
    </w:rPr>
  </w:style>
  <w:style w:type="character" w:customStyle="1" w:styleId="TitreCar">
    <w:name w:val="Titre Car"/>
    <w:basedOn w:val="Policepardfaut"/>
    <w:link w:val="Titre"/>
    <w:rsid w:val="00C4493A"/>
    <w:rPr>
      <w:rFonts w:eastAsia="Times New Roman" w:cstheme="minorHAnsi"/>
      <w:b/>
      <w:lang w:val="en-US" w:eastAsia="fr-FR"/>
    </w:rPr>
  </w:style>
  <w:style w:type="paragraph" w:styleId="Corpsdetexte">
    <w:name w:val="Body Text"/>
    <w:basedOn w:val="Normal"/>
    <w:link w:val="CorpsdetexteCar"/>
    <w:rsid w:val="008E7557"/>
    <w:pPr>
      <w:suppressAutoHyphens/>
      <w:spacing w:after="140" w:line="276" w:lineRule="auto"/>
    </w:pPr>
  </w:style>
  <w:style w:type="character" w:customStyle="1" w:styleId="CorpsdetexteCar">
    <w:name w:val="Corps de texte Car"/>
    <w:basedOn w:val="Policepardfaut"/>
    <w:link w:val="Corpsdetexte"/>
    <w:rsid w:val="008E7557"/>
    <w:rPr>
      <w:rFonts w:ascii="Times New Roman" w:eastAsia="Times New Roman" w:hAnsi="Times New Roman" w:cs="Times New Roman"/>
      <w:lang w:eastAsia="fr-FR"/>
    </w:rPr>
  </w:style>
  <w:style w:type="paragraph" w:styleId="Liste">
    <w:name w:val="List"/>
    <w:basedOn w:val="Corpsdetexte"/>
    <w:rsid w:val="008E7557"/>
    <w:rPr>
      <w:rFonts w:cs="Lucida Sans"/>
    </w:rPr>
  </w:style>
  <w:style w:type="paragraph" w:styleId="Lgende">
    <w:name w:val="caption"/>
    <w:basedOn w:val="Normal"/>
    <w:qFormat/>
    <w:rsid w:val="008E7557"/>
    <w:pPr>
      <w:suppressLineNumbers/>
      <w:suppressAutoHyphens/>
      <w:spacing w:before="120" w:after="120" w:line="240" w:lineRule="auto"/>
    </w:pPr>
    <w:rPr>
      <w:rFonts w:cs="Lucida Sans"/>
      <w:i/>
      <w:iCs/>
    </w:rPr>
  </w:style>
  <w:style w:type="paragraph" w:customStyle="1" w:styleId="Index">
    <w:name w:val="Index"/>
    <w:basedOn w:val="Normal"/>
    <w:qFormat/>
    <w:rsid w:val="008E7557"/>
    <w:pPr>
      <w:suppressLineNumbers/>
      <w:suppressAutoHyphens/>
      <w:spacing w:line="240" w:lineRule="auto"/>
    </w:pPr>
    <w:rPr>
      <w:rFonts w:cs="Lucida Sans"/>
    </w:rPr>
  </w:style>
  <w:style w:type="paragraph" w:customStyle="1" w:styleId="Bibliographie1">
    <w:name w:val="Bibliographie1"/>
    <w:basedOn w:val="Normal"/>
    <w:link w:val="BibliographyCar"/>
    <w:qFormat/>
    <w:rsid w:val="008E7557"/>
    <w:pPr>
      <w:tabs>
        <w:tab w:val="left" w:pos="500"/>
      </w:tabs>
      <w:suppressAutoHyphens/>
      <w:spacing w:after="240"/>
      <w:ind w:left="504" w:hanging="504"/>
    </w:pPr>
    <w:rPr>
      <w:rFonts w:asciiTheme="minorHAnsi" w:eastAsiaTheme="minorHAnsi" w:hAnsiTheme="minorHAnsi" w:cstheme="minorBidi"/>
      <w:lang w:val="en-US" w:eastAsia="en-US"/>
    </w:rPr>
  </w:style>
  <w:style w:type="paragraph" w:customStyle="1" w:styleId="En-tteetpieddepage">
    <w:name w:val="En-tête et pied de page"/>
    <w:basedOn w:val="Normal"/>
    <w:qFormat/>
    <w:rsid w:val="008E7557"/>
    <w:pPr>
      <w:suppressAutoHyphens/>
      <w:spacing w:line="240" w:lineRule="auto"/>
    </w:pPr>
  </w:style>
  <w:style w:type="paragraph" w:customStyle="1" w:styleId="Bibliographie2">
    <w:name w:val="Bibliographie2"/>
    <w:basedOn w:val="Normal"/>
    <w:link w:val="BibliographyCar1"/>
    <w:qFormat/>
    <w:rsid w:val="008E7557"/>
    <w:pPr>
      <w:tabs>
        <w:tab w:val="left" w:pos="380"/>
      </w:tabs>
      <w:suppressAutoHyphens/>
      <w:spacing w:after="240" w:line="240" w:lineRule="auto"/>
      <w:ind w:left="384" w:hanging="384"/>
    </w:pPr>
    <w:rPr>
      <w:rFonts w:eastAsiaTheme="minorHAnsi"/>
      <w:lang w:val="en-US" w:eastAsia="en-US"/>
    </w:rPr>
  </w:style>
  <w:style w:type="paragraph" w:styleId="Sous-titre">
    <w:name w:val="Subtitle"/>
    <w:basedOn w:val="Normal"/>
    <w:next w:val="Normal"/>
    <w:link w:val="Sous-titreCar1"/>
    <w:uiPriority w:val="11"/>
    <w:qFormat/>
    <w:rsid w:val="008E7557"/>
    <w:pPr>
      <w:suppressAutoHyphens/>
      <w:spacing w:line="240" w:lineRule="auto"/>
      <w:jc w:val="center"/>
    </w:pPr>
    <w:rPr>
      <w:bCs/>
      <w:color w:val="000000" w:themeColor="dark1"/>
      <w:kern w:val="2"/>
      <w:sz w:val="22"/>
      <w:szCs w:val="22"/>
      <w:lang w:val="en-US"/>
    </w:rPr>
  </w:style>
  <w:style w:type="character" w:customStyle="1" w:styleId="Sous-titreCar1">
    <w:name w:val="Sous-titre Car1"/>
    <w:basedOn w:val="Policepardfaut"/>
    <w:link w:val="Sous-titre"/>
    <w:uiPriority w:val="11"/>
    <w:rsid w:val="008E7557"/>
    <w:rPr>
      <w:rFonts w:ascii="Times New Roman" w:eastAsia="Times New Roman" w:hAnsi="Times New Roman" w:cs="Times New Roman"/>
      <w:bCs/>
      <w:color w:val="000000" w:themeColor="dark1"/>
      <w:kern w:val="2"/>
      <w:sz w:val="22"/>
      <w:szCs w:val="22"/>
      <w:lang w:val="en-US" w:eastAsia="fr-FR"/>
    </w:rPr>
  </w:style>
  <w:style w:type="paragraph" w:styleId="Rvision">
    <w:name w:val="Revision"/>
    <w:uiPriority w:val="99"/>
    <w:semiHidden/>
    <w:qFormat/>
    <w:rsid w:val="008E7557"/>
    <w:pPr>
      <w:suppressAutoHyphens/>
    </w:pPr>
    <w:rPr>
      <w:rFonts w:ascii="Times New Roman" w:hAnsi="Times New Roman"/>
    </w:rPr>
  </w:style>
  <w:style w:type="paragraph" w:styleId="Commentaire">
    <w:name w:val="annotation text"/>
    <w:basedOn w:val="Normal"/>
    <w:link w:val="CommentaireCar"/>
    <w:uiPriority w:val="99"/>
    <w:semiHidden/>
    <w:unhideWhenUsed/>
    <w:qFormat/>
    <w:rsid w:val="008E7557"/>
    <w:pPr>
      <w:suppressAutoHyphens/>
      <w:spacing w:line="240" w:lineRule="auto"/>
    </w:pPr>
    <w:rPr>
      <w:rFonts w:eastAsiaTheme="minorHAnsi" w:cstheme="minorBidi"/>
      <w:sz w:val="20"/>
      <w:szCs w:val="20"/>
      <w:lang w:eastAsia="en-US"/>
    </w:rPr>
  </w:style>
  <w:style w:type="character" w:customStyle="1" w:styleId="CommentaireCar1">
    <w:name w:val="Commentaire Car1"/>
    <w:basedOn w:val="Policepardfaut"/>
    <w:uiPriority w:val="99"/>
    <w:semiHidden/>
    <w:rsid w:val="008E7557"/>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qFormat/>
    <w:rsid w:val="008E7557"/>
    <w:rPr>
      <w:b/>
      <w:bCs/>
    </w:rPr>
  </w:style>
  <w:style w:type="character" w:customStyle="1" w:styleId="ObjetducommentaireCar1">
    <w:name w:val="Objet du commentaire Car1"/>
    <w:basedOn w:val="CommentaireCar1"/>
    <w:uiPriority w:val="99"/>
    <w:semiHidden/>
    <w:rsid w:val="008E7557"/>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qFormat/>
    <w:rsid w:val="008E7557"/>
    <w:pPr>
      <w:suppressAutoHyphens/>
      <w:spacing w:line="240" w:lineRule="auto"/>
    </w:pPr>
    <w:rPr>
      <w:rFonts w:eastAsiaTheme="minorHAnsi"/>
      <w:sz w:val="18"/>
      <w:szCs w:val="18"/>
      <w:lang w:eastAsia="en-US"/>
    </w:rPr>
  </w:style>
  <w:style w:type="character" w:customStyle="1" w:styleId="TextedebullesCar1">
    <w:name w:val="Texte de bulles Car1"/>
    <w:basedOn w:val="Policepardfaut"/>
    <w:uiPriority w:val="99"/>
    <w:semiHidden/>
    <w:rsid w:val="008E7557"/>
    <w:rPr>
      <w:rFonts w:ascii="Times New Roman" w:eastAsia="Times New Roman" w:hAnsi="Times New Roman" w:cs="Times New Roman"/>
      <w:sz w:val="18"/>
      <w:szCs w:val="18"/>
      <w:lang w:eastAsia="fr-FR"/>
    </w:rPr>
  </w:style>
  <w:style w:type="paragraph" w:customStyle="1" w:styleId="zfr3q">
    <w:name w:val="zfr3q"/>
    <w:basedOn w:val="Normal"/>
    <w:qFormat/>
    <w:rsid w:val="008E7557"/>
    <w:pPr>
      <w:suppressAutoHyphens/>
      <w:spacing w:beforeAutospacing="1" w:afterAutospacing="1" w:line="240" w:lineRule="auto"/>
    </w:pPr>
  </w:style>
  <w:style w:type="paragraph" w:customStyle="1" w:styleId="Contenudecadre">
    <w:name w:val="Contenu de cadre"/>
    <w:basedOn w:val="Normal"/>
    <w:qFormat/>
    <w:rsid w:val="008E7557"/>
    <w:pPr>
      <w:suppressAutoHyphens/>
      <w:spacing w:line="240" w:lineRule="auto"/>
    </w:pPr>
  </w:style>
  <w:style w:type="table" w:customStyle="1" w:styleId="TableauGrille2-Accentuation31">
    <w:name w:val="Tableau Grille 2 - Accentuation 31"/>
    <w:basedOn w:val="TableauNormal"/>
    <w:uiPriority w:val="47"/>
    <w:rsid w:val="008E7557"/>
    <w:pPr>
      <w:suppressAutoHyphens/>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A5A5A5" w:themeColor="accent3"/>
          <w:insideH w:val="nil"/>
          <w:insideV w:val="nil"/>
        </w:tcBorders>
        <w:shd w:val="clear" w:color="auto" w:fill="FFFFFF" w:themeFill="background1"/>
      </w:tcPr>
    </w:tblStylePr>
    <w:tblStylePr w:type="lastRow">
      <w:rPr>
        <w:b/>
        <w:bCs/>
      </w:rPr>
      <w:tblPr/>
      <w:tcPr>
        <w:tcBorders>
          <w:top w:val="double" w:sz="2" w:space="0" w:color="A5A5A5"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2-Accentuation32">
    <w:name w:val="Tableau Grille 2 - Accentuation 32"/>
    <w:basedOn w:val="TableauNormal"/>
    <w:uiPriority w:val="47"/>
    <w:rsid w:val="008E7557"/>
    <w:pPr>
      <w:suppressAutoHyphens/>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A5A5A5" w:themeColor="accent3"/>
          <w:insideH w:val="nil"/>
          <w:insideV w:val="nil"/>
        </w:tcBorders>
        <w:shd w:val="clear" w:color="auto" w:fill="FFFFFF" w:themeFill="background1"/>
      </w:tcPr>
    </w:tblStylePr>
    <w:tblStylePr w:type="lastRow">
      <w:rPr>
        <w:b/>
        <w:bCs/>
      </w:rPr>
      <w:tblPr/>
      <w:tcPr>
        <w:tcBorders>
          <w:top w:val="double" w:sz="2" w:space="0" w:color="A5A5A5"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Bibliographie3">
    <w:name w:val="Bibliographie3"/>
    <w:basedOn w:val="Normal"/>
    <w:link w:val="BibliographyCar2"/>
    <w:rsid w:val="008E7557"/>
    <w:pPr>
      <w:tabs>
        <w:tab w:val="left" w:pos="620"/>
      </w:tabs>
      <w:suppressAutoHyphens/>
      <w:spacing w:after="240" w:line="240" w:lineRule="auto"/>
      <w:ind w:left="624" w:hanging="624"/>
    </w:pPr>
    <w:rPr>
      <w:sz w:val="20"/>
      <w:szCs w:val="20"/>
    </w:rPr>
  </w:style>
  <w:style w:type="character" w:customStyle="1" w:styleId="BibliographyCar2">
    <w:name w:val="Bibliography Car2"/>
    <w:basedOn w:val="Policepardfaut"/>
    <w:link w:val="Bibliographie3"/>
    <w:rsid w:val="008E7557"/>
    <w:rPr>
      <w:rFonts w:ascii="Times New Roman" w:eastAsia="Times New Roman" w:hAnsi="Times New Roman" w:cs="Times New Roman"/>
      <w:sz w:val="20"/>
      <w:szCs w:val="20"/>
      <w:lang w:eastAsia="fr-FR"/>
    </w:rPr>
  </w:style>
  <w:style w:type="paragraph" w:styleId="Bibliographie">
    <w:name w:val="Bibliography"/>
    <w:basedOn w:val="Normal"/>
    <w:next w:val="Normal"/>
    <w:uiPriority w:val="37"/>
    <w:unhideWhenUsed/>
    <w:rsid w:val="008E7557"/>
    <w:pPr>
      <w:suppressAutoHyphens/>
      <w:spacing w:line="240" w:lineRule="auto"/>
    </w:pPr>
  </w:style>
  <w:style w:type="paragraph" w:customStyle="1" w:styleId="p1">
    <w:name w:val="p1"/>
    <w:basedOn w:val="Normal"/>
    <w:rsid w:val="008E7557"/>
    <w:pPr>
      <w:spacing w:before="100" w:beforeAutospacing="1" w:after="100" w:afterAutospacing="1" w:line="240" w:lineRule="auto"/>
    </w:pPr>
  </w:style>
  <w:style w:type="paragraph" w:styleId="Sansinterligne">
    <w:name w:val="No Spacing"/>
    <w:basedOn w:val="Normal"/>
    <w:link w:val="SansinterligneCar"/>
    <w:uiPriority w:val="1"/>
    <w:qFormat/>
    <w:rsid w:val="008E7557"/>
    <w:pPr>
      <w:spacing w:line="240" w:lineRule="auto"/>
    </w:pPr>
    <w:rPr>
      <w:b/>
      <w:bCs/>
      <w:u w:val="single"/>
      <w:lang w:val="en-US"/>
    </w:rPr>
  </w:style>
  <w:style w:type="character" w:customStyle="1" w:styleId="SansinterligneCar">
    <w:name w:val="Sans interligne Car"/>
    <w:basedOn w:val="Policepardfaut"/>
    <w:link w:val="Sansinterligne"/>
    <w:uiPriority w:val="1"/>
    <w:rsid w:val="008E7557"/>
    <w:rPr>
      <w:rFonts w:ascii="Times New Roman" w:eastAsia="Times New Roman" w:hAnsi="Times New Roman" w:cs="Times New Roman"/>
      <w:b/>
      <w:bCs/>
      <w:u w:val="single"/>
      <w:lang w:val="en-US" w:eastAsia="fr-FR"/>
    </w:rPr>
  </w:style>
  <w:style w:type="paragraph" w:customStyle="1" w:styleId="p2">
    <w:name w:val="p2"/>
    <w:basedOn w:val="Normal"/>
    <w:rsid w:val="008E7557"/>
    <w:pPr>
      <w:spacing w:before="100" w:beforeAutospacing="1" w:after="100" w:afterAutospacing="1" w:line="240" w:lineRule="auto"/>
    </w:pPr>
  </w:style>
  <w:style w:type="character" w:styleId="Lienhypertexte">
    <w:name w:val="Hyperlink"/>
    <w:basedOn w:val="Policepardfaut"/>
    <w:uiPriority w:val="99"/>
    <w:unhideWhenUsed/>
    <w:rsid w:val="008E7557"/>
    <w:rPr>
      <w:color w:val="0563C1" w:themeColor="hyperlink"/>
      <w:u w:val="single"/>
    </w:rPr>
  </w:style>
  <w:style w:type="character" w:customStyle="1" w:styleId="s1">
    <w:name w:val="s1"/>
    <w:basedOn w:val="Policepardfaut"/>
    <w:rsid w:val="008E7557"/>
  </w:style>
  <w:style w:type="table" w:customStyle="1" w:styleId="TableauGrille2-Accentuation331">
    <w:name w:val="Tableau Grille 2 - Accentuation 331"/>
    <w:basedOn w:val="TableauNormal"/>
    <w:uiPriority w:val="47"/>
    <w:rsid w:val="00674D18"/>
    <w:pPr>
      <w:suppressAutoHyphens/>
    </w:p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eausimple3">
    <w:name w:val="Plain Table 3"/>
    <w:basedOn w:val="TableauNormal"/>
    <w:uiPriority w:val="43"/>
    <w:rsid w:val="00674D1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1">
    <w:name w:val="Plain Table 1"/>
    <w:basedOn w:val="TableauNormal"/>
    <w:uiPriority w:val="41"/>
    <w:rsid w:val="00674D1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74D1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44"/>
    <w:rsid w:val="00AF3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Grille2-Accentuation332">
    <w:name w:val="Tableau Grille 2 - Accentuation 332"/>
    <w:basedOn w:val="TableauNormal"/>
    <w:uiPriority w:val="47"/>
    <w:rsid w:val="001156F7"/>
    <w:pPr>
      <w:suppressAutoHyphens/>
    </w:p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mee.kingsada@univ-lille.fr"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Aimee.kingsada@univ-lille.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A7E6EBABC7384EA0E6EA01EF2A4018"/>
        <w:category>
          <w:name w:val="Général"/>
          <w:gallery w:val="placeholder"/>
        </w:category>
        <w:types>
          <w:type w:val="bbPlcHdr"/>
        </w:types>
        <w:behaviors>
          <w:behavior w:val="content"/>
        </w:behaviors>
        <w:guid w:val="{EB1D9FA8-501E-3C4A-9A9B-A8BA80FCC473}"/>
      </w:docPartPr>
      <w:docPartBody>
        <w:p w:rsidR="00966F16" w:rsidRDefault="005B4789" w:rsidP="005B4789">
          <w:pPr>
            <w:pStyle w:val="5CA7E6EBABC7384EA0E6EA01EF2A4018"/>
          </w:pPr>
          <w:r w:rsidRPr="003A2F5F">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41A"/>
    <w:rsid w:val="000002B2"/>
    <w:rsid w:val="001B5345"/>
    <w:rsid w:val="00407063"/>
    <w:rsid w:val="004373B0"/>
    <w:rsid w:val="0059387F"/>
    <w:rsid w:val="005B4789"/>
    <w:rsid w:val="005B648A"/>
    <w:rsid w:val="008C3FC3"/>
    <w:rsid w:val="008D5A72"/>
    <w:rsid w:val="0095134E"/>
    <w:rsid w:val="00966F16"/>
    <w:rsid w:val="00AD09AE"/>
    <w:rsid w:val="00B71749"/>
    <w:rsid w:val="00B8714C"/>
    <w:rsid w:val="00CD5F76"/>
    <w:rsid w:val="00D2741A"/>
    <w:rsid w:val="00D96965"/>
    <w:rsid w:val="00E540A0"/>
    <w:rsid w:val="00ED0C23"/>
    <w:rsid w:val="00F26BE0"/>
    <w:rsid w:val="00F51D5E"/>
    <w:rsid w:val="00FE20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B4789"/>
    <w:rPr>
      <w:color w:val="808080"/>
    </w:rPr>
  </w:style>
  <w:style w:type="paragraph" w:customStyle="1" w:styleId="5CA7E6EBABC7384EA0E6EA01EF2A4018">
    <w:name w:val="5CA7E6EBABC7384EA0E6EA01EF2A4018"/>
    <w:rsid w:val="005B47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26</Pages>
  <Words>68703</Words>
  <Characters>377868</Characters>
  <Application>Microsoft Office Word</Application>
  <DocSecurity>0</DocSecurity>
  <Lines>3148</Lines>
  <Paragraphs>891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Aimée KINGSADA</cp:lastModifiedBy>
  <cp:revision>19</cp:revision>
  <dcterms:created xsi:type="dcterms:W3CDTF">2024-10-22T09:06:00Z</dcterms:created>
  <dcterms:modified xsi:type="dcterms:W3CDTF">2026-05-20T17:08:00Z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zotero-version="8.0.5"&gt;&lt;session id="6Beq2TvG"/&gt;&lt;style id="" hasBibliography="0" bibliographyStyleHasBeenSet="0"/&gt;&lt;prefs/&gt;&lt;/data&gt;</vt:lpwstr>
  </property>
</Properties>
</file>