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AE8CD">
      <w:pPr>
        <w:jc w:val="center"/>
      </w:pPr>
      <w:r>
        <w:rPr>
          <w:b/>
          <w:sz w:val="28"/>
        </w:rPr>
        <w:t>Additional file 3: Experimental parameters and payoff functions</w:t>
      </w:r>
    </w:p>
    <w:p w14:paraId="25F948EB">
      <w:pPr>
        <w:jc w:val="both"/>
        <w:rPr>
          <w:sz w:val="24"/>
          <w:szCs w:val="24"/>
        </w:rPr>
      </w:pPr>
      <w:r>
        <w:rPr>
          <w:sz w:val="24"/>
          <w:szCs w:val="24"/>
        </w:rPr>
        <w:t>This file reports the patient-profile parameters, payoff functions, performance thresholds, and bonus values used in the experiment.</w:t>
      </w:r>
    </w:p>
    <w:p w14:paraId="5F91600B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Decision set and notation</w:t>
      </w:r>
    </w:p>
    <w:p w14:paraId="6D8E37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each decision round, physicians selected an integer quantity of healthcare services </w:t>
      </w:r>
      <w:r>
        <w:rPr>
          <w:i/>
          <w:iCs/>
          <w:sz w:val="24"/>
          <w:szCs w:val="24"/>
        </w:rPr>
        <w:t>q</w:t>
      </w:r>
      <w:r>
        <w:rPr>
          <w:sz w:val="24"/>
          <w:szCs w:val="24"/>
        </w:rPr>
        <w:t xml:space="preserve"> from 0 to 10. Patient illness type is denoted by k ∈ {A, B, C}, and illness severity by </w:t>
      </w:r>
      <w:r>
        <w:rPr>
          <w:i/>
          <w:iCs/>
          <w:sz w:val="24"/>
          <w:szCs w:val="24"/>
        </w:rPr>
        <w:t>l</w:t>
      </w:r>
      <w:r>
        <w:rPr>
          <w:sz w:val="24"/>
          <w:szCs w:val="24"/>
        </w:rPr>
        <w:t xml:space="preserve"> ∈ {x, y, z}, where x indicates mild severity, y intermediate severity, and z high severity.</w:t>
      </w:r>
    </w:p>
    <w:p w14:paraId="7C8FD7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The patient-optimal quantity is denoted by </w:t>
      </w:r>
      <w:r>
        <w:rPr>
          <w:i/>
          <w:iCs/>
          <w:sz w:val="24"/>
          <w:szCs w:val="24"/>
        </w:rPr>
        <w:t>q*</w:t>
      </w:r>
      <w:r>
        <w:rPr>
          <w:sz w:val="24"/>
          <w:szCs w:val="24"/>
        </w:rPr>
        <w:t>. It is the quantity that maximizes patient benefit for a given severity level. The marginal patient-benefit parameter is denoted by theta.</w:t>
      </w:r>
    </w:p>
    <w:p w14:paraId="44DAC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Patient profiles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50"/>
        <w:gridCol w:w="2285"/>
        <w:gridCol w:w="795"/>
        <w:gridCol w:w="2398"/>
        <w:gridCol w:w="927"/>
      </w:tblGrid>
      <w:tr w14:paraId="6EC4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shd w:val="clear" w:color="auto" w:fill="D7D7D7" w:themeFill="background1" w:themeFillShade="D8"/>
            <w:vAlign w:val="center"/>
          </w:tcPr>
          <w:p w14:paraId="2454FB39">
            <w:pPr>
              <w:spacing w:after="0" w:line="240" w:lineRule="auto"/>
            </w:pPr>
            <w:r>
              <w:rPr>
                <w:b/>
                <w:sz w:val="18"/>
              </w:rPr>
              <w:t>Profile</w:t>
            </w:r>
          </w:p>
        </w:tc>
        <w:tc>
          <w:tcPr>
            <w:tcW w:w="1440" w:type="dxa"/>
            <w:shd w:val="clear" w:color="auto" w:fill="D7D7D7" w:themeFill="background1" w:themeFillShade="D8"/>
            <w:vAlign w:val="center"/>
          </w:tcPr>
          <w:p w14:paraId="54B79EDC">
            <w:pPr>
              <w:spacing w:after="0" w:line="240" w:lineRule="auto"/>
            </w:pPr>
            <w:r>
              <w:rPr>
                <w:b/>
                <w:sz w:val="18"/>
              </w:rPr>
              <w:t>Illness type</w:t>
            </w:r>
          </w:p>
        </w:tc>
        <w:tc>
          <w:tcPr>
            <w:tcW w:w="2448" w:type="dxa"/>
            <w:shd w:val="clear" w:color="auto" w:fill="D7D7D7" w:themeFill="background1" w:themeFillShade="D8"/>
            <w:vAlign w:val="center"/>
          </w:tcPr>
          <w:p w14:paraId="66C6892D">
            <w:pPr>
              <w:spacing w:after="0" w:line="240" w:lineRule="auto"/>
            </w:pPr>
            <w:r>
              <w:rPr>
                <w:b/>
                <w:sz w:val="18"/>
              </w:rPr>
              <w:t>Severity</w:t>
            </w:r>
          </w:p>
        </w:tc>
        <w:tc>
          <w:tcPr>
            <w:tcW w:w="864" w:type="dxa"/>
            <w:shd w:val="clear" w:color="auto" w:fill="D7D7D7" w:themeFill="background1" w:themeFillShade="D8"/>
            <w:vAlign w:val="center"/>
          </w:tcPr>
          <w:p w14:paraId="186BB8D9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q</m:t>
                    </m: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∗</m:t>
                    </m: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sup>
                </m:sSup>
              </m:oMath>
            </m:oMathPara>
          </w:p>
        </w:tc>
        <w:tc>
          <w:tcPr>
            <w:tcW w:w="2592" w:type="dxa"/>
            <w:shd w:val="clear" w:color="auto" w:fill="D7D7D7" w:themeFill="background1" w:themeFillShade="D8"/>
            <w:vAlign w:val="center"/>
          </w:tcPr>
          <w:p w14:paraId="159F00CB">
            <w:pPr>
              <w:spacing w:after="0" w:line="240" w:lineRule="auto"/>
            </w:pPr>
            <w:r>
              <w:rPr>
                <w:b/>
                <w:sz w:val="18"/>
              </w:rPr>
              <w:t xml:space="preserve">Maximum patient benefit 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18"/>
                      <w:szCs w:val="18"/>
                    </w:rPr>
                    <m:t>B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eastAsia="宋体"/>
                      <w:sz w:val="18"/>
                      <w:szCs w:val="18"/>
                      <w:lang w:val="en-US" w:eastAsia="zh-CN"/>
                    </w:rPr>
                    <m:t>k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ub>
              </m:sSub>
              <m:r>
                <m:rPr/>
                <w:rPr>
                  <w:rFonts w:hint="default" w:ascii="Cambria Math" w:hAnsi="Cambria Math"/>
                  <w:sz w:val="18"/>
                  <w:szCs w:val="18"/>
                  <w:lang w:val="en-US" w:eastAsia="zh-CN"/>
                </w:rPr>
                <m:t>(</m:t>
              </m:r>
              <m:sSup>
                <m:sSupP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∗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up>
              </m:sSup>
              <m:r>
                <m:rPr/>
                <w:rPr>
                  <w:rFonts w:hint="default" w:ascii="Cambria Math" w:hAnsi="Cambria Math"/>
                  <w:sz w:val="18"/>
                  <w:szCs w:val="18"/>
                  <w:lang w:val="en-US" w:eastAsia="zh-CN"/>
                </w:rPr>
                <m:t>)</m:t>
              </m:r>
            </m:oMath>
          </w:p>
        </w:tc>
        <w:tc>
          <w:tcPr>
            <w:tcW w:w="1008" w:type="dxa"/>
            <w:shd w:val="clear" w:color="auto" w:fill="D7D7D7" w:themeFill="background1" w:themeFillShade="D8"/>
            <w:vAlign w:val="center"/>
          </w:tcPr>
          <w:p w14:paraId="637FD998">
            <w:pPr>
              <w:spacing w:after="0" w:line="240" w:lineRule="auto"/>
            </w:pPr>
            <m:oMathPara>
              <m:oMath>
                <m:r>
                  <m:rPr/>
                  <w:rPr>
                    <w:rFonts w:hint="default" w:ascii="Cambria Math" w:hAnsi="Cambria Math" w:cs="Cambria Math"/>
                    <w:sz w:val="24"/>
                    <w:szCs w:val="24"/>
                    <w:lang w:val="en-US" w:eastAsia="zh-CN"/>
                  </w:rPr>
                  <m:t>θ</m:t>
                </m:r>
              </m:oMath>
            </m:oMathPara>
          </w:p>
        </w:tc>
      </w:tr>
      <w:tr w14:paraId="1461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57E91E3F">
            <w:pPr>
              <w:spacing w:after="0" w:line="240" w:lineRule="auto"/>
            </w:pPr>
            <w:r>
              <w:rPr>
                <w:b w:val="0"/>
                <w:sz w:val="18"/>
              </w:rPr>
              <w:t>Ax</w:t>
            </w:r>
          </w:p>
        </w:tc>
        <w:tc>
          <w:tcPr>
            <w:tcW w:w="1440" w:type="dxa"/>
            <w:vAlign w:val="center"/>
          </w:tcPr>
          <w:p w14:paraId="5A7780D5">
            <w:pPr>
              <w:spacing w:after="0" w:line="240" w:lineRule="auto"/>
            </w:pPr>
            <w:r>
              <w:rPr>
                <w:b w:val="0"/>
                <w:sz w:val="18"/>
              </w:rPr>
              <w:t>A</w:t>
            </w:r>
          </w:p>
        </w:tc>
        <w:tc>
          <w:tcPr>
            <w:tcW w:w="2448" w:type="dxa"/>
            <w:vAlign w:val="center"/>
          </w:tcPr>
          <w:p w14:paraId="69E32469">
            <w:pPr>
              <w:spacing w:after="0" w:line="240" w:lineRule="auto"/>
            </w:pPr>
            <w:r>
              <w:rPr>
                <w:b w:val="0"/>
                <w:sz w:val="18"/>
              </w:rPr>
              <w:t>Mild severity</w:t>
            </w:r>
          </w:p>
        </w:tc>
        <w:tc>
          <w:tcPr>
            <w:tcW w:w="864" w:type="dxa"/>
            <w:vAlign w:val="center"/>
          </w:tcPr>
          <w:p w14:paraId="68AD0EB3">
            <w:pPr>
              <w:spacing w:after="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w="2592" w:type="dxa"/>
            <w:vAlign w:val="center"/>
          </w:tcPr>
          <w:p w14:paraId="7573EDEE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1008" w:type="dxa"/>
            <w:vAlign w:val="center"/>
          </w:tcPr>
          <w:p w14:paraId="69A018DF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5FCE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60976AED">
            <w:pPr>
              <w:spacing w:after="0" w:line="240" w:lineRule="auto"/>
            </w:pPr>
            <w:r>
              <w:rPr>
                <w:b w:val="0"/>
                <w:sz w:val="18"/>
              </w:rPr>
              <w:t>Ay</w:t>
            </w:r>
          </w:p>
        </w:tc>
        <w:tc>
          <w:tcPr>
            <w:tcW w:w="1440" w:type="dxa"/>
            <w:vAlign w:val="center"/>
          </w:tcPr>
          <w:p w14:paraId="7D1C34BB">
            <w:pPr>
              <w:spacing w:after="0" w:line="240" w:lineRule="auto"/>
            </w:pPr>
            <w:r>
              <w:rPr>
                <w:b w:val="0"/>
                <w:sz w:val="18"/>
              </w:rPr>
              <w:t>A</w:t>
            </w:r>
          </w:p>
        </w:tc>
        <w:tc>
          <w:tcPr>
            <w:tcW w:w="2448" w:type="dxa"/>
            <w:vAlign w:val="center"/>
          </w:tcPr>
          <w:p w14:paraId="73625BED">
            <w:pPr>
              <w:spacing w:after="0" w:line="240" w:lineRule="auto"/>
            </w:pPr>
            <w:r>
              <w:rPr>
                <w:b w:val="0"/>
                <w:sz w:val="18"/>
              </w:rPr>
              <w:t>Intermediate severity</w:t>
            </w:r>
          </w:p>
        </w:tc>
        <w:tc>
          <w:tcPr>
            <w:tcW w:w="864" w:type="dxa"/>
            <w:vAlign w:val="center"/>
          </w:tcPr>
          <w:p w14:paraId="0E472CC5">
            <w:pPr>
              <w:spacing w:after="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w="2592" w:type="dxa"/>
            <w:vAlign w:val="center"/>
          </w:tcPr>
          <w:p w14:paraId="256B0995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1008" w:type="dxa"/>
            <w:vAlign w:val="center"/>
          </w:tcPr>
          <w:p w14:paraId="095B8E57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0F98C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21E34EC1">
            <w:pPr>
              <w:spacing w:after="0" w:line="240" w:lineRule="auto"/>
            </w:pPr>
            <w:r>
              <w:rPr>
                <w:b w:val="0"/>
                <w:sz w:val="18"/>
              </w:rPr>
              <w:t>Az</w:t>
            </w:r>
          </w:p>
        </w:tc>
        <w:tc>
          <w:tcPr>
            <w:tcW w:w="1440" w:type="dxa"/>
            <w:vAlign w:val="center"/>
          </w:tcPr>
          <w:p w14:paraId="28EBC6F8">
            <w:pPr>
              <w:spacing w:after="0" w:line="240" w:lineRule="auto"/>
            </w:pPr>
            <w:r>
              <w:rPr>
                <w:b w:val="0"/>
                <w:sz w:val="18"/>
              </w:rPr>
              <w:t>A</w:t>
            </w:r>
          </w:p>
        </w:tc>
        <w:tc>
          <w:tcPr>
            <w:tcW w:w="2448" w:type="dxa"/>
            <w:vAlign w:val="center"/>
          </w:tcPr>
          <w:p w14:paraId="16709FCE">
            <w:pPr>
              <w:spacing w:after="0" w:line="240" w:lineRule="auto"/>
            </w:pPr>
            <w:r>
              <w:rPr>
                <w:b w:val="0"/>
                <w:sz w:val="18"/>
              </w:rPr>
              <w:t>High severity</w:t>
            </w:r>
          </w:p>
        </w:tc>
        <w:tc>
          <w:tcPr>
            <w:tcW w:w="864" w:type="dxa"/>
            <w:vAlign w:val="center"/>
          </w:tcPr>
          <w:p w14:paraId="6043D976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2592" w:type="dxa"/>
            <w:vAlign w:val="center"/>
          </w:tcPr>
          <w:p w14:paraId="301A3CDA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1008" w:type="dxa"/>
            <w:vAlign w:val="center"/>
          </w:tcPr>
          <w:p w14:paraId="7213E255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52C9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3C5818F6">
            <w:pPr>
              <w:spacing w:after="0" w:line="240" w:lineRule="auto"/>
            </w:pPr>
            <w:r>
              <w:rPr>
                <w:b w:val="0"/>
                <w:sz w:val="18"/>
              </w:rPr>
              <w:t>Bx</w:t>
            </w:r>
          </w:p>
        </w:tc>
        <w:tc>
          <w:tcPr>
            <w:tcW w:w="1440" w:type="dxa"/>
            <w:vAlign w:val="center"/>
          </w:tcPr>
          <w:p w14:paraId="2174710B">
            <w:pPr>
              <w:spacing w:after="0" w:line="240" w:lineRule="auto"/>
            </w:pPr>
            <w:r>
              <w:rPr>
                <w:b w:val="0"/>
                <w:sz w:val="18"/>
              </w:rPr>
              <w:t>B</w:t>
            </w:r>
          </w:p>
        </w:tc>
        <w:tc>
          <w:tcPr>
            <w:tcW w:w="2448" w:type="dxa"/>
            <w:vAlign w:val="center"/>
          </w:tcPr>
          <w:p w14:paraId="1E578322">
            <w:pPr>
              <w:spacing w:after="0" w:line="240" w:lineRule="auto"/>
            </w:pPr>
            <w:r>
              <w:rPr>
                <w:b w:val="0"/>
                <w:sz w:val="18"/>
              </w:rPr>
              <w:t>Mild severity</w:t>
            </w:r>
          </w:p>
        </w:tc>
        <w:tc>
          <w:tcPr>
            <w:tcW w:w="864" w:type="dxa"/>
            <w:vAlign w:val="center"/>
          </w:tcPr>
          <w:p w14:paraId="24866397">
            <w:pPr>
              <w:spacing w:after="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w="2592" w:type="dxa"/>
            <w:vAlign w:val="center"/>
          </w:tcPr>
          <w:p w14:paraId="3A71FFCA">
            <w:pPr>
              <w:spacing w:after="0" w:line="240" w:lineRule="auto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w="1008" w:type="dxa"/>
            <w:vAlign w:val="center"/>
          </w:tcPr>
          <w:p w14:paraId="550968E3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2926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48459A99">
            <w:pPr>
              <w:spacing w:after="0" w:line="240" w:lineRule="auto"/>
            </w:pPr>
            <w:r>
              <w:rPr>
                <w:b w:val="0"/>
                <w:sz w:val="18"/>
              </w:rPr>
              <w:t>By</w:t>
            </w:r>
          </w:p>
        </w:tc>
        <w:tc>
          <w:tcPr>
            <w:tcW w:w="1440" w:type="dxa"/>
            <w:vAlign w:val="center"/>
          </w:tcPr>
          <w:p w14:paraId="51438843">
            <w:pPr>
              <w:spacing w:after="0" w:line="240" w:lineRule="auto"/>
            </w:pPr>
            <w:r>
              <w:rPr>
                <w:b w:val="0"/>
                <w:sz w:val="18"/>
              </w:rPr>
              <w:t>B</w:t>
            </w:r>
          </w:p>
        </w:tc>
        <w:tc>
          <w:tcPr>
            <w:tcW w:w="2448" w:type="dxa"/>
            <w:vAlign w:val="center"/>
          </w:tcPr>
          <w:p w14:paraId="6080BEFB">
            <w:pPr>
              <w:spacing w:after="0" w:line="240" w:lineRule="auto"/>
            </w:pPr>
            <w:r>
              <w:rPr>
                <w:b w:val="0"/>
                <w:sz w:val="18"/>
              </w:rPr>
              <w:t>Intermediate severity</w:t>
            </w:r>
          </w:p>
        </w:tc>
        <w:tc>
          <w:tcPr>
            <w:tcW w:w="864" w:type="dxa"/>
            <w:vAlign w:val="center"/>
          </w:tcPr>
          <w:p w14:paraId="29728481">
            <w:pPr>
              <w:spacing w:after="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w="2592" w:type="dxa"/>
            <w:vAlign w:val="center"/>
          </w:tcPr>
          <w:p w14:paraId="43D91579">
            <w:pPr>
              <w:spacing w:after="0" w:line="240" w:lineRule="auto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w="1008" w:type="dxa"/>
            <w:vAlign w:val="center"/>
          </w:tcPr>
          <w:p w14:paraId="42190910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6473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52ADB582">
            <w:pPr>
              <w:spacing w:after="0" w:line="240" w:lineRule="auto"/>
            </w:pPr>
            <w:r>
              <w:rPr>
                <w:b w:val="0"/>
                <w:sz w:val="18"/>
              </w:rPr>
              <w:t>Bz</w:t>
            </w:r>
          </w:p>
        </w:tc>
        <w:tc>
          <w:tcPr>
            <w:tcW w:w="1440" w:type="dxa"/>
            <w:vAlign w:val="center"/>
          </w:tcPr>
          <w:p w14:paraId="4379CEA1">
            <w:pPr>
              <w:spacing w:after="0" w:line="240" w:lineRule="auto"/>
            </w:pPr>
            <w:r>
              <w:rPr>
                <w:b w:val="0"/>
                <w:sz w:val="18"/>
              </w:rPr>
              <w:t>B</w:t>
            </w:r>
          </w:p>
        </w:tc>
        <w:tc>
          <w:tcPr>
            <w:tcW w:w="2448" w:type="dxa"/>
            <w:vAlign w:val="center"/>
          </w:tcPr>
          <w:p w14:paraId="7A0E031F">
            <w:pPr>
              <w:spacing w:after="0" w:line="240" w:lineRule="auto"/>
            </w:pPr>
            <w:r>
              <w:rPr>
                <w:b w:val="0"/>
                <w:sz w:val="18"/>
              </w:rPr>
              <w:t>High severity</w:t>
            </w:r>
          </w:p>
        </w:tc>
        <w:tc>
          <w:tcPr>
            <w:tcW w:w="864" w:type="dxa"/>
            <w:vAlign w:val="center"/>
          </w:tcPr>
          <w:p w14:paraId="26CD650F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2592" w:type="dxa"/>
            <w:vAlign w:val="center"/>
          </w:tcPr>
          <w:p w14:paraId="32F71F69">
            <w:pPr>
              <w:spacing w:after="0" w:line="240" w:lineRule="auto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w="1008" w:type="dxa"/>
            <w:vAlign w:val="center"/>
          </w:tcPr>
          <w:p w14:paraId="0D7E38C2">
            <w:pPr>
              <w:spacing w:after="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 w14:paraId="43B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5E14B002">
            <w:pPr>
              <w:spacing w:after="0" w:line="240" w:lineRule="auto"/>
            </w:pPr>
            <w:r>
              <w:rPr>
                <w:b w:val="0"/>
                <w:sz w:val="18"/>
              </w:rPr>
              <w:t>Cx</w:t>
            </w:r>
          </w:p>
        </w:tc>
        <w:tc>
          <w:tcPr>
            <w:tcW w:w="1440" w:type="dxa"/>
            <w:vAlign w:val="center"/>
          </w:tcPr>
          <w:p w14:paraId="7BC85023">
            <w:pPr>
              <w:spacing w:after="0" w:line="240" w:lineRule="auto"/>
            </w:pPr>
            <w:r>
              <w:rPr>
                <w:b w:val="0"/>
                <w:sz w:val="18"/>
              </w:rPr>
              <w:t>C</w:t>
            </w:r>
          </w:p>
        </w:tc>
        <w:tc>
          <w:tcPr>
            <w:tcW w:w="2448" w:type="dxa"/>
            <w:vAlign w:val="center"/>
          </w:tcPr>
          <w:p w14:paraId="766222FD">
            <w:pPr>
              <w:spacing w:after="0" w:line="240" w:lineRule="auto"/>
            </w:pPr>
            <w:r>
              <w:rPr>
                <w:b w:val="0"/>
                <w:sz w:val="18"/>
              </w:rPr>
              <w:t>Mild severity</w:t>
            </w:r>
          </w:p>
        </w:tc>
        <w:tc>
          <w:tcPr>
            <w:tcW w:w="864" w:type="dxa"/>
            <w:vAlign w:val="center"/>
          </w:tcPr>
          <w:p w14:paraId="25CB8A2A">
            <w:pPr>
              <w:spacing w:after="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w="2592" w:type="dxa"/>
            <w:vAlign w:val="center"/>
          </w:tcPr>
          <w:p w14:paraId="2024E969">
            <w:pPr>
              <w:spacing w:after="0" w:line="240" w:lineRule="auto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w="1008" w:type="dxa"/>
            <w:vAlign w:val="center"/>
          </w:tcPr>
          <w:p w14:paraId="10CBD505">
            <w:pPr>
              <w:spacing w:after="0" w:line="240" w:lineRule="auto"/>
            </w:pPr>
            <w:r>
              <w:rPr>
                <w:b w:val="0"/>
                <w:sz w:val="18"/>
              </w:rPr>
              <w:t>2</w:t>
            </w:r>
          </w:p>
        </w:tc>
      </w:tr>
      <w:tr w14:paraId="23A1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1B36C23F">
            <w:pPr>
              <w:spacing w:after="0" w:line="240" w:lineRule="auto"/>
            </w:pPr>
            <w:r>
              <w:rPr>
                <w:b w:val="0"/>
                <w:sz w:val="18"/>
              </w:rPr>
              <w:t>Cy</w:t>
            </w:r>
          </w:p>
        </w:tc>
        <w:tc>
          <w:tcPr>
            <w:tcW w:w="1440" w:type="dxa"/>
            <w:vAlign w:val="center"/>
          </w:tcPr>
          <w:p w14:paraId="3E2437F9">
            <w:pPr>
              <w:spacing w:after="0" w:line="240" w:lineRule="auto"/>
            </w:pPr>
            <w:r>
              <w:rPr>
                <w:b w:val="0"/>
                <w:sz w:val="18"/>
              </w:rPr>
              <w:t>C</w:t>
            </w:r>
          </w:p>
        </w:tc>
        <w:tc>
          <w:tcPr>
            <w:tcW w:w="2448" w:type="dxa"/>
            <w:vAlign w:val="center"/>
          </w:tcPr>
          <w:p w14:paraId="48B22011">
            <w:pPr>
              <w:spacing w:after="0" w:line="240" w:lineRule="auto"/>
            </w:pPr>
            <w:r>
              <w:rPr>
                <w:b w:val="0"/>
                <w:sz w:val="18"/>
              </w:rPr>
              <w:t>Intermediate severity</w:t>
            </w:r>
          </w:p>
        </w:tc>
        <w:tc>
          <w:tcPr>
            <w:tcW w:w="864" w:type="dxa"/>
            <w:vAlign w:val="center"/>
          </w:tcPr>
          <w:p w14:paraId="76FFDFED">
            <w:pPr>
              <w:spacing w:after="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w="2592" w:type="dxa"/>
            <w:vAlign w:val="center"/>
          </w:tcPr>
          <w:p w14:paraId="2EE3F1E7">
            <w:pPr>
              <w:spacing w:after="0" w:line="240" w:lineRule="auto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w="1008" w:type="dxa"/>
            <w:vAlign w:val="center"/>
          </w:tcPr>
          <w:p w14:paraId="22E8BCB9">
            <w:pPr>
              <w:spacing w:after="0" w:line="240" w:lineRule="auto"/>
            </w:pPr>
            <w:r>
              <w:rPr>
                <w:b w:val="0"/>
                <w:sz w:val="18"/>
              </w:rPr>
              <w:t>2</w:t>
            </w:r>
          </w:p>
        </w:tc>
      </w:tr>
      <w:tr w14:paraId="3A044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2" w:type="dxa"/>
            <w:vAlign w:val="center"/>
          </w:tcPr>
          <w:p w14:paraId="09C1AC91">
            <w:pPr>
              <w:spacing w:after="0" w:line="240" w:lineRule="auto"/>
            </w:pPr>
            <w:r>
              <w:rPr>
                <w:b w:val="0"/>
                <w:sz w:val="18"/>
              </w:rPr>
              <w:t>Cz</w:t>
            </w:r>
          </w:p>
        </w:tc>
        <w:tc>
          <w:tcPr>
            <w:tcW w:w="1440" w:type="dxa"/>
            <w:vAlign w:val="center"/>
          </w:tcPr>
          <w:p w14:paraId="1E4E7774">
            <w:pPr>
              <w:spacing w:after="0" w:line="240" w:lineRule="auto"/>
            </w:pPr>
            <w:r>
              <w:rPr>
                <w:b w:val="0"/>
                <w:sz w:val="18"/>
              </w:rPr>
              <w:t>C</w:t>
            </w:r>
          </w:p>
        </w:tc>
        <w:tc>
          <w:tcPr>
            <w:tcW w:w="2448" w:type="dxa"/>
            <w:vAlign w:val="center"/>
          </w:tcPr>
          <w:p w14:paraId="3967CEC8">
            <w:pPr>
              <w:spacing w:after="0" w:line="240" w:lineRule="auto"/>
            </w:pPr>
            <w:r>
              <w:rPr>
                <w:b w:val="0"/>
                <w:sz w:val="18"/>
              </w:rPr>
              <w:t>High severity</w:t>
            </w:r>
          </w:p>
        </w:tc>
        <w:tc>
          <w:tcPr>
            <w:tcW w:w="864" w:type="dxa"/>
            <w:vAlign w:val="center"/>
          </w:tcPr>
          <w:p w14:paraId="3C8AFF4D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2592" w:type="dxa"/>
            <w:vAlign w:val="center"/>
          </w:tcPr>
          <w:p w14:paraId="2350F4D9">
            <w:pPr>
              <w:spacing w:after="0" w:line="240" w:lineRule="auto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w="1008" w:type="dxa"/>
            <w:vAlign w:val="center"/>
          </w:tcPr>
          <w:p w14:paraId="17B4F718">
            <w:pPr>
              <w:spacing w:after="0" w:line="240" w:lineRule="auto"/>
            </w:pPr>
            <w:r>
              <w:rPr>
                <w:b w:val="0"/>
                <w:sz w:val="18"/>
              </w:rPr>
              <w:t>2</w:t>
            </w:r>
          </w:p>
        </w:tc>
      </w:tr>
    </w:tbl>
    <w:p w14:paraId="352D45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Patient-benefit function</w:t>
      </w:r>
    </w:p>
    <w:p w14:paraId="4F1C6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Patient benefit for quantity </w:t>
      </w:r>
      <w:r>
        <w:rPr>
          <w:i/>
          <w:iCs/>
          <w:sz w:val="24"/>
          <w:szCs w:val="24"/>
        </w:rPr>
        <w:t>q</w:t>
      </w:r>
      <w:r>
        <w:rPr>
          <w:sz w:val="24"/>
          <w:szCs w:val="24"/>
        </w:rPr>
        <w:t xml:space="preserve"> was calculated as:</w:t>
      </w:r>
    </w:p>
    <w:p w14:paraId="7C822FD2">
      <w:pPr>
        <w:jc w:val="both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B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B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/>
                  <w:sz w:val="24"/>
                  <w:szCs w:val="24"/>
                  <w:lang w:val="en-US" w:eastAsia="zh-CN"/>
                </w:rPr>
                <m:t>k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sub>
          </m:sSub>
          <m:r>
            <m:rPr/>
            <w:rPr>
              <w:rFonts w:hint="default" w:ascii="Cambria Math" w:hAnsi="Cambria Math"/>
              <w:sz w:val="24"/>
              <w:szCs w:val="24"/>
              <w:lang w:val="en-US" w:eastAsia="zh-CN"/>
            </w:rPr>
            <m:t>(</m:t>
          </m:r>
          <m:sSup>
            <m:sSupPr>
              <m:ctrlPr>
                <w:rPr>
                  <w:rFonts w:hint="default" w:ascii="Cambria Math" w:hAnsi="Cambria Math"/>
                  <w:i/>
                  <w:sz w:val="24"/>
                  <w:szCs w:val="24"/>
                  <w:lang w:val="en-US" w:eastAsia="zh-CN"/>
                </w:rPr>
              </m:ctrlPr>
            </m:sSupPr>
            <m:e>
              <m:r>
                <m:rPr/>
                <w:rPr>
                  <w:rFonts w:hint="default" w:ascii="Cambria Math" w:hAnsi="Cambria Math"/>
                  <w:sz w:val="24"/>
                  <w:szCs w:val="24"/>
                  <w:lang w:val="en-US" w:eastAsia="zh-CN"/>
                </w:rPr>
                <m:t>q</m:t>
              </m:r>
              <m:ctrlPr>
                <w:rPr>
                  <w:rFonts w:hint="default" w:ascii="Cambria Math" w:hAnsi="Cambria Math"/>
                  <w:i/>
                  <w:sz w:val="24"/>
                  <w:szCs w:val="24"/>
                  <w:lang w:val="en-US" w:eastAsia="zh-CN"/>
                </w:rPr>
              </m:ctrlPr>
            </m:e>
            <m:sup>
              <m:r>
                <m:rPr/>
                <w:rPr>
                  <w:rFonts w:hint="default" w:ascii="Cambria Math" w:hAnsi="Cambria Math"/>
                  <w:sz w:val="24"/>
                  <w:szCs w:val="24"/>
                  <w:lang w:val="en-US" w:eastAsia="zh-CN"/>
                </w:rPr>
                <m:t>∗</m:t>
              </m:r>
              <m:ctrlPr>
                <w:rPr>
                  <w:rFonts w:hint="default" w:ascii="Cambria Math" w:hAnsi="Cambria Math"/>
                  <w:i/>
                  <w:sz w:val="24"/>
                  <w:szCs w:val="24"/>
                  <w:lang w:val="en-US" w:eastAsia="zh-CN"/>
                </w:rPr>
              </m:ctrlPr>
            </m:sup>
          </m:sSup>
          <m:r>
            <m:rPr/>
            <w:rPr>
              <w:rFonts w:hint="default" w:ascii="Cambria Math" w:hAnsi="Cambria Math"/>
              <w:sz w:val="24"/>
              <w:szCs w:val="24"/>
              <w:lang w:val="en-US" w:eastAsia="zh-CN"/>
            </w:rPr>
            <m:t>)</m:t>
          </m:r>
          <m:r>
            <m:rPr/>
            <w:rPr>
              <w:rFonts w:ascii="Cambria Math" w:hAnsi="Cambria Math"/>
              <w:sz w:val="24"/>
              <w:szCs w:val="24"/>
            </w:rPr>
            <m:t>−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θ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/>
                <w:rPr>
                  <w:rFonts w:ascii="Cambria Math" w:hAnsi="Cambria Math"/>
                  <w:sz w:val="24"/>
                  <w:szCs w:val="24"/>
                </w:rPr>
                <m:t>K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/>
              <w:sz w:val="24"/>
              <w:szCs w:val="24"/>
            </w:rPr>
            <m:t>|q−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Sup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e>
            <m:sub>
              <m:r>
                <m:rPr/>
                <w:rPr>
                  <w:rFonts w:ascii="Cambria Math" w:hAnsi="Cambria Math"/>
                  <w:sz w:val="24"/>
                  <w:szCs w:val="24"/>
                </w:rPr>
                <m:t>l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b>
            <m:sup>
              <m:r>
                <m:rPr/>
                <w:rPr>
                  <w:rFonts w:ascii="Cambria Math" w:hAnsi="Cambria Math"/>
                  <w:sz w:val="24"/>
                  <w:szCs w:val="24"/>
                </w:rPr>
                <m:t>∗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up>
          </m:sSubSup>
          <m:r>
            <m:rPr/>
            <w:rPr>
              <w:rFonts w:ascii="Cambria Math" w:hAnsi="Cambria Math"/>
              <w:sz w:val="24"/>
              <w:szCs w:val="24"/>
            </w:rPr>
            <m:t>|</m:t>
          </m:r>
        </m:oMath>
      </m:oMathPara>
    </w:p>
    <w:p w14:paraId="61220D7D">
      <w:pPr>
        <w:jc w:val="both"/>
        <w:rPr>
          <w:sz w:val="24"/>
          <w:szCs w:val="24"/>
        </w:rPr>
      </w:pPr>
      <w:r>
        <w:rPr>
          <w:sz w:val="24"/>
          <w:szCs w:val="24"/>
        </w:rPr>
        <w:t>where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/>
                <w:sz w:val="24"/>
                <w:szCs w:val="24"/>
                <w:lang w:val="en-US" w:eastAsia="zh-CN"/>
              </w:rPr>
              <m:t>k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</m:sSub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(</m:t>
        </m:r>
        <m:sSup>
          <m:sSupP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q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∗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)</m:t>
        </m:r>
      </m:oMath>
      <w:r>
        <w:rPr>
          <w:sz w:val="24"/>
          <w:szCs w:val="24"/>
        </w:rPr>
        <w:t xml:space="preserve"> is the maximum patient benefit for illness type </w:t>
      </w:r>
      <w:r>
        <w:rPr>
          <w:i/>
          <w:iCs/>
          <w:sz w:val="24"/>
          <w:szCs w:val="24"/>
        </w:rPr>
        <w:t>k</w:t>
      </w:r>
      <w:r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</m:oMath>
      <w:r>
        <w:rPr>
          <w:sz w:val="24"/>
          <w:szCs w:val="24"/>
        </w:rPr>
        <w:t xml:space="preserve"> is the marginal patient-benefit parameter, and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m:rPr/>
              <w:rPr>
                <w:rFonts w:ascii="Cambria Math" w:hAnsi="Cambria Math"/>
                <w:sz w:val="24"/>
                <w:szCs w:val="24"/>
              </w:rPr>
              <m:t>q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l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/>
                <w:sz w:val="24"/>
                <w:szCs w:val="24"/>
              </w:rPr>
              <m:t>∗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p>
        </m:sSubSup>
      </m:oMath>
      <w:r>
        <w:rPr>
          <w:sz w:val="24"/>
          <w:szCs w:val="24"/>
        </w:rPr>
        <w:t xml:space="preserve"> is the patient-optimal quantity for severity level </w:t>
      </w:r>
      <w:r>
        <w:rPr>
          <w:i/>
          <w:iCs/>
          <w:sz w:val="24"/>
          <w:szCs w:val="24"/>
        </w:rPr>
        <w:t>l</w:t>
      </w:r>
      <w:r>
        <w:rPr>
          <w:sz w:val="24"/>
          <w:szCs w:val="24"/>
        </w:rPr>
        <w:t xml:space="preserve">. The maximum patient benefit values were </w:t>
      </w:r>
      <w:bookmarkStart w:id="0" w:name="_Hlk137199571"/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A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</m:sSub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(</m:t>
        </m:r>
        <m:sSup>
          <m:sSupP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q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∗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)</m:t>
        </m:r>
        <m:r>
          <m:rPr/>
          <w:rPr>
            <w:rFonts w:ascii="Cambria Math" w:hAnsi="Cambria Math"/>
            <w:sz w:val="24"/>
            <w:szCs w:val="24"/>
          </w:rPr>
          <m:t>=7</m:t>
        </m:r>
      </m:oMath>
      <w:bookmarkEnd w:id="0"/>
      <w:r>
        <w:rPr>
          <w:rFonts w:hint="eastAsia" w:hAnsi="Cambria Math"/>
          <w:i w:val="0"/>
          <w:sz w:val="24"/>
          <w:szCs w:val="24"/>
          <w:lang w:val="en-US" w:eastAsia="zh-CN"/>
        </w:rPr>
        <w:t>,</w:t>
      </w:r>
      <w:r>
        <w:rPr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</m:sSub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(</m:t>
        </m:r>
        <m:sSup>
          <m:sSupP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q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∗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)</m:t>
        </m:r>
        <m:r>
          <m:rPr/>
          <w:rPr>
            <w:rFonts w:ascii="Cambria Math" w:hAnsi="Cambria Math"/>
            <w:sz w:val="24"/>
            <w:szCs w:val="24"/>
          </w:rPr>
          <m:t>=10</m:t>
        </m:r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 xml:space="preserve">, </m:t>
        </m:r>
        <m:r>
          <m:rPr>
            <m:sty m:val="p"/>
          </m:rPr>
          <w:rPr>
            <w:rFonts w:hint="default" w:ascii="Cambria Math" w:hAnsi="Cambria Math"/>
            <w:sz w:val="24"/>
            <w:szCs w:val="24"/>
            <w:lang w:val="en-US" w:eastAsia="zh-CN"/>
          </w:rPr>
          <m:t>and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C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</m:sSub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(</m:t>
        </m:r>
        <m:sSup>
          <m:sSupP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q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/>
                <w:sz w:val="24"/>
                <w:szCs w:val="24"/>
                <w:lang w:val="en-US" w:eastAsia="zh-CN"/>
              </w:rPr>
              <m:t>∗</m:t>
            </m:r>
            <m:ctrlPr>
              <w:rPr>
                <w:rFonts w:hint="default" w:ascii="Cambria Math" w:hAnsi="Cambria Math"/>
                <w:i/>
                <w:sz w:val="24"/>
                <w:szCs w:val="24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/>
            <w:sz w:val="24"/>
            <w:szCs w:val="24"/>
            <w:lang w:val="en-US" w:eastAsia="zh-CN"/>
          </w:rPr>
          <m:t>)</m:t>
        </m:r>
        <m:r>
          <m:rPr/>
          <w:rPr>
            <w:rFonts w:ascii="Cambria Math" w:hAnsi="Cambria Math"/>
            <w:sz w:val="24"/>
            <w:szCs w:val="24"/>
          </w:rPr>
          <m:t>=14</m:t>
        </m:r>
      </m:oMath>
      <w:r>
        <w:rPr>
          <w:sz w:val="24"/>
          <w:szCs w:val="24"/>
        </w:rPr>
        <w:t xml:space="preserve">. The marginal patient-benefit values were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A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/>
            <w:sz w:val="24"/>
            <w:szCs w:val="24"/>
          </w:rPr>
          <m:t>=1</m:t>
        </m:r>
      </m:oMath>
      <w:r>
        <w:rPr>
          <w:rFonts w:hint="eastAsia" w:hAnsi="Cambria Math"/>
          <w:i w:val="0"/>
          <w:sz w:val="24"/>
          <w:szCs w:val="24"/>
          <w:lang w:val="en-US" w:eastAsia="zh-CN"/>
        </w:rPr>
        <w:t>,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C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/>
            <w:sz w:val="24"/>
            <w:szCs w:val="24"/>
          </w:rPr>
          <m:t>=2</m:t>
        </m:r>
      </m:oMath>
      <w:r>
        <w:rPr>
          <w:sz w:val="24"/>
          <w:szCs w:val="24"/>
        </w:rPr>
        <w:t>. The patient-optimal quantities were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m:oMath>
        <m:r>
          <m:rPr>
            <m:sty m:val="p"/>
          </m:rPr>
          <w:rPr>
            <w:rFonts w:hint="default" w:ascii="Cambria Math" w:eastAsia="宋体"/>
            <w:sz w:val="24"/>
            <w:szCs w:val="24"/>
            <w:lang w:val="en-US" w:eastAsia="zh-CN"/>
          </w:rPr>
          <m:t xml:space="preserve"> </m:t>
        </m:r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/>
              <w:rPr>
                <w:rFonts w:ascii="Cambria Math" w:hAnsi="Cambria Math"/>
                <w:sz w:val="24"/>
                <w:szCs w:val="24"/>
              </w:rPr>
              <m:t>q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/>
                <w:sz w:val="24"/>
                <w:szCs w:val="24"/>
              </w:rPr>
              <m:t>∗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p>
        </m:sSubSup>
        <m:r>
          <m:rPr/>
          <w:rPr>
            <w:rFonts w:ascii="Cambria Math" w:hAnsi="Cambria Math"/>
            <w:sz w:val="24"/>
            <w:szCs w:val="24"/>
          </w:rPr>
          <m:t>=3</m:t>
        </m:r>
      </m:oMath>
      <w:r>
        <w:rPr>
          <w:rFonts w:hint="eastAsia" w:hAnsi="Cambria Math"/>
          <w:i w:val="0"/>
          <w:sz w:val="24"/>
          <w:szCs w:val="24"/>
          <w:lang w:val="en-US" w:eastAsia="zh-CN"/>
        </w:rPr>
        <w:t xml:space="preserve">,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/>
              <w:rPr>
                <w:rFonts w:ascii="Cambria Math" w:hAnsi="Cambria Math"/>
                <w:sz w:val="24"/>
                <w:szCs w:val="24"/>
              </w:rPr>
              <m:t>q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/>
                <w:sz w:val="24"/>
                <w:szCs w:val="24"/>
              </w:rPr>
              <m:t>∗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p>
        </m:sSubSup>
        <m:r>
          <m:rPr/>
          <w:rPr>
            <w:rFonts w:ascii="Cambria Math" w:hAnsi="Cambria Math"/>
            <w:sz w:val="24"/>
            <w:szCs w:val="24"/>
          </w:rPr>
          <m:t>=5</m:t>
        </m:r>
      </m:oMath>
      <w:r>
        <w:rPr>
          <w:rFonts w:hint="eastAsia" w:hAnsi="Cambria Math"/>
          <w:i w:val="0"/>
          <w:sz w:val="24"/>
          <w:szCs w:val="24"/>
          <w:lang w:val="en-US" w:eastAsia="zh-CN"/>
        </w:rPr>
        <w:t xml:space="preserve">, and </w:t>
      </w: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/>
              <w:rPr>
                <w:rFonts w:ascii="Cambria Math" w:hAnsi="Cambria Math"/>
                <w:sz w:val="24"/>
                <w:szCs w:val="24"/>
              </w:rPr>
              <m:t>q</m:t>
            </m:r>
            <m:ctrlPr>
              <w:rPr>
                <w:rFonts w:ascii="Cambria Math" w:hAnsi="Cambria Math"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/>
                <w:sz w:val="24"/>
                <w:szCs w:val="24"/>
              </w:rPr>
              <m:t>z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/>
                <w:sz w:val="24"/>
                <w:szCs w:val="24"/>
              </w:rPr>
              <m:t>∗</m:t>
            </m:r>
            <m:ctrlPr>
              <w:rPr>
                <w:rFonts w:ascii="Cambria Math" w:hAnsi="Cambria Math"/>
                <w:sz w:val="24"/>
                <w:szCs w:val="24"/>
              </w:rPr>
            </m:ctrlPr>
          </m:sup>
        </m:sSubSup>
        <m:r>
          <m:rPr/>
          <w:rPr>
            <w:rFonts w:ascii="Cambria Math" w:hAnsi="Cambria Math"/>
            <w:sz w:val="24"/>
            <w:szCs w:val="24"/>
          </w:rPr>
          <m:t>=7</m:t>
        </m:r>
      </m:oMath>
      <w:r>
        <w:rPr>
          <w:sz w:val="24"/>
          <w:szCs w:val="24"/>
        </w:rPr>
        <w:t>.</w:t>
      </w:r>
    </w:p>
    <w:p w14:paraId="577F495E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Physician service costs, gross payments, and net experimental payoffs</w:t>
      </w:r>
    </w:p>
    <w:p w14:paraId="2D10C869">
      <w:pPr>
        <w:rPr>
          <w:sz w:val="24"/>
          <w:szCs w:val="24"/>
        </w:rPr>
      </w:pPr>
      <w:r>
        <w:rPr>
          <w:sz w:val="24"/>
          <w:szCs w:val="24"/>
        </w:rPr>
        <w:t>Treatment costs increased with service quantity and were calculated as:</w:t>
      </w:r>
    </w:p>
    <w:p w14:paraId="30660446">
      <w:pPr>
        <w:rPr>
          <w:rFonts w:hAnsi="Cambria Math"/>
          <w:i w:val="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c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type m:val="lin"/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</m:sSup>
              <m:ctrlPr>
                <w:rPr>
                  <w:rFonts w:ascii="Cambria Math" w:hAnsi="Cambria Math"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10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den>
          </m:f>
        </m:oMath>
      </m:oMathPara>
    </w:p>
    <w:p w14:paraId="25367FBF">
      <w:pPr>
        <w:jc w:val="both"/>
        <w:rPr>
          <w:sz w:val="24"/>
          <w:szCs w:val="24"/>
        </w:rPr>
      </w:pPr>
      <w:r>
        <w:rPr>
          <w:sz w:val="24"/>
          <w:szCs w:val="24"/>
        </w:rPr>
        <w:t>Under CAP, gross provider payment was fixed at 10 experimental currency units per patient. Net experimental payoff under CAP was gross payment minus the service-provision cost, as defined by the following function:</w:t>
      </w:r>
    </w:p>
    <w:p w14:paraId="47098C80"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π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p"/>
            </m:rPr>
            <w:rPr>
              <w:rFonts w:hint="default" w:ascii="Cambria Math" w:hAnsi="Cambria Math"/>
              <w:sz w:val="24"/>
              <w:szCs w:val="24"/>
              <w:lang w:val="en-US" w:eastAsia="zh-CN"/>
            </w:rPr>
            <m:t>10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−c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</m:oMath>
      </m:oMathPara>
    </w:p>
    <w:p w14:paraId="3179C258">
      <w:pPr>
        <w:jc w:val="both"/>
        <w:rPr>
          <w:sz w:val="24"/>
          <w:szCs w:val="24"/>
        </w:rPr>
      </w:pPr>
      <w:r>
        <w:rPr>
          <w:sz w:val="24"/>
          <w:szCs w:val="24"/>
        </w:rPr>
        <w:t>Under CAP+P4P, gross provider payment equaled 10 units plus any severity-specific bonus earned for satisfying the performance threshold. The net experimental payoff deducted the cost of service provision from this gross amount, as expressed by the following function:</w:t>
      </w:r>
    </w:p>
    <w:p w14:paraId="07A4D2A6"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π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p"/>
            </m:rPr>
            <w:rPr>
              <w:rFonts w:hint="default" w:ascii="Cambria Math" w:hAnsi="Cambria Math"/>
              <w:sz w:val="24"/>
              <w:szCs w:val="24"/>
              <w:lang w:val="en-US" w:eastAsia="zh-CN"/>
            </w:rPr>
            <m:t>10+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/>
                <w:rPr>
                  <w:rFonts w:hint="default" w:ascii="Cambria Math" w:hAnsi="Cambria Math"/>
                  <w:sz w:val="24"/>
                  <w:szCs w:val="24"/>
                  <w:lang w:val="en-US" w:eastAsia="zh-CN"/>
                </w:rPr>
                <m:t>b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  <m:sub>
              <m:r>
                <m:rPr/>
                <w:rPr>
                  <w:rFonts w:hint="default" w:ascii="Cambria Math" w:hAnsi="Cambria Math" w:eastAsia="宋体"/>
                  <w:sz w:val="24"/>
                  <w:szCs w:val="24"/>
                  <w:lang w:val="en-US" w:eastAsia="zh-CN"/>
                </w:rPr>
                <m:t>l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sub>
          </m:sSub>
          <m:r>
            <m:rPr/>
            <w:rPr>
              <w:rFonts w:hint="default" w:ascii="Cambria Math" w:hAnsi="Cambria Math" w:eastAsia="宋体"/>
              <w:sz w:val="24"/>
              <w:szCs w:val="24"/>
              <w:lang w:val="en-US" w:eastAsia="zh-CN"/>
            </w:rPr>
            <m:t>I</m:t>
          </m:r>
          <m:r>
            <m:rPr>
              <m:sty m:val="p"/>
            </m:rPr>
            <w:rPr>
              <w:rFonts w:hint="default" w:ascii="Cambria Math" w:hAnsi="Cambria Math" w:eastAsia="宋体"/>
              <w:sz w:val="24"/>
              <w:szCs w:val="24"/>
              <w:lang w:val="en-US" w:eastAsia="zh-CN"/>
            </w:rPr>
            <m:t>(</m:t>
          </m:r>
          <m:r>
            <m:rPr/>
            <w:rPr>
              <w:rFonts w:ascii="Cambria Math" w:hAnsi="Cambria Math"/>
              <w:sz w:val="24"/>
              <w:szCs w:val="24"/>
            </w:rPr>
            <m:t>|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q−</m:t>
          </m:r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m:rPr/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  <m:sup>
              <m:r>
                <m:rPr/>
                <w:rPr>
                  <w:rFonts w:ascii="Cambria Math" w:hAnsi="Cambria Math"/>
                  <w:sz w:val="24"/>
                  <w:szCs w:val="24"/>
                </w:rPr>
                <m:t>∗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sup>
          </m:sSup>
          <m:r>
            <m:rPr/>
            <w:rPr>
              <w:rFonts w:ascii="Cambria Math" w:hAnsi="Cambria Math"/>
              <w:sz w:val="24"/>
              <w:szCs w:val="24"/>
            </w:rPr>
            <m:t>|≤1</m:t>
          </m:r>
          <m:r>
            <m:rPr>
              <m:sty m:val="p"/>
            </m:rPr>
            <w:rPr>
              <w:rFonts w:hint="default" w:ascii="Cambria Math" w:hAnsi="Cambria Math" w:eastAsia="宋体"/>
              <w:lang w:val="en-US" w:eastAsia="zh-CN"/>
            </w:rPr>
            <m:t>)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−c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q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</m:oMath>
      </m:oMathPara>
    </w:p>
    <w:p w14:paraId="1AC1B73B">
      <w:pPr>
        <w:jc w:val="both"/>
        <w:rPr>
          <w:sz w:val="24"/>
          <w:szCs w:val="24"/>
        </w:rPr>
      </w:pPr>
      <w:r>
        <w:rPr>
          <w:sz w:val="24"/>
          <w:szCs w:val="24"/>
        </w:rPr>
        <w:t>where the bonus term is severity- and group-specific and I(.) equals one if the performance threshold is satisfied (zero otherwise). Gross payment and net experimental payoff are distinct: the former includes the base payment plus any earned bonus, while the latter deducts the service-provision cost.</w:t>
      </w:r>
    </w:p>
    <w:p w14:paraId="20CB6B76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Performance thresholds and bonus values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723"/>
        <w:gridCol w:w="2405"/>
        <w:gridCol w:w="1754"/>
        <w:gridCol w:w="1754"/>
      </w:tblGrid>
      <w:tr w14:paraId="58BB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shd w:val="clear" w:color="auto" w:fill="D7D7D7" w:themeFill="background1" w:themeFillShade="D8"/>
            <w:vAlign w:val="center"/>
          </w:tcPr>
          <w:p w14:paraId="7BC62D9A">
            <w:pPr>
              <w:spacing w:after="0" w:line="240" w:lineRule="auto"/>
            </w:pPr>
            <w:r>
              <w:rPr>
                <w:b/>
                <w:sz w:val="18"/>
              </w:rPr>
              <w:t>Severity</w:t>
            </w:r>
          </w:p>
        </w:tc>
        <w:tc>
          <w:tcPr>
            <w:tcW w:w="864" w:type="dxa"/>
            <w:shd w:val="clear" w:color="auto" w:fill="D7D7D7" w:themeFill="background1" w:themeFillShade="D8"/>
            <w:vAlign w:val="center"/>
          </w:tcPr>
          <w:p w14:paraId="3F10571D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hint="default" w:ascii="Cambria Math" w:hAnsi="Cambria Math"/>
                        <w:b/>
                        <w:bCs/>
                        <w:i/>
                        <w:sz w:val="18"/>
                        <w:szCs w:val="18"/>
                        <w:lang w:val="en-US" w:eastAsia="zh-CN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q</m:t>
                    </m:r>
                    <m:ctrlPr>
                      <w:rPr>
                        <w:rFonts w:hint="default" w:ascii="Cambria Math" w:hAnsi="Cambria Math"/>
                        <w:b/>
                        <w:bCs/>
                        <w:i/>
                        <w:sz w:val="18"/>
                        <w:szCs w:val="18"/>
                        <w:lang w:val="en-US" w:eastAsia="zh-CN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∗</m:t>
                    </m:r>
                    <m:ctrlPr>
                      <w:rPr>
                        <w:rFonts w:hint="default" w:ascii="Cambria Math" w:hAnsi="Cambria Math"/>
                        <w:b/>
                        <w:bCs/>
                        <w:i/>
                        <w:sz w:val="18"/>
                        <w:szCs w:val="18"/>
                        <w:lang w:val="en-US" w:eastAsia="zh-CN"/>
                      </w:rPr>
                    </m:ctrlPr>
                  </m:sup>
                </m:sSup>
              </m:oMath>
            </m:oMathPara>
          </w:p>
        </w:tc>
        <w:tc>
          <w:tcPr>
            <w:tcW w:w="2880" w:type="dxa"/>
            <w:shd w:val="clear" w:color="auto" w:fill="D7D7D7" w:themeFill="background1" w:themeFillShade="D8"/>
            <w:vAlign w:val="center"/>
          </w:tcPr>
          <w:p w14:paraId="22C7156C">
            <w:pPr>
              <w:spacing w:after="0" w:line="240" w:lineRule="auto"/>
            </w:pPr>
            <w:r>
              <w:rPr>
                <w:b/>
                <w:sz w:val="18"/>
              </w:rPr>
              <w:t xml:space="preserve">Threshold range </w:t>
            </w:r>
            <m:oMath>
              <m:r>
                <m:rPr>
                  <m:nor/>
                  <m:sty m:val="b"/>
                </m:rPr>
                <w:rPr>
                  <w:rFonts w:hint="default" w:ascii="Times New Roman" w:hAnsi="Times New Roman" w:cs="Times New Roman"/>
                  <w:b/>
                  <w:bCs/>
                  <w:i w:val="0"/>
                  <w:sz w:val="18"/>
                  <w:szCs w:val="18"/>
                </w:rPr>
                <m:t>|</m:t>
              </m:r>
              <m:r>
                <m:rPr>
                  <m:nor/>
                  <m:sty m:val="bi"/>
                </m:rPr>
                <w:rPr>
                  <w:rFonts w:hint="default" w:ascii="Times New Roman" w:hAnsi="Times New Roman" w:cs="Times New Roman"/>
                  <w:b/>
                  <w:bCs/>
                  <w:i/>
                  <w:iCs/>
                  <w:sz w:val="18"/>
                  <w:szCs w:val="18"/>
                </w:rPr>
                <m:t>q</m:t>
              </m:r>
              <m:r>
                <m:rPr>
                  <m:nor/>
                  <m:sty m:val="b"/>
                </m:rPr>
                <w:rPr>
                  <w:rFonts w:hint="default" w:ascii="Times New Roman" w:hAnsi="Times New Roman" w:cs="Times New Roman"/>
                  <w:b/>
                  <w:bCs/>
                  <w:i w:val="0"/>
                  <w:sz w:val="18"/>
                  <w:szCs w:val="18"/>
                </w:rPr>
                <m:t>−</m:t>
              </m:r>
              <m:sSup>
                <m:sSupP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SupPr>
                <m:e>
                  <m:r>
                    <m:rPr>
                      <m:nor/>
                      <m:sty m:val="bi"/>
                    </m:rPr>
                    <w:rPr>
                      <w:rFonts w:hint="default" w:ascii="Times New Roman" w:hAnsi="Times New Roman" w:cs="Times New Roman"/>
                      <w:b/>
                      <w:bCs/>
                      <w:i/>
                      <w:sz w:val="18"/>
                      <w:szCs w:val="18"/>
                    </w:rPr>
                    <m:t>q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e>
                <m:sup>
                  <m:r>
                    <m:rPr>
                      <m:nor/>
                      <m:sty m:val="b"/>
                    </m:rPr>
                    <w:rPr>
                      <w:rFonts w:hint="default" w:ascii="Times New Roman" w:hAnsi="Times New Roman" w:cs="Times New Roman"/>
                      <w:b/>
                      <w:bCs/>
                      <w:i w:val="0"/>
                      <w:sz w:val="18"/>
                      <w:szCs w:val="18"/>
                    </w:rPr>
                    <m:t>∗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up>
              </m:sSup>
              <m:r>
                <m:rPr>
                  <m:nor/>
                  <m:sty m:val="b"/>
                </m:rPr>
                <w:rPr>
                  <w:rFonts w:hint="default" w:ascii="Times New Roman" w:hAnsi="Times New Roman" w:cs="Times New Roman"/>
                  <w:b/>
                  <w:bCs/>
                  <w:i w:val="0"/>
                  <w:sz w:val="18"/>
                  <w:szCs w:val="18"/>
                </w:rPr>
                <m:t>|≤1</m:t>
              </m:r>
            </m:oMath>
          </w:p>
        </w:tc>
        <w:tc>
          <w:tcPr>
            <w:tcW w:w="2016" w:type="dxa"/>
            <w:shd w:val="clear" w:color="auto" w:fill="D7D7D7" w:themeFill="background1" w:themeFillShade="D8"/>
            <w:vAlign w:val="center"/>
          </w:tcPr>
          <w:p w14:paraId="1E185CF6">
            <w:pPr>
              <w:spacing w:after="0" w:line="240" w:lineRule="auto"/>
            </w:pPr>
            <w:r>
              <w:rPr>
                <w:b/>
                <w:sz w:val="18"/>
              </w:rPr>
              <w:t xml:space="preserve">Low-bonus condition 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SubPr>
                <m:e>
                  <m:r>
                    <m:rPr>
                      <m:nor/>
                      <m:sty m:val="bi"/>
                    </m:rPr>
                    <w:rPr>
                      <w:rFonts w:hint="default" w:ascii="Times New Roman" w:hAnsi="Times New Roman" w:cs="Times New Roman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  <m:t>b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e>
                <m:sub>
                  <m:r>
                    <m:rPr>
                      <m:nor/>
                      <m:sty m:val="bi"/>
                    </m:rPr>
                    <w:rPr>
                      <w:rFonts w:hint="default" w:ascii="Times New Roman" w:hAnsi="Times New Roman" w:eastAsia="宋体" w:cs="Times New Roman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  <m:t>l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ub>
              </m:sSub>
            </m:oMath>
          </w:p>
        </w:tc>
        <w:tc>
          <w:tcPr>
            <w:tcW w:w="2016" w:type="dxa"/>
            <w:shd w:val="clear" w:color="auto" w:fill="D7D7D7" w:themeFill="background1" w:themeFillShade="D8"/>
            <w:vAlign w:val="center"/>
          </w:tcPr>
          <w:p w14:paraId="631AD9C2">
            <w:pPr>
              <w:spacing w:after="0" w:line="240" w:lineRule="auto"/>
            </w:pPr>
            <w:r>
              <w:rPr>
                <w:b/>
                <w:sz w:val="18"/>
              </w:rPr>
              <w:t xml:space="preserve">High-bonus condition 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SubPr>
                <m:e>
                  <m:r>
                    <m:rPr>
                      <m:nor/>
                      <m:sty m:val="bi"/>
                    </m:rPr>
                    <w:rPr>
                      <w:rFonts w:hint="default" w:ascii="Times New Roman" w:hAnsi="Times New Roman" w:cs="Times New Roman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  <m:t>b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e>
                <m:sub>
                  <m:r>
                    <m:rPr>
                      <m:nor/>
                      <m:sty m:val="bi"/>
                    </m:rPr>
                    <w:rPr>
                      <w:rFonts w:hint="default" w:ascii="Times New Roman" w:hAnsi="Times New Roman" w:eastAsia="宋体" w:cs="Times New Roman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  <m:t>l</m:t>
                  </m:r>
                  <m:ctrlPr>
                    <w:rPr>
                      <w:rFonts w:hint="default" w:ascii="Cambria Math" w:hAnsi="Cambria Math" w:cs="Times New Roman"/>
                      <w:b/>
                      <w:bCs/>
                      <w:sz w:val="18"/>
                      <w:szCs w:val="18"/>
                    </w:rPr>
                  </m:ctrlPr>
                </m:sub>
              </m:sSub>
            </m:oMath>
          </w:p>
        </w:tc>
      </w:tr>
      <w:tr w14:paraId="78DF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vAlign w:val="center"/>
          </w:tcPr>
          <w:p w14:paraId="2A0BD472">
            <w:pPr>
              <w:spacing w:after="0" w:line="240" w:lineRule="auto"/>
            </w:pPr>
            <w:r>
              <w:rPr>
                <w:b w:val="0"/>
                <w:sz w:val="18"/>
              </w:rPr>
              <w:t>Mild severity (x)</w:t>
            </w:r>
          </w:p>
        </w:tc>
        <w:tc>
          <w:tcPr>
            <w:tcW w:w="864" w:type="dxa"/>
            <w:vAlign w:val="center"/>
          </w:tcPr>
          <w:p w14:paraId="3DBBF499">
            <w:pPr>
              <w:spacing w:after="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w="2880" w:type="dxa"/>
            <w:vAlign w:val="center"/>
          </w:tcPr>
          <w:p w14:paraId="7E840369">
            <w:pPr>
              <w:spacing w:after="0" w:line="240" w:lineRule="auto"/>
            </w:pPr>
            <w:r>
              <w:rPr>
                <w:b w:val="0"/>
                <w:sz w:val="18"/>
              </w:rPr>
              <w:t>{2, 3, 4}</w:t>
            </w:r>
          </w:p>
        </w:tc>
        <w:tc>
          <w:tcPr>
            <w:tcW w:w="2016" w:type="dxa"/>
            <w:vAlign w:val="center"/>
          </w:tcPr>
          <w:p w14:paraId="66D85E93">
            <w:pPr>
              <w:spacing w:after="0" w:line="240" w:lineRule="auto"/>
            </w:pPr>
            <w:r>
              <w:rPr>
                <w:b w:val="0"/>
                <w:sz w:val="18"/>
              </w:rPr>
              <w:t>0.9</w:t>
            </w:r>
          </w:p>
        </w:tc>
        <w:tc>
          <w:tcPr>
            <w:tcW w:w="2016" w:type="dxa"/>
            <w:vAlign w:val="center"/>
          </w:tcPr>
          <w:p w14:paraId="51822CF9">
            <w:pPr>
              <w:spacing w:after="0" w:line="240" w:lineRule="auto"/>
            </w:pPr>
            <w:r>
              <w:rPr>
                <w:b w:val="0"/>
                <w:sz w:val="18"/>
              </w:rPr>
              <w:t>2.4</w:t>
            </w:r>
          </w:p>
        </w:tc>
      </w:tr>
      <w:tr w14:paraId="2792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vAlign w:val="center"/>
          </w:tcPr>
          <w:p w14:paraId="5FF22710">
            <w:pPr>
              <w:spacing w:after="0" w:line="240" w:lineRule="auto"/>
            </w:pPr>
            <w:r>
              <w:rPr>
                <w:b w:val="0"/>
                <w:sz w:val="18"/>
              </w:rPr>
              <w:t>Intermediate severity (y)</w:t>
            </w:r>
          </w:p>
        </w:tc>
        <w:tc>
          <w:tcPr>
            <w:tcW w:w="864" w:type="dxa"/>
            <w:vAlign w:val="center"/>
          </w:tcPr>
          <w:p w14:paraId="30C5F5E5">
            <w:pPr>
              <w:spacing w:after="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w="2880" w:type="dxa"/>
            <w:vAlign w:val="center"/>
          </w:tcPr>
          <w:p w14:paraId="51F27841">
            <w:pPr>
              <w:spacing w:after="0" w:line="240" w:lineRule="auto"/>
            </w:pPr>
            <w:r>
              <w:rPr>
                <w:b w:val="0"/>
                <w:sz w:val="18"/>
              </w:rPr>
              <w:t>{4, 5, 6}</w:t>
            </w:r>
          </w:p>
        </w:tc>
        <w:tc>
          <w:tcPr>
            <w:tcW w:w="2016" w:type="dxa"/>
            <w:vAlign w:val="center"/>
          </w:tcPr>
          <w:p w14:paraId="5DF636E0">
            <w:pPr>
              <w:spacing w:after="0" w:line="240" w:lineRule="auto"/>
            </w:pPr>
            <w:r>
              <w:rPr>
                <w:b w:val="0"/>
                <w:sz w:val="18"/>
              </w:rPr>
              <w:t>2.1</w:t>
            </w:r>
          </w:p>
        </w:tc>
        <w:tc>
          <w:tcPr>
            <w:tcW w:w="2016" w:type="dxa"/>
            <w:vAlign w:val="center"/>
          </w:tcPr>
          <w:p w14:paraId="35095C25">
            <w:pPr>
              <w:spacing w:after="0" w:line="240" w:lineRule="auto"/>
            </w:pPr>
            <w:r>
              <w:rPr>
                <w:b w:val="0"/>
                <w:sz w:val="18"/>
              </w:rPr>
              <w:t>3.6</w:t>
            </w:r>
          </w:p>
        </w:tc>
      </w:tr>
      <w:tr w14:paraId="6B5E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vAlign w:val="center"/>
          </w:tcPr>
          <w:p w14:paraId="59D25E42">
            <w:pPr>
              <w:spacing w:after="0" w:line="240" w:lineRule="auto"/>
            </w:pPr>
            <w:r>
              <w:rPr>
                <w:b w:val="0"/>
                <w:sz w:val="18"/>
              </w:rPr>
              <w:t>High severity (z)</w:t>
            </w:r>
          </w:p>
        </w:tc>
        <w:tc>
          <w:tcPr>
            <w:tcW w:w="864" w:type="dxa"/>
            <w:vAlign w:val="center"/>
          </w:tcPr>
          <w:p w14:paraId="79C13A99">
            <w:pPr>
              <w:spacing w:after="0" w:line="240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w="2880" w:type="dxa"/>
            <w:vAlign w:val="center"/>
          </w:tcPr>
          <w:p w14:paraId="5DB43619">
            <w:pPr>
              <w:spacing w:after="0" w:line="240" w:lineRule="auto"/>
            </w:pPr>
            <w:r>
              <w:rPr>
                <w:b w:val="0"/>
                <w:sz w:val="18"/>
              </w:rPr>
              <w:t>{6, 7, 8}</w:t>
            </w:r>
          </w:p>
        </w:tc>
        <w:tc>
          <w:tcPr>
            <w:tcW w:w="2016" w:type="dxa"/>
            <w:vAlign w:val="center"/>
          </w:tcPr>
          <w:p w14:paraId="32B5EE34">
            <w:pPr>
              <w:spacing w:after="0" w:line="240" w:lineRule="auto"/>
            </w:pPr>
            <w:r>
              <w:rPr>
                <w:b w:val="0"/>
                <w:sz w:val="18"/>
              </w:rPr>
              <w:t>4.1</w:t>
            </w:r>
          </w:p>
        </w:tc>
        <w:tc>
          <w:tcPr>
            <w:tcW w:w="2016" w:type="dxa"/>
            <w:vAlign w:val="center"/>
          </w:tcPr>
          <w:p w14:paraId="6BB37AE4">
            <w:pPr>
              <w:spacing w:after="0" w:line="240" w:lineRule="auto"/>
            </w:pPr>
            <w:r>
              <w:rPr>
                <w:b w:val="0"/>
                <w:sz w:val="18"/>
              </w:rPr>
              <w:t>5.6</w:t>
            </w:r>
          </w:p>
        </w:tc>
      </w:tr>
    </w:tbl>
    <w:p w14:paraId="2F5B7C08">
      <w:pPr>
        <w:jc w:val="both"/>
      </w:pPr>
      <w:r>
        <w:t>The maximum attainable net experimental payoff (after service-provision costs) rose from 10 units under CAP to 10.5 under the low-bonus schedule and 12 under the high-bonus schedule. The 5% and 20% labels describe these maximum net-payoff increases, not the nominal bonus amounts. The actual severity-specific bonuses, when earned, are shown in the table above.</w:t>
      </w:r>
    </w:p>
    <w:p w14:paraId="6E46827E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Net experimental payoffs at patient-optimal quantities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1552"/>
        <w:gridCol w:w="2225"/>
        <w:gridCol w:w="2225"/>
      </w:tblGrid>
      <w:tr w14:paraId="7D5D8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shd w:val="clear" w:color="auto" w:fill="D7D7D7" w:themeFill="background1" w:themeFillShade="D8"/>
            <w:vAlign w:val="center"/>
          </w:tcPr>
          <w:p w14:paraId="3C1F8064">
            <w:pPr>
              <w:spacing w:after="0" w:line="240" w:lineRule="auto"/>
            </w:pPr>
            <w:r>
              <w:rPr>
                <w:b/>
                <w:sz w:val="18"/>
              </w:rPr>
              <w:t xml:space="preserve">Severity and </w:t>
            </w:r>
            <m:oMath>
              <m:sSup>
                <m:sSupPr>
                  <m:ctrlPr>
                    <w:rPr>
                      <w:rFonts w:hint="default" w:ascii="Cambria Math" w:hAnsi="Cambria Math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hint="default" w:ascii="Cambria Math" w:hAnsi="Cambria Math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∗</m:t>
                  </m:r>
                  <m:ctrlPr>
                    <w:rPr>
                      <w:rFonts w:hint="default" w:ascii="Cambria Math" w:hAnsi="Cambria Math"/>
                      <w:b/>
                      <w:bCs/>
                      <w:i/>
                      <w:sz w:val="18"/>
                      <w:szCs w:val="18"/>
                      <w:lang w:val="en-US" w:eastAsia="zh-CN"/>
                    </w:rPr>
                  </m:ctrlPr>
                </m:sup>
              </m:sSup>
            </m:oMath>
          </w:p>
        </w:tc>
        <w:tc>
          <w:tcPr>
            <w:tcW w:w="1728" w:type="dxa"/>
            <w:shd w:val="clear" w:color="auto" w:fill="D7D7D7" w:themeFill="background1" w:themeFillShade="D8"/>
            <w:vAlign w:val="center"/>
          </w:tcPr>
          <w:p w14:paraId="7DAF08CF">
            <w:pPr>
              <w:spacing w:after="0" w:line="240" w:lineRule="auto"/>
            </w:pPr>
            <w:r>
              <w:rPr>
                <w:b/>
                <w:sz w:val="18"/>
              </w:rPr>
              <w:t>CAP</w:t>
            </w:r>
          </w:p>
        </w:tc>
        <w:tc>
          <w:tcPr>
            <w:tcW w:w="2448" w:type="dxa"/>
            <w:shd w:val="clear" w:color="auto" w:fill="D7D7D7" w:themeFill="background1" w:themeFillShade="D8"/>
            <w:vAlign w:val="center"/>
          </w:tcPr>
          <w:p w14:paraId="6AD7756C">
            <w:pPr>
              <w:spacing w:after="0" w:line="240" w:lineRule="auto"/>
            </w:pPr>
            <w:r>
              <w:rPr>
                <w:b/>
                <w:sz w:val="18"/>
              </w:rPr>
              <w:t>CAP+P4P low bonus</w:t>
            </w:r>
          </w:p>
        </w:tc>
        <w:tc>
          <w:tcPr>
            <w:tcW w:w="2448" w:type="dxa"/>
            <w:shd w:val="clear" w:color="auto" w:fill="D7D7D7" w:themeFill="background1" w:themeFillShade="D8"/>
            <w:vAlign w:val="center"/>
          </w:tcPr>
          <w:p w14:paraId="65AA2E4D">
            <w:pPr>
              <w:spacing w:after="0" w:line="240" w:lineRule="auto"/>
            </w:pPr>
            <w:r>
              <w:rPr>
                <w:b/>
                <w:sz w:val="18"/>
              </w:rPr>
              <w:t>CAP+P4P high bonus</w:t>
            </w:r>
          </w:p>
        </w:tc>
      </w:tr>
      <w:tr w14:paraId="1DC77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E6CD5EF">
            <w:pPr>
              <w:spacing w:after="0" w:line="240" w:lineRule="auto"/>
            </w:pPr>
            <w:r>
              <w:rPr>
                <w:b w:val="0"/>
                <w:sz w:val="18"/>
              </w:rPr>
              <w:t>Mild severity (q* = 3)</w:t>
            </w:r>
          </w:p>
        </w:tc>
        <w:tc>
          <w:tcPr>
            <w:tcW w:w="1728" w:type="dxa"/>
            <w:vAlign w:val="center"/>
          </w:tcPr>
          <w:p w14:paraId="2A8C6B95">
            <w:pPr>
              <w:spacing w:after="0" w:line="240" w:lineRule="auto"/>
            </w:pPr>
            <w:r>
              <w:rPr>
                <w:b w:val="0"/>
                <w:sz w:val="18"/>
              </w:rPr>
              <w:t>9.1</w:t>
            </w:r>
          </w:p>
        </w:tc>
        <w:tc>
          <w:tcPr>
            <w:tcW w:w="2448" w:type="dxa"/>
            <w:vAlign w:val="center"/>
          </w:tcPr>
          <w:p w14:paraId="12E200A0">
            <w:pPr>
              <w:spacing w:after="0" w:line="240" w:lineRule="auto"/>
            </w:pPr>
            <w:r>
              <w:rPr>
                <w:b w:val="0"/>
                <w:sz w:val="18"/>
              </w:rPr>
              <w:t>10.0</w:t>
            </w:r>
          </w:p>
        </w:tc>
        <w:tc>
          <w:tcPr>
            <w:tcW w:w="2448" w:type="dxa"/>
            <w:vAlign w:val="center"/>
          </w:tcPr>
          <w:p w14:paraId="7CDEB756">
            <w:pPr>
              <w:spacing w:after="0" w:line="240" w:lineRule="auto"/>
            </w:pPr>
            <w:r>
              <w:rPr>
                <w:b w:val="0"/>
                <w:sz w:val="18"/>
              </w:rPr>
              <w:t>11.5</w:t>
            </w:r>
          </w:p>
        </w:tc>
      </w:tr>
      <w:tr w14:paraId="4469A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3B90614C">
            <w:pPr>
              <w:spacing w:after="0" w:line="240" w:lineRule="auto"/>
            </w:pPr>
            <w:r>
              <w:rPr>
                <w:b w:val="0"/>
                <w:sz w:val="18"/>
              </w:rPr>
              <w:t>Intermediate severity (q* = 5)</w:t>
            </w:r>
          </w:p>
        </w:tc>
        <w:tc>
          <w:tcPr>
            <w:tcW w:w="1728" w:type="dxa"/>
            <w:vAlign w:val="center"/>
          </w:tcPr>
          <w:p w14:paraId="25780F98">
            <w:pPr>
              <w:spacing w:after="0" w:line="240" w:lineRule="auto"/>
            </w:pPr>
            <w:r>
              <w:rPr>
                <w:b w:val="0"/>
                <w:sz w:val="18"/>
              </w:rPr>
              <w:t>7.5</w:t>
            </w:r>
          </w:p>
        </w:tc>
        <w:tc>
          <w:tcPr>
            <w:tcW w:w="2448" w:type="dxa"/>
            <w:vAlign w:val="center"/>
          </w:tcPr>
          <w:p w14:paraId="4CF718FB">
            <w:pPr>
              <w:spacing w:after="0" w:line="240" w:lineRule="auto"/>
            </w:pPr>
            <w:r>
              <w:rPr>
                <w:b w:val="0"/>
                <w:sz w:val="18"/>
              </w:rPr>
              <w:t>9.6</w:t>
            </w:r>
          </w:p>
        </w:tc>
        <w:tc>
          <w:tcPr>
            <w:tcW w:w="2448" w:type="dxa"/>
            <w:vAlign w:val="center"/>
          </w:tcPr>
          <w:p w14:paraId="425DA458">
            <w:pPr>
              <w:spacing w:after="0" w:line="240" w:lineRule="auto"/>
            </w:pPr>
            <w:r>
              <w:rPr>
                <w:b w:val="0"/>
                <w:sz w:val="18"/>
              </w:rPr>
              <w:t>11.1</w:t>
            </w:r>
          </w:p>
        </w:tc>
      </w:tr>
      <w:tr w14:paraId="27ADD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402E1534">
            <w:pPr>
              <w:spacing w:after="0" w:line="240" w:lineRule="auto"/>
            </w:pPr>
            <w:r>
              <w:rPr>
                <w:b w:val="0"/>
                <w:sz w:val="18"/>
              </w:rPr>
              <w:t>High severity (q* = 7)</w:t>
            </w:r>
          </w:p>
        </w:tc>
        <w:tc>
          <w:tcPr>
            <w:tcW w:w="1728" w:type="dxa"/>
            <w:vAlign w:val="center"/>
          </w:tcPr>
          <w:p w14:paraId="386E7B67">
            <w:pPr>
              <w:spacing w:after="0" w:line="240" w:lineRule="auto"/>
            </w:pPr>
            <w:r>
              <w:rPr>
                <w:b w:val="0"/>
                <w:sz w:val="18"/>
              </w:rPr>
              <w:t>5.1</w:t>
            </w:r>
          </w:p>
        </w:tc>
        <w:tc>
          <w:tcPr>
            <w:tcW w:w="2448" w:type="dxa"/>
            <w:vAlign w:val="center"/>
          </w:tcPr>
          <w:p w14:paraId="3E5081F6">
            <w:pPr>
              <w:spacing w:after="0" w:line="240" w:lineRule="auto"/>
            </w:pPr>
            <w:r>
              <w:rPr>
                <w:b w:val="0"/>
                <w:sz w:val="18"/>
              </w:rPr>
              <w:t>9.2</w:t>
            </w:r>
          </w:p>
        </w:tc>
        <w:tc>
          <w:tcPr>
            <w:tcW w:w="2448" w:type="dxa"/>
            <w:vAlign w:val="center"/>
          </w:tcPr>
          <w:p w14:paraId="2F9AF870">
            <w:pPr>
              <w:spacing w:after="0" w:line="240" w:lineRule="auto"/>
            </w:pPr>
            <w:r>
              <w:rPr>
                <w:b w:val="0"/>
                <w:sz w:val="18"/>
              </w:rPr>
              <w:t>10.7</w:t>
            </w:r>
          </w:p>
        </w:tc>
      </w:tr>
    </w:tbl>
    <w:p w14:paraId="4D86D5A6">
      <w:pPr>
        <w:jc w:val="both"/>
        <w:rPr>
          <w:b w:val="0"/>
          <w:bCs/>
        </w:rPr>
      </w:pPr>
      <w:r>
        <w:rPr>
          <w:b w:val="0"/>
          <w:bCs/>
        </w:rPr>
        <w:t>Note: The values shown are net experimental payoffs after deducting service-provision costs at the patient-optimal quantity q*. Under CAP+</w:t>
      </w:r>
      <w:bookmarkStart w:id="1" w:name="_GoBack"/>
      <w:bookmarkEnd w:id="1"/>
      <w:r>
        <w:rPr>
          <w:b w:val="0"/>
          <w:bCs/>
        </w:rPr>
        <w:t>P4P, selecting q* meets the performance threshold and earns the applicable severity-specific bonus.</w:t>
      </w:r>
    </w:p>
    <w:p w14:paraId="7AB1532C">
      <w:pPr>
        <w:bidi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Outcome definitions linked to the parameters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5"/>
        <w:gridCol w:w="5791"/>
      </w:tblGrid>
      <w:tr w14:paraId="3F56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D7D7D7" w:themeFill="background1" w:themeFillShade="D8"/>
            <w:vAlign w:val="center"/>
          </w:tcPr>
          <w:p w14:paraId="63449477">
            <w:pPr>
              <w:spacing w:after="0" w:line="240" w:lineRule="auto"/>
            </w:pPr>
            <w:r>
              <w:rPr>
                <w:b/>
                <w:sz w:val="18"/>
              </w:rPr>
              <w:t>Measure</w:t>
            </w:r>
          </w:p>
        </w:tc>
        <w:tc>
          <w:tcPr>
            <w:tcW w:w="6480" w:type="dxa"/>
            <w:shd w:val="clear" w:color="auto" w:fill="D7D7D7" w:themeFill="background1" w:themeFillShade="D8"/>
            <w:vAlign w:val="center"/>
          </w:tcPr>
          <w:p w14:paraId="78963570">
            <w:pPr>
              <w:spacing w:after="0" w:line="240" w:lineRule="auto"/>
            </w:pPr>
            <w:r>
              <w:rPr>
                <w:b/>
                <w:sz w:val="18"/>
              </w:rPr>
              <w:t>Definition</w:t>
            </w:r>
          </w:p>
        </w:tc>
      </w:tr>
      <w:tr w14:paraId="489CE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195C2545">
            <w:pPr>
              <w:spacing w:after="0" w:line="240" w:lineRule="auto"/>
            </w:pPr>
            <w:r>
              <w:rPr>
                <w:b w:val="0"/>
                <w:sz w:val="18"/>
              </w:rPr>
              <w:t>Underprovision</w:t>
            </w:r>
          </w:p>
        </w:tc>
        <w:tc>
          <w:tcPr>
            <w:tcW w:w="6480" w:type="dxa"/>
            <w:vAlign w:val="center"/>
          </w:tcPr>
          <w:p w14:paraId="6A5CDAAA">
            <w:pPr>
              <w:spacing w:after="0" w:line="240" w:lineRule="auto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q</m:t>
                </m:r>
                <m:r>
                  <m:rPr>
                    <m:sty m:val="p"/>
                  </m:rPr>
                  <w:rPr>
                    <w:rFonts w:hint="default" w:ascii="Cambria Math" w:hAnsi="Cambria Math" w:eastAsia="宋体"/>
                    <w:sz w:val="18"/>
                    <w:szCs w:val="18"/>
                    <w:lang w:val="en-US" w:eastAsia="zh-CN"/>
                  </w:rPr>
                  <m:t>&lt;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q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∗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up>
                </m:sSup>
              </m:oMath>
            </m:oMathPara>
          </w:p>
        </w:tc>
      </w:tr>
      <w:tr w14:paraId="4B50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30DE1692">
            <w:pPr>
              <w:spacing w:after="0" w:line="240" w:lineRule="auto"/>
            </w:pPr>
            <w:r>
              <w:rPr>
                <w:b w:val="0"/>
                <w:sz w:val="18"/>
              </w:rPr>
              <w:t>Overprovision</w:t>
            </w:r>
          </w:p>
        </w:tc>
        <w:tc>
          <w:tcPr>
            <w:tcW w:w="6480" w:type="dxa"/>
            <w:vAlign w:val="center"/>
          </w:tcPr>
          <w:p w14:paraId="00DC6FFC">
            <w:pPr>
              <w:spacing w:after="0" w:line="240" w:lineRule="auto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q</m:t>
                </m:r>
                <m:r>
                  <m:rPr>
                    <m:sty m:val="p"/>
                  </m:rPr>
                  <w:rPr>
                    <w:rFonts w:hint="default" w:ascii="Cambria Math" w:hAnsi="Cambria Math" w:eastAsia="宋体"/>
                    <w:sz w:val="18"/>
                    <w:szCs w:val="18"/>
                    <w:lang w:val="en-US" w:eastAsia="zh-CN"/>
                  </w:rPr>
                  <m:t>&gt;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q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∗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up>
                </m:sSup>
              </m:oMath>
            </m:oMathPara>
          </w:p>
        </w:tc>
      </w:tr>
      <w:tr w14:paraId="4A8F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6C683000">
            <w:pPr>
              <w:spacing w:after="0" w:line="240" w:lineRule="auto"/>
            </w:pPr>
            <w:r>
              <w:rPr>
                <w:b w:val="0"/>
                <w:sz w:val="18"/>
              </w:rPr>
              <w:t>Absolute distance to q*</w:t>
            </w:r>
          </w:p>
        </w:tc>
        <w:tc>
          <w:tcPr>
            <w:tcW w:w="6480" w:type="dxa"/>
            <w:vAlign w:val="center"/>
          </w:tcPr>
          <w:p w14:paraId="30EC74CB">
            <w:pPr>
              <w:spacing w:after="0" w:line="240" w:lineRule="auto"/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|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q−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q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18"/>
                        <w:szCs w:val="18"/>
                      </w:rPr>
                      <m:t>∗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up>
                </m:sSup>
                <m:r>
                  <m:rPr/>
                  <w:rPr>
                    <w:rFonts w:ascii="Cambria Math" w:hAnsi="Cambria Math"/>
                    <w:sz w:val="18"/>
                    <w:szCs w:val="18"/>
                  </w:rPr>
                  <m:t>|</m:t>
                </m:r>
              </m:oMath>
            </m:oMathPara>
          </w:p>
        </w:tc>
      </w:tr>
      <w:tr w14:paraId="533F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6B9D8005">
            <w:pPr>
              <w:spacing w:after="0" w:line="240" w:lineRule="auto"/>
            </w:pPr>
            <w:r>
              <w:rPr>
                <w:b w:val="0"/>
                <w:sz w:val="18"/>
              </w:rPr>
              <w:t>Threshold-consistent provision</w:t>
            </w:r>
          </w:p>
        </w:tc>
        <w:tc>
          <w:tcPr>
            <w:tcW w:w="6480" w:type="dxa"/>
            <w:vAlign w:val="center"/>
          </w:tcPr>
          <w:p w14:paraId="78FB1254">
            <w:pPr>
              <w:spacing w:after="0" w:line="240" w:lineRule="auto"/>
            </w:pPr>
            <w:r>
              <w:rPr>
                <w:b w:val="0"/>
                <w:sz w:val="18"/>
              </w:rPr>
              <w:t xml:space="preserve">Indicator equal to one if </w:t>
            </w:r>
            <m:oMath>
              <m:r>
                <m:rPr/>
                <w:rPr>
                  <w:rFonts w:ascii="Cambria Math" w:hAnsi="Cambria Math"/>
                  <w:sz w:val="18"/>
                  <w:szCs w:val="18"/>
                </w:rPr>
                <m:t>|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q−</m:t>
              </m:r>
              <m:sSup>
                <m:sSup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18"/>
                      <w:szCs w:val="18"/>
                    </w:rPr>
                    <m:t>q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18"/>
                      <w:szCs w:val="18"/>
                    </w:rPr>
                    <m:t>∗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up>
              </m:sSup>
              <m:r>
                <m:rPr/>
                <w:rPr>
                  <w:rFonts w:ascii="Cambria Math" w:hAnsi="Cambria Math"/>
                  <w:sz w:val="18"/>
                  <w:szCs w:val="18"/>
                </w:rPr>
                <m:t>|≤1</m:t>
              </m:r>
            </m:oMath>
          </w:p>
        </w:tc>
      </w:tr>
      <w:tr w14:paraId="5C66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3A81411D">
            <w:pPr>
              <w:spacing w:after="0" w:line="240" w:lineRule="auto"/>
            </w:pPr>
            <w:r>
              <w:rPr>
                <w:b w:val="0"/>
                <w:sz w:val="18"/>
              </w:rPr>
              <w:t>Change in service quantity</w:t>
            </w:r>
          </w:p>
        </w:tc>
        <w:tc>
          <w:tcPr>
            <w:tcW w:w="6480" w:type="dxa"/>
            <w:vAlign w:val="center"/>
          </w:tcPr>
          <w:p w14:paraId="6B9F0B03">
            <w:pPr>
              <w:spacing w:after="0" w:line="240" w:lineRule="auto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q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CAP+P4P</m:t>
                    </m: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/>
                    <w:sz w:val="18"/>
                    <w:szCs w:val="18"/>
                    <w:lang w:val="en-US" w:eastAsia="zh-CN"/>
                  </w:rPr>
                  <m:t>−</m:t>
                </m:r>
                <m:sSub>
                  <m:sSubP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q</m:t>
                    </m: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  <w:sz w:val="18"/>
                        <w:szCs w:val="18"/>
                        <w:lang w:val="en-US" w:eastAsia="zh-CN"/>
                      </w:rPr>
                      <m:t>CAP</m:t>
                    </m:r>
                    <m:ctrlPr>
                      <w:rPr>
                        <w:rFonts w:hint="default" w:ascii="Cambria Math" w:hAnsi="Cambria Math"/>
                        <w:i/>
                        <w:sz w:val="18"/>
                        <w:szCs w:val="18"/>
                        <w:lang w:val="en-US" w:eastAsia="zh-CN"/>
                      </w:rPr>
                    </m:ctrlPr>
                  </m:sub>
                </m:sSub>
              </m:oMath>
            </m:oMathPara>
          </w:p>
        </w:tc>
      </w:tr>
      <w:tr w14:paraId="5740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vAlign w:val="center"/>
          </w:tcPr>
          <w:p w14:paraId="763A1FE2">
            <w:pPr>
              <w:spacing w:after="0" w:line="240" w:lineRule="auto"/>
            </w:pPr>
            <w:r>
              <w:rPr>
                <w:b w:val="0"/>
                <w:sz w:val="18"/>
              </w:rPr>
              <w:t>Improvement in distance to q*</w:t>
            </w:r>
          </w:p>
        </w:tc>
        <w:tc>
          <w:tcPr>
            <w:tcW w:w="6480" w:type="dxa"/>
            <w:vAlign w:val="center"/>
          </w:tcPr>
          <w:p w14:paraId="2B423BD9">
            <w:pPr>
              <w:spacing w:after="0" w:line="240" w:lineRule="auto"/>
            </w:pPr>
            <w:r>
              <w:rPr>
                <w:rFonts w:hint="eastAsia"/>
                <w:sz w:val="18"/>
                <w:szCs w:val="18"/>
              </w:rPr>
              <w:t>|</w:t>
            </w:r>
            <m:oMath>
              <m:sSub>
                <m:sSubP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CAP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ub>
              </m:sSub>
              <m:r>
                <m:rPr/>
                <w:rPr>
                  <w:rFonts w:hint="default" w:ascii="Cambria Math" w:hAnsi="Cambria Math"/>
                  <w:sz w:val="18"/>
                  <w:szCs w:val="18"/>
                  <w:lang w:val="en-US" w:eastAsia="zh-CN"/>
                </w:rPr>
                <m:t>−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∗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up>
              </m:sSup>
            </m:oMath>
            <w:r>
              <w:rPr>
                <w:rFonts w:hint="eastAsia"/>
                <w:sz w:val="18"/>
                <w:szCs w:val="18"/>
              </w:rPr>
              <w:t>|−|</w:t>
            </w:r>
            <m:oMath>
              <m:sSub>
                <m:sSubP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CAP+P4P</m:t>
                  </m:r>
                  <m:ctrlPr>
                    <w:rPr>
                      <w:rFonts w:hint="default" w:ascii="Cambria Math" w:hAnsi="Cambria Math"/>
                      <w:i/>
                      <w:sz w:val="18"/>
                      <w:szCs w:val="18"/>
                      <w:lang w:val="en-US" w:eastAsia="zh-CN"/>
                    </w:rPr>
                  </m:ctrlPr>
                </m:sub>
              </m:sSub>
              <m:r>
                <m:rPr/>
                <w:rPr>
                  <w:rFonts w:hint="default" w:ascii="Cambria Math" w:hAnsi="Cambria Math"/>
                  <w:sz w:val="18"/>
                  <w:szCs w:val="18"/>
                  <w:lang w:val="en-US" w:eastAsia="zh-CN"/>
                </w:rPr>
                <m:t>−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q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/>
                      <w:sz w:val="18"/>
                      <w:szCs w:val="18"/>
                      <w:lang w:val="en-US" w:eastAsia="zh-CN"/>
                    </w:rPr>
                    <m:t>∗</m:t>
                  </m: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up>
              </m:sSup>
            </m:oMath>
            <w:r>
              <w:rPr>
                <w:rFonts w:hint="eastAsia"/>
                <w:sz w:val="18"/>
                <w:szCs w:val="18"/>
              </w:rPr>
              <w:t>|</w:t>
            </w:r>
          </w:p>
        </w:tc>
      </w:tr>
    </w:tbl>
    <w:p w14:paraId="69417299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FD27E498-62CE-4F32-B9D9-3F401F45D318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6612DBAB-3D9D-4160-A518-6E26356A94E0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A0A67BF-FE07-4ADC-B6F3-8F2863137E10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D9693B"/>
    <w:rsid w:val="23F7361D"/>
    <w:rsid w:val="242455C1"/>
    <w:rsid w:val="2FBC2396"/>
    <w:rsid w:val="3D826E7B"/>
    <w:rsid w:val="425D6CA8"/>
    <w:rsid w:val="47834D6C"/>
    <w:rsid w:val="4B3858AE"/>
    <w:rsid w:val="61736A12"/>
    <w:rsid w:val="7C89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2202</Characters>
  <Lines>0</Lines>
  <Paragraphs>0</Paragraphs>
  <TotalTime>2</TotalTime>
  <ScaleCrop>false</ScaleCrop>
  <LinksUpToDate>false</LinksUpToDate>
  <CharactersWithSpaces>2519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Qin</cp:lastModifiedBy>
  <dcterms:modified xsi:type="dcterms:W3CDTF">2026-10-12T01:18:55Z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eyJoZGlkIjoiM2RlMDJjMDNjYzVjZWNlMDEwMTllNWZmOWIzNDQ3ZDYiLCJ1c2VySWQiOiIzOTUwOTgyMTUifQ==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725248C86FDE43F3B83FA8D23988543A_12</vt:lpwstr>
  </property>
</Properties>
</file>