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31726A">
      <w:pPr>
        <w:spacing w:after="200" w:line="276" w:lineRule="auto"/>
        <w:jc w:val="center"/>
        <w:rPr>
          <w:rFonts w:hint="default" w:ascii="Times New Roman" w:hAnsi="Times New Roman" w:eastAsia="Times New Roman" w:cs="Times New Roman"/>
          <w:b/>
          <w:sz w:val="28"/>
        </w:rPr>
      </w:pPr>
      <w:r>
        <w:rPr>
          <w:rFonts w:hint="default" w:ascii="Times New Roman" w:hAnsi="Times New Roman" w:eastAsia="Times New Roman" w:cs="Times New Roman"/>
          <w:b/>
          <w:sz w:val="28"/>
        </w:rPr>
        <w:t>Additional file 4</w:t>
      </w:r>
      <w:r>
        <w:rPr>
          <w:rFonts w:hint="default" w:ascii="Times New Roman" w:hAnsi="Times New Roman" w:eastAsia="Times New Roman" w:cs="Times New Roman"/>
          <w:b/>
          <w:sz w:val="28"/>
          <w:lang w:val="en-US" w:eastAsia="zh-CN"/>
        </w:rPr>
        <w:t>:</w:t>
      </w:r>
      <w:r>
        <w:rPr>
          <w:rFonts w:hint="eastAsia" w:ascii="Times New Roman" w:hAnsi="Times New Roman" w:eastAsia="Times New Roman" w:cs="Times New Roman"/>
          <w:b/>
          <w:sz w:val="28"/>
          <w:lang w:val="en-US" w:eastAsia="zh-CN"/>
        </w:rPr>
        <w:t xml:space="preserve"> </w:t>
      </w:r>
      <w:r>
        <w:rPr>
          <w:rFonts w:hint="default" w:ascii="Times New Roman" w:hAnsi="Times New Roman" w:eastAsia="Times New Roman" w:cs="Times New Roman"/>
          <w:b/>
          <w:sz w:val="28"/>
        </w:rPr>
        <w:t>Stata code for regression analyses and multiple-testing adjustments</w:t>
      </w:r>
    </w:p>
    <w:p w14:paraId="6DFA924F">
      <w:pPr>
        <w:rPr>
          <w:rFonts w:hint="default" w:ascii="Times New Roman" w:hAnsi="Times New Roman" w:cs="Times New Roman"/>
          <w:sz w:val="24"/>
          <w:szCs w:val="24"/>
        </w:rPr>
      </w:pPr>
      <w:r>
        <w:rPr>
          <w:rFonts w:hint="default" w:ascii="Times New Roman" w:hAnsi="Times New Roman" w:cs="Times New Roman"/>
          <w:sz w:val="24"/>
          <w:szCs w:val="24"/>
        </w:rPr>
        <w:t>This supplementary file provides the Stata code used to reproduce the fixed-effects regression analyses in Table 4 and the physician–patient-profile change-score analyses in Table 5, together with the Holm multiple-testing adjustment code for the four interaction tests in Table 4.</w:t>
      </w:r>
    </w:p>
    <w:p w14:paraId="12B97886">
      <w:pPr>
        <w:bidi w:val="0"/>
        <w:rPr>
          <w:rFonts w:hint="default" w:ascii="Times New Roman" w:hAnsi="Times New Roman" w:cs="Times New Roman"/>
          <w:b/>
          <w:bCs/>
          <w:sz w:val="24"/>
          <w:szCs w:val="24"/>
        </w:rPr>
      </w:pPr>
      <w:r>
        <w:rPr>
          <w:rFonts w:hint="default" w:ascii="Times New Roman" w:hAnsi="Times New Roman" w:cs="Times New Roman"/>
          <w:b/>
          <w:bCs/>
          <w:sz w:val="24"/>
          <w:szCs w:val="24"/>
        </w:rPr>
        <w:t>1. Variable names used in the analysis code</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96"/>
        <w:gridCol w:w="4896"/>
      </w:tblGrid>
      <w:tr w14:paraId="6E9F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896" w:type="dxa"/>
            <w:vAlign w:val="center"/>
          </w:tcPr>
          <w:p w14:paraId="15742B41">
            <w:pPr>
              <w:spacing w:after="0"/>
              <w:rPr>
                <w:rFonts w:hint="default" w:ascii="Times New Roman" w:hAnsi="Times New Roman" w:cs="Times New Roman"/>
              </w:rPr>
            </w:pPr>
            <w:r>
              <w:rPr>
                <w:rFonts w:hint="default" w:ascii="Times New Roman" w:hAnsi="Times New Roman" w:cs="Times New Roman"/>
                <w:sz w:val="19"/>
              </w:rPr>
              <w:t>Variable</w:t>
            </w:r>
          </w:p>
        </w:tc>
        <w:tc>
          <w:tcPr>
            <w:tcW w:w="4896" w:type="dxa"/>
            <w:vAlign w:val="center"/>
          </w:tcPr>
          <w:p w14:paraId="5E96B9CF">
            <w:pPr>
              <w:spacing w:after="0"/>
              <w:rPr>
                <w:rFonts w:hint="default" w:ascii="Times New Roman" w:hAnsi="Times New Roman" w:cs="Times New Roman"/>
              </w:rPr>
            </w:pPr>
            <w:r>
              <w:rPr>
                <w:rFonts w:hint="default" w:ascii="Times New Roman" w:hAnsi="Times New Roman" w:cs="Times New Roman"/>
                <w:sz w:val="19"/>
              </w:rPr>
              <w:t>Definition</w:t>
            </w:r>
          </w:p>
        </w:tc>
      </w:tr>
      <w:tr w14:paraId="5382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6" w:type="dxa"/>
            <w:vAlign w:val="center"/>
          </w:tcPr>
          <w:p w14:paraId="0E596F8D">
            <w:pPr>
              <w:spacing w:after="0"/>
              <w:rPr>
                <w:rFonts w:hint="default" w:ascii="Times New Roman" w:hAnsi="Times New Roman" w:cs="Times New Roman"/>
              </w:rPr>
            </w:pPr>
            <w:r>
              <w:rPr>
                <w:rFonts w:hint="default" w:ascii="Times New Roman" w:hAnsi="Times New Roman" w:cs="Times New Roman"/>
                <w:sz w:val="19"/>
              </w:rPr>
              <w:t>physician_id</w:t>
            </w:r>
          </w:p>
        </w:tc>
        <w:tc>
          <w:tcPr>
            <w:tcW w:w="4896" w:type="dxa"/>
            <w:vAlign w:val="center"/>
          </w:tcPr>
          <w:p w14:paraId="0EB3BE55">
            <w:pPr>
              <w:spacing w:after="0"/>
              <w:rPr>
                <w:rFonts w:hint="default" w:ascii="Times New Roman" w:hAnsi="Times New Roman" w:cs="Times New Roman"/>
              </w:rPr>
            </w:pPr>
            <w:r>
              <w:rPr>
                <w:rFonts w:hint="default" w:ascii="Times New Roman" w:hAnsi="Times New Roman" w:cs="Times New Roman"/>
                <w:sz w:val="19"/>
              </w:rPr>
              <w:t>Unique physician identifier</w:t>
            </w:r>
          </w:p>
        </w:tc>
      </w:tr>
      <w:tr w14:paraId="75A90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6" w:type="dxa"/>
            <w:vAlign w:val="center"/>
          </w:tcPr>
          <w:p w14:paraId="2EF81F68">
            <w:pPr>
              <w:spacing w:after="0"/>
              <w:rPr>
                <w:rFonts w:hint="default" w:ascii="Times New Roman" w:hAnsi="Times New Roman" w:cs="Times New Roman"/>
              </w:rPr>
            </w:pPr>
            <w:r>
              <w:rPr>
                <w:rFonts w:hint="default" w:ascii="Times New Roman" w:hAnsi="Times New Roman" w:cs="Times New Roman"/>
                <w:sz w:val="19"/>
              </w:rPr>
              <w:t>patient_id</w:t>
            </w:r>
          </w:p>
        </w:tc>
        <w:tc>
          <w:tcPr>
            <w:tcW w:w="4896" w:type="dxa"/>
            <w:vAlign w:val="center"/>
          </w:tcPr>
          <w:p w14:paraId="4B39C798">
            <w:pPr>
              <w:spacing w:after="0"/>
              <w:rPr>
                <w:rFonts w:hint="default" w:ascii="Times New Roman" w:hAnsi="Times New Roman" w:cs="Times New Roman"/>
              </w:rPr>
            </w:pPr>
            <w:r>
              <w:rPr>
                <w:rFonts w:hint="default" w:ascii="Times New Roman" w:hAnsi="Times New Roman" w:cs="Times New Roman"/>
                <w:sz w:val="19"/>
              </w:rPr>
              <w:t>Standardized patient-profile identifier</w:t>
            </w:r>
          </w:p>
        </w:tc>
      </w:tr>
      <w:tr w14:paraId="2C294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6" w:type="dxa"/>
            <w:vAlign w:val="center"/>
          </w:tcPr>
          <w:p w14:paraId="0AC14385">
            <w:pPr>
              <w:spacing w:after="0"/>
              <w:rPr>
                <w:rFonts w:hint="default" w:ascii="Times New Roman" w:hAnsi="Times New Roman" w:cs="Times New Roman"/>
              </w:rPr>
            </w:pPr>
            <w:r>
              <w:rPr>
                <w:rFonts w:hint="default" w:ascii="Times New Roman" w:hAnsi="Times New Roman" w:cs="Times New Roman"/>
                <w:sz w:val="19"/>
              </w:rPr>
              <w:t>quantity</w:t>
            </w:r>
          </w:p>
        </w:tc>
        <w:tc>
          <w:tcPr>
            <w:tcW w:w="4896" w:type="dxa"/>
            <w:vAlign w:val="center"/>
          </w:tcPr>
          <w:p w14:paraId="52662204">
            <w:pPr>
              <w:spacing w:after="0"/>
              <w:rPr>
                <w:rFonts w:hint="default" w:ascii="Times New Roman" w:hAnsi="Times New Roman" w:cs="Times New Roman"/>
              </w:rPr>
            </w:pPr>
            <w:r>
              <w:rPr>
                <w:rFonts w:hint="default" w:ascii="Times New Roman" w:hAnsi="Times New Roman" w:cs="Times New Roman"/>
                <w:sz w:val="19"/>
              </w:rPr>
              <w:t>Service quantity in the long-format dataset used for Table 4</w:t>
            </w:r>
          </w:p>
        </w:tc>
      </w:tr>
      <w:tr w14:paraId="7720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6" w:type="dxa"/>
            <w:vAlign w:val="center"/>
          </w:tcPr>
          <w:p w14:paraId="7699AE8E">
            <w:pPr>
              <w:spacing w:after="0"/>
              <w:rPr>
                <w:rFonts w:hint="default" w:ascii="Times New Roman" w:hAnsi="Times New Roman" w:cs="Times New Roman"/>
              </w:rPr>
            </w:pPr>
            <w:r>
              <w:rPr>
                <w:rFonts w:hint="default" w:ascii="Times New Roman" w:hAnsi="Times New Roman" w:cs="Times New Roman"/>
                <w:sz w:val="19"/>
              </w:rPr>
              <w:t>p4p</w:t>
            </w:r>
          </w:p>
        </w:tc>
        <w:tc>
          <w:tcPr>
            <w:tcW w:w="4896" w:type="dxa"/>
            <w:vAlign w:val="center"/>
          </w:tcPr>
          <w:p w14:paraId="175957C7">
            <w:pPr>
              <w:spacing w:after="0"/>
              <w:rPr>
                <w:rFonts w:hint="default" w:ascii="Times New Roman" w:hAnsi="Times New Roman" w:cs="Times New Roman"/>
              </w:rPr>
            </w:pPr>
            <w:r>
              <w:rPr>
                <w:rFonts w:hint="default" w:ascii="Times New Roman" w:hAnsi="Times New Roman" w:cs="Times New Roman"/>
                <w:sz w:val="19"/>
              </w:rPr>
              <w:t>Payment-condition indicator (0 = capitation; 1 = capitation + performance pay)</w:t>
            </w:r>
          </w:p>
        </w:tc>
      </w:tr>
      <w:tr w14:paraId="54F33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6" w:type="dxa"/>
            <w:vAlign w:val="center"/>
          </w:tcPr>
          <w:p w14:paraId="1E04A6E8">
            <w:pPr>
              <w:spacing w:after="0"/>
              <w:rPr>
                <w:rFonts w:hint="default" w:ascii="Times New Roman" w:hAnsi="Times New Roman" w:cs="Times New Roman"/>
              </w:rPr>
            </w:pPr>
            <w:r>
              <w:rPr>
                <w:rFonts w:hint="default" w:ascii="Times New Roman" w:hAnsi="Times New Roman" w:cs="Times New Roman"/>
                <w:sz w:val="19"/>
              </w:rPr>
              <w:t>high_bonus</w:t>
            </w:r>
          </w:p>
        </w:tc>
        <w:tc>
          <w:tcPr>
            <w:tcW w:w="4896" w:type="dxa"/>
            <w:vAlign w:val="center"/>
          </w:tcPr>
          <w:p w14:paraId="66580E0C">
            <w:pPr>
              <w:spacing w:after="0"/>
              <w:rPr>
                <w:rFonts w:hint="default" w:ascii="Times New Roman" w:hAnsi="Times New Roman" w:cs="Times New Roman"/>
              </w:rPr>
            </w:pPr>
            <w:r>
              <w:rPr>
                <w:rFonts w:hint="default" w:ascii="Times New Roman" w:hAnsi="Times New Roman" w:cs="Times New Roman"/>
                <w:sz w:val="19"/>
              </w:rPr>
              <w:t>Randomized bonus condition (0 = low bonus; 1 = high bonus)</w:t>
            </w:r>
          </w:p>
        </w:tc>
      </w:tr>
      <w:tr w14:paraId="7E2CB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6" w:type="dxa"/>
            <w:vAlign w:val="center"/>
          </w:tcPr>
          <w:p w14:paraId="71B3A47B">
            <w:pPr>
              <w:spacing w:after="0"/>
              <w:rPr>
                <w:rFonts w:hint="default" w:ascii="Times New Roman" w:hAnsi="Times New Roman" w:cs="Times New Roman"/>
              </w:rPr>
            </w:pPr>
            <w:r>
              <w:rPr>
                <w:rFonts w:hint="default" w:ascii="Times New Roman" w:hAnsi="Times New Roman" w:cs="Times New Roman"/>
                <w:sz w:val="19"/>
              </w:rPr>
              <w:t>severity</w:t>
            </w:r>
          </w:p>
        </w:tc>
        <w:tc>
          <w:tcPr>
            <w:tcW w:w="4896" w:type="dxa"/>
            <w:vAlign w:val="center"/>
          </w:tcPr>
          <w:p w14:paraId="233A9C93">
            <w:pPr>
              <w:spacing w:after="0"/>
              <w:rPr>
                <w:rFonts w:hint="default" w:ascii="Times New Roman" w:hAnsi="Times New Roman" w:cs="Times New Roman"/>
              </w:rPr>
            </w:pPr>
            <w:r>
              <w:rPr>
                <w:rFonts w:hint="default" w:ascii="Times New Roman" w:hAnsi="Times New Roman" w:cs="Times New Roman"/>
                <w:sz w:val="19"/>
              </w:rPr>
              <w:t>Illness severity (0 = mild; 1 = intermediate; 2 = high)</w:t>
            </w:r>
          </w:p>
        </w:tc>
      </w:tr>
      <w:tr w14:paraId="571DC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6" w:type="dxa"/>
            <w:vAlign w:val="center"/>
          </w:tcPr>
          <w:p w14:paraId="25E5CCAD">
            <w:pPr>
              <w:spacing w:after="0"/>
              <w:rPr>
                <w:rFonts w:hint="default" w:ascii="Times New Roman" w:hAnsi="Times New Roman" w:cs="Times New Roman"/>
              </w:rPr>
            </w:pPr>
            <w:r>
              <w:rPr>
                <w:rFonts w:hint="default" w:ascii="Times New Roman" w:hAnsi="Times New Roman" w:cs="Times New Roman"/>
                <w:sz w:val="19"/>
              </w:rPr>
              <w:t>high_mb</w:t>
            </w:r>
          </w:p>
        </w:tc>
        <w:tc>
          <w:tcPr>
            <w:tcW w:w="4896" w:type="dxa"/>
            <w:vAlign w:val="center"/>
          </w:tcPr>
          <w:p w14:paraId="4B11A5F2">
            <w:pPr>
              <w:spacing w:after="0"/>
              <w:rPr>
                <w:rFonts w:hint="default" w:ascii="Times New Roman" w:hAnsi="Times New Roman" w:cs="Times New Roman"/>
              </w:rPr>
            </w:pPr>
            <w:r>
              <w:rPr>
                <w:rFonts w:hint="default" w:ascii="Times New Roman" w:hAnsi="Times New Roman" w:cs="Times New Roman"/>
                <w:sz w:val="19"/>
              </w:rPr>
              <w:t xml:space="preserve">Indicator for high marginal </w:t>
            </w:r>
            <w:r>
              <w:rPr>
                <w:rFonts w:hint="eastAsia" w:ascii="Times New Roman" w:hAnsi="Times New Roman" w:eastAsia="宋体" w:cs="Times New Roman"/>
                <w:sz w:val="19"/>
                <w:lang w:val="en-US" w:eastAsia="zh-CN"/>
              </w:rPr>
              <w:t>patient</w:t>
            </w:r>
            <w:r>
              <w:rPr>
                <w:rFonts w:hint="default" w:ascii="Times New Roman" w:hAnsi="Times New Roman" w:cs="Times New Roman"/>
                <w:sz w:val="19"/>
              </w:rPr>
              <w:t xml:space="preserve"> benefit</w:t>
            </w:r>
          </w:p>
        </w:tc>
      </w:tr>
      <w:tr w14:paraId="5C3F7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6" w:type="dxa"/>
            <w:vAlign w:val="center"/>
          </w:tcPr>
          <w:p w14:paraId="232CF6DC">
            <w:pPr>
              <w:spacing w:after="0"/>
              <w:rPr>
                <w:rFonts w:hint="default" w:ascii="Times New Roman" w:hAnsi="Times New Roman" w:cs="Times New Roman"/>
              </w:rPr>
            </w:pPr>
            <w:r>
              <w:rPr>
                <w:rFonts w:hint="default" w:ascii="Times New Roman" w:hAnsi="Times New Roman" w:cs="Times New Roman"/>
                <w:sz w:val="19"/>
              </w:rPr>
              <w:t>delta_q</w:t>
            </w:r>
          </w:p>
        </w:tc>
        <w:tc>
          <w:tcPr>
            <w:tcW w:w="4896" w:type="dxa"/>
            <w:vAlign w:val="center"/>
          </w:tcPr>
          <w:p w14:paraId="1A3A2F46">
            <w:pPr>
              <w:spacing w:after="0"/>
              <w:rPr>
                <w:rFonts w:hint="default" w:ascii="Times New Roman" w:hAnsi="Times New Roman" w:cs="Times New Roman"/>
              </w:rPr>
            </w:pPr>
            <w:r>
              <w:rPr>
                <w:rFonts w:hint="default" w:ascii="Times New Roman" w:hAnsi="Times New Roman" w:cs="Times New Roman"/>
                <w:sz w:val="19"/>
              </w:rPr>
              <w:t>Within physician–patient-profile change in service quantity (P4P minus capitation)</w:t>
            </w:r>
          </w:p>
        </w:tc>
      </w:tr>
      <w:tr w14:paraId="1FE53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6" w:type="dxa"/>
            <w:vAlign w:val="center"/>
          </w:tcPr>
          <w:p w14:paraId="1F28E9BB">
            <w:pPr>
              <w:spacing w:after="0"/>
              <w:rPr>
                <w:rFonts w:hint="default" w:ascii="Times New Roman" w:hAnsi="Times New Roman" w:cs="Times New Roman"/>
              </w:rPr>
            </w:pPr>
            <w:r>
              <w:rPr>
                <w:rFonts w:hint="default" w:ascii="Times New Roman" w:hAnsi="Times New Roman" w:cs="Times New Roman"/>
                <w:sz w:val="19"/>
              </w:rPr>
              <w:t>improve_distance</w:t>
            </w:r>
          </w:p>
        </w:tc>
        <w:tc>
          <w:tcPr>
            <w:tcW w:w="4896" w:type="dxa"/>
            <w:vAlign w:val="center"/>
          </w:tcPr>
          <w:p w14:paraId="64A750EA">
            <w:pPr>
              <w:spacing w:after="0"/>
              <w:rPr>
                <w:rFonts w:hint="default" w:ascii="Times New Roman" w:hAnsi="Times New Roman" w:cs="Times New Roman"/>
              </w:rPr>
            </w:pPr>
            <w:r>
              <w:rPr>
                <w:rFonts w:hint="default" w:ascii="Times New Roman" w:hAnsi="Times New Roman" w:cs="Times New Roman"/>
                <w:sz w:val="19"/>
              </w:rPr>
              <w:t>Improvement in distance to the patient-optimal quantity</w:t>
            </w:r>
          </w:p>
        </w:tc>
      </w:tr>
      <w:tr w14:paraId="51D74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6" w:type="dxa"/>
            <w:vAlign w:val="center"/>
          </w:tcPr>
          <w:p w14:paraId="2EE8C10C">
            <w:pPr>
              <w:spacing w:after="0"/>
              <w:rPr>
                <w:rFonts w:hint="default" w:ascii="Times New Roman" w:hAnsi="Times New Roman" w:cs="Times New Roman"/>
              </w:rPr>
            </w:pPr>
            <w:r>
              <w:rPr>
                <w:rFonts w:hint="default" w:ascii="Times New Roman" w:hAnsi="Times New Roman" w:cs="Times New Roman"/>
                <w:sz w:val="19"/>
              </w:rPr>
              <w:t>delta_threshold</w:t>
            </w:r>
          </w:p>
        </w:tc>
        <w:tc>
          <w:tcPr>
            <w:tcW w:w="4896" w:type="dxa"/>
            <w:vAlign w:val="center"/>
          </w:tcPr>
          <w:p w14:paraId="4B104CC5">
            <w:pPr>
              <w:spacing w:after="0"/>
              <w:rPr>
                <w:rFonts w:hint="default" w:ascii="Times New Roman" w:hAnsi="Times New Roman" w:cs="Times New Roman"/>
              </w:rPr>
            </w:pPr>
            <w:r>
              <w:rPr>
                <w:rFonts w:hint="default" w:ascii="Times New Roman" w:hAnsi="Times New Roman" w:cs="Times New Roman"/>
                <w:sz w:val="19"/>
              </w:rPr>
              <w:t>Change in threshold-consistent provision</w:t>
            </w:r>
          </w:p>
        </w:tc>
      </w:tr>
      <w:tr w14:paraId="6FE63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6" w:type="dxa"/>
            <w:vAlign w:val="center"/>
          </w:tcPr>
          <w:p w14:paraId="61B02BC1">
            <w:pPr>
              <w:spacing w:after="0"/>
              <w:rPr>
                <w:rFonts w:hint="default" w:ascii="Times New Roman" w:hAnsi="Times New Roman" w:cs="Times New Roman"/>
              </w:rPr>
            </w:pPr>
            <w:r>
              <w:rPr>
                <w:rFonts w:hint="default" w:ascii="Times New Roman" w:hAnsi="Times New Roman" w:cs="Times New Roman"/>
                <w:sz w:val="19"/>
              </w:rPr>
              <w:t>female</w:t>
            </w:r>
          </w:p>
        </w:tc>
        <w:tc>
          <w:tcPr>
            <w:tcW w:w="4896" w:type="dxa"/>
            <w:vAlign w:val="center"/>
          </w:tcPr>
          <w:p w14:paraId="54B5A601">
            <w:pPr>
              <w:spacing w:after="0"/>
              <w:rPr>
                <w:rFonts w:hint="default" w:ascii="Times New Roman" w:hAnsi="Times New Roman" w:cs="Times New Roman"/>
              </w:rPr>
            </w:pPr>
            <w:r>
              <w:rPr>
                <w:rFonts w:hint="default" w:ascii="Times New Roman" w:hAnsi="Times New Roman" w:cs="Times New Roman"/>
                <w:sz w:val="19"/>
              </w:rPr>
              <w:t>Physician gender indicator used as an adjustment covariate in Table 5</w:t>
            </w:r>
          </w:p>
        </w:tc>
      </w:tr>
    </w:tbl>
    <w:p w14:paraId="5CF0BAFC">
      <w:pPr>
        <w:rPr>
          <w:rFonts w:hint="default" w:ascii="Times New Roman" w:hAnsi="Times New Roman" w:cs="Times New Roman"/>
        </w:rPr>
      </w:pPr>
      <w:r>
        <w:rPr>
          <w:rFonts w:hint="default" w:ascii="Times New Roman" w:hAnsi="Times New Roman" w:cs="Times New Roman"/>
          <w:b/>
        </w:rPr>
        <w:t xml:space="preserve">Note. </w:t>
      </w:r>
      <w:r>
        <w:rPr>
          <w:rFonts w:hint="default" w:ascii="Times New Roman" w:hAnsi="Times New Roman" w:cs="Times New Roman"/>
        </w:rPr>
        <w:t>The Table 4 dataset is in long format, with one observation for each physician × patient profile × payment condition. The Table 5 dataset contains one observation for each physician × patient-profile pair and uses change scores between the two payment conditions.</w:t>
      </w:r>
    </w:p>
    <w:p w14:paraId="6B862C3E">
      <w:pPr>
        <w:bidi w:val="0"/>
        <w:rPr>
          <w:rFonts w:hint="default" w:ascii="Times New Roman" w:hAnsi="Times New Roman" w:eastAsia="Arial" w:cs="Times New Roman"/>
          <w:b/>
          <w:bCs/>
          <w:sz w:val="24"/>
          <w:szCs w:val="24"/>
          <w:lang w:val="en-US" w:eastAsia="en-US"/>
        </w:rPr>
      </w:pPr>
      <w:r>
        <w:rPr>
          <w:rFonts w:hint="default" w:ascii="Times New Roman" w:hAnsi="Times New Roman" w:eastAsia="Arial" w:cs="Times New Roman"/>
          <w:b/>
          <w:bCs/>
          <w:sz w:val="24"/>
          <w:szCs w:val="24"/>
          <w:lang w:val="en-US" w:eastAsia="en-US"/>
        </w:rPr>
        <w:t>2. Table 4: Fixed-effects estimates of physicians’ responses to performance pay</w:t>
      </w:r>
    </w:p>
    <w:p w14:paraId="46AEFEB9">
      <w:pPr>
        <w:rPr>
          <w:rFonts w:hint="default" w:ascii="Times New Roman" w:hAnsi="Times New Roman" w:cs="Times New Roman"/>
        </w:rPr>
      </w:pPr>
      <w:r>
        <w:rPr>
          <w:rFonts w:hint="default" w:ascii="Times New Roman" w:hAnsi="Times New Roman" w:cs="Times New Roman"/>
        </w:rPr>
        <w:t>Physician and patient-profile fixed effects are absorbed, and standard errors are clustered at the physician level. Mild severity (severity = 0) and the low-bonus condition (high_bonus = 0) are the reference categories.</w:t>
      </w:r>
    </w:p>
    <w:p w14:paraId="53FC2187">
      <w:pPr>
        <w:shd w:val="clear" w:fill="F2F2F2"/>
        <w:spacing w:before="60" w:after="140"/>
        <w:ind w:left="288" w:right="144"/>
        <w:rPr>
          <w:rFonts w:hint="default" w:ascii="Times New Roman" w:hAnsi="Times New Roman" w:cs="Times New Roman"/>
        </w:rPr>
      </w:pPr>
      <w:r>
        <w:rPr>
          <w:rFonts w:hint="default" w:ascii="Times New Roman" w:hAnsi="Times New Roman" w:eastAsia="Consolas" w:cs="Times New Roman"/>
          <w:sz w:val="18"/>
        </w:rPr>
        <w:t>fvset base 0 severity</w:t>
      </w:r>
      <w:r>
        <w:rPr>
          <w:rFonts w:hint="default" w:ascii="Times New Roman" w:hAnsi="Times New Roman" w:cs="Times New Roman"/>
        </w:rPr>
        <w:br w:type="textWrapping"/>
      </w:r>
      <w:r>
        <w:rPr>
          <w:rFonts w:hint="default" w:ascii="Times New Roman" w:hAnsi="Times New Roman" w:eastAsia="Consolas" w:cs="Times New Roman"/>
          <w:sz w:val="18"/>
        </w:rPr>
        <w:t>fvset base 0 high_bonus</w:t>
      </w:r>
      <w:r>
        <w:rPr>
          <w:rFonts w:hint="default" w:ascii="Times New Roman" w:hAnsi="Times New Roman" w:cs="Times New Roman"/>
        </w:rPr>
        <w:br w:type="textWrapping"/>
      </w:r>
      <w:r>
        <w:rPr>
          <w:rFonts w:hint="default" w:ascii="Times New Roman" w:hAnsi="Times New Roman" w:eastAsia="Consolas" w:cs="Times New Roman"/>
          <w:sz w:val="18"/>
        </w:rPr>
        <w:t>fvset base 0 p4p</w:t>
      </w:r>
    </w:p>
    <w:p w14:paraId="334A0DC6">
      <w:pPr>
        <w:bidi w:val="0"/>
        <w:rPr>
          <w:rFonts w:hint="default"/>
          <w:lang w:val="en-US" w:eastAsia="en-US"/>
        </w:rPr>
      </w:pPr>
      <w:r>
        <w:rPr>
          <w:rFonts w:hint="default"/>
          <w:lang w:val="en-US" w:eastAsia="en-US"/>
        </w:rPr>
        <w:t>Model 1: Overall performance-pay effect</w:t>
      </w:r>
    </w:p>
    <w:p w14:paraId="2ADF09FB">
      <w:pPr>
        <w:shd w:val="clear" w:fill="F2F2F2"/>
        <w:spacing w:before="60" w:after="140"/>
        <w:ind w:left="288" w:right="144"/>
        <w:rPr>
          <w:rFonts w:hint="default" w:ascii="Times New Roman" w:hAnsi="Times New Roman" w:cs="Times New Roman"/>
        </w:rPr>
      </w:pPr>
      <w:r>
        <w:rPr>
          <w:rFonts w:hint="default" w:ascii="Times New Roman" w:hAnsi="Times New Roman" w:eastAsia="Consolas" w:cs="Times New Roman"/>
          <w:sz w:val="18"/>
        </w:rPr>
        <w:t>reghdfe quantity i.p4p, ///</w:t>
      </w:r>
      <w:r>
        <w:rPr>
          <w:rFonts w:hint="default" w:ascii="Times New Roman" w:hAnsi="Times New Roman" w:cs="Times New Roman"/>
        </w:rPr>
        <w:br w:type="textWrapping"/>
      </w:r>
      <w:r>
        <w:rPr>
          <w:rFonts w:hint="default" w:ascii="Times New Roman" w:hAnsi="Times New Roman" w:eastAsia="Consolas" w:cs="Times New Roman"/>
          <w:sz w:val="18"/>
        </w:rPr>
        <w:t xml:space="preserve">    absorb(physician_id patient_id) ///</w:t>
      </w:r>
      <w:r>
        <w:rPr>
          <w:rFonts w:hint="default" w:ascii="Times New Roman" w:hAnsi="Times New Roman" w:cs="Times New Roman"/>
        </w:rPr>
        <w:br w:type="textWrapping"/>
      </w:r>
      <w:r>
        <w:rPr>
          <w:rFonts w:hint="default" w:ascii="Times New Roman" w:hAnsi="Times New Roman" w:eastAsia="Consolas" w:cs="Times New Roman"/>
          <w:sz w:val="18"/>
        </w:rPr>
        <w:t xml:space="preserve">    vce(cluster physician_id)</w:t>
      </w:r>
    </w:p>
    <w:p w14:paraId="5DA9E74C">
      <w:pPr>
        <w:bidi w:val="0"/>
        <w:rPr>
          <w:rFonts w:hint="default"/>
        </w:rPr>
      </w:pPr>
      <w:r>
        <w:rPr>
          <w:rFonts w:hint="default"/>
        </w:rPr>
        <w:t>Model 2: Performance pay × bonus level</w:t>
      </w:r>
    </w:p>
    <w:p w14:paraId="48512905">
      <w:pPr>
        <w:shd w:val="clear" w:fill="F2F2F2"/>
        <w:spacing w:before="60" w:after="140"/>
        <w:ind w:left="288" w:right="144"/>
        <w:rPr>
          <w:rFonts w:hint="default" w:ascii="Times New Roman" w:hAnsi="Times New Roman" w:cs="Times New Roman"/>
        </w:rPr>
      </w:pPr>
      <w:r>
        <w:rPr>
          <w:rFonts w:hint="default" w:ascii="Times New Roman" w:hAnsi="Times New Roman" w:eastAsia="Consolas" w:cs="Times New Roman"/>
          <w:sz w:val="18"/>
        </w:rPr>
        <w:t>reghdfe quantity i.p4p##i.high_bonus, ///</w:t>
      </w:r>
      <w:r>
        <w:rPr>
          <w:rFonts w:hint="default" w:ascii="Times New Roman" w:hAnsi="Times New Roman" w:cs="Times New Roman"/>
        </w:rPr>
        <w:br w:type="textWrapping"/>
      </w:r>
      <w:r>
        <w:rPr>
          <w:rFonts w:hint="default" w:ascii="Times New Roman" w:hAnsi="Times New Roman" w:eastAsia="Consolas" w:cs="Times New Roman"/>
          <w:sz w:val="18"/>
        </w:rPr>
        <w:t xml:space="preserve">    absorb(physician_id patient_id) ///</w:t>
      </w:r>
      <w:r>
        <w:rPr>
          <w:rFonts w:hint="default" w:ascii="Times New Roman" w:hAnsi="Times New Roman" w:cs="Times New Roman"/>
        </w:rPr>
        <w:br w:type="textWrapping"/>
      </w:r>
      <w:r>
        <w:rPr>
          <w:rFonts w:hint="default" w:ascii="Times New Roman" w:hAnsi="Times New Roman" w:eastAsia="Consolas" w:cs="Times New Roman"/>
          <w:sz w:val="18"/>
        </w:rPr>
        <w:t xml:space="preserve">    vce(cluster physician_id)</w:t>
      </w:r>
    </w:p>
    <w:p w14:paraId="14AA6481">
      <w:pPr>
        <w:bidi w:val="0"/>
        <w:rPr>
          <w:rFonts w:hint="default"/>
        </w:rPr>
      </w:pPr>
      <w:r>
        <w:rPr>
          <w:rFonts w:hint="default"/>
        </w:rPr>
        <w:t>Model 3: Performance pay × patient characteristics</w:t>
      </w:r>
    </w:p>
    <w:p w14:paraId="00457A1D">
      <w:pPr>
        <w:shd w:val="clear" w:fill="F2F2F2"/>
        <w:spacing w:before="60" w:after="140"/>
        <w:ind w:left="288" w:right="144"/>
        <w:rPr>
          <w:rFonts w:hint="default" w:ascii="Times New Roman" w:hAnsi="Times New Roman" w:cs="Times New Roman"/>
        </w:rPr>
      </w:pPr>
      <w:r>
        <w:rPr>
          <w:rFonts w:hint="default" w:ascii="Times New Roman" w:hAnsi="Times New Roman" w:eastAsia="Consolas" w:cs="Times New Roman"/>
          <w:sz w:val="18"/>
        </w:rPr>
        <w:t>reghdfe quantity i.p4p##i.severity i.p4p##i.high_mb, ///</w:t>
      </w:r>
      <w:r>
        <w:rPr>
          <w:rFonts w:hint="default" w:ascii="Times New Roman" w:hAnsi="Times New Roman" w:cs="Times New Roman"/>
        </w:rPr>
        <w:br w:type="textWrapping"/>
      </w:r>
      <w:r>
        <w:rPr>
          <w:rFonts w:hint="default" w:ascii="Times New Roman" w:hAnsi="Times New Roman" w:eastAsia="Consolas" w:cs="Times New Roman"/>
          <w:sz w:val="18"/>
        </w:rPr>
        <w:t xml:space="preserve">    absorb(physician_id patient_id) ///</w:t>
      </w:r>
      <w:r>
        <w:rPr>
          <w:rFonts w:hint="default" w:ascii="Times New Roman" w:hAnsi="Times New Roman" w:cs="Times New Roman"/>
        </w:rPr>
        <w:br w:type="textWrapping"/>
      </w:r>
      <w:r>
        <w:rPr>
          <w:rFonts w:hint="default" w:ascii="Times New Roman" w:hAnsi="Times New Roman" w:eastAsia="Consolas" w:cs="Times New Roman"/>
          <w:sz w:val="18"/>
        </w:rPr>
        <w:t xml:space="preserve">    vce(cluster physician_id)</w:t>
      </w:r>
    </w:p>
    <w:p w14:paraId="3F025486">
      <w:pPr>
        <w:bidi w:val="0"/>
        <w:rPr>
          <w:rFonts w:hint="default"/>
        </w:rPr>
      </w:pPr>
      <w:r>
        <w:rPr>
          <w:rFonts w:hint="default"/>
        </w:rPr>
        <w:t>Model 4: Full interaction specification</w:t>
      </w:r>
    </w:p>
    <w:p w14:paraId="46FC8E65">
      <w:pPr>
        <w:shd w:val="clear" w:fill="F2F2F2"/>
        <w:spacing w:before="60" w:after="140"/>
        <w:ind w:left="288" w:right="144"/>
        <w:rPr>
          <w:rFonts w:hint="default" w:ascii="Times New Roman" w:hAnsi="Times New Roman" w:cs="Times New Roman"/>
        </w:rPr>
      </w:pPr>
      <w:r>
        <w:rPr>
          <w:rFonts w:hint="default" w:ascii="Times New Roman" w:hAnsi="Times New Roman" w:eastAsia="Consolas" w:cs="Times New Roman"/>
          <w:sz w:val="18"/>
        </w:rPr>
        <w:t>reghdfe quantity i.p4p##i.high_bonus ///</w:t>
      </w:r>
      <w:r>
        <w:rPr>
          <w:rFonts w:hint="default" w:ascii="Times New Roman" w:hAnsi="Times New Roman" w:cs="Times New Roman"/>
        </w:rPr>
        <w:br w:type="textWrapping"/>
      </w:r>
      <w:r>
        <w:rPr>
          <w:rFonts w:hint="default" w:ascii="Times New Roman" w:hAnsi="Times New Roman" w:eastAsia="Consolas" w:cs="Times New Roman"/>
          <w:sz w:val="18"/>
        </w:rPr>
        <w:t xml:space="preserve">    i.p4p##i.severity i.p4p##i.high_mb, ///</w:t>
      </w:r>
      <w:r>
        <w:rPr>
          <w:rFonts w:hint="default" w:ascii="Times New Roman" w:hAnsi="Times New Roman" w:cs="Times New Roman"/>
        </w:rPr>
        <w:br w:type="textWrapping"/>
      </w:r>
      <w:r>
        <w:rPr>
          <w:rFonts w:hint="default" w:ascii="Times New Roman" w:hAnsi="Times New Roman" w:eastAsia="Consolas" w:cs="Times New Roman"/>
          <w:sz w:val="18"/>
        </w:rPr>
        <w:t xml:space="preserve">    absorb(physician_id patient_id) ///</w:t>
      </w:r>
      <w:r>
        <w:rPr>
          <w:rFonts w:hint="default" w:ascii="Times New Roman" w:hAnsi="Times New Roman" w:cs="Times New Roman"/>
        </w:rPr>
        <w:br w:type="textWrapping"/>
      </w:r>
      <w:r>
        <w:rPr>
          <w:rFonts w:hint="default" w:ascii="Times New Roman" w:hAnsi="Times New Roman" w:eastAsia="Consolas" w:cs="Times New Roman"/>
          <w:sz w:val="18"/>
        </w:rPr>
        <w:t xml:space="preserve">    vce(cluster physician_id)</w:t>
      </w:r>
    </w:p>
    <w:p w14:paraId="2FEA2A66">
      <w:pPr>
        <w:rPr>
          <w:rFonts w:hint="default" w:ascii="Times New Roman" w:hAnsi="Times New Roman" w:cs="Times New Roman"/>
        </w:rPr>
      </w:pPr>
      <w:r>
        <w:rPr>
          <w:rFonts w:hint="default" w:ascii="Times New Roman" w:hAnsi="Times New Roman" w:cs="Times New Roman"/>
          <w:b/>
        </w:rPr>
        <w:t xml:space="preserve">Interpretation of absorbed main effects. </w:t>
      </w:r>
      <w:r>
        <w:rPr>
          <w:rFonts w:hint="default" w:ascii="Times New Roman" w:hAnsi="Times New Roman" w:cs="Times New Roman"/>
        </w:rPr>
        <w:t>The main</w:t>
      </w:r>
      <w:bookmarkStart w:id="0" w:name="_GoBack"/>
      <w:bookmarkEnd w:id="0"/>
      <w:r>
        <w:rPr>
          <w:rFonts w:hint="default" w:ascii="Times New Roman" w:hAnsi="Times New Roman" w:cs="Times New Roman"/>
        </w:rPr>
        <w:t xml:space="preserve"> effects of high_bonus, severity, and high_mb are absorbed by the physician or patient-profile fixed effects, as appropriate. The coefficients of substantive interest are the performance-pay indicator and its interaction terms.</w:t>
      </w:r>
    </w:p>
    <w:p w14:paraId="15608B48">
      <w:pPr>
        <w:bidi w:val="0"/>
        <w:rPr>
          <w:rFonts w:hint="default" w:ascii="Times New Roman" w:hAnsi="Times New Roman" w:eastAsia="Arial" w:cs="Times New Roman"/>
          <w:b/>
          <w:bCs/>
          <w:sz w:val="24"/>
          <w:szCs w:val="24"/>
        </w:rPr>
      </w:pPr>
      <w:r>
        <w:rPr>
          <w:rFonts w:hint="default" w:ascii="Times New Roman" w:hAnsi="Times New Roman" w:eastAsia="Arial" w:cs="Times New Roman"/>
          <w:b/>
          <w:bCs/>
          <w:sz w:val="24"/>
          <w:szCs w:val="24"/>
        </w:rPr>
        <w:t>3. Table 5: Physician–patient-profile change-score analyses</w:t>
      </w:r>
    </w:p>
    <w:p w14:paraId="286E0A5B">
      <w:pPr>
        <w:rPr>
          <w:rFonts w:hint="default" w:ascii="Times New Roman" w:hAnsi="Times New Roman" w:cs="Times New Roman"/>
        </w:rPr>
      </w:pPr>
      <w:r>
        <w:rPr>
          <w:rFonts w:hint="default" w:ascii="Times New Roman" w:hAnsi="Times New Roman" w:cs="Times New Roman"/>
        </w:rPr>
        <w:t>These models use 1,062 physician–patient-profile observations. Standard errors are clustered at the physician level. Physician gender is included as an adjustment covariate because the randomized bonus groups differed in gender composition.</w:t>
      </w:r>
    </w:p>
    <w:p w14:paraId="3C9D89FB">
      <w:pPr>
        <w:shd w:val="clear" w:fill="F2F2F2"/>
        <w:spacing w:before="60" w:after="140"/>
        <w:ind w:left="288" w:right="144"/>
        <w:rPr>
          <w:rFonts w:hint="default" w:ascii="Times New Roman" w:hAnsi="Times New Roman" w:cs="Times New Roman"/>
        </w:rPr>
      </w:pPr>
      <w:r>
        <w:rPr>
          <w:rFonts w:hint="default" w:ascii="Times New Roman" w:hAnsi="Times New Roman" w:eastAsia="Consolas" w:cs="Times New Roman"/>
          <w:sz w:val="18"/>
        </w:rPr>
        <w:t>fvset base 0 severity</w:t>
      </w:r>
    </w:p>
    <w:p w14:paraId="7AE015EE">
      <w:pPr>
        <w:bidi w:val="0"/>
        <w:rPr>
          <w:rFonts w:hint="default"/>
        </w:rPr>
      </w:pPr>
      <w:r>
        <w:rPr>
          <w:rFonts w:hint="default"/>
        </w:rPr>
        <w:t>Outcome 1: Change in service quantity</w:t>
      </w:r>
    </w:p>
    <w:p w14:paraId="6AFFB59D">
      <w:pPr>
        <w:shd w:val="clear" w:fill="F2F2F2"/>
        <w:spacing w:before="60" w:after="140"/>
        <w:ind w:left="288" w:right="144"/>
        <w:rPr>
          <w:rFonts w:hint="default" w:ascii="Times New Roman" w:hAnsi="Times New Roman" w:cs="Times New Roman"/>
        </w:rPr>
      </w:pPr>
      <w:r>
        <w:rPr>
          <w:rFonts w:hint="default" w:ascii="Times New Roman" w:hAnsi="Times New Roman" w:eastAsia="Consolas" w:cs="Times New Roman"/>
          <w:sz w:val="18"/>
        </w:rPr>
        <w:t>reg delta_q high_bonus i.severity high_mb female, ///</w:t>
      </w:r>
      <w:r>
        <w:rPr>
          <w:rFonts w:hint="default" w:ascii="Times New Roman" w:hAnsi="Times New Roman" w:cs="Times New Roman"/>
        </w:rPr>
        <w:br w:type="textWrapping"/>
      </w:r>
      <w:r>
        <w:rPr>
          <w:rFonts w:hint="default" w:ascii="Times New Roman" w:hAnsi="Times New Roman" w:eastAsia="Consolas" w:cs="Times New Roman"/>
          <w:sz w:val="18"/>
        </w:rPr>
        <w:t xml:space="preserve">    vce(cluster physician_id)</w:t>
      </w:r>
    </w:p>
    <w:p w14:paraId="6E218C5F">
      <w:pPr>
        <w:bidi w:val="0"/>
        <w:rPr>
          <w:rFonts w:hint="default"/>
        </w:rPr>
      </w:pPr>
      <w:r>
        <w:rPr>
          <w:rFonts w:hint="default"/>
        </w:rPr>
        <w:t>Outcome 2: Improvement in distance to the patient-optimal quantity</w:t>
      </w:r>
    </w:p>
    <w:p w14:paraId="3C475781">
      <w:pPr>
        <w:shd w:val="clear" w:fill="F2F2F2"/>
        <w:spacing w:before="60" w:after="140"/>
        <w:ind w:left="288" w:right="144"/>
        <w:rPr>
          <w:rFonts w:hint="default" w:ascii="Times New Roman" w:hAnsi="Times New Roman" w:cs="Times New Roman"/>
        </w:rPr>
      </w:pPr>
      <w:r>
        <w:rPr>
          <w:rFonts w:hint="default" w:ascii="Times New Roman" w:hAnsi="Times New Roman" w:eastAsia="Consolas" w:cs="Times New Roman"/>
          <w:sz w:val="18"/>
        </w:rPr>
        <w:t>reg improve_distance high_bonus i.severity high_mb female, ///</w:t>
      </w:r>
      <w:r>
        <w:rPr>
          <w:rFonts w:hint="default" w:ascii="Times New Roman" w:hAnsi="Times New Roman" w:cs="Times New Roman"/>
        </w:rPr>
        <w:br w:type="textWrapping"/>
      </w:r>
      <w:r>
        <w:rPr>
          <w:rFonts w:hint="default" w:ascii="Times New Roman" w:hAnsi="Times New Roman" w:eastAsia="Consolas" w:cs="Times New Roman"/>
          <w:sz w:val="18"/>
        </w:rPr>
        <w:t xml:space="preserve">    vce(cluster physician_id)</w:t>
      </w:r>
    </w:p>
    <w:p w14:paraId="4230741A">
      <w:pPr>
        <w:bidi w:val="0"/>
        <w:rPr>
          <w:rFonts w:hint="default"/>
        </w:rPr>
      </w:pPr>
      <w:r>
        <w:rPr>
          <w:rFonts w:hint="default"/>
        </w:rPr>
        <w:t>Outcome 3: Change in threshold-consistent provision</w:t>
      </w:r>
    </w:p>
    <w:p w14:paraId="70C65CBE">
      <w:pPr>
        <w:shd w:val="clear" w:fill="F2F2F2"/>
        <w:spacing w:before="60" w:after="140"/>
        <w:ind w:left="288" w:right="144"/>
        <w:rPr>
          <w:rFonts w:hint="default" w:ascii="Times New Roman" w:hAnsi="Times New Roman" w:cs="Times New Roman"/>
        </w:rPr>
      </w:pPr>
      <w:r>
        <w:rPr>
          <w:rFonts w:hint="default" w:ascii="Times New Roman" w:hAnsi="Times New Roman" w:eastAsia="Consolas" w:cs="Times New Roman"/>
          <w:sz w:val="18"/>
        </w:rPr>
        <w:t>reg delta_threshold high_bonus i.severity high_mb female, ///</w:t>
      </w:r>
      <w:r>
        <w:rPr>
          <w:rFonts w:hint="default" w:ascii="Times New Roman" w:hAnsi="Times New Roman" w:cs="Times New Roman"/>
        </w:rPr>
        <w:br w:type="textWrapping"/>
      </w:r>
      <w:r>
        <w:rPr>
          <w:rFonts w:hint="default" w:ascii="Times New Roman" w:hAnsi="Times New Roman" w:eastAsia="Consolas" w:cs="Times New Roman"/>
          <w:sz w:val="18"/>
        </w:rPr>
        <w:t xml:space="preserve">    vce(cluster physician_id)</w:t>
      </w:r>
    </w:p>
    <w:p w14:paraId="192B9296">
      <w:pPr>
        <w:rPr>
          <w:rFonts w:hint="default" w:ascii="Times New Roman" w:hAnsi="Times New Roman" w:cs="Times New Roman"/>
        </w:rPr>
      </w:pPr>
      <w:r>
        <w:rPr>
          <w:rFonts w:hint="default" w:ascii="Times New Roman" w:hAnsi="Times New Roman" w:cs="Times New Roman"/>
          <w:b/>
        </w:rPr>
        <w:t xml:space="preserve">Note. </w:t>
      </w:r>
      <w:r>
        <w:rPr>
          <w:rFonts w:hint="default" w:ascii="Times New Roman" w:hAnsi="Times New Roman" w:cs="Times New Roman"/>
        </w:rPr>
        <w:t>The threshold-consistent provision outcome is estimated as a linear probability model, as specified in the manuscript.</w:t>
      </w:r>
    </w:p>
    <w:p w14:paraId="7BDB3E5D">
      <w:pPr>
        <w:bidi w:val="0"/>
        <w:rPr>
          <w:rFonts w:hint="default" w:ascii="Times New Roman" w:hAnsi="Times New Roman" w:eastAsia="Arial" w:cs="Times New Roman"/>
          <w:b/>
          <w:bCs/>
          <w:sz w:val="24"/>
          <w:szCs w:val="24"/>
        </w:rPr>
      </w:pPr>
      <w:r>
        <w:rPr>
          <w:rFonts w:hint="default" w:ascii="Times New Roman" w:hAnsi="Times New Roman" w:eastAsia="Arial" w:cs="Times New Roman"/>
          <w:b/>
          <w:bCs/>
          <w:sz w:val="24"/>
          <w:szCs w:val="24"/>
        </w:rPr>
        <w:t>4. Multiple-testing adjustments</w:t>
      </w:r>
    </w:p>
    <w:p w14:paraId="3698ACB5">
      <w:pPr>
        <w:rPr>
          <w:rFonts w:hint="default" w:ascii="Times New Roman" w:hAnsi="Times New Roman" w:cs="Times New Roman"/>
        </w:rPr>
      </w:pPr>
      <w:r>
        <w:rPr>
          <w:rFonts w:hint="default" w:ascii="Times New Roman" w:hAnsi="Times New Roman" w:cs="Times New Roman"/>
        </w:rPr>
        <w:t>The revised manuscript distinguishes the overall performance-pay effect as the primary analysis, the Table 4 interaction analyses as secondary, and the Table 5 change-score analyses as exploratory. Holm adjustments were applied separately to the four substantive interaction tests in the full Table 4 specification and to the 12 substantive tests across the three Table 5 outcomes. Physician gender is excluded from the Table 5 multiplicity family because it is an adjustment covariate rather than a substantive hypothesis.</w:t>
      </w:r>
    </w:p>
    <w:p w14:paraId="231D905D">
      <w:pPr>
        <w:rPr>
          <w:rFonts w:hint="default" w:ascii="Times New Roman" w:hAnsi="Times New Roman" w:cs="Times New Roman"/>
        </w:rPr>
      </w:pPr>
      <w:r>
        <w:rPr>
          <w:rFonts w:hint="default" w:ascii="Times New Roman" w:hAnsi="Times New Roman" w:cs="Times New Roman"/>
          <w:b/>
        </w:rPr>
        <w:t xml:space="preserve">Table 4 interaction family. </w:t>
      </w:r>
      <w:r>
        <w:rPr>
          <w:rFonts w:hint="default" w:ascii="Times New Roman" w:hAnsi="Times New Roman" w:cs="Times New Roman"/>
        </w:rPr>
        <w:t xml:space="preserve">The four raw p values correspond to P4P × high bonus, P4P × intermediate severity, P4P × high severity, and P4P × high marginal </w:t>
      </w:r>
      <w:r>
        <w:rPr>
          <w:rFonts w:hint="eastAsia" w:ascii="Times New Roman" w:hAnsi="Times New Roman" w:eastAsia="宋体" w:cs="Times New Roman"/>
          <w:lang w:val="en-US" w:eastAsia="zh-CN"/>
        </w:rPr>
        <w:t>patient</w:t>
      </w:r>
      <w:r>
        <w:rPr>
          <w:rFonts w:hint="default" w:ascii="Times New Roman" w:hAnsi="Times New Roman" w:cs="Times New Roman"/>
        </w:rPr>
        <w:t xml:space="preserve"> benefit in Model 4. The Holm-adjusted p values reported in the revision were calculated from the exact regression p values. The smallest raw p value is the P4P × high-severity interaction (raw p </w:t>
      </w:r>
      <w:r>
        <w:rPr>
          <w:rFonts w:hint="eastAsia" w:ascii="Times New Roman" w:hAnsi="Times New Roman" w:eastAsia="宋体" w:cs="Times New Roman"/>
          <w:lang w:val="en-US" w:eastAsia="zh-CN"/>
        </w:rPr>
        <w:t>=</w:t>
      </w:r>
      <w:r>
        <w:rPr>
          <w:rFonts w:hint="default" w:ascii="Times New Roman" w:hAnsi="Times New Roman" w:cs="Times New Roman"/>
        </w:rPr>
        <w:t xml:space="preserve"> 0.025; Holm-adjusted p </w:t>
      </w:r>
      <w:r>
        <w:rPr>
          <w:rFonts w:hint="eastAsia" w:ascii="Times New Roman" w:hAnsi="Times New Roman" w:eastAsia="宋体" w:cs="Times New Roman"/>
          <w:lang w:val="en-US" w:eastAsia="zh-CN"/>
        </w:rPr>
        <w:t>=</w:t>
      </w:r>
      <w:r>
        <w:rPr>
          <w:rFonts w:hint="default" w:ascii="Times New Roman" w:hAnsi="Times New Roman" w:cs="Times New Roman"/>
        </w:rPr>
        <w:t xml:space="preserve"> 0.098).</w:t>
      </w:r>
    </w:p>
    <w:p w14:paraId="7B55A7E5">
      <w:pPr>
        <w:rPr>
          <w:rFonts w:hint="default" w:ascii="Times New Roman" w:hAnsi="Times New Roman" w:cs="Times New Roman"/>
        </w:rPr>
      </w:pPr>
      <w:r>
        <w:rPr>
          <w:rFonts w:hint="default" w:ascii="Times New Roman" w:hAnsi="Times New Roman" w:cs="Times New Roman"/>
          <w:b/>
        </w:rPr>
        <w:t xml:space="preserve">Table 5 exploratory family. </w:t>
      </w:r>
      <w:r>
        <w:rPr>
          <w:rFonts w:hint="default" w:ascii="Times New Roman" w:hAnsi="Times New Roman" w:cs="Times New Roman"/>
        </w:rPr>
        <w:t>The multiplicity family comprised four substantive predictors (high bonus, intermediate severity, high severity, and high marginal patient benefit) across three outcomes, for 12 tests in total. Holm adjustment was applied to these 12 tests. The high-severity coefficient for change in service quantity had a raw p value of 0.0244 and a Holm-adjusted p value of 0.293, and no substantive coefficient remained statistically significant after adjustment.</w:t>
      </w:r>
    </w:p>
    <w:p w14:paraId="7E79B489">
      <w:pPr>
        <w:shd w:val="clear" w:fill="F2F2F2"/>
        <w:spacing w:before="60" w:after="140"/>
        <w:ind w:left="288" w:right="144"/>
        <w:rPr>
          <w:rFonts w:hint="default" w:ascii="Times New Roman" w:hAnsi="Times New Roman" w:cs="Times New Roman"/>
        </w:rPr>
      </w:pPr>
      <w:r>
        <w:rPr>
          <w:rFonts w:hint="default" w:ascii="Times New Roman" w:hAnsi="Times New Roman" w:eastAsia="Consolas" w:cs="Times New Roman"/>
          <w:sz w:val="18"/>
        </w:rPr>
        <w:t>/* Stata code for the Table 4 Holm adjustment: enter raw p values, then sort and adjust. */</w:t>
      </w:r>
      <w:r>
        <w:rPr>
          <w:rFonts w:hint="default" w:ascii="Times New Roman" w:hAnsi="Times New Roman" w:cs="Times New Roman"/>
        </w:rPr>
        <w:br w:type="textWrapping"/>
      </w:r>
      <w:r>
        <w:rPr>
          <w:rFonts w:hint="default" w:ascii="Times New Roman" w:hAnsi="Times New Roman" w:eastAsia="Consolas" w:cs="Times New Roman"/>
          <w:sz w:val="18"/>
        </w:rPr>
        <w:t>clear</w:t>
      </w:r>
      <w:r>
        <w:rPr>
          <w:rFonts w:hint="default" w:ascii="Times New Roman" w:hAnsi="Times New Roman" w:cs="Times New Roman"/>
        </w:rPr>
        <w:br w:type="textWrapping"/>
      </w:r>
      <w:r>
        <w:rPr>
          <w:rFonts w:hint="default" w:ascii="Times New Roman" w:hAnsi="Times New Roman" w:eastAsia="Consolas" w:cs="Times New Roman"/>
          <w:sz w:val="18"/>
        </w:rPr>
        <w:t>input str35 hypothesis double p</w:t>
      </w:r>
      <w:r>
        <w:rPr>
          <w:rFonts w:hint="default" w:ascii="Times New Roman" w:hAnsi="Times New Roman" w:cs="Times New Roman"/>
        </w:rPr>
        <w:br w:type="textWrapping"/>
      </w:r>
      <w:r>
        <w:rPr>
          <w:rFonts w:hint="default" w:ascii="Times New Roman" w:hAnsi="Times New Roman" w:eastAsia="Consolas" w:cs="Times New Roman"/>
          <w:sz w:val="18"/>
        </w:rPr>
        <w:t>"P4P x high bonus"                 0.703556</w:t>
      </w:r>
      <w:r>
        <w:rPr>
          <w:rFonts w:hint="default" w:ascii="Times New Roman" w:hAnsi="Times New Roman" w:cs="Times New Roman"/>
        </w:rPr>
        <w:br w:type="textWrapping"/>
      </w:r>
      <w:r>
        <w:rPr>
          <w:rFonts w:hint="default" w:ascii="Times New Roman" w:hAnsi="Times New Roman" w:eastAsia="Consolas" w:cs="Times New Roman"/>
          <w:sz w:val="18"/>
        </w:rPr>
        <w:t>"P4P x intermediate severity"      0.820321</w:t>
      </w:r>
      <w:r>
        <w:rPr>
          <w:rFonts w:hint="default" w:ascii="Times New Roman" w:hAnsi="Times New Roman" w:cs="Times New Roman"/>
        </w:rPr>
        <w:br w:type="textWrapping"/>
      </w:r>
      <w:r>
        <w:rPr>
          <w:rFonts w:hint="default" w:ascii="Times New Roman" w:hAnsi="Times New Roman" w:eastAsia="Consolas" w:cs="Times New Roman"/>
          <w:sz w:val="18"/>
        </w:rPr>
        <w:t>"P4P x high severity"              0.024536</w:t>
      </w:r>
      <w:r>
        <w:rPr>
          <w:rFonts w:hint="default" w:ascii="Times New Roman" w:hAnsi="Times New Roman" w:cs="Times New Roman"/>
        </w:rPr>
        <w:br w:type="textWrapping"/>
      </w:r>
      <w:r>
        <w:rPr>
          <w:rFonts w:hint="default" w:ascii="Times New Roman" w:hAnsi="Times New Roman" w:eastAsia="Consolas" w:cs="Times New Roman"/>
          <w:sz w:val="18"/>
        </w:rPr>
        <w:t xml:space="preserve">"P4P x high marginal </w:t>
      </w:r>
      <w:r>
        <w:rPr>
          <w:rFonts w:hint="eastAsia" w:ascii="Times New Roman" w:hAnsi="Times New Roman" w:eastAsia="宋体" w:cs="Times New Roman"/>
          <w:sz w:val="18"/>
          <w:lang w:val="en-US" w:eastAsia="zh-CN"/>
        </w:rPr>
        <w:t>patient</w:t>
      </w:r>
      <w:r>
        <w:rPr>
          <w:rFonts w:hint="default" w:ascii="Times New Roman" w:hAnsi="Times New Roman" w:eastAsia="Consolas" w:cs="Times New Roman"/>
          <w:sz w:val="18"/>
        </w:rPr>
        <w:t xml:space="preserve"> benefit" 0.165380</w:t>
      </w:r>
      <w:r>
        <w:rPr>
          <w:rFonts w:hint="default" w:ascii="Times New Roman" w:hAnsi="Times New Roman" w:cs="Times New Roman"/>
        </w:rPr>
        <w:br w:type="textWrapping"/>
      </w:r>
      <w:r>
        <w:rPr>
          <w:rFonts w:hint="default" w:ascii="Times New Roman" w:hAnsi="Times New Roman" w:eastAsia="Consolas" w:cs="Times New Roman"/>
          <w:sz w:val="18"/>
        </w:rPr>
        <w:t>end</w:t>
      </w:r>
      <w:r>
        <w:rPr>
          <w:rFonts w:hint="default" w:ascii="Times New Roman" w:hAnsi="Times New Roman" w:cs="Times New Roman"/>
        </w:rPr>
        <w:br w:type="textWrapping"/>
      </w:r>
      <w:r>
        <w:rPr>
          <w:rFonts w:hint="default" w:ascii="Times New Roman" w:hAnsi="Times New Roman" w:cs="Times New Roman"/>
        </w:rPr>
        <w:br w:type="textWrapping"/>
      </w:r>
      <w:r>
        <w:rPr>
          <w:rFonts w:hint="default" w:ascii="Times New Roman" w:hAnsi="Times New Roman" w:eastAsia="Consolas" w:cs="Times New Roman"/>
          <w:sz w:val="18"/>
        </w:rPr>
        <w:t>sort p</w:t>
      </w:r>
      <w:r>
        <w:rPr>
          <w:rFonts w:hint="default" w:ascii="Times New Roman" w:hAnsi="Times New Roman" w:cs="Times New Roman"/>
        </w:rPr>
        <w:br w:type="textWrapping"/>
      </w:r>
      <w:r>
        <w:rPr>
          <w:rFonts w:hint="default" w:ascii="Times New Roman" w:hAnsi="Times New Roman" w:eastAsia="Consolas" w:cs="Times New Roman"/>
          <w:sz w:val="18"/>
        </w:rPr>
        <w:t>gen rank = _n</w:t>
      </w:r>
      <w:r>
        <w:rPr>
          <w:rFonts w:hint="default" w:ascii="Times New Roman" w:hAnsi="Times New Roman" w:cs="Times New Roman"/>
        </w:rPr>
        <w:br w:type="textWrapping"/>
      </w:r>
      <w:r>
        <w:rPr>
          <w:rFonts w:hint="default" w:ascii="Times New Roman" w:hAnsi="Times New Roman" w:eastAsia="Consolas" w:cs="Times New Roman"/>
          <w:sz w:val="18"/>
        </w:rPr>
        <w:t>gen holm_raw = ( _N - rank + 1 ) * p</w:t>
      </w:r>
      <w:r>
        <w:rPr>
          <w:rFonts w:hint="default" w:ascii="Times New Roman" w:hAnsi="Times New Roman" w:cs="Times New Roman"/>
        </w:rPr>
        <w:br w:type="textWrapping"/>
      </w:r>
      <w:r>
        <w:rPr>
          <w:rFonts w:hint="default" w:ascii="Times New Roman" w:hAnsi="Times New Roman" w:eastAsia="Consolas" w:cs="Times New Roman"/>
          <w:sz w:val="18"/>
        </w:rPr>
        <w:t>gen holm_p = holm_raw</w:t>
      </w:r>
      <w:r>
        <w:rPr>
          <w:rFonts w:hint="default" w:ascii="Times New Roman" w:hAnsi="Times New Roman" w:cs="Times New Roman"/>
        </w:rPr>
        <w:br w:type="textWrapping"/>
      </w:r>
      <w:r>
        <w:rPr>
          <w:rFonts w:hint="default" w:ascii="Times New Roman" w:hAnsi="Times New Roman" w:eastAsia="Consolas" w:cs="Times New Roman"/>
          <w:sz w:val="18"/>
        </w:rPr>
        <w:t>replace holm_p = 1 if holm_p &gt; 1</w:t>
      </w:r>
      <w:r>
        <w:rPr>
          <w:rFonts w:hint="default" w:ascii="Times New Roman" w:hAnsi="Times New Roman" w:cs="Times New Roman"/>
        </w:rPr>
        <w:br w:type="textWrapping"/>
      </w:r>
      <w:r>
        <w:rPr>
          <w:rFonts w:hint="default" w:ascii="Times New Roman" w:hAnsi="Times New Roman" w:eastAsia="Consolas" w:cs="Times New Roman"/>
          <w:sz w:val="18"/>
        </w:rPr>
        <w:t>forvalues i = 2/`=_N' {</w:t>
      </w:r>
      <w:r>
        <w:rPr>
          <w:rFonts w:hint="default" w:ascii="Times New Roman" w:hAnsi="Times New Roman" w:cs="Times New Roman"/>
        </w:rPr>
        <w:br w:type="textWrapping"/>
      </w:r>
      <w:r>
        <w:rPr>
          <w:rFonts w:hint="default" w:ascii="Times New Roman" w:hAnsi="Times New Roman" w:eastAsia="Consolas" w:cs="Times New Roman"/>
          <w:sz w:val="18"/>
        </w:rPr>
        <w:t xml:space="preserve">    local j = `i' - 1</w:t>
      </w:r>
      <w:r>
        <w:rPr>
          <w:rFonts w:hint="default" w:ascii="Times New Roman" w:hAnsi="Times New Roman" w:cs="Times New Roman"/>
        </w:rPr>
        <w:br w:type="textWrapping"/>
      </w:r>
      <w:r>
        <w:rPr>
          <w:rFonts w:hint="default" w:ascii="Times New Roman" w:hAnsi="Times New Roman" w:eastAsia="Consolas" w:cs="Times New Roman"/>
          <w:sz w:val="18"/>
        </w:rPr>
        <w:t xml:space="preserve">    replace holm_p = max(holm_p[`j'], holm_p) in `i'</w:t>
      </w:r>
      <w:r>
        <w:rPr>
          <w:rFonts w:hint="default" w:ascii="Times New Roman" w:hAnsi="Times New Roman" w:cs="Times New Roman"/>
        </w:rPr>
        <w:br w:type="textWrapping"/>
      </w:r>
      <w:r>
        <w:rPr>
          <w:rFonts w:hint="default" w:ascii="Times New Roman" w:hAnsi="Times New Roman" w:eastAsia="Consolas" w:cs="Times New Roman"/>
          <w:sz w:val="18"/>
        </w:rPr>
        <w:t>}</w:t>
      </w:r>
      <w:r>
        <w:rPr>
          <w:rFonts w:hint="default" w:ascii="Times New Roman" w:hAnsi="Times New Roman" w:cs="Times New Roman"/>
        </w:rPr>
        <w:br w:type="textWrapping"/>
      </w:r>
      <w:r>
        <w:rPr>
          <w:rFonts w:hint="default" w:ascii="Times New Roman" w:hAnsi="Times New Roman" w:eastAsia="Consolas" w:cs="Times New Roman"/>
          <w:sz w:val="18"/>
        </w:rPr>
        <w:t>list hypothesis p holm_p, noobs</w:t>
      </w:r>
    </w:p>
    <w:p w14:paraId="69A817A7">
      <w:pPr>
        <w:rPr>
          <w:rFonts w:hint="default" w:ascii="Times New Roman" w:hAnsi="Times New Roman" w:cs="Times New Roman"/>
        </w:rPr>
      </w:pPr>
    </w:p>
    <w:sectPr>
      <w:footerReference r:id="rId5" w:type="default"/>
      <w:pgSz w:w="12240" w:h="15840"/>
      <w:pgMar w:top="1080" w:right="1224" w:bottom="1080" w:left="122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BB727FF-9CF5-4E9F-AEFE-03767E7A7B0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2" w:fontKey="{5595CCFD-A2F4-475F-B0C8-E4F6C816F315}"/>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onsolas">
    <w:panose1 w:val="020B0609020204030204"/>
    <w:charset w:val="00"/>
    <w:family w:val="auto"/>
    <w:pitch w:val="default"/>
    <w:sig w:usb0="E00006FF" w:usb1="0000FCFF" w:usb2="00000001" w:usb3="00000000" w:csb0="6000019F" w:csb1="DFD70000"/>
    <w:embedRegular r:id="rId3" w:fontKey="{89870DA2-96C0-4873-AB03-C3E0876B1B74}"/>
  </w:font>
  <w:font w:name="ＭＳ 明朝">
    <w:altName w:val="FFont-Family"/>
    <w:panose1 w:val="00000000000000000000"/>
    <w:charset w:val="00"/>
    <w:family w:val="auto"/>
    <w:pitch w:val="default"/>
    <w:sig w:usb0="00000000" w:usb1="00000000" w:usb2="00000000" w:usb3="00000000" w:csb0="00000000" w:csb1="00000000"/>
    <w:embedRegular r:id="rId4" w:fontKey="{3092DAAF-A4C7-47E9-B2C6-0479F3BE8A86}"/>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771BE">
    <w:pPr>
      <w:pStyle w:val="2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95F3E66"/>
    <w:rsid w:val="42A14E98"/>
    <w:rsid w:val="6349184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59" w:lineRule="auto"/>
    </w:pPr>
    <w:rPr>
      <w:rFonts w:ascii="Arial" w:hAnsi="Arial" w:eastAsia="Arial"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5"/>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3"/>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17375E" w:themeColor="text2" w:themeShade="BF"/>
      <w:spacing w:val="5"/>
      <w:kern w:val="28"/>
      <w:sz w:val="30"/>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823</Words>
  <Characters>5014</Characters>
  <Lines>0</Lines>
  <Paragraphs>0</Paragraphs>
  <TotalTime>12</TotalTime>
  <ScaleCrop>false</ScaleCrop>
  <LinksUpToDate>false</LinksUpToDate>
  <CharactersWithSpaces>5840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 Qin</dc:creator>
  <dc:description>generated by python-docx</dc:description>
  <cp:keywords>Stata; supplementary material; reproducibility</cp:keywords>
  <cp:lastModifiedBy> Qin</cp:lastModifiedBy>
  <dcterms:modified xsi:type="dcterms:W3CDTF">2026-09-29T06:21:40Z</dcterms:modified>
  <dc:subject>Supplementary material</dc:subject>
  <dc:title>Additional file 4: Stata code for regression analyses and multiple-testing adjustments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eyJoZGlkIjoiM2RlMDJjMDNjYzVjZWNlMDEwMTllNWZmOWIzNDQ3ZDYiLCJ1c2VySWQiOiIzOTUwOTgyMTUifQ==</vt:lpwstr>
  </property>
  <property fmtid="{D5CDD505-2E9C-101B-9397-08002B2CF9AE}" pid="3" name="KSOProductBuildVer">
    <vt:lpwstr>2052-12.1.0.28505</vt:lpwstr>
  </property>
  <property fmtid="{D5CDD505-2E9C-101B-9397-08002B2CF9AE}" pid="4" name="ICV">
    <vt:lpwstr>37382EDD0FF4436480E0FD23186E0C0B_12</vt:lpwstr>
  </property>
</Properties>
</file>