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92927" w14:textId="010B9659" w:rsidR="00B31AD3" w:rsidRPr="00B839CC" w:rsidRDefault="00ED7E64" w:rsidP="00B839CC">
      <w:pPr>
        <w:spacing w:after="0" w:line="480" w:lineRule="auto"/>
        <w:jc w:val="both"/>
        <w:rPr>
          <w:rFonts w:ascii="Times New Roman" w:hAnsi="Times New Roman"/>
          <w:b/>
          <w:sz w:val="24"/>
          <w:lang w:val="en-GB"/>
        </w:rPr>
      </w:pPr>
      <w:r w:rsidRPr="00B839CC">
        <w:rPr>
          <w:rFonts w:ascii="Times New Roman" w:hAnsi="Times New Roman"/>
          <w:b/>
          <w:sz w:val="24"/>
          <w:lang w:val="en-GB"/>
        </w:rPr>
        <w:t xml:space="preserve">Additional file </w:t>
      </w:r>
      <w:r w:rsidR="00C127FB">
        <w:rPr>
          <w:rFonts w:ascii="Times New Roman" w:hAnsi="Times New Roman"/>
          <w:b/>
          <w:sz w:val="24"/>
          <w:lang w:val="en-GB"/>
        </w:rPr>
        <w:t>1</w:t>
      </w:r>
      <w:bookmarkStart w:id="0" w:name="_GoBack"/>
      <w:bookmarkEnd w:id="0"/>
      <w:r w:rsidR="00B31AD3" w:rsidRPr="00B839CC">
        <w:rPr>
          <w:rFonts w:ascii="Times New Roman" w:hAnsi="Times New Roman"/>
          <w:b/>
          <w:sz w:val="24"/>
          <w:lang w:val="en-GB"/>
        </w:rPr>
        <w:t xml:space="preserve"> List of antibodies used in this study</w:t>
      </w:r>
      <w:r w:rsidR="00B839CC" w:rsidRPr="00B839CC">
        <w:rPr>
          <w:rFonts w:ascii="Times New Roman" w:hAnsi="Times New Roman"/>
          <w:b/>
          <w:sz w:val="24"/>
          <w:lang w:val="en-GB"/>
        </w:rPr>
        <w:t>.</w:t>
      </w:r>
    </w:p>
    <w:tbl>
      <w:tblPr>
        <w:tblW w:w="5421" w:type="pct"/>
        <w:tblInd w:w="-318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1854"/>
        <w:gridCol w:w="1419"/>
        <w:gridCol w:w="1085"/>
        <w:gridCol w:w="1834"/>
        <w:gridCol w:w="1616"/>
        <w:gridCol w:w="1131"/>
      </w:tblGrid>
      <w:tr w:rsidR="00B31AD3" w:rsidRPr="00B839CC" w14:paraId="0928F636" w14:textId="77777777" w:rsidTr="00B839CC"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9DC693A" w14:textId="77777777" w:rsidR="00B31AD3" w:rsidRPr="00B839CC" w:rsidRDefault="00B31AD3" w:rsidP="00B839CC">
            <w:pPr>
              <w:pStyle w:val="Grillemoyenne21"/>
              <w:jc w:val="center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Antigen</w:t>
            </w:r>
          </w:p>
        </w:tc>
        <w:tc>
          <w:tcPr>
            <w:tcW w:w="92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7BDA86A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Primary antibody</w:t>
            </w:r>
          </w:p>
        </w:tc>
        <w:tc>
          <w:tcPr>
            <w:tcW w:w="7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1F2DC40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Source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CF852BF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 xml:space="preserve">Dilution </w:t>
            </w:r>
          </w:p>
        </w:tc>
        <w:tc>
          <w:tcPr>
            <w:tcW w:w="91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D8B5EDF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Secondary antibody</w:t>
            </w:r>
          </w:p>
        </w:tc>
        <w:tc>
          <w:tcPr>
            <w:tcW w:w="8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6C38A05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Source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838768D" w14:textId="51BE67FE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 xml:space="preserve">Dilution </w:t>
            </w:r>
          </w:p>
        </w:tc>
      </w:tr>
      <w:tr w:rsidR="00B31AD3" w:rsidRPr="00B839CC" w14:paraId="75C83698" w14:textId="77777777" w:rsidTr="00B839CC">
        <w:tc>
          <w:tcPr>
            <w:tcW w:w="559" w:type="pct"/>
            <w:tcBorders>
              <w:left w:val="nil"/>
              <w:right w:val="nil"/>
            </w:tcBorders>
            <w:shd w:val="clear" w:color="auto" w:fill="auto"/>
          </w:tcPr>
          <w:p w14:paraId="037A3A2E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CK18</w:t>
            </w:r>
          </w:p>
        </w:tc>
        <w:tc>
          <w:tcPr>
            <w:tcW w:w="921" w:type="pct"/>
            <w:tcBorders>
              <w:left w:val="nil"/>
              <w:right w:val="nil"/>
            </w:tcBorders>
            <w:shd w:val="clear" w:color="auto" w:fill="auto"/>
          </w:tcPr>
          <w:p w14:paraId="0316B1E9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Chicken polyclonal, ab14047</w:t>
            </w:r>
          </w:p>
        </w:tc>
        <w:tc>
          <w:tcPr>
            <w:tcW w:w="705" w:type="pct"/>
            <w:tcBorders>
              <w:left w:val="nil"/>
              <w:right w:val="nil"/>
            </w:tcBorders>
            <w:shd w:val="clear" w:color="auto" w:fill="auto"/>
          </w:tcPr>
          <w:p w14:paraId="18B3D7CB" w14:textId="69B8C601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Abcam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, Cambridge</w:t>
            </w:r>
            <w:r w:rsidR="00B839CC">
              <w:rPr>
                <w:rFonts w:ascii="Times New Roman" w:hAnsi="Times New Roman"/>
                <w:sz w:val="24"/>
                <w:szCs w:val="18"/>
                <w:lang w:val="en-GB"/>
              </w:rPr>
              <w:t>,</w:t>
            </w: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 xml:space="preserve"> UK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466A374D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1/100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auto"/>
          </w:tcPr>
          <w:p w14:paraId="5077AF30" w14:textId="7B85CCCA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FITC-conjugated Rabbit anti-chicken, ab6749</w:t>
            </w:r>
          </w:p>
        </w:tc>
        <w:tc>
          <w:tcPr>
            <w:tcW w:w="803" w:type="pct"/>
            <w:tcBorders>
              <w:left w:val="nil"/>
              <w:right w:val="nil"/>
            </w:tcBorders>
            <w:shd w:val="clear" w:color="auto" w:fill="auto"/>
          </w:tcPr>
          <w:p w14:paraId="1A88AB51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Abcam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, Cambridge, UK</w:t>
            </w:r>
          </w:p>
        </w:tc>
        <w:tc>
          <w:tcPr>
            <w:tcW w:w="563" w:type="pct"/>
            <w:tcBorders>
              <w:left w:val="nil"/>
              <w:right w:val="nil"/>
            </w:tcBorders>
            <w:shd w:val="clear" w:color="auto" w:fill="auto"/>
          </w:tcPr>
          <w:p w14:paraId="082104F7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1/100</w:t>
            </w:r>
          </w:p>
        </w:tc>
      </w:tr>
      <w:tr w:rsidR="00B31AD3" w:rsidRPr="00B839CC" w14:paraId="43219A56" w14:textId="77777777" w:rsidTr="00B839CC">
        <w:tc>
          <w:tcPr>
            <w:tcW w:w="559" w:type="pct"/>
            <w:shd w:val="clear" w:color="auto" w:fill="auto"/>
          </w:tcPr>
          <w:p w14:paraId="1CE34E45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CK14</w:t>
            </w:r>
          </w:p>
        </w:tc>
        <w:tc>
          <w:tcPr>
            <w:tcW w:w="921" w:type="pct"/>
            <w:shd w:val="clear" w:color="auto" w:fill="auto"/>
          </w:tcPr>
          <w:p w14:paraId="573E7A04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Mouse monoclonal anti human (clone LL002)</w:t>
            </w:r>
          </w:p>
        </w:tc>
        <w:tc>
          <w:tcPr>
            <w:tcW w:w="705" w:type="pct"/>
            <w:shd w:val="clear" w:color="auto" w:fill="auto"/>
          </w:tcPr>
          <w:p w14:paraId="12DBDA33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AbD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 xml:space="preserve"> </w:t>
            </w: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Serotec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, Oxford, UK</w:t>
            </w:r>
          </w:p>
        </w:tc>
        <w:tc>
          <w:tcPr>
            <w:tcW w:w="539" w:type="pct"/>
            <w:shd w:val="clear" w:color="auto" w:fill="auto"/>
          </w:tcPr>
          <w:p w14:paraId="174E9BD7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1/50</w:t>
            </w:r>
          </w:p>
        </w:tc>
        <w:tc>
          <w:tcPr>
            <w:tcW w:w="911" w:type="pct"/>
            <w:shd w:val="clear" w:color="auto" w:fill="auto"/>
          </w:tcPr>
          <w:p w14:paraId="3DBD3B42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RPE-conjugated Rabbit F(ab’)2 anti-mouse IgG</w:t>
            </w:r>
          </w:p>
        </w:tc>
        <w:tc>
          <w:tcPr>
            <w:tcW w:w="803" w:type="pct"/>
            <w:shd w:val="clear" w:color="auto" w:fill="auto"/>
          </w:tcPr>
          <w:p w14:paraId="1F9716A4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AbD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 xml:space="preserve"> </w:t>
            </w: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Serotec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, Oxford, UK</w:t>
            </w:r>
          </w:p>
        </w:tc>
        <w:tc>
          <w:tcPr>
            <w:tcW w:w="563" w:type="pct"/>
            <w:shd w:val="clear" w:color="auto" w:fill="auto"/>
          </w:tcPr>
          <w:p w14:paraId="024C45E2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1/50</w:t>
            </w:r>
          </w:p>
        </w:tc>
      </w:tr>
      <w:tr w:rsidR="00B31AD3" w:rsidRPr="00B839CC" w14:paraId="322FC6E1" w14:textId="77777777" w:rsidTr="00B839CC">
        <w:tc>
          <w:tcPr>
            <w:tcW w:w="559" w:type="pct"/>
            <w:tcBorders>
              <w:left w:val="nil"/>
              <w:right w:val="nil"/>
            </w:tcBorders>
            <w:shd w:val="clear" w:color="auto" w:fill="auto"/>
          </w:tcPr>
          <w:p w14:paraId="7B2AA7AA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CD24</w:t>
            </w:r>
          </w:p>
        </w:tc>
        <w:tc>
          <w:tcPr>
            <w:tcW w:w="921" w:type="pct"/>
            <w:tcBorders>
              <w:left w:val="nil"/>
              <w:right w:val="nil"/>
            </w:tcBorders>
            <w:shd w:val="clear" w:color="auto" w:fill="auto"/>
          </w:tcPr>
          <w:p w14:paraId="2E6F0E1C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PE-conjugated rat monoclonal anti mouse (clone M1/69)</w:t>
            </w:r>
          </w:p>
        </w:tc>
        <w:tc>
          <w:tcPr>
            <w:tcW w:w="705" w:type="pct"/>
            <w:tcBorders>
              <w:left w:val="nil"/>
              <w:right w:val="nil"/>
            </w:tcBorders>
            <w:shd w:val="clear" w:color="auto" w:fill="auto"/>
          </w:tcPr>
          <w:p w14:paraId="757D0AA1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BD Biosciences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590DC71C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1/30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auto"/>
          </w:tcPr>
          <w:p w14:paraId="009C6A7F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</w:p>
        </w:tc>
        <w:tc>
          <w:tcPr>
            <w:tcW w:w="803" w:type="pct"/>
            <w:tcBorders>
              <w:left w:val="nil"/>
              <w:right w:val="nil"/>
            </w:tcBorders>
            <w:shd w:val="clear" w:color="auto" w:fill="auto"/>
          </w:tcPr>
          <w:p w14:paraId="0BAE3E24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</w:p>
        </w:tc>
        <w:tc>
          <w:tcPr>
            <w:tcW w:w="563" w:type="pct"/>
            <w:tcBorders>
              <w:left w:val="nil"/>
              <w:right w:val="nil"/>
            </w:tcBorders>
            <w:shd w:val="clear" w:color="auto" w:fill="auto"/>
          </w:tcPr>
          <w:p w14:paraId="3692A0CE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</w:p>
        </w:tc>
      </w:tr>
      <w:tr w:rsidR="00B31AD3" w:rsidRPr="00B839CC" w14:paraId="6CC83CAF" w14:textId="77777777" w:rsidTr="00B839CC">
        <w:tc>
          <w:tcPr>
            <w:tcW w:w="559" w:type="pct"/>
            <w:shd w:val="clear" w:color="auto" w:fill="auto"/>
          </w:tcPr>
          <w:p w14:paraId="6DED8532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CD45</w:t>
            </w:r>
          </w:p>
        </w:tc>
        <w:tc>
          <w:tcPr>
            <w:tcW w:w="921" w:type="pct"/>
            <w:shd w:val="clear" w:color="auto" w:fill="auto"/>
          </w:tcPr>
          <w:p w14:paraId="4C1BB8BD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Mouse monoclonal anti bovine (clone CACTB51A)</w:t>
            </w:r>
          </w:p>
        </w:tc>
        <w:tc>
          <w:tcPr>
            <w:tcW w:w="705" w:type="pct"/>
            <w:shd w:val="clear" w:color="auto" w:fill="auto"/>
          </w:tcPr>
          <w:p w14:paraId="5E8B01F3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VMRD, Pullman USA</w:t>
            </w:r>
          </w:p>
        </w:tc>
        <w:tc>
          <w:tcPr>
            <w:tcW w:w="539" w:type="pct"/>
            <w:shd w:val="clear" w:color="auto" w:fill="auto"/>
          </w:tcPr>
          <w:p w14:paraId="15D6B892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1/100</w:t>
            </w:r>
          </w:p>
        </w:tc>
        <w:tc>
          <w:tcPr>
            <w:tcW w:w="911" w:type="pct"/>
            <w:shd w:val="clear" w:color="auto" w:fill="auto"/>
          </w:tcPr>
          <w:p w14:paraId="69738517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FITC conjugated swine anti-mouse</w:t>
            </w:r>
          </w:p>
        </w:tc>
        <w:tc>
          <w:tcPr>
            <w:tcW w:w="803" w:type="pct"/>
            <w:shd w:val="clear" w:color="auto" w:fill="auto"/>
          </w:tcPr>
          <w:p w14:paraId="0FC5AB36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Nordic Immunology, Tilburg, The Netherlands</w:t>
            </w:r>
          </w:p>
        </w:tc>
        <w:tc>
          <w:tcPr>
            <w:tcW w:w="563" w:type="pct"/>
            <w:shd w:val="clear" w:color="auto" w:fill="auto"/>
          </w:tcPr>
          <w:p w14:paraId="2D45E0A7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1/80</w:t>
            </w:r>
          </w:p>
        </w:tc>
      </w:tr>
      <w:tr w:rsidR="00B31AD3" w:rsidRPr="00B839CC" w14:paraId="1A2DFEA6" w14:textId="77777777" w:rsidTr="00B839CC">
        <w:tc>
          <w:tcPr>
            <w:tcW w:w="559" w:type="pct"/>
            <w:tcBorders>
              <w:left w:val="nil"/>
              <w:right w:val="nil"/>
            </w:tcBorders>
            <w:shd w:val="clear" w:color="auto" w:fill="auto"/>
          </w:tcPr>
          <w:p w14:paraId="58CCF37E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CD14</w:t>
            </w:r>
          </w:p>
        </w:tc>
        <w:tc>
          <w:tcPr>
            <w:tcW w:w="921" w:type="pct"/>
            <w:tcBorders>
              <w:left w:val="nil"/>
              <w:right w:val="nil"/>
            </w:tcBorders>
            <w:shd w:val="clear" w:color="auto" w:fill="auto"/>
          </w:tcPr>
          <w:p w14:paraId="49A61498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Alexafluor647-conjugated mouse monoclonal anti-human (clone Tük4)</w:t>
            </w:r>
          </w:p>
        </w:tc>
        <w:tc>
          <w:tcPr>
            <w:tcW w:w="705" w:type="pct"/>
            <w:tcBorders>
              <w:left w:val="nil"/>
              <w:right w:val="nil"/>
            </w:tcBorders>
            <w:shd w:val="clear" w:color="auto" w:fill="auto"/>
          </w:tcPr>
          <w:p w14:paraId="0370F3AC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AbD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 xml:space="preserve"> </w:t>
            </w: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Serotec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, Oxford, UK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1F40C8E8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1/30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auto"/>
          </w:tcPr>
          <w:p w14:paraId="13682155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803" w:type="pct"/>
            <w:tcBorders>
              <w:left w:val="nil"/>
              <w:right w:val="nil"/>
            </w:tcBorders>
            <w:shd w:val="clear" w:color="auto" w:fill="auto"/>
          </w:tcPr>
          <w:p w14:paraId="1CD3846F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563" w:type="pct"/>
            <w:tcBorders>
              <w:left w:val="nil"/>
              <w:right w:val="nil"/>
            </w:tcBorders>
            <w:shd w:val="clear" w:color="auto" w:fill="auto"/>
          </w:tcPr>
          <w:p w14:paraId="798C65E5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B31AD3" w:rsidRPr="00B839CC" w14:paraId="500748FA" w14:textId="77777777" w:rsidTr="00B839CC">
        <w:tc>
          <w:tcPr>
            <w:tcW w:w="559" w:type="pct"/>
            <w:shd w:val="clear" w:color="auto" w:fill="auto"/>
          </w:tcPr>
          <w:p w14:paraId="718EF4E7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bCs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bCs/>
                <w:sz w:val="24"/>
                <w:szCs w:val="18"/>
                <w:lang w:val="en-GB"/>
              </w:rPr>
              <w:t>CD282 (TLR2)</w:t>
            </w:r>
          </w:p>
        </w:tc>
        <w:tc>
          <w:tcPr>
            <w:tcW w:w="921" w:type="pct"/>
            <w:shd w:val="clear" w:color="auto" w:fill="auto"/>
          </w:tcPr>
          <w:p w14:paraId="14563084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Alexafluor647-conjugated human monoclonal anti-bovine (clone 12538)</w:t>
            </w:r>
          </w:p>
        </w:tc>
        <w:tc>
          <w:tcPr>
            <w:tcW w:w="705" w:type="pct"/>
            <w:shd w:val="clear" w:color="auto" w:fill="auto"/>
          </w:tcPr>
          <w:p w14:paraId="498FEF53" w14:textId="77777777" w:rsidR="00B31AD3" w:rsidRPr="00B839CC" w:rsidRDefault="00B31AD3" w:rsidP="00B839CC">
            <w:pPr>
              <w:pStyle w:val="Grillemoyenne21"/>
              <w:rPr>
                <w:rFonts w:ascii="Times New Roman" w:hAnsi="Times New Roman"/>
                <w:sz w:val="24"/>
                <w:szCs w:val="18"/>
                <w:lang w:val="en-GB"/>
              </w:rPr>
            </w:pP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AbD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 xml:space="preserve"> </w:t>
            </w:r>
            <w:proofErr w:type="spellStart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Serotec</w:t>
            </w:r>
            <w:proofErr w:type="spellEnd"/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, Oxford, UK</w:t>
            </w:r>
          </w:p>
        </w:tc>
        <w:tc>
          <w:tcPr>
            <w:tcW w:w="539" w:type="pct"/>
            <w:shd w:val="clear" w:color="auto" w:fill="auto"/>
          </w:tcPr>
          <w:p w14:paraId="31DD25E9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lang w:val="en-GB"/>
              </w:rPr>
            </w:pPr>
            <w:r w:rsidRPr="00B839CC">
              <w:rPr>
                <w:rFonts w:ascii="Times New Roman" w:hAnsi="Times New Roman"/>
                <w:sz w:val="24"/>
                <w:szCs w:val="18"/>
                <w:lang w:val="en-GB"/>
              </w:rPr>
              <w:t>1/10</w:t>
            </w:r>
          </w:p>
        </w:tc>
        <w:tc>
          <w:tcPr>
            <w:tcW w:w="911" w:type="pct"/>
            <w:shd w:val="clear" w:color="auto" w:fill="auto"/>
          </w:tcPr>
          <w:p w14:paraId="0C041E8F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803" w:type="pct"/>
            <w:shd w:val="clear" w:color="auto" w:fill="auto"/>
          </w:tcPr>
          <w:p w14:paraId="15150F4C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563" w:type="pct"/>
            <w:shd w:val="clear" w:color="auto" w:fill="auto"/>
          </w:tcPr>
          <w:p w14:paraId="63F884B0" w14:textId="77777777" w:rsidR="00B31AD3" w:rsidRPr="00B839CC" w:rsidRDefault="00B31AD3" w:rsidP="00B839CC">
            <w:pPr>
              <w:spacing w:after="0" w:line="240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42876E05" w14:textId="77777777" w:rsidR="00B21487" w:rsidRDefault="00B21487"/>
    <w:sectPr w:rsidR="00B21487" w:rsidSect="009F2EF5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D3"/>
    <w:rsid w:val="009F2EF5"/>
    <w:rsid w:val="00B21487"/>
    <w:rsid w:val="00B31AD3"/>
    <w:rsid w:val="00B839CC"/>
    <w:rsid w:val="00C127FB"/>
    <w:rsid w:val="00ED7E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AD3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illemoyenne21">
    <w:name w:val="Grille moyenne 21"/>
    <w:uiPriority w:val="1"/>
    <w:qFormat/>
    <w:rsid w:val="00B31AD3"/>
    <w:rPr>
      <w:rFonts w:ascii="Calibri" w:eastAsia="Calibri" w:hAnsi="Calibri" w:cs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AD3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illemoyenne21">
    <w:name w:val="Grille moyenne 21"/>
    <w:uiPriority w:val="1"/>
    <w:qFormat/>
    <w:rsid w:val="00B31AD3"/>
    <w:rPr>
      <w:rFonts w:ascii="Calibri" w:eastAsia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GERMON</dc:creator>
  <cp:keywords/>
  <dc:description/>
  <cp:lastModifiedBy>Abella, Jerard Dave</cp:lastModifiedBy>
  <cp:revision>4</cp:revision>
  <dcterms:created xsi:type="dcterms:W3CDTF">2015-02-06T09:37:00Z</dcterms:created>
  <dcterms:modified xsi:type="dcterms:W3CDTF">2015-05-06T11:41:00Z</dcterms:modified>
</cp:coreProperties>
</file>