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680B9F" w14:textId="264607FC" w:rsidR="008349E8" w:rsidRDefault="004F5B24" w:rsidP="00392EE9">
      <w:pPr>
        <w:pStyle w:val="ListParagraph"/>
        <w:spacing w:line="360" w:lineRule="auto"/>
        <w:ind w:left="0"/>
        <w:rPr>
          <w:lang w:val="en-US"/>
        </w:rPr>
      </w:pPr>
      <w:r>
        <w:rPr>
          <w:b/>
          <w:lang w:val="en-US"/>
        </w:rPr>
        <w:t>Additional file 2</w:t>
      </w:r>
      <w:r w:rsidR="002A525C">
        <w:rPr>
          <w:b/>
          <w:lang w:val="en-US"/>
        </w:rPr>
        <w:t>:</w:t>
      </w:r>
      <w:r w:rsidR="001E5CE3" w:rsidRPr="00B21B4F">
        <w:rPr>
          <w:lang w:val="en-US"/>
        </w:rPr>
        <w:t xml:space="preserve"> </w:t>
      </w:r>
      <w:r w:rsidR="001E5CE3">
        <w:rPr>
          <w:i/>
          <w:lang w:val="en-US"/>
        </w:rPr>
        <w:t>I</w:t>
      </w:r>
      <w:r w:rsidR="001E5CE3" w:rsidRPr="008F6FBA">
        <w:rPr>
          <w:i/>
          <w:lang w:val="en-US"/>
        </w:rPr>
        <w:t>n-</w:t>
      </w:r>
      <w:proofErr w:type="spellStart"/>
      <w:r w:rsidR="001E5CE3" w:rsidRPr="008F6FBA">
        <w:rPr>
          <w:i/>
          <w:lang w:val="en-US"/>
        </w:rPr>
        <w:t>silico</w:t>
      </w:r>
      <w:proofErr w:type="spellEnd"/>
      <w:r w:rsidR="008349E8" w:rsidRPr="00B21B4F">
        <w:rPr>
          <w:lang w:val="en-US"/>
        </w:rPr>
        <w:t xml:space="preserve"> experiments</w:t>
      </w:r>
      <w:r w:rsidR="00F04283">
        <w:rPr>
          <w:lang w:val="en-US"/>
        </w:rPr>
        <w:t xml:space="preserve"> to test the modelling framework in fully known populations</w:t>
      </w:r>
      <w:r w:rsidR="002A525C">
        <w:rPr>
          <w:lang w:val="en-US"/>
        </w:rPr>
        <w:t>.</w:t>
      </w:r>
    </w:p>
    <w:p w14:paraId="21F56141" w14:textId="154348ED" w:rsidR="008349E8" w:rsidRPr="001E5CE3" w:rsidRDefault="008349E8" w:rsidP="00392EE9">
      <w:pPr>
        <w:pStyle w:val="ListParagraph"/>
        <w:spacing w:line="360" w:lineRule="auto"/>
        <w:ind w:left="0"/>
        <w:rPr>
          <w:b/>
          <w:lang w:val="en-US"/>
        </w:rPr>
      </w:pPr>
      <w:r w:rsidRPr="001E5CE3">
        <w:rPr>
          <w:b/>
          <w:lang w:val="en-US"/>
        </w:rPr>
        <w:t>M</w:t>
      </w:r>
      <w:r w:rsidR="004F5B24">
        <w:rPr>
          <w:b/>
          <w:lang w:val="en-US"/>
        </w:rPr>
        <w:t>ETHODS</w:t>
      </w:r>
    </w:p>
    <w:p w14:paraId="4C98DA86" w14:textId="52746F0B" w:rsidR="00111F99" w:rsidRDefault="00111F99" w:rsidP="00392EE9">
      <w:pPr>
        <w:pStyle w:val="ListParagraph"/>
        <w:spacing w:line="360" w:lineRule="auto"/>
        <w:ind w:left="0" w:firstLine="360"/>
        <w:rPr>
          <w:lang w:val="en-US"/>
        </w:rPr>
      </w:pPr>
      <w:r>
        <w:rPr>
          <w:lang w:val="en-US"/>
        </w:rPr>
        <w:t xml:space="preserve">We tested our framework with a series of toy examples. We constructed fully known populations in which we varied the values of four key parameters in order to investigate their influence on the estimation of vertical and vector-borne transmission: the probability of vertical transmission in the population, the size of the dataset, the level of exposure to vector-borne transmission, and the spatial heterogeneity of that exposure in the study area. We did not investigate the temporal heterogeneity of exposure to vector-borne transmission as </w:t>
      </w:r>
      <w:r w:rsidR="006C0716">
        <w:rPr>
          <w:lang w:val="en-US"/>
        </w:rPr>
        <w:t xml:space="preserve">we did not detect </w:t>
      </w:r>
      <w:r>
        <w:rPr>
          <w:lang w:val="en-US"/>
        </w:rPr>
        <w:t>a</w:t>
      </w:r>
      <w:r w:rsidR="006C0716">
        <w:rPr>
          <w:lang w:val="en-US"/>
        </w:rPr>
        <w:t>ny</w:t>
      </w:r>
      <w:r>
        <w:rPr>
          <w:lang w:val="en-US"/>
        </w:rPr>
        <w:t xml:space="preserve"> significant difference in the temporal distribution of RT-PCR+ results </w:t>
      </w:r>
      <w:r w:rsidR="006C0716">
        <w:rPr>
          <w:lang w:val="en-US"/>
        </w:rPr>
        <w:t>of calves</w:t>
      </w:r>
      <w:r w:rsidR="00E2207F">
        <w:rPr>
          <w:lang w:val="en-US"/>
        </w:rPr>
        <w:t xml:space="preserve"> &lt;3months</w:t>
      </w:r>
      <w:r w:rsidR="006C0716">
        <w:rPr>
          <w:lang w:val="en-US"/>
        </w:rPr>
        <w:t xml:space="preserve"> </w:t>
      </w:r>
      <w:r>
        <w:rPr>
          <w:lang w:val="en-US"/>
        </w:rPr>
        <w:t xml:space="preserve">in the area where most of the 2016 BTV-8 circulation occurred. </w:t>
      </w:r>
    </w:p>
    <w:p w14:paraId="1F042E62" w14:textId="43DD424E" w:rsidR="00111F99" w:rsidRDefault="00111F99" w:rsidP="00392EE9">
      <w:pPr>
        <w:pStyle w:val="ListParagraph"/>
        <w:spacing w:line="360" w:lineRule="auto"/>
        <w:ind w:left="0" w:firstLine="360"/>
        <w:rPr>
          <w:lang w:val="en-GB"/>
        </w:rPr>
      </w:pPr>
      <w:r>
        <w:rPr>
          <w:lang w:val="en-US"/>
        </w:rPr>
        <w:t xml:space="preserve">We generated a synthetic population </w:t>
      </w:r>
      <w:r w:rsidRPr="00060023">
        <w:rPr>
          <w:lang w:val="en-US"/>
        </w:rPr>
        <w:t xml:space="preserve">of </w:t>
      </w:r>
      <w:r>
        <w:rPr>
          <w:lang w:val="en-US"/>
        </w:rPr>
        <w:t xml:space="preserve">finite </w:t>
      </w:r>
      <w:r w:rsidRPr="00060023">
        <w:rPr>
          <w:lang w:val="en-US"/>
        </w:rPr>
        <w:t xml:space="preserve">size </w:t>
      </w:r>
      <w:r>
        <w:rPr>
          <w:lang w:val="en-US"/>
        </w:rPr>
        <w:t>N=</w:t>
      </w:r>
      <w:r w:rsidRPr="00060023">
        <w:rPr>
          <w:lang w:val="en-US"/>
        </w:rPr>
        <w:t>15</w:t>
      </w:r>
      <w:r w:rsidR="007144EC">
        <w:rPr>
          <w:lang w:val="en-US"/>
        </w:rPr>
        <w:t> </w:t>
      </w:r>
      <w:r w:rsidRPr="00060023">
        <w:rPr>
          <w:lang w:val="en-US"/>
        </w:rPr>
        <w:t>000</w:t>
      </w:r>
      <w:r>
        <w:rPr>
          <w:lang w:val="en-US"/>
        </w:rPr>
        <w:t xml:space="preserve"> with the same distributions of age classes and sampling dates as that of the population of sampled cattle. We applied the same known monthly forces of vector-borne infection to calves and dams: </w:t>
      </w:r>
      <w:r w:rsidRPr="00645E2B">
        <w:rPr>
          <w:lang w:val="en-GB"/>
        </w:rPr>
        <w:t xml:space="preserve">from </w:t>
      </w:r>
      <w:r>
        <w:rPr>
          <w:lang w:val="en-GB"/>
        </w:rPr>
        <w:t xml:space="preserve">June 2016, </w:t>
      </w:r>
      <w:r w:rsidRPr="00645E2B">
        <w:rPr>
          <w:lang w:val="en-GB"/>
        </w:rPr>
        <w:t>or their birthdate</w:t>
      </w:r>
      <w:r>
        <w:rPr>
          <w:lang w:val="en-GB"/>
        </w:rPr>
        <w:t xml:space="preserve"> if later,</w:t>
      </w:r>
      <w:r w:rsidRPr="00645E2B">
        <w:rPr>
          <w:lang w:val="en-GB"/>
        </w:rPr>
        <w:t xml:space="preserve"> to their sampling date</w:t>
      </w:r>
      <w:r>
        <w:rPr>
          <w:lang w:val="en-GB"/>
        </w:rPr>
        <w:t xml:space="preserve">, for calves; from June 2016 to parturition date for dams. </w:t>
      </w:r>
    </w:p>
    <w:p w14:paraId="3B2E89CA" w14:textId="131B1C4F" w:rsidR="004B43B6" w:rsidRDefault="00111F99" w:rsidP="00392EE9">
      <w:pPr>
        <w:pStyle w:val="ListParagraph"/>
        <w:spacing w:line="360" w:lineRule="auto"/>
        <w:ind w:left="0" w:firstLine="360"/>
        <w:rPr>
          <w:lang w:val="en-US"/>
        </w:rPr>
      </w:pPr>
      <w:r>
        <w:rPr>
          <w:lang w:val="en-US"/>
        </w:rPr>
        <w:t>We compared three exposure p</w:t>
      </w:r>
      <w:r w:rsidRPr="00020E09">
        <w:rPr>
          <w:lang w:val="en-US"/>
        </w:rPr>
        <w:t xml:space="preserve">atterns </w:t>
      </w:r>
      <w:r>
        <w:rPr>
          <w:lang w:val="en-US"/>
        </w:rPr>
        <w:t>to vector-borne infection</w:t>
      </w:r>
      <w:r w:rsidR="00BD1108">
        <w:rPr>
          <w:lang w:val="en-US"/>
        </w:rPr>
        <w:t xml:space="preserve">. In all of them, </w:t>
      </w:r>
      <w:r w:rsidR="00BD1108" w:rsidRPr="00FF0F8C">
        <w:rPr>
          <w:lang w:val="en-US"/>
        </w:rPr>
        <w:t>we assumed that there would be a peak in the probability of infection</w:t>
      </w:r>
      <w:r w:rsidR="00BD1108" w:rsidRPr="00BD1108">
        <w:rPr>
          <w:lang w:val="en-US"/>
        </w:rPr>
        <w:t xml:space="preserve"> </w:t>
      </w:r>
      <w:r w:rsidR="00BD1108">
        <w:rPr>
          <w:lang w:val="en-US"/>
        </w:rPr>
        <w:t>with most transmission occurring in September and October</w:t>
      </w:r>
      <w:r w:rsidR="00BD1108" w:rsidRPr="00FF0F8C">
        <w:rPr>
          <w:lang w:val="en-US"/>
        </w:rPr>
        <w:t>, as suggested by the distribution of RT-PCR</w:t>
      </w:r>
      <w:r w:rsidR="00BD1108">
        <w:rPr>
          <w:lang w:val="en-US"/>
        </w:rPr>
        <w:t xml:space="preserve"> results</w:t>
      </w:r>
      <w:r w:rsidR="004B43B6">
        <w:rPr>
          <w:lang w:val="en-US"/>
        </w:rPr>
        <w:t xml:space="preserve">. </w:t>
      </w:r>
      <w:r w:rsidR="00BD1108">
        <w:rPr>
          <w:lang w:val="en-US"/>
        </w:rPr>
        <w:t xml:space="preserve">We varied the size of the peak, </w:t>
      </w:r>
      <w:r w:rsidR="00BD1108" w:rsidRPr="004B43B6">
        <w:rPr>
          <w:i/>
          <w:lang w:val="en-US"/>
        </w:rPr>
        <w:t>i.e.</w:t>
      </w:r>
      <w:r w:rsidR="00BD1108">
        <w:rPr>
          <w:lang w:val="en-US"/>
        </w:rPr>
        <w:t xml:space="preserve"> the level of exposure, in each of these scenarios</w:t>
      </w:r>
      <w:r w:rsidR="004B43B6">
        <w:rPr>
          <w:lang w:val="en-US"/>
        </w:rPr>
        <w:t>,</w:t>
      </w:r>
      <w:r w:rsidR="00BD1108">
        <w:rPr>
          <w:lang w:val="en-US"/>
        </w:rPr>
        <w:t xml:space="preserve"> </w:t>
      </w:r>
      <w:r w:rsidR="005B11E6" w:rsidRPr="004B43B6">
        <w:rPr>
          <w:lang w:val="en-US"/>
        </w:rPr>
        <w:t>called H</w:t>
      </w:r>
      <w:r w:rsidRPr="004B43B6">
        <w:rPr>
          <w:lang w:val="en-US"/>
        </w:rPr>
        <w:t>, M, and L, for high, medium and low-level of exposure respectively</w:t>
      </w:r>
      <w:r w:rsidR="004B43B6" w:rsidRPr="004B43B6">
        <w:rPr>
          <w:lang w:val="en-US"/>
        </w:rPr>
        <w:t xml:space="preserve"> (</w:t>
      </w:r>
      <w:r w:rsidR="006E2D78">
        <w:rPr>
          <w:lang w:val="en-US"/>
        </w:rPr>
        <w:t>Figure AF.2.</w:t>
      </w:r>
      <w:r w:rsidR="00E2207F" w:rsidRPr="004B43B6">
        <w:rPr>
          <w:lang w:val="en-US"/>
        </w:rPr>
        <w:t>A</w:t>
      </w:r>
      <w:r w:rsidRPr="004B43B6">
        <w:rPr>
          <w:lang w:val="en-US"/>
        </w:rPr>
        <w:t>-C.).</w:t>
      </w:r>
      <w:r>
        <w:rPr>
          <w:lang w:val="en-US"/>
        </w:rPr>
        <w:t xml:space="preserve"> </w:t>
      </w:r>
      <w:r w:rsidR="00BD1108">
        <w:rPr>
          <w:lang w:val="en-US"/>
        </w:rPr>
        <w:t>W</w:t>
      </w:r>
      <w:r w:rsidR="00BD1108" w:rsidRPr="004B43B6">
        <w:rPr>
          <w:lang w:val="en-US"/>
        </w:rPr>
        <w:t xml:space="preserve">e fixed the size of the peak in the two extreme scenarios </w:t>
      </w:r>
      <w:r w:rsidR="00BD1108">
        <w:rPr>
          <w:lang w:val="en-US"/>
        </w:rPr>
        <w:t>based on a previous study in which we used similar catalytic models to study the evolution of the probability of seroconversion in French cattle from the emergence to the re-emergen</w:t>
      </w:r>
      <w:r w:rsidR="00AD5D0F">
        <w:rPr>
          <w:lang w:val="en-US"/>
        </w:rPr>
        <w:t>ce [3</w:t>
      </w:r>
      <w:r w:rsidR="0094028C">
        <w:rPr>
          <w:lang w:val="en-US"/>
        </w:rPr>
        <w:t>3</w:t>
      </w:r>
      <w:r w:rsidR="00AD5D0F">
        <w:rPr>
          <w:lang w:val="en-US"/>
        </w:rPr>
        <w:t>]</w:t>
      </w:r>
      <w:r w:rsidR="00BD1108">
        <w:rPr>
          <w:lang w:val="en-US"/>
        </w:rPr>
        <w:t xml:space="preserve">: the scenario of high exposure resulted in a peak higher than the highest reconstructed in that study, </w:t>
      </w:r>
      <w:r w:rsidR="004B43B6">
        <w:rPr>
          <w:lang w:val="en-US"/>
        </w:rPr>
        <w:t>wh</w:t>
      </w:r>
      <w:r w:rsidR="00BD1108">
        <w:rPr>
          <w:lang w:val="en-US"/>
        </w:rPr>
        <w:t xml:space="preserve">ile the low-level scenario resulted in the smallest distinguishable peak. </w:t>
      </w:r>
    </w:p>
    <w:p w14:paraId="7E743386" w14:textId="46C62963" w:rsidR="00111F99" w:rsidRDefault="00111F99" w:rsidP="00392EE9">
      <w:pPr>
        <w:pStyle w:val="ListParagraph"/>
        <w:spacing w:line="360" w:lineRule="auto"/>
        <w:ind w:left="0" w:firstLine="360"/>
        <w:rPr>
          <w:lang w:val="en-US"/>
        </w:rPr>
      </w:pPr>
      <w:r>
        <w:rPr>
          <w:lang w:val="en-US"/>
        </w:rPr>
        <w:t xml:space="preserve">We first considered the same exposure pattern to vector-borne infection for all cattle and explored three “homogeneous exposure scenarios”: 100% exposure to H, M or L, respectively. To simulate spatial heterogeneity of virus circulation, we also explored five “heterogeneous exposure scenarios”: 33% </w:t>
      </w:r>
      <w:r w:rsidRPr="00365F11">
        <w:rPr>
          <w:lang w:val="en-US"/>
        </w:rPr>
        <w:t>exposure to each pattern</w:t>
      </w:r>
      <w:r>
        <w:rPr>
          <w:lang w:val="en-US"/>
        </w:rPr>
        <w:t>,</w:t>
      </w:r>
      <w:r w:rsidRPr="0039630A">
        <w:rPr>
          <w:lang w:val="en-US"/>
        </w:rPr>
        <w:t xml:space="preserve"> </w:t>
      </w:r>
      <w:r>
        <w:rPr>
          <w:lang w:val="en-US"/>
        </w:rPr>
        <w:t>70</w:t>
      </w:r>
      <w:r w:rsidRPr="00365F11">
        <w:rPr>
          <w:lang w:val="en-US"/>
        </w:rPr>
        <w:t xml:space="preserve">% exposure to </w:t>
      </w:r>
      <w:r>
        <w:rPr>
          <w:lang w:val="en-US"/>
        </w:rPr>
        <w:t>a pattern and 15% to the two others (three</w:t>
      </w:r>
      <w:r w:rsidRPr="00365F11">
        <w:rPr>
          <w:lang w:val="en-US"/>
        </w:rPr>
        <w:t xml:space="preserve"> combinations</w:t>
      </w:r>
      <w:r>
        <w:rPr>
          <w:lang w:val="en-US"/>
        </w:rPr>
        <w:t>), 50% exposure to H and M; and we randomly selected cattle exposed to each pattern given these proportions.</w:t>
      </w:r>
    </w:p>
    <w:p w14:paraId="4AE99849" w14:textId="79D9C4F5" w:rsidR="00111F99" w:rsidRDefault="00111F99" w:rsidP="00392EE9">
      <w:pPr>
        <w:spacing w:line="360" w:lineRule="auto"/>
        <w:ind w:firstLine="360"/>
        <w:rPr>
          <w:lang w:val="en-US"/>
        </w:rPr>
      </w:pPr>
      <w:r>
        <w:rPr>
          <w:lang w:val="en-GB"/>
        </w:rPr>
        <w:lastRenderedPageBreak/>
        <w:t xml:space="preserve">Calves </w:t>
      </w:r>
      <w:r>
        <w:rPr>
          <w:lang w:val="en-US"/>
        </w:rPr>
        <w:t xml:space="preserve">born before June 2016 were additionally exposed to vertical transmission </w:t>
      </w:r>
      <w:r w:rsidRPr="00874898">
        <w:rPr>
          <w:lang w:val="en-US"/>
        </w:rPr>
        <w:t>fro</w:t>
      </w:r>
      <w:r>
        <w:rPr>
          <w:lang w:val="en-US"/>
        </w:rPr>
        <w:t>m infected gestating heifers, and we applied a probability of 50% vertical transmission. We varied the probability</w:t>
      </w:r>
      <w:r w:rsidRPr="00874898">
        <w:rPr>
          <w:lang w:val="en-US"/>
        </w:rPr>
        <w:t xml:space="preserve"> of vertical transmission</w:t>
      </w:r>
      <w:r>
        <w:rPr>
          <w:lang w:val="en-US"/>
        </w:rPr>
        <w:t xml:space="preserve"> (</w:t>
      </w:r>
      <w:r w:rsidRPr="00020E09">
        <w:rPr>
          <w:lang w:val="pt-BR"/>
        </w:rPr>
        <w:t>γ</w:t>
      </w:r>
      <w:r>
        <w:rPr>
          <w:lang w:val="en-US"/>
        </w:rPr>
        <w:t>=25%, 75%), and decreased the size of the synthetic population (N=10</w:t>
      </w:r>
      <w:r w:rsidR="007144EC">
        <w:rPr>
          <w:lang w:val="en-US"/>
        </w:rPr>
        <w:t> </w:t>
      </w:r>
      <w:r>
        <w:rPr>
          <w:lang w:val="en-US"/>
        </w:rPr>
        <w:t>000; 5</w:t>
      </w:r>
      <w:r w:rsidR="00756884">
        <w:rPr>
          <w:lang w:val="en-US"/>
        </w:rPr>
        <w:t> </w:t>
      </w:r>
      <w:r>
        <w:rPr>
          <w:lang w:val="en-US"/>
        </w:rPr>
        <w:t>000; 2</w:t>
      </w:r>
      <w:r w:rsidR="00756884">
        <w:rPr>
          <w:lang w:val="en-US"/>
        </w:rPr>
        <w:t> </w:t>
      </w:r>
      <w:r>
        <w:rPr>
          <w:lang w:val="en-US"/>
        </w:rPr>
        <w:t>500) in the homogeneous exposure scenarios.</w:t>
      </w:r>
    </w:p>
    <w:p w14:paraId="7E84050D" w14:textId="77777777" w:rsidR="00111F99" w:rsidRDefault="00111F99" w:rsidP="00392EE9">
      <w:pPr>
        <w:pStyle w:val="ListParagraph"/>
        <w:spacing w:line="360" w:lineRule="auto"/>
        <w:ind w:left="0" w:firstLine="360"/>
        <w:rPr>
          <w:lang w:val="en-US"/>
        </w:rPr>
      </w:pPr>
      <w:r>
        <w:rPr>
          <w:lang w:val="en-US"/>
        </w:rPr>
        <w:t>We then computed animal-level probability of testing RT-PCR positive in each scenario and simulated sets of RT-PCR results by successive binomial draws. We used these simulated datasets to estimate vertical transmission and monthly probabilities of vector-borne infection that we compared to the input ones.</w:t>
      </w:r>
    </w:p>
    <w:p w14:paraId="29C2D071" w14:textId="0E767F89" w:rsidR="00111F99" w:rsidRDefault="00111F99" w:rsidP="00392EE9">
      <w:pPr>
        <w:spacing w:line="360" w:lineRule="auto"/>
        <w:ind w:firstLine="360"/>
        <w:rPr>
          <w:lang w:val="en-US"/>
        </w:rPr>
      </w:pPr>
      <w:r w:rsidRPr="00F262FF">
        <w:rPr>
          <w:lang w:val="en-US"/>
        </w:rPr>
        <w:t xml:space="preserve">In </w:t>
      </w:r>
      <w:r>
        <w:rPr>
          <w:lang w:val="en-US"/>
        </w:rPr>
        <w:t xml:space="preserve">the </w:t>
      </w:r>
      <w:r w:rsidRPr="00F262FF">
        <w:rPr>
          <w:lang w:val="en-US"/>
        </w:rPr>
        <w:t>heterogeneous exposure</w:t>
      </w:r>
      <w:r>
        <w:rPr>
          <w:lang w:val="en-US"/>
        </w:rPr>
        <w:t xml:space="preserve"> scenarios</w:t>
      </w:r>
      <w:r w:rsidRPr="00F262FF">
        <w:rPr>
          <w:lang w:val="en-US"/>
        </w:rPr>
        <w:t xml:space="preserve">, </w:t>
      </w:r>
      <w:r>
        <w:rPr>
          <w:lang w:val="en-US"/>
        </w:rPr>
        <w:t xml:space="preserve">we compared two models: </w:t>
      </w:r>
      <w:r w:rsidRPr="00277DD4">
        <w:rPr>
          <w:i/>
          <w:lang w:val="en-US"/>
        </w:rPr>
        <w:t xml:space="preserve">model </w:t>
      </w:r>
      <w:r w:rsidR="0062551E" w:rsidRPr="00277DD4">
        <w:rPr>
          <w:i/>
          <w:lang w:val="en-US"/>
        </w:rPr>
        <w:t>one</w:t>
      </w:r>
      <w:r w:rsidR="0062551E">
        <w:rPr>
          <w:i/>
          <w:lang w:val="en-US"/>
        </w:rPr>
        <w:t>-</w:t>
      </w:r>
      <w:r w:rsidRPr="00277DD4">
        <w:rPr>
          <w:i/>
          <w:lang w:val="en-US"/>
        </w:rPr>
        <w:t>area</w:t>
      </w:r>
      <w:r>
        <w:rPr>
          <w:lang w:val="en-US"/>
        </w:rPr>
        <w:t xml:space="preserve">, that did not account for spatial heterogeneity in exposure and allowed reconstructing a </w:t>
      </w:r>
      <w:r w:rsidRPr="007F6CBF">
        <w:rPr>
          <w:lang w:val="en-US"/>
        </w:rPr>
        <w:t xml:space="preserve">unique set of monthly probabilities of vector-borne infection </w:t>
      </w:r>
      <w:r>
        <w:rPr>
          <w:lang w:val="en-US"/>
        </w:rPr>
        <w:t>in the whole area and a unique probability of vertical transmission</w:t>
      </w:r>
      <w:r w:rsidRPr="007F6CBF">
        <w:rPr>
          <w:lang w:val="en-US"/>
        </w:rPr>
        <w:t>;</w:t>
      </w:r>
      <w:r>
        <w:rPr>
          <w:lang w:val="en-US"/>
        </w:rPr>
        <w:t xml:space="preserve"> and </w:t>
      </w:r>
      <w:r w:rsidRPr="00277DD4">
        <w:rPr>
          <w:i/>
          <w:lang w:val="en-US"/>
        </w:rPr>
        <w:t>model sub-areas</w:t>
      </w:r>
      <w:r>
        <w:rPr>
          <w:lang w:val="en-US"/>
        </w:rPr>
        <w:t>, in which the whole area was sub-divided into areas grouping together animals with similar exposure patterns allowing the reconstruction</w:t>
      </w:r>
      <w:r w:rsidRPr="00E20668">
        <w:rPr>
          <w:lang w:val="en-US"/>
        </w:rPr>
        <w:t xml:space="preserve"> </w:t>
      </w:r>
      <w:r>
        <w:rPr>
          <w:lang w:val="en-US"/>
        </w:rPr>
        <w:t>of distinct probability sets of vector-borne infection for each sub-area, but the probability of vertical transmission for all sub-areas was unique.</w:t>
      </w:r>
    </w:p>
    <w:p w14:paraId="5576192C" w14:textId="15D1F3B1" w:rsidR="004F5B24" w:rsidRDefault="00111F99" w:rsidP="00392EE9">
      <w:pPr>
        <w:spacing w:line="360" w:lineRule="auto"/>
        <w:ind w:firstLine="720"/>
        <w:rPr>
          <w:lang w:val="en-US"/>
        </w:rPr>
      </w:pPr>
      <w:r>
        <w:rPr>
          <w:lang w:val="en-US"/>
        </w:rPr>
        <w:t xml:space="preserve">In these scenarios where cattle from the various sub-areas had been exposed differently to vector bites, we needed a measure to approximate </w:t>
      </w:r>
      <w:r w:rsidRPr="00BC2839">
        <w:rPr>
          <w:lang w:val="en-US"/>
        </w:rPr>
        <w:t xml:space="preserve">the </w:t>
      </w:r>
      <w:r>
        <w:rPr>
          <w:lang w:val="en-US"/>
        </w:rPr>
        <w:t xml:space="preserve">global </w:t>
      </w:r>
      <w:r w:rsidRPr="00BC2839">
        <w:rPr>
          <w:lang w:val="en-US"/>
        </w:rPr>
        <w:t xml:space="preserve">level of exposure </w:t>
      </w:r>
      <w:r>
        <w:rPr>
          <w:lang w:val="en-US"/>
        </w:rPr>
        <w:t>to vector-borne infection in the whole study area. We thus used the RT-PCR proportion of positive results (RT-PCR+ %)</w:t>
      </w:r>
      <w:r w:rsidRPr="00BC2839">
        <w:rPr>
          <w:lang w:val="en-US"/>
        </w:rPr>
        <w:t xml:space="preserve"> in cattle </w:t>
      </w:r>
      <w:r>
        <w:rPr>
          <w:lang w:val="en-US"/>
        </w:rPr>
        <w:t>only</w:t>
      </w:r>
      <w:r w:rsidRPr="00BC2839">
        <w:rPr>
          <w:lang w:val="en-US"/>
        </w:rPr>
        <w:t xml:space="preserve"> exposed to </w:t>
      </w:r>
      <w:r>
        <w:rPr>
          <w:lang w:val="en-US"/>
        </w:rPr>
        <w:t xml:space="preserve">vector bites, calculated over the whole period from June to December 2016, as a proxy of the cumulative exposure to infectious bites (Table </w:t>
      </w:r>
      <w:r w:rsidR="004F5B24">
        <w:rPr>
          <w:lang w:val="en-US"/>
        </w:rPr>
        <w:t>AF2.1</w:t>
      </w:r>
      <w:r>
        <w:rPr>
          <w:lang w:val="en-US"/>
        </w:rPr>
        <w:t>).</w:t>
      </w:r>
    </w:p>
    <w:p w14:paraId="31C3372C" w14:textId="7D9897FF" w:rsidR="00111F99" w:rsidRDefault="00111F99" w:rsidP="00E97C07">
      <w:pPr>
        <w:spacing w:line="360" w:lineRule="auto"/>
        <w:rPr>
          <w:lang w:val="en-US"/>
        </w:rPr>
      </w:pPr>
      <w:r>
        <w:rPr>
          <w:lang w:val="en-US"/>
        </w:rPr>
        <w:t xml:space="preserve">   </w:t>
      </w:r>
      <w:r w:rsidRPr="00BC2839">
        <w:rPr>
          <w:lang w:val="en-US"/>
        </w:rPr>
        <w:t xml:space="preserve"> </w:t>
      </w:r>
      <w:r>
        <w:rPr>
          <w:lang w:val="en-US"/>
        </w:rPr>
        <w:t xml:space="preserve"> </w:t>
      </w:r>
    </w:p>
    <w:p w14:paraId="261FB046" w14:textId="73DF3F30" w:rsidR="00B21B4F" w:rsidRPr="001E5CE3" w:rsidRDefault="00111F99" w:rsidP="004F5B24">
      <w:pPr>
        <w:pStyle w:val="ListParagraph"/>
        <w:spacing w:line="360" w:lineRule="auto"/>
        <w:ind w:left="0"/>
        <w:rPr>
          <w:b/>
          <w:lang w:val="en-US"/>
        </w:rPr>
      </w:pPr>
      <w:r w:rsidRPr="001E5CE3">
        <w:rPr>
          <w:b/>
          <w:lang w:val="en-US"/>
        </w:rPr>
        <w:t>RESULTS</w:t>
      </w:r>
      <w:r w:rsidR="00B21B4F" w:rsidRPr="001E5CE3">
        <w:rPr>
          <w:b/>
          <w:lang w:val="en-US"/>
        </w:rPr>
        <w:t xml:space="preserve"> </w:t>
      </w:r>
    </w:p>
    <w:p w14:paraId="28BA3AD5" w14:textId="673AE174" w:rsidR="00B21B4F" w:rsidRPr="002A525C" w:rsidRDefault="00B21B4F" w:rsidP="004F5B24">
      <w:pPr>
        <w:pStyle w:val="Heading3"/>
        <w:spacing w:line="360" w:lineRule="auto"/>
        <w:rPr>
          <w:b w:val="0"/>
          <w:i/>
        </w:rPr>
      </w:pPr>
      <w:r w:rsidRPr="002A525C">
        <w:rPr>
          <w:b w:val="0"/>
          <w:i/>
        </w:rPr>
        <w:t xml:space="preserve">Impact of the level of vector-borne virus circulation, </w:t>
      </w:r>
      <w:r w:rsidR="001A3701" w:rsidRPr="002A525C">
        <w:rPr>
          <w:b w:val="0"/>
          <w:i/>
        </w:rPr>
        <w:t>probability</w:t>
      </w:r>
      <w:r w:rsidRPr="002A525C">
        <w:rPr>
          <w:b w:val="0"/>
          <w:i/>
        </w:rPr>
        <w:t xml:space="preserve"> of vertical transmission and dataset size in the homogeneous exposure scenarios</w:t>
      </w:r>
    </w:p>
    <w:p w14:paraId="0B6FC936" w14:textId="43290BFE" w:rsidR="00B21B4F" w:rsidRPr="006E50D9" w:rsidRDefault="00B21B4F" w:rsidP="004F5B24">
      <w:pPr>
        <w:spacing w:line="360" w:lineRule="auto"/>
        <w:ind w:firstLine="720"/>
        <w:rPr>
          <w:lang w:val="en-US"/>
        </w:rPr>
      </w:pPr>
      <w:r>
        <w:rPr>
          <w:lang w:val="en-US"/>
        </w:rPr>
        <w:t xml:space="preserve">In the high and medium homogeneous exposure scenarios to vector-borne infection, we correctly estimated the average </w:t>
      </w:r>
      <w:r w:rsidR="001A3701">
        <w:rPr>
          <w:lang w:val="en-US"/>
        </w:rPr>
        <w:t>probability</w:t>
      </w:r>
      <w:r>
        <w:rPr>
          <w:lang w:val="en-US"/>
        </w:rPr>
        <w:t xml:space="preserve"> of vertical transmission (</w:t>
      </w:r>
      <w:r w:rsidRPr="000E6319">
        <w:rPr>
          <w:lang w:val="el-GR"/>
        </w:rPr>
        <w:t>γ</w:t>
      </w:r>
      <w:r>
        <w:rPr>
          <w:lang w:val="en-US"/>
        </w:rPr>
        <w:t>) in the synthetic population</w:t>
      </w:r>
      <w:r w:rsidR="00E746B6">
        <w:rPr>
          <w:lang w:val="en-US"/>
        </w:rPr>
        <w:t xml:space="preserve"> (</w:t>
      </w:r>
      <w:r w:rsidR="006E2D78">
        <w:rPr>
          <w:lang w:val="en-US"/>
        </w:rPr>
        <w:t>Figure AF.1</w:t>
      </w:r>
      <w:r w:rsidR="00E746B6">
        <w:rPr>
          <w:lang w:val="en-US"/>
        </w:rPr>
        <w:t>.A-B)</w:t>
      </w:r>
      <w:r>
        <w:rPr>
          <w:lang w:val="en-US"/>
        </w:rPr>
        <w:t xml:space="preserve">. The mean estimated </w:t>
      </w:r>
      <w:r w:rsidRPr="000E6319">
        <w:rPr>
          <w:lang w:val="el-GR"/>
        </w:rPr>
        <w:t>γ</w:t>
      </w:r>
      <w:r>
        <w:rPr>
          <w:lang w:val="en-US"/>
        </w:rPr>
        <w:t xml:space="preserve"> values matched the input value for the three </w:t>
      </w:r>
      <w:r w:rsidR="001A3701">
        <w:rPr>
          <w:lang w:val="en-US"/>
        </w:rPr>
        <w:t xml:space="preserve">probabilities </w:t>
      </w:r>
      <w:r>
        <w:rPr>
          <w:lang w:val="en-US"/>
        </w:rPr>
        <w:t>tested (γ=25%, 50%, 75%</w:t>
      </w:r>
      <w:r w:rsidR="00E746B6">
        <w:rPr>
          <w:lang w:val="en-US"/>
        </w:rPr>
        <w:t xml:space="preserve">, </w:t>
      </w:r>
      <w:r w:rsidR="006E2D78">
        <w:rPr>
          <w:lang w:val="en-US"/>
        </w:rPr>
        <w:t>Figure AF.1</w:t>
      </w:r>
      <w:r w:rsidR="00E746B6">
        <w:rPr>
          <w:lang w:val="en-US"/>
        </w:rPr>
        <w:t>.A</w:t>
      </w:r>
      <w:r>
        <w:rPr>
          <w:lang w:val="en-US"/>
        </w:rPr>
        <w:t>) and for all dataset sizes (N=15</w:t>
      </w:r>
      <w:r w:rsidR="007144EC">
        <w:rPr>
          <w:lang w:val="en-US"/>
        </w:rPr>
        <w:t> </w:t>
      </w:r>
      <w:r>
        <w:rPr>
          <w:lang w:val="en-US"/>
        </w:rPr>
        <w:t>000, 10</w:t>
      </w:r>
      <w:r w:rsidR="007144EC">
        <w:rPr>
          <w:lang w:val="en-US"/>
        </w:rPr>
        <w:t> </w:t>
      </w:r>
      <w:r>
        <w:rPr>
          <w:lang w:val="en-US"/>
        </w:rPr>
        <w:t>000, 5</w:t>
      </w:r>
      <w:r w:rsidR="00756884">
        <w:rPr>
          <w:lang w:val="en-US"/>
        </w:rPr>
        <w:t> </w:t>
      </w:r>
      <w:r w:rsidR="007144EC">
        <w:rPr>
          <w:lang w:val="en-US"/>
        </w:rPr>
        <w:t>000, 2</w:t>
      </w:r>
      <w:r w:rsidR="00E746B6">
        <w:rPr>
          <w:lang w:val="en-US"/>
        </w:rPr>
        <w:t> </w:t>
      </w:r>
      <w:r>
        <w:rPr>
          <w:lang w:val="en-US"/>
        </w:rPr>
        <w:t>500</w:t>
      </w:r>
      <w:r w:rsidR="00E746B6">
        <w:rPr>
          <w:lang w:val="en-US"/>
        </w:rPr>
        <w:t xml:space="preserve">, </w:t>
      </w:r>
      <w:r w:rsidR="006E2D78">
        <w:rPr>
          <w:lang w:val="en-US"/>
        </w:rPr>
        <w:t>Figure AF.1</w:t>
      </w:r>
      <w:r w:rsidR="00E746B6">
        <w:rPr>
          <w:lang w:val="en-US"/>
        </w:rPr>
        <w:t>.B</w:t>
      </w:r>
      <w:r>
        <w:rPr>
          <w:lang w:val="en-US"/>
        </w:rPr>
        <w:t>).</w:t>
      </w:r>
      <w:r w:rsidRPr="00635A73">
        <w:rPr>
          <w:lang w:val="en-US"/>
        </w:rPr>
        <w:t xml:space="preserve"> </w:t>
      </w:r>
      <w:r>
        <w:rPr>
          <w:lang w:val="en-US"/>
        </w:rPr>
        <w:t xml:space="preserve">We obtained similar widths of </w:t>
      </w:r>
      <w:r w:rsidR="00C21069">
        <w:rPr>
          <w:lang w:val="en-US"/>
        </w:rPr>
        <w:t>credible</w:t>
      </w:r>
      <w:r>
        <w:rPr>
          <w:lang w:val="en-US"/>
        </w:rPr>
        <w:t xml:space="preserve"> intervals (CI95%) whatever the input </w:t>
      </w:r>
      <w:r w:rsidR="001A3701">
        <w:rPr>
          <w:lang w:val="en-US"/>
        </w:rPr>
        <w:t>probability</w:t>
      </w:r>
      <w:r>
        <w:rPr>
          <w:lang w:val="en-US"/>
        </w:rPr>
        <w:t xml:space="preserve"> of vertical transmission and</w:t>
      </w:r>
      <w:r w:rsidR="009117D1">
        <w:rPr>
          <w:lang w:val="en-US"/>
        </w:rPr>
        <w:t xml:space="preserve"> for a given level of exposure </w:t>
      </w:r>
      <w:r>
        <w:rPr>
          <w:lang w:val="en-US"/>
        </w:rPr>
        <w:t>(</w:t>
      </w:r>
      <w:r w:rsidR="006E2D78">
        <w:rPr>
          <w:lang w:val="en-US"/>
        </w:rPr>
        <w:t>Figure AF.1</w:t>
      </w:r>
      <w:r w:rsidR="00490AD5">
        <w:rPr>
          <w:lang w:val="en-US"/>
        </w:rPr>
        <w:t>.</w:t>
      </w:r>
      <w:r w:rsidR="006C0716">
        <w:rPr>
          <w:lang w:val="en-US"/>
        </w:rPr>
        <w:t>A</w:t>
      </w:r>
      <w:r>
        <w:rPr>
          <w:lang w:val="en-US"/>
        </w:rPr>
        <w:t>).</w:t>
      </w:r>
      <w:r w:rsidRPr="002A525B">
        <w:rPr>
          <w:lang w:val="en-US"/>
        </w:rPr>
        <w:t xml:space="preserve"> </w:t>
      </w:r>
      <w:r>
        <w:rPr>
          <w:lang w:val="en-US"/>
        </w:rPr>
        <w:t xml:space="preserve">We observed an impact of population size and of the level of exposure to infectious </w:t>
      </w:r>
      <w:r>
        <w:rPr>
          <w:lang w:val="en-US"/>
        </w:rPr>
        <w:lastRenderedPageBreak/>
        <w:t xml:space="preserve">bites on confidence levels, with an increase in the width of </w:t>
      </w:r>
      <w:r w:rsidR="00C21069">
        <w:rPr>
          <w:lang w:val="en-US"/>
        </w:rPr>
        <w:t>credible</w:t>
      </w:r>
      <w:r>
        <w:rPr>
          <w:lang w:val="en-US"/>
        </w:rPr>
        <w:t xml:space="preserve"> intervals for decreasing sizes</w:t>
      </w:r>
      <w:r w:rsidR="00E746B6">
        <w:rPr>
          <w:lang w:val="en-US"/>
        </w:rPr>
        <w:t xml:space="preserve"> (</w:t>
      </w:r>
      <w:r w:rsidR="006E2D78">
        <w:rPr>
          <w:lang w:val="en-US"/>
        </w:rPr>
        <w:t>Figure AF.1</w:t>
      </w:r>
      <w:r w:rsidR="00E746B6">
        <w:rPr>
          <w:lang w:val="en-US"/>
        </w:rPr>
        <w:t>.B)</w:t>
      </w:r>
      <w:r>
        <w:rPr>
          <w:lang w:val="en-US"/>
        </w:rPr>
        <w:t xml:space="preserve"> and for decreasing exposure levels</w:t>
      </w:r>
      <w:r w:rsidR="00E746B6">
        <w:rPr>
          <w:lang w:val="en-US"/>
        </w:rPr>
        <w:t xml:space="preserve"> (</w:t>
      </w:r>
      <w:r w:rsidR="006E2D78">
        <w:rPr>
          <w:lang w:val="en-US"/>
        </w:rPr>
        <w:t>Figure AF.1</w:t>
      </w:r>
      <w:r w:rsidR="00E746B6">
        <w:rPr>
          <w:lang w:val="en-US"/>
        </w:rPr>
        <w:t>.A</w:t>
      </w:r>
      <w:r w:rsidR="00AD2C79">
        <w:rPr>
          <w:lang w:val="en-US"/>
        </w:rPr>
        <w:t>-B</w:t>
      </w:r>
      <w:r w:rsidR="00E746B6">
        <w:rPr>
          <w:lang w:val="en-US"/>
        </w:rPr>
        <w:t>)</w:t>
      </w:r>
      <w:r>
        <w:rPr>
          <w:lang w:val="en-US"/>
        </w:rPr>
        <w:t>.</w:t>
      </w:r>
    </w:p>
    <w:p w14:paraId="5A86C933" w14:textId="4914437D" w:rsidR="00B21B4F" w:rsidRPr="000E4697" w:rsidRDefault="00B21B4F" w:rsidP="004F5B24">
      <w:pPr>
        <w:spacing w:line="360" w:lineRule="auto"/>
        <w:ind w:firstLine="720"/>
        <w:rPr>
          <w:color w:val="8064A2" w:themeColor="accent4"/>
          <w:lang w:val="en-US"/>
        </w:rPr>
      </w:pPr>
      <w:r>
        <w:rPr>
          <w:lang w:val="en-US"/>
        </w:rPr>
        <w:t xml:space="preserve">In the low exposure scenario, </w:t>
      </w:r>
      <w:r w:rsidR="00C21069">
        <w:rPr>
          <w:lang w:val="en-US"/>
        </w:rPr>
        <w:t>credible</w:t>
      </w:r>
      <w:r>
        <w:rPr>
          <w:lang w:val="en-US"/>
        </w:rPr>
        <w:t xml:space="preserve"> intervals covered &gt;70% of the parameter space, with mean values diverging from the input ones for all </w:t>
      </w:r>
      <w:r w:rsidRPr="000E6319">
        <w:rPr>
          <w:lang w:val="el-GR"/>
        </w:rPr>
        <w:t>γ</w:t>
      </w:r>
      <w:r>
        <w:rPr>
          <w:lang w:val="en-US"/>
        </w:rPr>
        <w:t xml:space="preserve"> p</w:t>
      </w:r>
      <w:r w:rsidR="001A3701">
        <w:rPr>
          <w:lang w:val="en-US"/>
        </w:rPr>
        <w:t>robabilitie</w:t>
      </w:r>
      <w:r>
        <w:rPr>
          <w:lang w:val="en-US"/>
        </w:rPr>
        <w:t>s</w:t>
      </w:r>
      <w:r w:rsidR="004E5DC0">
        <w:rPr>
          <w:lang w:val="en-US"/>
        </w:rPr>
        <w:t xml:space="preserve"> (</w:t>
      </w:r>
      <w:r w:rsidR="006E2D78">
        <w:rPr>
          <w:lang w:val="en-US"/>
        </w:rPr>
        <w:t>Figure AF.1</w:t>
      </w:r>
      <w:r w:rsidR="004E5DC0">
        <w:rPr>
          <w:lang w:val="en-US"/>
        </w:rPr>
        <w:t>.A)</w:t>
      </w:r>
      <w:r>
        <w:rPr>
          <w:lang w:val="en-US"/>
        </w:rPr>
        <w:t xml:space="preserve"> and sample sizes tested</w:t>
      </w:r>
      <w:r w:rsidR="004E5DC0">
        <w:rPr>
          <w:lang w:val="en-US"/>
        </w:rPr>
        <w:t xml:space="preserve"> (</w:t>
      </w:r>
      <w:r w:rsidR="006E2D78">
        <w:rPr>
          <w:lang w:val="en-US"/>
        </w:rPr>
        <w:t>Figure AF.1</w:t>
      </w:r>
      <w:r w:rsidR="004E5DC0">
        <w:rPr>
          <w:lang w:val="en-US"/>
        </w:rPr>
        <w:t>.B)</w:t>
      </w:r>
      <w:r>
        <w:rPr>
          <w:lang w:val="en-US"/>
        </w:rPr>
        <w:t xml:space="preserve">. </w:t>
      </w:r>
    </w:p>
    <w:p w14:paraId="7FE18649" w14:textId="7A654122" w:rsidR="00B21B4F" w:rsidRDefault="00B21B4F" w:rsidP="004F5B24">
      <w:pPr>
        <w:spacing w:line="360" w:lineRule="auto"/>
        <w:ind w:firstLine="720"/>
        <w:rPr>
          <w:b/>
          <w:lang w:val="en-US"/>
        </w:rPr>
      </w:pPr>
      <w:r>
        <w:rPr>
          <w:lang w:val="en-US"/>
        </w:rPr>
        <w:t xml:space="preserve">Hence, both the level of exposure to infectious bites and the size of the dataset impacted parameter estimation with an interaction effect, so that the increase in the width of </w:t>
      </w:r>
      <w:r w:rsidR="00C21069">
        <w:rPr>
          <w:lang w:val="en-US"/>
        </w:rPr>
        <w:t>credible</w:t>
      </w:r>
      <w:r>
        <w:rPr>
          <w:lang w:val="en-US"/>
        </w:rPr>
        <w:t xml:space="preserve"> intervals with decreasing dataset sizes was greater in the medium </w:t>
      </w:r>
      <w:r w:rsidRPr="00477603">
        <w:rPr>
          <w:i/>
          <w:lang w:val="en-US"/>
        </w:rPr>
        <w:t>vs</w:t>
      </w:r>
      <w:r>
        <w:rPr>
          <w:lang w:val="en-US"/>
        </w:rPr>
        <w:t xml:space="preserve"> high exposure scenario</w:t>
      </w:r>
      <w:r w:rsidR="000463D4">
        <w:rPr>
          <w:lang w:val="en-US"/>
        </w:rPr>
        <w:t xml:space="preserve"> (</w:t>
      </w:r>
      <w:r w:rsidR="006E2D78">
        <w:rPr>
          <w:lang w:val="en-US"/>
        </w:rPr>
        <w:t>Figure AF.1</w:t>
      </w:r>
      <w:r w:rsidR="000463D4">
        <w:rPr>
          <w:lang w:val="en-US"/>
        </w:rPr>
        <w:t>.B)</w:t>
      </w:r>
      <w:r>
        <w:rPr>
          <w:lang w:val="en-US"/>
        </w:rPr>
        <w:t xml:space="preserve">. In the latter, the </w:t>
      </w:r>
      <w:r w:rsidR="00C21069">
        <w:rPr>
          <w:lang w:val="en-US"/>
        </w:rPr>
        <w:t>credible</w:t>
      </w:r>
      <w:r>
        <w:rPr>
          <w:lang w:val="en-US"/>
        </w:rPr>
        <w:t xml:space="preserve"> interval covered &lt;25% of the parameter space even with the smallest dataset</w:t>
      </w:r>
      <w:r w:rsidR="000463D4">
        <w:rPr>
          <w:lang w:val="en-US"/>
        </w:rPr>
        <w:t xml:space="preserve"> (</w:t>
      </w:r>
      <w:r w:rsidR="006E2D78">
        <w:rPr>
          <w:lang w:val="en-US"/>
        </w:rPr>
        <w:t>Figure AF.1</w:t>
      </w:r>
      <w:r w:rsidR="000463D4">
        <w:rPr>
          <w:lang w:val="en-US"/>
        </w:rPr>
        <w:t>.B)</w:t>
      </w:r>
      <w:r>
        <w:rPr>
          <w:lang w:val="en-US"/>
        </w:rPr>
        <w:t xml:space="preserve">, whereas in the medium exposure scenario, it reached &gt;50% </w:t>
      </w:r>
      <w:r w:rsidR="007144EC">
        <w:rPr>
          <w:lang w:val="en-US"/>
        </w:rPr>
        <w:t>of the parameter space for N=2</w:t>
      </w:r>
      <w:r w:rsidR="00756884">
        <w:rPr>
          <w:lang w:val="en-US"/>
        </w:rPr>
        <w:t> </w:t>
      </w:r>
      <w:r>
        <w:rPr>
          <w:lang w:val="en-US"/>
        </w:rPr>
        <w:t>500, though the mean estimate of vertical transmission remained similar to the input one.</w:t>
      </w:r>
    </w:p>
    <w:p w14:paraId="09E999C8" w14:textId="1DC4E78C" w:rsidR="00B21B4F" w:rsidRPr="002A525C" w:rsidRDefault="00B21B4F" w:rsidP="004F5B24">
      <w:pPr>
        <w:pStyle w:val="Heading3"/>
        <w:spacing w:line="360" w:lineRule="auto"/>
        <w:rPr>
          <w:b w:val="0"/>
          <w:i/>
        </w:rPr>
      </w:pPr>
      <w:r w:rsidRPr="002A525C">
        <w:rPr>
          <w:b w:val="0"/>
          <w:i/>
        </w:rPr>
        <w:t>Impact of the spatial heterogeneity of vector-borne virus circulation</w:t>
      </w:r>
    </w:p>
    <w:p w14:paraId="61BD397D" w14:textId="72DD45FD" w:rsidR="00B21B4F" w:rsidRPr="00137B06" w:rsidRDefault="00B21B4F" w:rsidP="004F5B24">
      <w:pPr>
        <w:spacing w:line="360" w:lineRule="auto"/>
        <w:ind w:firstLine="720"/>
        <w:rPr>
          <w:lang w:val="en-US"/>
        </w:rPr>
      </w:pPr>
      <w:r>
        <w:rPr>
          <w:lang w:val="en-US"/>
        </w:rPr>
        <w:t>In the eight scenarios where cattle from the various sub-areas had been exposed differently to vector bites, we first ignored heterogeneity in exposure within the study area (</w:t>
      </w:r>
      <w:r w:rsidRPr="0034665B">
        <w:rPr>
          <w:i/>
          <w:lang w:val="en-US"/>
        </w:rPr>
        <w:t xml:space="preserve">model </w:t>
      </w:r>
      <w:r w:rsidR="0062551E" w:rsidRPr="0034665B">
        <w:rPr>
          <w:i/>
          <w:lang w:val="en-US"/>
        </w:rPr>
        <w:t>one</w:t>
      </w:r>
      <w:r w:rsidR="0062551E">
        <w:rPr>
          <w:i/>
          <w:lang w:val="en-US"/>
        </w:rPr>
        <w:t>-</w:t>
      </w:r>
      <w:r w:rsidRPr="0034665B">
        <w:rPr>
          <w:i/>
          <w:lang w:val="en-US"/>
        </w:rPr>
        <w:t>area</w:t>
      </w:r>
      <w:r>
        <w:rPr>
          <w:lang w:val="en-US"/>
        </w:rPr>
        <w:t xml:space="preserve">). Inference results were sorted by global levels of exposure, using the RT-PCR </w:t>
      </w:r>
      <w:r w:rsidRPr="00BC2839">
        <w:rPr>
          <w:lang w:val="en-US"/>
        </w:rPr>
        <w:t>pr</w:t>
      </w:r>
      <w:r>
        <w:rPr>
          <w:lang w:val="en-US"/>
        </w:rPr>
        <w:t>oportion of positive results</w:t>
      </w:r>
      <w:r w:rsidRPr="00BC2839">
        <w:rPr>
          <w:lang w:val="en-US"/>
        </w:rPr>
        <w:t xml:space="preserve"> in cattle </w:t>
      </w:r>
      <w:r>
        <w:rPr>
          <w:lang w:val="en-US"/>
        </w:rPr>
        <w:t>only</w:t>
      </w:r>
      <w:r w:rsidRPr="00BC2839">
        <w:rPr>
          <w:lang w:val="en-US"/>
        </w:rPr>
        <w:t xml:space="preserve"> exposed to </w:t>
      </w:r>
      <w:r>
        <w:rPr>
          <w:lang w:val="en-US"/>
        </w:rPr>
        <w:t>vector bites, calculated over the whole period from June to December, as a proxy of the cumulative exposure to infectious bites (</w:t>
      </w:r>
      <w:r w:rsidR="006E2D78">
        <w:rPr>
          <w:lang w:val="en-US"/>
        </w:rPr>
        <w:t>Figure AF.1</w:t>
      </w:r>
      <w:r w:rsidR="00490AD5">
        <w:rPr>
          <w:lang w:val="en-US"/>
        </w:rPr>
        <w:t>.</w:t>
      </w:r>
      <w:r w:rsidR="00562F6A">
        <w:rPr>
          <w:lang w:val="en-US"/>
        </w:rPr>
        <w:t>C</w:t>
      </w:r>
      <w:r>
        <w:rPr>
          <w:lang w:val="en-US"/>
        </w:rPr>
        <w:t xml:space="preserve">). We observed an increase in </w:t>
      </w:r>
      <w:r w:rsidR="00C21069">
        <w:rPr>
          <w:lang w:val="en-US"/>
        </w:rPr>
        <w:t xml:space="preserve">credible </w:t>
      </w:r>
      <w:r>
        <w:rPr>
          <w:lang w:val="en-US"/>
        </w:rPr>
        <w:t xml:space="preserve">intervals of estimated </w:t>
      </w:r>
      <w:r w:rsidRPr="000E6319">
        <w:rPr>
          <w:lang w:val="el-GR"/>
        </w:rPr>
        <w:t>γ</w:t>
      </w:r>
      <w:r>
        <w:rPr>
          <w:lang w:val="en-US"/>
        </w:rPr>
        <w:t xml:space="preserve"> values for the scenarios with lower global levels exposure, </w:t>
      </w:r>
      <w:r w:rsidRPr="002D114C">
        <w:rPr>
          <w:i/>
          <w:lang w:val="en-US"/>
        </w:rPr>
        <w:t>i.e.</w:t>
      </w:r>
      <w:r>
        <w:rPr>
          <w:lang w:val="en-US"/>
        </w:rPr>
        <w:t xml:space="preserve"> when RT-PCR+% dropped under 10%. </w:t>
      </w:r>
      <w:r w:rsidR="00C21069">
        <w:rPr>
          <w:lang w:val="en-US"/>
        </w:rPr>
        <w:t xml:space="preserve">Credible </w:t>
      </w:r>
      <w:r>
        <w:rPr>
          <w:lang w:val="en-US"/>
        </w:rPr>
        <w:t>intervals kept increasing with lower proportions</w:t>
      </w:r>
      <w:r w:rsidR="00763442">
        <w:rPr>
          <w:lang w:val="en-US"/>
        </w:rPr>
        <w:t xml:space="preserve"> (</w:t>
      </w:r>
      <w:r w:rsidR="006E2D78">
        <w:rPr>
          <w:lang w:val="en-US"/>
        </w:rPr>
        <w:t>Figure AF.1</w:t>
      </w:r>
      <w:r w:rsidR="00763442">
        <w:rPr>
          <w:lang w:val="en-US"/>
        </w:rPr>
        <w:t>.C)</w:t>
      </w:r>
      <w:r>
        <w:rPr>
          <w:lang w:val="en-US"/>
        </w:rPr>
        <w:t>.</w:t>
      </w:r>
    </w:p>
    <w:p w14:paraId="41F01C0E" w14:textId="1CA75814" w:rsidR="001F4828" w:rsidRDefault="00B21B4F" w:rsidP="004F5B24">
      <w:pPr>
        <w:spacing w:line="360" w:lineRule="auto"/>
        <w:ind w:firstLine="720"/>
        <w:rPr>
          <w:lang w:val="en-US"/>
        </w:rPr>
      </w:pPr>
      <w:r>
        <w:rPr>
          <w:lang w:val="en-US"/>
        </w:rPr>
        <w:t xml:space="preserve">We then accounted for area-specific patterns of exposure to vector-borne infection with the </w:t>
      </w:r>
      <w:r w:rsidRPr="0034665B">
        <w:rPr>
          <w:i/>
          <w:lang w:val="en-US"/>
        </w:rPr>
        <w:t xml:space="preserve">model </w:t>
      </w:r>
      <w:r>
        <w:rPr>
          <w:i/>
          <w:lang w:val="en-US"/>
        </w:rPr>
        <w:t>sub-</w:t>
      </w:r>
      <w:r w:rsidRPr="0034665B">
        <w:rPr>
          <w:i/>
          <w:lang w:val="en-US"/>
        </w:rPr>
        <w:t>area</w:t>
      </w:r>
      <w:r>
        <w:rPr>
          <w:i/>
          <w:lang w:val="en-US"/>
        </w:rPr>
        <w:t>s</w:t>
      </w:r>
      <w:r w:rsidR="00562F6A">
        <w:rPr>
          <w:i/>
          <w:lang w:val="en-US"/>
        </w:rPr>
        <w:t xml:space="preserve"> </w:t>
      </w:r>
      <w:r w:rsidR="00562F6A">
        <w:rPr>
          <w:lang w:val="en-US"/>
        </w:rPr>
        <w:t>(</w:t>
      </w:r>
      <w:r w:rsidR="006E2D78">
        <w:rPr>
          <w:lang w:val="en-US"/>
        </w:rPr>
        <w:t>Figure AF.1</w:t>
      </w:r>
      <w:r w:rsidR="00562F6A">
        <w:rPr>
          <w:lang w:val="en-US"/>
        </w:rPr>
        <w:t>.D</w:t>
      </w:r>
      <w:r w:rsidR="00B97E9F">
        <w:rPr>
          <w:lang w:val="en-US"/>
        </w:rPr>
        <w:t xml:space="preserve">, </w:t>
      </w:r>
      <w:r w:rsidR="006E2D78">
        <w:rPr>
          <w:lang w:val="en-US"/>
        </w:rPr>
        <w:t>Figure AF.2</w:t>
      </w:r>
      <w:r w:rsidR="00B97E9F">
        <w:rPr>
          <w:lang w:val="en-US"/>
        </w:rPr>
        <w:t>.D-H</w:t>
      </w:r>
      <w:r w:rsidR="00562F6A">
        <w:rPr>
          <w:lang w:val="en-US"/>
        </w:rPr>
        <w:t>)</w:t>
      </w:r>
      <w:r>
        <w:rPr>
          <w:i/>
          <w:lang w:val="en-US"/>
        </w:rPr>
        <w:t xml:space="preserve">. </w:t>
      </w:r>
      <w:r>
        <w:rPr>
          <w:lang w:val="en-US"/>
        </w:rPr>
        <w:t>This approach allowed highlighting local contrasts by reconstructing area-specific monthly probabilities of vector-borne infection</w:t>
      </w:r>
      <w:r w:rsidR="00B97E9F">
        <w:rPr>
          <w:lang w:val="en-US"/>
        </w:rPr>
        <w:t xml:space="preserve"> (</w:t>
      </w:r>
      <w:r w:rsidR="006E2D78">
        <w:rPr>
          <w:lang w:val="en-US"/>
        </w:rPr>
        <w:t>Figure AF.2</w:t>
      </w:r>
      <w:r w:rsidR="00B97E9F">
        <w:rPr>
          <w:lang w:val="en-US"/>
        </w:rPr>
        <w:t>.D-H)</w:t>
      </w:r>
      <w:r>
        <w:rPr>
          <w:lang w:val="en-US"/>
        </w:rPr>
        <w:t xml:space="preserve">. Regarding vertical transmission, we estimated identical average </w:t>
      </w:r>
      <w:r w:rsidR="001A3701">
        <w:rPr>
          <w:lang w:val="en-US"/>
        </w:rPr>
        <w:t>probabilities</w:t>
      </w:r>
      <w:r>
        <w:rPr>
          <w:lang w:val="en-US"/>
        </w:rPr>
        <w:t xml:space="preserve"> with both models (</w:t>
      </w:r>
      <w:r w:rsidR="006E2D78">
        <w:rPr>
          <w:lang w:val="en-US"/>
        </w:rPr>
        <w:t>Figure AF.1</w:t>
      </w:r>
      <w:r w:rsidR="00490AD5">
        <w:rPr>
          <w:lang w:val="en-US"/>
        </w:rPr>
        <w:t>.</w:t>
      </w:r>
      <w:r w:rsidR="00B97E9F">
        <w:rPr>
          <w:lang w:val="en-US"/>
        </w:rPr>
        <w:t>D</w:t>
      </w:r>
      <w:r>
        <w:rPr>
          <w:lang w:val="en-US"/>
        </w:rPr>
        <w:t xml:space="preserve">). Therefore, inference was similar when considering cattle from a unique area with heterogeneous exposure or from sub-areas in which exposure </w:t>
      </w:r>
      <w:r w:rsidR="00763442">
        <w:rPr>
          <w:lang w:val="en-US"/>
        </w:rPr>
        <w:t>wa</w:t>
      </w:r>
      <w:r>
        <w:rPr>
          <w:lang w:val="en-US"/>
        </w:rPr>
        <w:t xml:space="preserve">s homogeneous. </w:t>
      </w:r>
    </w:p>
    <w:p w14:paraId="0601FEBD" w14:textId="5F57F77A" w:rsidR="00E97C07" w:rsidRDefault="00E97C07">
      <w:pPr>
        <w:spacing w:after="200" w:line="276" w:lineRule="auto"/>
        <w:jc w:val="left"/>
        <w:rPr>
          <w:lang w:val="en-US"/>
        </w:rPr>
      </w:pPr>
      <w:r>
        <w:rPr>
          <w:lang w:val="en-US"/>
        </w:rPr>
        <w:br w:type="page"/>
      </w:r>
    </w:p>
    <w:p w14:paraId="08A37AC6" w14:textId="77777777" w:rsidR="00E97C07" w:rsidRPr="00FB7B05" w:rsidRDefault="00E97C07" w:rsidP="00392EE9">
      <w:pPr>
        <w:pStyle w:val="ListParagraph"/>
        <w:spacing w:line="360" w:lineRule="auto"/>
        <w:ind w:left="0"/>
        <w:rPr>
          <w:lang w:val="en-US"/>
        </w:rPr>
      </w:pPr>
      <w:r w:rsidRPr="009E00F4">
        <w:rPr>
          <w:b/>
          <w:lang w:val="en-US"/>
        </w:rPr>
        <w:lastRenderedPageBreak/>
        <w:t xml:space="preserve">Table </w:t>
      </w:r>
      <w:r>
        <w:rPr>
          <w:b/>
          <w:lang w:val="en-US"/>
        </w:rPr>
        <w:t>AF2.</w:t>
      </w:r>
      <w:r w:rsidRPr="009E00F4">
        <w:rPr>
          <w:b/>
          <w:lang w:val="en-US"/>
        </w:rPr>
        <w:t>1:</w:t>
      </w:r>
      <w:r>
        <w:rPr>
          <w:lang w:val="en-US"/>
        </w:rPr>
        <w:t xml:space="preserve"> Proportion of RT-</w:t>
      </w:r>
      <w:bookmarkStart w:id="0" w:name="_GoBack"/>
      <w:bookmarkEnd w:id="0"/>
      <w:r>
        <w:rPr>
          <w:lang w:val="en-US"/>
        </w:rPr>
        <w:t xml:space="preserve">PCR positive results in each scenario of the </w:t>
      </w:r>
      <w:r w:rsidRPr="001103FD">
        <w:rPr>
          <w:i/>
          <w:lang w:val="en-US"/>
        </w:rPr>
        <w:t>in-</w:t>
      </w:r>
      <w:proofErr w:type="spellStart"/>
      <w:r w:rsidRPr="001103FD">
        <w:rPr>
          <w:i/>
          <w:lang w:val="en-US"/>
        </w:rPr>
        <w:t>silico</w:t>
      </w:r>
      <w:proofErr w:type="spellEnd"/>
      <w:r>
        <w:rPr>
          <w:lang w:val="en-US"/>
        </w:rPr>
        <w:t xml:space="preserve"> experiments. </w:t>
      </w:r>
    </w:p>
    <w:tbl>
      <w:tblPr>
        <w:tblW w:w="9979" w:type="dxa"/>
        <w:tblBorders>
          <w:insideH w:val="single" w:sz="4" w:space="0" w:color="auto"/>
        </w:tblBorders>
        <w:tblLayout w:type="fixed"/>
        <w:tblCellMar>
          <w:left w:w="0" w:type="dxa"/>
          <w:right w:w="0" w:type="dxa"/>
        </w:tblCellMar>
        <w:tblLook w:val="0420" w:firstRow="1" w:lastRow="0" w:firstColumn="0" w:lastColumn="0" w:noHBand="0" w:noVBand="1"/>
      </w:tblPr>
      <w:tblGrid>
        <w:gridCol w:w="1420"/>
        <w:gridCol w:w="1134"/>
        <w:gridCol w:w="992"/>
        <w:gridCol w:w="993"/>
        <w:gridCol w:w="850"/>
        <w:gridCol w:w="1134"/>
        <w:gridCol w:w="709"/>
        <w:gridCol w:w="709"/>
        <w:gridCol w:w="850"/>
        <w:gridCol w:w="1188"/>
      </w:tblGrid>
      <w:tr w:rsidR="00E97C07" w:rsidRPr="00CD7497" w14:paraId="0CADF784" w14:textId="77777777" w:rsidTr="001B5051">
        <w:trPr>
          <w:trHeight w:val="166"/>
        </w:trPr>
        <w:tc>
          <w:tcPr>
            <w:tcW w:w="2554" w:type="dxa"/>
            <w:gridSpan w:val="2"/>
            <w:vMerge w:val="restart"/>
            <w:shd w:val="clear" w:color="auto" w:fill="auto"/>
            <w:tcMar>
              <w:top w:w="72" w:type="dxa"/>
              <w:left w:w="144" w:type="dxa"/>
              <w:bottom w:w="72" w:type="dxa"/>
              <w:right w:w="144" w:type="dxa"/>
            </w:tcMar>
            <w:vAlign w:val="center"/>
            <w:hideMark/>
          </w:tcPr>
          <w:p w14:paraId="44B12150" w14:textId="4806FF4F" w:rsidR="00E97C07" w:rsidRPr="004F5B24" w:rsidRDefault="00392EE9" w:rsidP="00392EE9">
            <w:pPr>
              <w:spacing w:line="240" w:lineRule="auto"/>
              <w:jc w:val="center"/>
              <w:rPr>
                <w:sz w:val="22"/>
                <w:lang w:val="en-US"/>
              </w:rPr>
            </w:pPr>
            <w:r w:rsidRPr="0016658C">
              <w:rPr>
                <w:b/>
                <w:bCs/>
                <w:sz w:val="22"/>
                <w:lang w:val="en-US"/>
              </w:rPr>
              <w:t xml:space="preserve">Proportion of </w:t>
            </w:r>
            <w:r w:rsidR="00E97C07" w:rsidRPr="0016658C">
              <w:rPr>
                <w:b/>
                <w:bCs/>
                <w:sz w:val="22"/>
                <w:lang w:val="en-US"/>
              </w:rPr>
              <w:t>RT</w:t>
            </w:r>
            <w:r w:rsidRPr="0016658C">
              <w:rPr>
                <w:b/>
                <w:bCs/>
                <w:sz w:val="22"/>
                <w:lang w:val="en-US"/>
              </w:rPr>
              <w:noBreakHyphen/>
            </w:r>
            <w:r w:rsidR="00E97C07" w:rsidRPr="0016658C">
              <w:rPr>
                <w:b/>
                <w:bCs/>
                <w:sz w:val="22"/>
                <w:lang w:val="en-US"/>
              </w:rPr>
              <w:t>PCR</w:t>
            </w:r>
            <w:r w:rsidRPr="0016658C">
              <w:rPr>
                <w:b/>
                <w:bCs/>
                <w:sz w:val="22"/>
                <w:lang w:val="en-US"/>
              </w:rPr>
              <w:t>+ results</w:t>
            </w:r>
            <w:r w:rsidR="00E97C07" w:rsidRPr="0016658C">
              <w:rPr>
                <w:b/>
                <w:bCs/>
                <w:sz w:val="22"/>
                <w:lang w:val="en-US"/>
              </w:rPr>
              <w:t xml:space="preserve"> (%)</w:t>
            </w:r>
          </w:p>
        </w:tc>
        <w:tc>
          <w:tcPr>
            <w:tcW w:w="2835" w:type="dxa"/>
            <w:gridSpan w:val="3"/>
            <w:shd w:val="clear" w:color="auto" w:fill="auto"/>
            <w:tcMar>
              <w:top w:w="72" w:type="dxa"/>
              <w:left w:w="144" w:type="dxa"/>
              <w:bottom w:w="72" w:type="dxa"/>
              <w:right w:w="144" w:type="dxa"/>
            </w:tcMar>
            <w:vAlign w:val="center"/>
            <w:hideMark/>
          </w:tcPr>
          <w:p w14:paraId="5A57D759" w14:textId="77777777" w:rsidR="00E97C07" w:rsidRPr="004F5B24" w:rsidRDefault="00E97C07" w:rsidP="001B5051">
            <w:pPr>
              <w:spacing w:line="240" w:lineRule="auto"/>
              <w:jc w:val="center"/>
              <w:rPr>
                <w:sz w:val="22"/>
                <w:lang w:val="en-US"/>
              </w:rPr>
            </w:pPr>
            <w:r w:rsidRPr="004F5B24">
              <w:rPr>
                <w:b/>
                <w:bCs/>
                <w:sz w:val="22"/>
                <w:lang w:val="en-US"/>
              </w:rPr>
              <w:t>Homogeneous exposure</w:t>
            </w:r>
          </w:p>
        </w:tc>
        <w:tc>
          <w:tcPr>
            <w:tcW w:w="4590" w:type="dxa"/>
            <w:gridSpan w:val="5"/>
            <w:shd w:val="clear" w:color="auto" w:fill="auto"/>
            <w:vAlign w:val="center"/>
          </w:tcPr>
          <w:p w14:paraId="76ED67A4" w14:textId="77777777" w:rsidR="00E97C07" w:rsidRPr="004F5B24" w:rsidRDefault="00E97C07" w:rsidP="001B5051">
            <w:pPr>
              <w:spacing w:line="240" w:lineRule="auto"/>
              <w:jc w:val="center"/>
              <w:rPr>
                <w:b/>
                <w:bCs/>
                <w:sz w:val="22"/>
                <w:lang w:val="en-US"/>
              </w:rPr>
            </w:pPr>
            <w:r w:rsidRPr="004F5B24">
              <w:rPr>
                <w:b/>
                <w:bCs/>
                <w:sz w:val="22"/>
                <w:lang w:val="en-US"/>
              </w:rPr>
              <w:t>Heterogeneous exposure</w:t>
            </w:r>
          </w:p>
        </w:tc>
      </w:tr>
      <w:tr w:rsidR="00E97C07" w:rsidRPr="00CD7497" w14:paraId="26D75E7A" w14:textId="77777777" w:rsidTr="001B5051">
        <w:trPr>
          <w:trHeight w:val="192"/>
        </w:trPr>
        <w:tc>
          <w:tcPr>
            <w:tcW w:w="2554" w:type="dxa"/>
            <w:gridSpan w:val="2"/>
            <w:vMerge/>
            <w:shd w:val="clear" w:color="auto" w:fill="auto"/>
            <w:vAlign w:val="center"/>
            <w:hideMark/>
          </w:tcPr>
          <w:p w14:paraId="08FD3D07" w14:textId="77777777" w:rsidR="00E97C07" w:rsidRPr="004F5B24" w:rsidRDefault="00E97C07" w:rsidP="00392EE9">
            <w:pPr>
              <w:spacing w:line="240" w:lineRule="auto"/>
              <w:jc w:val="center"/>
              <w:rPr>
                <w:sz w:val="22"/>
                <w:lang w:val="en-US"/>
              </w:rPr>
            </w:pPr>
          </w:p>
        </w:tc>
        <w:tc>
          <w:tcPr>
            <w:tcW w:w="992" w:type="dxa"/>
            <w:shd w:val="clear" w:color="auto" w:fill="auto"/>
            <w:tcMar>
              <w:top w:w="72" w:type="dxa"/>
              <w:left w:w="144" w:type="dxa"/>
              <w:bottom w:w="72" w:type="dxa"/>
              <w:right w:w="144" w:type="dxa"/>
            </w:tcMar>
            <w:vAlign w:val="center"/>
            <w:hideMark/>
          </w:tcPr>
          <w:p w14:paraId="761AE040" w14:textId="77777777" w:rsidR="00E97C07" w:rsidRPr="004F5B24" w:rsidRDefault="00E97C07" w:rsidP="00392EE9">
            <w:pPr>
              <w:spacing w:line="240" w:lineRule="auto"/>
              <w:jc w:val="center"/>
              <w:rPr>
                <w:sz w:val="22"/>
                <w:lang w:val="en-US"/>
              </w:rPr>
            </w:pPr>
            <w:r w:rsidRPr="004F5B24">
              <w:rPr>
                <w:sz w:val="22"/>
                <w:lang w:val="en-US"/>
              </w:rPr>
              <w:t>H</w:t>
            </w:r>
          </w:p>
        </w:tc>
        <w:tc>
          <w:tcPr>
            <w:tcW w:w="993" w:type="dxa"/>
            <w:shd w:val="clear" w:color="auto" w:fill="auto"/>
            <w:tcMar>
              <w:top w:w="72" w:type="dxa"/>
              <w:left w:w="144" w:type="dxa"/>
              <w:bottom w:w="72" w:type="dxa"/>
              <w:right w:w="144" w:type="dxa"/>
            </w:tcMar>
            <w:vAlign w:val="center"/>
            <w:hideMark/>
          </w:tcPr>
          <w:p w14:paraId="0019E5A0" w14:textId="77777777" w:rsidR="00E97C07" w:rsidRPr="004F5B24" w:rsidRDefault="00E97C07" w:rsidP="00392EE9">
            <w:pPr>
              <w:spacing w:line="240" w:lineRule="auto"/>
              <w:jc w:val="center"/>
              <w:rPr>
                <w:sz w:val="22"/>
                <w:lang w:val="en-US"/>
              </w:rPr>
            </w:pPr>
            <w:r w:rsidRPr="004F5B24">
              <w:rPr>
                <w:sz w:val="22"/>
                <w:lang w:val="en-US"/>
              </w:rPr>
              <w:t>M</w:t>
            </w:r>
          </w:p>
        </w:tc>
        <w:tc>
          <w:tcPr>
            <w:tcW w:w="850" w:type="dxa"/>
            <w:shd w:val="clear" w:color="auto" w:fill="auto"/>
            <w:tcMar>
              <w:top w:w="72" w:type="dxa"/>
              <w:left w:w="144" w:type="dxa"/>
              <w:bottom w:w="72" w:type="dxa"/>
              <w:right w:w="144" w:type="dxa"/>
            </w:tcMar>
            <w:vAlign w:val="center"/>
            <w:hideMark/>
          </w:tcPr>
          <w:p w14:paraId="7C8ACDAA" w14:textId="77777777" w:rsidR="00E97C07" w:rsidRPr="004F5B24" w:rsidRDefault="00E97C07" w:rsidP="00392EE9">
            <w:pPr>
              <w:spacing w:line="240" w:lineRule="auto"/>
              <w:jc w:val="center"/>
              <w:rPr>
                <w:sz w:val="22"/>
                <w:lang w:val="en-US"/>
              </w:rPr>
            </w:pPr>
            <w:r w:rsidRPr="004F5B24">
              <w:rPr>
                <w:sz w:val="22"/>
                <w:lang w:val="en-US"/>
              </w:rPr>
              <w:t>L</w:t>
            </w:r>
          </w:p>
        </w:tc>
        <w:tc>
          <w:tcPr>
            <w:tcW w:w="1134" w:type="dxa"/>
            <w:shd w:val="clear" w:color="auto" w:fill="auto"/>
            <w:vAlign w:val="center"/>
          </w:tcPr>
          <w:p w14:paraId="7400E8D8" w14:textId="77777777" w:rsidR="00E97C07" w:rsidRPr="004F5B24" w:rsidRDefault="00E97C07" w:rsidP="001B5051">
            <w:pPr>
              <w:spacing w:line="240" w:lineRule="auto"/>
              <w:jc w:val="center"/>
              <w:rPr>
                <w:sz w:val="22"/>
                <w:lang w:val="en-US"/>
              </w:rPr>
            </w:pPr>
            <w:r w:rsidRPr="004F5B24">
              <w:rPr>
                <w:sz w:val="22"/>
                <w:lang w:val="en-US"/>
              </w:rPr>
              <w:t>33% HML</w:t>
            </w:r>
          </w:p>
        </w:tc>
        <w:tc>
          <w:tcPr>
            <w:tcW w:w="709" w:type="dxa"/>
            <w:shd w:val="clear" w:color="auto" w:fill="auto"/>
            <w:vAlign w:val="center"/>
          </w:tcPr>
          <w:p w14:paraId="61F19848" w14:textId="77777777" w:rsidR="00E97C07" w:rsidRPr="004F5B24" w:rsidRDefault="00E97C07" w:rsidP="001B5051">
            <w:pPr>
              <w:spacing w:line="240" w:lineRule="auto"/>
              <w:jc w:val="center"/>
              <w:rPr>
                <w:sz w:val="22"/>
                <w:lang w:val="en-US"/>
              </w:rPr>
            </w:pPr>
            <w:r w:rsidRPr="004F5B24">
              <w:rPr>
                <w:sz w:val="22"/>
                <w:lang w:val="en-US"/>
              </w:rPr>
              <w:t>70%H</w:t>
            </w:r>
          </w:p>
        </w:tc>
        <w:tc>
          <w:tcPr>
            <w:tcW w:w="709" w:type="dxa"/>
            <w:shd w:val="clear" w:color="auto" w:fill="auto"/>
            <w:vAlign w:val="center"/>
          </w:tcPr>
          <w:p w14:paraId="0C6BFF11" w14:textId="77777777" w:rsidR="00E97C07" w:rsidRPr="004F5B24" w:rsidRDefault="00E97C07" w:rsidP="001B5051">
            <w:pPr>
              <w:spacing w:line="240" w:lineRule="auto"/>
              <w:jc w:val="center"/>
              <w:rPr>
                <w:sz w:val="22"/>
                <w:lang w:val="en-US"/>
              </w:rPr>
            </w:pPr>
            <w:r w:rsidRPr="004F5B24">
              <w:rPr>
                <w:sz w:val="22"/>
                <w:lang w:val="en-US"/>
              </w:rPr>
              <w:t>70%M</w:t>
            </w:r>
          </w:p>
        </w:tc>
        <w:tc>
          <w:tcPr>
            <w:tcW w:w="850" w:type="dxa"/>
            <w:shd w:val="clear" w:color="auto" w:fill="auto"/>
            <w:vAlign w:val="center"/>
          </w:tcPr>
          <w:p w14:paraId="2624DAC9" w14:textId="77777777" w:rsidR="00E97C07" w:rsidRPr="004F5B24" w:rsidRDefault="00E97C07" w:rsidP="001B5051">
            <w:pPr>
              <w:spacing w:line="240" w:lineRule="auto"/>
              <w:jc w:val="center"/>
              <w:rPr>
                <w:sz w:val="22"/>
                <w:lang w:val="en-US"/>
              </w:rPr>
            </w:pPr>
            <w:r w:rsidRPr="004F5B24">
              <w:rPr>
                <w:sz w:val="22"/>
                <w:lang w:val="en-US"/>
              </w:rPr>
              <w:t>70%L</w:t>
            </w:r>
          </w:p>
        </w:tc>
        <w:tc>
          <w:tcPr>
            <w:tcW w:w="1188" w:type="dxa"/>
            <w:shd w:val="clear" w:color="auto" w:fill="auto"/>
            <w:vAlign w:val="center"/>
          </w:tcPr>
          <w:p w14:paraId="6EEA1FEB" w14:textId="77777777" w:rsidR="00E97C07" w:rsidRPr="004F5B24" w:rsidRDefault="00E97C07" w:rsidP="001B5051">
            <w:pPr>
              <w:spacing w:line="240" w:lineRule="auto"/>
              <w:jc w:val="center"/>
              <w:rPr>
                <w:sz w:val="22"/>
                <w:lang w:val="en-US"/>
              </w:rPr>
            </w:pPr>
            <w:r w:rsidRPr="004F5B24">
              <w:rPr>
                <w:sz w:val="22"/>
                <w:lang w:val="en-US"/>
              </w:rPr>
              <w:t>50% H/M</w:t>
            </w:r>
          </w:p>
        </w:tc>
      </w:tr>
      <w:tr w:rsidR="00E97C07" w:rsidRPr="00CD7497" w14:paraId="446EB8D4" w14:textId="77777777" w:rsidTr="001B5051">
        <w:trPr>
          <w:trHeight w:val="389"/>
        </w:trPr>
        <w:tc>
          <w:tcPr>
            <w:tcW w:w="2554" w:type="dxa"/>
            <w:gridSpan w:val="2"/>
            <w:shd w:val="clear" w:color="auto" w:fill="auto"/>
            <w:tcMar>
              <w:top w:w="72" w:type="dxa"/>
              <w:left w:w="144" w:type="dxa"/>
              <w:bottom w:w="72" w:type="dxa"/>
              <w:right w:w="144" w:type="dxa"/>
            </w:tcMar>
            <w:vAlign w:val="center"/>
            <w:hideMark/>
          </w:tcPr>
          <w:p w14:paraId="2F503B93" w14:textId="77777777" w:rsidR="00E97C07" w:rsidRPr="004F5B24" w:rsidRDefault="00E97C07" w:rsidP="001B5051">
            <w:pPr>
              <w:spacing w:line="240" w:lineRule="auto"/>
              <w:jc w:val="center"/>
              <w:rPr>
                <w:sz w:val="22"/>
                <w:lang w:val="en-US"/>
              </w:rPr>
            </w:pPr>
            <w:r w:rsidRPr="004F5B24">
              <w:rPr>
                <w:sz w:val="22"/>
                <w:lang w:val="en-US"/>
              </w:rPr>
              <w:t>In those only exposed to vectors (N=5 430)</w:t>
            </w:r>
          </w:p>
        </w:tc>
        <w:tc>
          <w:tcPr>
            <w:tcW w:w="992" w:type="dxa"/>
            <w:shd w:val="clear" w:color="auto" w:fill="auto"/>
            <w:tcMar>
              <w:top w:w="72" w:type="dxa"/>
              <w:left w:w="144" w:type="dxa"/>
              <w:bottom w:w="72" w:type="dxa"/>
              <w:right w:w="144" w:type="dxa"/>
            </w:tcMar>
            <w:vAlign w:val="center"/>
            <w:hideMark/>
          </w:tcPr>
          <w:p w14:paraId="340A344B" w14:textId="77777777" w:rsidR="00E97C07" w:rsidRPr="004F5B24" w:rsidRDefault="00E97C07" w:rsidP="001B5051">
            <w:pPr>
              <w:spacing w:line="240" w:lineRule="auto"/>
              <w:jc w:val="center"/>
              <w:rPr>
                <w:sz w:val="22"/>
                <w:lang w:val="en-US"/>
              </w:rPr>
            </w:pPr>
            <w:r w:rsidRPr="004F5B24">
              <w:rPr>
                <w:sz w:val="22"/>
                <w:lang w:val="en-US"/>
              </w:rPr>
              <w:t>25.8</w:t>
            </w:r>
          </w:p>
        </w:tc>
        <w:tc>
          <w:tcPr>
            <w:tcW w:w="993" w:type="dxa"/>
            <w:shd w:val="clear" w:color="auto" w:fill="auto"/>
            <w:tcMar>
              <w:top w:w="72" w:type="dxa"/>
              <w:left w:w="144" w:type="dxa"/>
              <w:bottom w:w="72" w:type="dxa"/>
              <w:right w:w="144" w:type="dxa"/>
            </w:tcMar>
            <w:vAlign w:val="center"/>
            <w:hideMark/>
          </w:tcPr>
          <w:p w14:paraId="0684FC70" w14:textId="77777777" w:rsidR="00E97C07" w:rsidRPr="004F5B24" w:rsidRDefault="00E97C07" w:rsidP="001B5051">
            <w:pPr>
              <w:spacing w:line="240" w:lineRule="auto"/>
              <w:jc w:val="center"/>
              <w:rPr>
                <w:sz w:val="22"/>
                <w:lang w:val="en-US"/>
              </w:rPr>
            </w:pPr>
            <w:r w:rsidRPr="004F5B24">
              <w:rPr>
                <w:sz w:val="22"/>
                <w:lang w:val="en-US"/>
              </w:rPr>
              <w:t>8.36</w:t>
            </w:r>
          </w:p>
        </w:tc>
        <w:tc>
          <w:tcPr>
            <w:tcW w:w="850" w:type="dxa"/>
            <w:shd w:val="clear" w:color="auto" w:fill="auto"/>
            <w:tcMar>
              <w:top w:w="72" w:type="dxa"/>
              <w:left w:w="144" w:type="dxa"/>
              <w:bottom w:w="72" w:type="dxa"/>
              <w:right w:w="144" w:type="dxa"/>
            </w:tcMar>
            <w:vAlign w:val="center"/>
            <w:hideMark/>
          </w:tcPr>
          <w:p w14:paraId="36D50A56" w14:textId="77777777" w:rsidR="00E97C07" w:rsidRPr="004F5B24" w:rsidRDefault="00E97C07" w:rsidP="001B5051">
            <w:pPr>
              <w:spacing w:line="240" w:lineRule="auto"/>
              <w:jc w:val="center"/>
              <w:rPr>
                <w:sz w:val="22"/>
                <w:lang w:val="en-US"/>
              </w:rPr>
            </w:pPr>
            <w:r w:rsidRPr="004F5B24">
              <w:rPr>
                <w:sz w:val="22"/>
                <w:lang w:val="en-US"/>
              </w:rPr>
              <w:t>0.91</w:t>
            </w:r>
          </w:p>
        </w:tc>
        <w:tc>
          <w:tcPr>
            <w:tcW w:w="1134" w:type="dxa"/>
            <w:shd w:val="clear" w:color="auto" w:fill="auto"/>
            <w:vAlign w:val="center"/>
          </w:tcPr>
          <w:p w14:paraId="25FA612E" w14:textId="77777777" w:rsidR="00E97C07" w:rsidRPr="004F5B24" w:rsidRDefault="00E97C07" w:rsidP="001B5051">
            <w:pPr>
              <w:spacing w:line="240" w:lineRule="auto"/>
              <w:jc w:val="center"/>
              <w:rPr>
                <w:sz w:val="22"/>
                <w:lang w:val="en-US"/>
              </w:rPr>
            </w:pPr>
            <w:r w:rsidRPr="004F5B24">
              <w:rPr>
                <w:sz w:val="22"/>
                <w:lang w:val="en-US"/>
              </w:rPr>
              <w:t>12.01</w:t>
            </w:r>
          </w:p>
        </w:tc>
        <w:tc>
          <w:tcPr>
            <w:tcW w:w="709" w:type="dxa"/>
            <w:shd w:val="clear" w:color="auto" w:fill="auto"/>
            <w:vAlign w:val="center"/>
          </w:tcPr>
          <w:p w14:paraId="116EF6AF" w14:textId="77777777" w:rsidR="00E97C07" w:rsidRPr="004F5B24" w:rsidRDefault="00E97C07" w:rsidP="001B5051">
            <w:pPr>
              <w:spacing w:line="240" w:lineRule="auto"/>
              <w:jc w:val="center"/>
              <w:rPr>
                <w:sz w:val="22"/>
                <w:lang w:val="en-US"/>
              </w:rPr>
            </w:pPr>
            <w:r w:rsidRPr="004F5B24">
              <w:rPr>
                <w:sz w:val="22"/>
                <w:lang w:val="en-US"/>
              </w:rPr>
              <w:t>19.46</w:t>
            </w:r>
          </w:p>
        </w:tc>
        <w:tc>
          <w:tcPr>
            <w:tcW w:w="709" w:type="dxa"/>
            <w:shd w:val="clear" w:color="auto" w:fill="auto"/>
            <w:vAlign w:val="center"/>
          </w:tcPr>
          <w:p w14:paraId="68FA4A4C" w14:textId="77777777" w:rsidR="00E97C07" w:rsidRPr="004F5B24" w:rsidRDefault="00E97C07" w:rsidP="001B5051">
            <w:pPr>
              <w:spacing w:line="240" w:lineRule="auto"/>
              <w:jc w:val="center"/>
              <w:rPr>
                <w:sz w:val="22"/>
                <w:lang w:val="en-US"/>
              </w:rPr>
            </w:pPr>
            <w:r w:rsidRPr="004F5B24">
              <w:rPr>
                <w:sz w:val="22"/>
                <w:lang w:val="en-US"/>
              </w:rPr>
              <w:t>9.97</w:t>
            </w:r>
          </w:p>
        </w:tc>
        <w:tc>
          <w:tcPr>
            <w:tcW w:w="850" w:type="dxa"/>
            <w:shd w:val="clear" w:color="auto" w:fill="auto"/>
            <w:vAlign w:val="center"/>
          </w:tcPr>
          <w:p w14:paraId="650144B0" w14:textId="77777777" w:rsidR="00E97C07" w:rsidRPr="004F5B24" w:rsidRDefault="00E97C07" w:rsidP="001B5051">
            <w:pPr>
              <w:spacing w:line="240" w:lineRule="auto"/>
              <w:jc w:val="center"/>
              <w:rPr>
                <w:sz w:val="22"/>
                <w:lang w:val="en-US"/>
              </w:rPr>
            </w:pPr>
            <w:r w:rsidRPr="004F5B24">
              <w:rPr>
                <w:sz w:val="22"/>
                <w:lang w:val="en-US"/>
              </w:rPr>
              <w:t>5.71</w:t>
            </w:r>
          </w:p>
        </w:tc>
        <w:tc>
          <w:tcPr>
            <w:tcW w:w="1188" w:type="dxa"/>
            <w:shd w:val="clear" w:color="auto" w:fill="auto"/>
            <w:vAlign w:val="center"/>
          </w:tcPr>
          <w:p w14:paraId="7CB4F02C" w14:textId="77777777" w:rsidR="00E97C07" w:rsidRPr="004F5B24" w:rsidRDefault="00E97C07" w:rsidP="001B5051">
            <w:pPr>
              <w:spacing w:line="240" w:lineRule="auto"/>
              <w:jc w:val="center"/>
              <w:rPr>
                <w:sz w:val="22"/>
                <w:lang w:val="en-US"/>
              </w:rPr>
            </w:pPr>
            <w:r w:rsidRPr="004F5B24">
              <w:rPr>
                <w:sz w:val="22"/>
                <w:lang w:val="en-US"/>
              </w:rPr>
              <w:t>17.19</w:t>
            </w:r>
          </w:p>
        </w:tc>
      </w:tr>
      <w:tr w:rsidR="00E97C07" w:rsidRPr="00CD7497" w14:paraId="17508F8F" w14:textId="77777777" w:rsidTr="001B5051">
        <w:trPr>
          <w:trHeight w:val="250"/>
        </w:trPr>
        <w:tc>
          <w:tcPr>
            <w:tcW w:w="1420" w:type="dxa"/>
            <w:vMerge w:val="restart"/>
            <w:shd w:val="clear" w:color="auto" w:fill="auto"/>
            <w:tcMar>
              <w:top w:w="72" w:type="dxa"/>
              <w:left w:w="144" w:type="dxa"/>
              <w:bottom w:w="72" w:type="dxa"/>
              <w:right w:w="144" w:type="dxa"/>
            </w:tcMar>
            <w:vAlign w:val="center"/>
          </w:tcPr>
          <w:p w14:paraId="66B565C5" w14:textId="77777777" w:rsidR="00E97C07" w:rsidRPr="004F5B24" w:rsidRDefault="00E97C07" w:rsidP="001B5051">
            <w:pPr>
              <w:spacing w:line="240" w:lineRule="auto"/>
              <w:jc w:val="center"/>
              <w:rPr>
                <w:sz w:val="22"/>
                <w:lang w:val="en-US"/>
              </w:rPr>
            </w:pPr>
            <w:r w:rsidRPr="004F5B24">
              <w:rPr>
                <w:sz w:val="22"/>
                <w:lang w:val="en-US"/>
              </w:rPr>
              <w:t>In all cattle</w:t>
            </w:r>
          </w:p>
          <w:p w14:paraId="580E1EB7" w14:textId="77777777" w:rsidR="00E97C07" w:rsidRPr="004F5B24" w:rsidRDefault="00E97C07" w:rsidP="001B5051">
            <w:pPr>
              <w:spacing w:line="240" w:lineRule="auto"/>
              <w:jc w:val="center"/>
              <w:rPr>
                <w:sz w:val="22"/>
                <w:lang w:val="en-US"/>
              </w:rPr>
            </w:pPr>
            <w:r w:rsidRPr="004F5B24">
              <w:rPr>
                <w:sz w:val="22"/>
                <w:lang w:val="en-US"/>
              </w:rPr>
              <w:t>(N=15 000)</w:t>
            </w:r>
          </w:p>
        </w:tc>
        <w:tc>
          <w:tcPr>
            <w:tcW w:w="1134" w:type="dxa"/>
            <w:shd w:val="clear" w:color="auto" w:fill="auto"/>
            <w:tcMar>
              <w:top w:w="72" w:type="dxa"/>
              <w:left w:w="144" w:type="dxa"/>
              <w:bottom w:w="72" w:type="dxa"/>
              <w:right w:w="144" w:type="dxa"/>
            </w:tcMar>
            <w:vAlign w:val="center"/>
          </w:tcPr>
          <w:p w14:paraId="30BD3EC1" w14:textId="77777777" w:rsidR="00E97C07" w:rsidRPr="004F5B24" w:rsidRDefault="00E97C07" w:rsidP="001B5051">
            <w:pPr>
              <w:spacing w:line="240" w:lineRule="auto"/>
              <w:jc w:val="center"/>
              <w:rPr>
                <w:sz w:val="22"/>
                <w:lang w:val="el-GR"/>
              </w:rPr>
            </w:pPr>
            <w:r w:rsidRPr="004F5B24">
              <w:rPr>
                <w:sz w:val="22"/>
                <w:lang w:val="el-GR"/>
              </w:rPr>
              <w:t>γ</w:t>
            </w:r>
            <w:r w:rsidRPr="004F5B24">
              <w:rPr>
                <w:sz w:val="22"/>
              </w:rPr>
              <w:t>=0%</w:t>
            </w:r>
          </w:p>
        </w:tc>
        <w:tc>
          <w:tcPr>
            <w:tcW w:w="992" w:type="dxa"/>
            <w:shd w:val="clear" w:color="auto" w:fill="auto"/>
            <w:tcMar>
              <w:top w:w="72" w:type="dxa"/>
              <w:left w:w="144" w:type="dxa"/>
              <w:bottom w:w="72" w:type="dxa"/>
              <w:right w:w="144" w:type="dxa"/>
            </w:tcMar>
            <w:vAlign w:val="center"/>
          </w:tcPr>
          <w:p w14:paraId="671D37A5" w14:textId="77777777" w:rsidR="00E97C07" w:rsidRPr="004F5B24" w:rsidRDefault="00E97C07" w:rsidP="001B5051">
            <w:pPr>
              <w:spacing w:line="240" w:lineRule="auto"/>
              <w:jc w:val="center"/>
              <w:rPr>
                <w:sz w:val="22"/>
                <w:lang w:val="en-US"/>
              </w:rPr>
            </w:pPr>
            <w:r w:rsidRPr="004F5B24">
              <w:rPr>
                <w:sz w:val="22"/>
                <w:lang w:val="en-US"/>
              </w:rPr>
              <w:t>15.58</w:t>
            </w:r>
          </w:p>
        </w:tc>
        <w:tc>
          <w:tcPr>
            <w:tcW w:w="993" w:type="dxa"/>
            <w:shd w:val="clear" w:color="auto" w:fill="auto"/>
            <w:tcMar>
              <w:top w:w="72" w:type="dxa"/>
              <w:left w:w="144" w:type="dxa"/>
              <w:bottom w:w="72" w:type="dxa"/>
              <w:right w:w="144" w:type="dxa"/>
            </w:tcMar>
            <w:vAlign w:val="center"/>
          </w:tcPr>
          <w:p w14:paraId="66ECA45C" w14:textId="77777777" w:rsidR="00E97C07" w:rsidRPr="004F5B24" w:rsidRDefault="00E97C07" w:rsidP="001B5051">
            <w:pPr>
              <w:spacing w:line="240" w:lineRule="auto"/>
              <w:jc w:val="center"/>
              <w:rPr>
                <w:sz w:val="22"/>
                <w:lang w:val="en-US"/>
              </w:rPr>
            </w:pPr>
            <w:r w:rsidRPr="004F5B24">
              <w:rPr>
                <w:sz w:val="22"/>
                <w:lang w:val="en-US"/>
              </w:rPr>
              <w:t>5.26</w:t>
            </w:r>
          </w:p>
        </w:tc>
        <w:tc>
          <w:tcPr>
            <w:tcW w:w="850" w:type="dxa"/>
            <w:shd w:val="clear" w:color="auto" w:fill="auto"/>
            <w:tcMar>
              <w:top w:w="72" w:type="dxa"/>
              <w:left w:w="144" w:type="dxa"/>
              <w:bottom w:w="72" w:type="dxa"/>
              <w:right w:w="144" w:type="dxa"/>
            </w:tcMar>
            <w:vAlign w:val="center"/>
          </w:tcPr>
          <w:p w14:paraId="1F6A3B16" w14:textId="77777777" w:rsidR="00E97C07" w:rsidRPr="004F5B24" w:rsidRDefault="00E97C07" w:rsidP="001B5051">
            <w:pPr>
              <w:spacing w:line="240" w:lineRule="auto"/>
              <w:jc w:val="center"/>
              <w:rPr>
                <w:sz w:val="22"/>
                <w:lang w:val="en-US"/>
              </w:rPr>
            </w:pPr>
            <w:r w:rsidRPr="004F5B24">
              <w:rPr>
                <w:sz w:val="22"/>
                <w:lang w:val="en-US"/>
              </w:rPr>
              <w:t>0.57</w:t>
            </w:r>
          </w:p>
        </w:tc>
        <w:tc>
          <w:tcPr>
            <w:tcW w:w="1134" w:type="dxa"/>
            <w:shd w:val="clear" w:color="auto" w:fill="auto"/>
            <w:vAlign w:val="center"/>
          </w:tcPr>
          <w:p w14:paraId="4969706A" w14:textId="77777777" w:rsidR="00E97C07" w:rsidRPr="004F5B24" w:rsidRDefault="00E97C07" w:rsidP="001B5051">
            <w:pPr>
              <w:spacing w:line="240" w:lineRule="auto"/>
              <w:jc w:val="center"/>
              <w:rPr>
                <w:color w:val="A6A6A6" w:themeColor="background1" w:themeShade="A6"/>
                <w:sz w:val="22"/>
                <w:lang w:val="en-US"/>
              </w:rPr>
            </w:pPr>
            <w:r w:rsidRPr="004F5B24">
              <w:rPr>
                <w:color w:val="A6A6A6" w:themeColor="background1" w:themeShade="A6"/>
                <w:sz w:val="22"/>
                <w:lang w:val="en-US"/>
              </w:rPr>
              <w:t>x</w:t>
            </w:r>
          </w:p>
        </w:tc>
        <w:tc>
          <w:tcPr>
            <w:tcW w:w="709" w:type="dxa"/>
            <w:shd w:val="clear" w:color="auto" w:fill="auto"/>
            <w:vAlign w:val="center"/>
          </w:tcPr>
          <w:p w14:paraId="6D0A7FE7" w14:textId="77777777" w:rsidR="00E97C07" w:rsidRPr="004F5B24" w:rsidRDefault="00E97C07" w:rsidP="001B5051">
            <w:pPr>
              <w:spacing w:line="240" w:lineRule="auto"/>
              <w:jc w:val="center"/>
              <w:rPr>
                <w:color w:val="A6A6A6" w:themeColor="background1" w:themeShade="A6"/>
                <w:sz w:val="22"/>
                <w:lang w:val="en-US"/>
              </w:rPr>
            </w:pPr>
            <w:r w:rsidRPr="004F5B24">
              <w:rPr>
                <w:color w:val="A6A6A6" w:themeColor="background1" w:themeShade="A6"/>
                <w:sz w:val="22"/>
                <w:lang w:val="en-US"/>
              </w:rPr>
              <w:t>x</w:t>
            </w:r>
          </w:p>
        </w:tc>
        <w:tc>
          <w:tcPr>
            <w:tcW w:w="709" w:type="dxa"/>
            <w:shd w:val="clear" w:color="auto" w:fill="auto"/>
            <w:vAlign w:val="center"/>
          </w:tcPr>
          <w:p w14:paraId="46D9A240" w14:textId="77777777" w:rsidR="00E97C07" w:rsidRPr="004F5B24" w:rsidRDefault="00E97C07" w:rsidP="001B5051">
            <w:pPr>
              <w:spacing w:line="240" w:lineRule="auto"/>
              <w:jc w:val="center"/>
              <w:rPr>
                <w:color w:val="A6A6A6" w:themeColor="background1" w:themeShade="A6"/>
                <w:sz w:val="22"/>
                <w:lang w:val="en-US"/>
              </w:rPr>
            </w:pPr>
            <w:r w:rsidRPr="004F5B24">
              <w:rPr>
                <w:color w:val="A6A6A6" w:themeColor="background1" w:themeShade="A6"/>
                <w:sz w:val="22"/>
                <w:lang w:val="en-US"/>
              </w:rPr>
              <w:t>x</w:t>
            </w:r>
          </w:p>
        </w:tc>
        <w:tc>
          <w:tcPr>
            <w:tcW w:w="850" w:type="dxa"/>
            <w:shd w:val="clear" w:color="auto" w:fill="auto"/>
            <w:vAlign w:val="center"/>
          </w:tcPr>
          <w:p w14:paraId="2632494B" w14:textId="77777777" w:rsidR="00E97C07" w:rsidRPr="004F5B24" w:rsidRDefault="00E97C07" w:rsidP="001B5051">
            <w:pPr>
              <w:spacing w:line="240" w:lineRule="auto"/>
              <w:jc w:val="center"/>
              <w:rPr>
                <w:color w:val="A6A6A6" w:themeColor="background1" w:themeShade="A6"/>
                <w:sz w:val="22"/>
                <w:lang w:val="en-US"/>
              </w:rPr>
            </w:pPr>
            <w:r w:rsidRPr="004F5B24">
              <w:rPr>
                <w:color w:val="A6A6A6" w:themeColor="background1" w:themeShade="A6"/>
                <w:sz w:val="22"/>
                <w:lang w:val="en-US"/>
              </w:rPr>
              <w:t>x</w:t>
            </w:r>
          </w:p>
        </w:tc>
        <w:tc>
          <w:tcPr>
            <w:tcW w:w="1188" w:type="dxa"/>
            <w:shd w:val="clear" w:color="auto" w:fill="auto"/>
            <w:vAlign w:val="center"/>
          </w:tcPr>
          <w:p w14:paraId="72328621" w14:textId="77777777" w:rsidR="00E97C07" w:rsidRPr="004F5B24" w:rsidRDefault="00E97C07" w:rsidP="001B5051">
            <w:pPr>
              <w:spacing w:line="240" w:lineRule="auto"/>
              <w:jc w:val="center"/>
              <w:rPr>
                <w:color w:val="A6A6A6" w:themeColor="background1" w:themeShade="A6"/>
                <w:sz w:val="22"/>
                <w:lang w:val="en-US"/>
              </w:rPr>
            </w:pPr>
            <w:r w:rsidRPr="004F5B24">
              <w:rPr>
                <w:color w:val="A6A6A6" w:themeColor="background1" w:themeShade="A6"/>
                <w:sz w:val="22"/>
                <w:lang w:val="en-US"/>
              </w:rPr>
              <w:t>x</w:t>
            </w:r>
          </w:p>
        </w:tc>
      </w:tr>
      <w:tr w:rsidR="00E97C07" w:rsidRPr="00CD7497" w14:paraId="7106516C" w14:textId="77777777" w:rsidTr="001B5051">
        <w:trPr>
          <w:trHeight w:val="20"/>
        </w:trPr>
        <w:tc>
          <w:tcPr>
            <w:tcW w:w="1420" w:type="dxa"/>
            <w:vMerge/>
            <w:shd w:val="clear" w:color="auto" w:fill="auto"/>
            <w:tcMar>
              <w:top w:w="72" w:type="dxa"/>
              <w:left w:w="144" w:type="dxa"/>
              <w:bottom w:w="72" w:type="dxa"/>
              <w:right w:w="144" w:type="dxa"/>
            </w:tcMar>
            <w:vAlign w:val="center"/>
            <w:hideMark/>
          </w:tcPr>
          <w:p w14:paraId="08A02643" w14:textId="77777777" w:rsidR="00E97C07" w:rsidRPr="004F5B24" w:rsidRDefault="00E97C07" w:rsidP="00392EE9">
            <w:pPr>
              <w:spacing w:line="240" w:lineRule="auto"/>
              <w:jc w:val="center"/>
              <w:rPr>
                <w:sz w:val="22"/>
                <w:lang w:val="en-US"/>
              </w:rPr>
            </w:pPr>
          </w:p>
        </w:tc>
        <w:tc>
          <w:tcPr>
            <w:tcW w:w="1134" w:type="dxa"/>
            <w:shd w:val="clear" w:color="auto" w:fill="auto"/>
            <w:tcMar>
              <w:top w:w="72" w:type="dxa"/>
              <w:left w:w="144" w:type="dxa"/>
              <w:bottom w:w="72" w:type="dxa"/>
              <w:right w:w="144" w:type="dxa"/>
            </w:tcMar>
            <w:vAlign w:val="center"/>
            <w:hideMark/>
          </w:tcPr>
          <w:p w14:paraId="02E88C7E" w14:textId="77777777" w:rsidR="00E97C07" w:rsidRPr="004F5B24" w:rsidRDefault="00E97C07" w:rsidP="00392EE9">
            <w:pPr>
              <w:spacing w:line="240" w:lineRule="auto"/>
              <w:jc w:val="center"/>
              <w:rPr>
                <w:sz w:val="22"/>
                <w:lang w:val="en-US"/>
              </w:rPr>
            </w:pPr>
            <w:r w:rsidRPr="004F5B24">
              <w:rPr>
                <w:sz w:val="22"/>
                <w:lang w:val="el-GR"/>
              </w:rPr>
              <w:t>γ</w:t>
            </w:r>
            <w:r w:rsidRPr="004F5B24">
              <w:rPr>
                <w:sz w:val="22"/>
              </w:rPr>
              <w:t>=25%</w:t>
            </w:r>
          </w:p>
        </w:tc>
        <w:tc>
          <w:tcPr>
            <w:tcW w:w="992" w:type="dxa"/>
            <w:shd w:val="clear" w:color="auto" w:fill="auto"/>
            <w:tcMar>
              <w:top w:w="72" w:type="dxa"/>
              <w:left w:w="144" w:type="dxa"/>
              <w:bottom w:w="72" w:type="dxa"/>
              <w:right w:w="144" w:type="dxa"/>
            </w:tcMar>
            <w:vAlign w:val="center"/>
            <w:hideMark/>
          </w:tcPr>
          <w:p w14:paraId="2E62816F" w14:textId="77777777" w:rsidR="00E97C07" w:rsidRPr="004F5B24" w:rsidRDefault="00E97C07" w:rsidP="00392EE9">
            <w:pPr>
              <w:spacing w:line="240" w:lineRule="auto"/>
              <w:jc w:val="center"/>
              <w:rPr>
                <w:sz w:val="22"/>
                <w:lang w:val="en-US"/>
              </w:rPr>
            </w:pPr>
            <w:r w:rsidRPr="004F5B24">
              <w:rPr>
                <w:sz w:val="22"/>
                <w:lang w:val="en-US"/>
              </w:rPr>
              <w:t>18.95</w:t>
            </w:r>
          </w:p>
        </w:tc>
        <w:tc>
          <w:tcPr>
            <w:tcW w:w="993" w:type="dxa"/>
            <w:shd w:val="clear" w:color="auto" w:fill="auto"/>
            <w:tcMar>
              <w:top w:w="72" w:type="dxa"/>
              <w:left w:w="144" w:type="dxa"/>
              <w:bottom w:w="72" w:type="dxa"/>
              <w:right w:w="144" w:type="dxa"/>
            </w:tcMar>
            <w:vAlign w:val="center"/>
            <w:hideMark/>
          </w:tcPr>
          <w:p w14:paraId="140C59FE" w14:textId="77777777" w:rsidR="00E97C07" w:rsidRPr="004F5B24" w:rsidRDefault="00E97C07" w:rsidP="00392EE9">
            <w:pPr>
              <w:spacing w:line="240" w:lineRule="auto"/>
              <w:jc w:val="center"/>
              <w:rPr>
                <w:sz w:val="22"/>
                <w:lang w:val="en-US"/>
              </w:rPr>
            </w:pPr>
            <w:r w:rsidRPr="004F5B24">
              <w:rPr>
                <w:sz w:val="22"/>
                <w:lang w:val="en-US"/>
              </w:rPr>
              <w:t>7.26</w:t>
            </w:r>
          </w:p>
        </w:tc>
        <w:tc>
          <w:tcPr>
            <w:tcW w:w="850" w:type="dxa"/>
            <w:shd w:val="clear" w:color="auto" w:fill="auto"/>
            <w:tcMar>
              <w:top w:w="72" w:type="dxa"/>
              <w:left w:w="144" w:type="dxa"/>
              <w:bottom w:w="72" w:type="dxa"/>
              <w:right w:w="144" w:type="dxa"/>
            </w:tcMar>
            <w:vAlign w:val="center"/>
            <w:hideMark/>
          </w:tcPr>
          <w:p w14:paraId="38E52783" w14:textId="77777777" w:rsidR="00E97C07" w:rsidRPr="004F5B24" w:rsidRDefault="00E97C07" w:rsidP="00392EE9">
            <w:pPr>
              <w:spacing w:line="240" w:lineRule="auto"/>
              <w:jc w:val="center"/>
              <w:rPr>
                <w:sz w:val="22"/>
                <w:lang w:val="en-US"/>
              </w:rPr>
            </w:pPr>
            <w:r w:rsidRPr="004F5B24">
              <w:rPr>
                <w:sz w:val="22"/>
                <w:lang w:val="en-US"/>
              </w:rPr>
              <w:t>0.68</w:t>
            </w:r>
          </w:p>
        </w:tc>
        <w:tc>
          <w:tcPr>
            <w:tcW w:w="1134" w:type="dxa"/>
            <w:shd w:val="clear" w:color="auto" w:fill="auto"/>
            <w:vAlign w:val="center"/>
          </w:tcPr>
          <w:p w14:paraId="4A2995F2" w14:textId="77777777" w:rsidR="00E97C07" w:rsidRPr="004F5B24" w:rsidRDefault="00E97C07" w:rsidP="00392EE9">
            <w:pPr>
              <w:spacing w:line="240" w:lineRule="auto"/>
              <w:jc w:val="center"/>
              <w:rPr>
                <w:color w:val="A6A6A6" w:themeColor="background1" w:themeShade="A6"/>
                <w:sz w:val="22"/>
                <w:lang w:val="en-US"/>
              </w:rPr>
            </w:pPr>
            <w:r w:rsidRPr="004F5B24">
              <w:rPr>
                <w:color w:val="A6A6A6" w:themeColor="background1" w:themeShade="A6"/>
                <w:sz w:val="22"/>
                <w:lang w:val="en-US"/>
              </w:rPr>
              <w:t>x</w:t>
            </w:r>
          </w:p>
        </w:tc>
        <w:tc>
          <w:tcPr>
            <w:tcW w:w="709" w:type="dxa"/>
            <w:shd w:val="clear" w:color="auto" w:fill="auto"/>
            <w:vAlign w:val="center"/>
          </w:tcPr>
          <w:p w14:paraId="386A3816" w14:textId="77777777" w:rsidR="00E97C07" w:rsidRPr="004F5B24" w:rsidRDefault="00E97C07" w:rsidP="00392EE9">
            <w:pPr>
              <w:spacing w:line="240" w:lineRule="auto"/>
              <w:jc w:val="center"/>
              <w:rPr>
                <w:color w:val="A6A6A6" w:themeColor="background1" w:themeShade="A6"/>
                <w:sz w:val="22"/>
                <w:lang w:val="en-US"/>
              </w:rPr>
            </w:pPr>
            <w:r w:rsidRPr="004F5B24">
              <w:rPr>
                <w:color w:val="A6A6A6" w:themeColor="background1" w:themeShade="A6"/>
                <w:sz w:val="22"/>
                <w:lang w:val="en-US"/>
              </w:rPr>
              <w:t>x</w:t>
            </w:r>
          </w:p>
        </w:tc>
        <w:tc>
          <w:tcPr>
            <w:tcW w:w="709" w:type="dxa"/>
            <w:shd w:val="clear" w:color="auto" w:fill="auto"/>
            <w:vAlign w:val="center"/>
          </w:tcPr>
          <w:p w14:paraId="5DF66F4B" w14:textId="77777777" w:rsidR="00E97C07" w:rsidRPr="004F5B24" w:rsidRDefault="00E97C07" w:rsidP="00392EE9">
            <w:pPr>
              <w:spacing w:line="240" w:lineRule="auto"/>
              <w:jc w:val="center"/>
              <w:rPr>
                <w:color w:val="A6A6A6" w:themeColor="background1" w:themeShade="A6"/>
                <w:sz w:val="22"/>
                <w:lang w:val="en-US"/>
              </w:rPr>
            </w:pPr>
            <w:r w:rsidRPr="004F5B24">
              <w:rPr>
                <w:color w:val="A6A6A6" w:themeColor="background1" w:themeShade="A6"/>
                <w:sz w:val="22"/>
                <w:lang w:val="en-US"/>
              </w:rPr>
              <w:t>x</w:t>
            </w:r>
          </w:p>
        </w:tc>
        <w:tc>
          <w:tcPr>
            <w:tcW w:w="850" w:type="dxa"/>
            <w:shd w:val="clear" w:color="auto" w:fill="auto"/>
            <w:vAlign w:val="center"/>
          </w:tcPr>
          <w:p w14:paraId="52187F24" w14:textId="77777777" w:rsidR="00E97C07" w:rsidRPr="004F5B24" w:rsidRDefault="00E97C07" w:rsidP="00392EE9">
            <w:pPr>
              <w:spacing w:line="240" w:lineRule="auto"/>
              <w:jc w:val="center"/>
              <w:rPr>
                <w:color w:val="A6A6A6" w:themeColor="background1" w:themeShade="A6"/>
                <w:sz w:val="22"/>
                <w:lang w:val="en-US"/>
              </w:rPr>
            </w:pPr>
            <w:r w:rsidRPr="004F5B24">
              <w:rPr>
                <w:color w:val="A6A6A6" w:themeColor="background1" w:themeShade="A6"/>
                <w:sz w:val="22"/>
                <w:lang w:val="en-US"/>
              </w:rPr>
              <w:t>x</w:t>
            </w:r>
          </w:p>
        </w:tc>
        <w:tc>
          <w:tcPr>
            <w:tcW w:w="1188" w:type="dxa"/>
            <w:shd w:val="clear" w:color="auto" w:fill="auto"/>
            <w:vAlign w:val="center"/>
          </w:tcPr>
          <w:p w14:paraId="10D25B54" w14:textId="77777777" w:rsidR="00E97C07" w:rsidRPr="004F5B24" w:rsidRDefault="00E97C07" w:rsidP="00392EE9">
            <w:pPr>
              <w:spacing w:line="240" w:lineRule="auto"/>
              <w:jc w:val="center"/>
              <w:rPr>
                <w:color w:val="A6A6A6" w:themeColor="background1" w:themeShade="A6"/>
                <w:sz w:val="22"/>
                <w:lang w:val="en-US"/>
              </w:rPr>
            </w:pPr>
            <w:r w:rsidRPr="004F5B24">
              <w:rPr>
                <w:color w:val="A6A6A6" w:themeColor="background1" w:themeShade="A6"/>
                <w:sz w:val="22"/>
                <w:lang w:val="en-US"/>
              </w:rPr>
              <w:t>x</w:t>
            </w:r>
          </w:p>
        </w:tc>
      </w:tr>
      <w:tr w:rsidR="00E97C07" w:rsidRPr="00CD7497" w14:paraId="7BDF31EC" w14:textId="77777777" w:rsidTr="001B5051">
        <w:trPr>
          <w:trHeight w:val="162"/>
        </w:trPr>
        <w:tc>
          <w:tcPr>
            <w:tcW w:w="1420" w:type="dxa"/>
            <w:vMerge/>
            <w:shd w:val="clear" w:color="auto" w:fill="auto"/>
            <w:vAlign w:val="center"/>
            <w:hideMark/>
          </w:tcPr>
          <w:p w14:paraId="1A6E8703" w14:textId="77777777" w:rsidR="00E97C07" w:rsidRPr="004F5B24" w:rsidRDefault="00E97C07" w:rsidP="00392EE9">
            <w:pPr>
              <w:spacing w:line="240" w:lineRule="auto"/>
              <w:jc w:val="center"/>
              <w:rPr>
                <w:sz w:val="22"/>
                <w:lang w:val="en-US"/>
              </w:rPr>
            </w:pPr>
          </w:p>
        </w:tc>
        <w:tc>
          <w:tcPr>
            <w:tcW w:w="1134" w:type="dxa"/>
            <w:shd w:val="clear" w:color="auto" w:fill="auto"/>
            <w:tcMar>
              <w:top w:w="72" w:type="dxa"/>
              <w:left w:w="144" w:type="dxa"/>
              <w:bottom w:w="72" w:type="dxa"/>
              <w:right w:w="144" w:type="dxa"/>
            </w:tcMar>
            <w:vAlign w:val="center"/>
            <w:hideMark/>
          </w:tcPr>
          <w:p w14:paraId="1D3E2B6D" w14:textId="77777777" w:rsidR="00E97C07" w:rsidRPr="004F5B24" w:rsidRDefault="00E97C07" w:rsidP="00392EE9">
            <w:pPr>
              <w:spacing w:line="240" w:lineRule="auto"/>
              <w:jc w:val="center"/>
              <w:rPr>
                <w:sz w:val="22"/>
                <w:lang w:val="en-US"/>
              </w:rPr>
            </w:pPr>
            <w:r w:rsidRPr="004F5B24">
              <w:rPr>
                <w:sz w:val="22"/>
                <w:lang w:val="el-GR"/>
              </w:rPr>
              <w:t>γ</w:t>
            </w:r>
            <w:r w:rsidRPr="004F5B24">
              <w:rPr>
                <w:sz w:val="22"/>
              </w:rPr>
              <w:t>=50%</w:t>
            </w:r>
          </w:p>
        </w:tc>
        <w:tc>
          <w:tcPr>
            <w:tcW w:w="992" w:type="dxa"/>
            <w:shd w:val="clear" w:color="auto" w:fill="auto"/>
            <w:tcMar>
              <w:top w:w="72" w:type="dxa"/>
              <w:left w:w="144" w:type="dxa"/>
              <w:bottom w:w="72" w:type="dxa"/>
              <w:right w:w="144" w:type="dxa"/>
            </w:tcMar>
            <w:vAlign w:val="center"/>
            <w:hideMark/>
          </w:tcPr>
          <w:p w14:paraId="7514A3F3" w14:textId="77777777" w:rsidR="00E97C07" w:rsidRPr="004F5B24" w:rsidRDefault="00E97C07" w:rsidP="00392EE9">
            <w:pPr>
              <w:spacing w:line="240" w:lineRule="auto"/>
              <w:jc w:val="center"/>
              <w:rPr>
                <w:sz w:val="22"/>
                <w:lang w:val="en-US"/>
              </w:rPr>
            </w:pPr>
            <w:r w:rsidRPr="004F5B24">
              <w:rPr>
                <w:sz w:val="22"/>
                <w:lang w:val="en-US"/>
              </w:rPr>
              <w:t>22.12</w:t>
            </w:r>
          </w:p>
        </w:tc>
        <w:tc>
          <w:tcPr>
            <w:tcW w:w="993" w:type="dxa"/>
            <w:shd w:val="clear" w:color="auto" w:fill="auto"/>
            <w:tcMar>
              <w:top w:w="72" w:type="dxa"/>
              <w:left w:w="144" w:type="dxa"/>
              <w:bottom w:w="72" w:type="dxa"/>
              <w:right w:w="144" w:type="dxa"/>
            </w:tcMar>
            <w:vAlign w:val="center"/>
            <w:hideMark/>
          </w:tcPr>
          <w:p w14:paraId="33E299B0" w14:textId="77777777" w:rsidR="00E97C07" w:rsidRPr="004F5B24" w:rsidRDefault="00E97C07" w:rsidP="00392EE9">
            <w:pPr>
              <w:spacing w:line="240" w:lineRule="auto"/>
              <w:jc w:val="center"/>
              <w:rPr>
                <w:sz w:val="22"/>
                <w:lang w:val="en-US"/>
              </w:rPr>
            </w:pPr>
            <w:r w:rsidRPr="004F5B24">
              <w:rPr>
                <w:sz w:val="22"/>
                <w:lang w:val="en-US"/>
              </w:rPr>
              <w:t>7.29</w:t>
            </w:r>
          </w:p>
        </w:tc>
        <w:tc>
          <w:tcPr>
            <w:tcW w:w="850" w:type="dxa"/>
            <w:shd w:val="clear" w:color="auto" w:fill="auto"/>
            <w:tcMar>
              <w:top w:w="72" w:type="dxa"/>
              <w:left w:w="144" w:type="dxa"/>
              <w:bottom w:w="72" w:type="dxa"/>
              <w:right w:w="144" w:type="dxa"/>
            </w:tcMar>
            <w:vAlign w:val="center"/>
            <w:hideMark/>
          </w:tcPr>
          <w:p w14:paraId="172ECAE2" w14:textId="77777777" w:rsidR="00E97C07" w:rsidRPr="004F5B24" w:rsidRDefault="00E97C07" w:rsidP="00392EE9">
            <w:pPr>
              <w:spacing w:line="240" w:lineRule="auto"/>
              <w:jc w:val="center"/>
              <w:rPr>
                <w:sz w:val="22"/>
                <w:lang w:val="en-US"/>
              </w:rPr>
            </w:pPr>
            <w:r w:rsidRPr="004F5B24">
              <w:rPr>
                <w:sz w:val="22"/>
                <w:lang w:val="en-US"/>
              </w:rPr>
              <w:t>0.80</w:t>
            </w:r>
          </w:p>
        </w:tc>
        <w:tc>
          <w:tcPr>
            <w:tcW w:w="1134" w:type="dxa"/>
            <w:shd w:val="clear" w:color="auto" w:fill="auto"/>
            <w:vAlign w:val="center"/>
          </w:tcPr>
          <w:p w14:paraId="792A00B0" w14:textId="77777777" w:rsidR="00E97C07" w:rsidRPr="004F5B24" w:rsidRDefault="00E97C07" w:rsidP="001B5051">
            <w:pPr>
              <w:spacing w:line="240" w:lineRule="auto"/>
              <w:jc w:val="center"/>
              <w:rPr>
                <w:sz w:val="22"/>
                <w:lang w:val="en-US"/>
              </w:rPr>
            </w:pPr>
            <w:r w:rsidRPr="004F5B24">
              <w:rPr>
                <w:sz w:val="22"/>
                <w:lang w:val="en-US"/>
              </w:rPr>
              <w:t>9.11</w:t>
            </w:r>
          </w:p>
        </w:tc>
        <w:tc>
          <w:tcPr>
            <w:tcW w:w="709" w:type="dxa"/>
            <w:shd w:val="clear" w:color="auto" w:fill="auto"/>
            <w:vAlign w:val="center"/>
          </w:tcPr>
          <w:p w14:paraId="5B694FCE" w14:textId="77777777" w:rsidR="00E97C07" w:rsidRPr="004F5B24" w:rsidRDefault="00E97C07" w:rsidP="001B5051">
            <w:pPr>
              <w:spacing w:line="240" w:lineRule="auto"/>
              <w:jc w:val="center"/>
              <w:rPr>
                <w:sz w:val="22"/>
                <w:lang w:val="en-US"/>
              </w:rPr>
            </w:pPr>
            <w:r w:rsidRPr="004F5B24">
              <w:rPr>
                <w:sz w:val="22"/>
                <w:lang w:val="en-US"/>
              </w:rPr>
              <w:t>15.38</w:t>
            </w:r>
          </w:p>
        </w:tc>
        <w:tc>
          <w:tcPr>
            <w:tcW w:w="709" w:type="dxa"/>
            <w:shd w:val="clear" w:color="auto" w:fill="auto"/>
            <w:vAlign w:val="center"/>
          </w:tcPr>
          <w:p w14:paraId="72277304" w14:textId="77777777" w:rsidR="00E97C07" w:rsidRPr="004F5B24" w:rsidRDefault="00E97C07" w:rsidP="001B5051">
            <w:pPr>
              <w:spacing w:line="240" w:lineRule="auto"/>
              <w:jc w:val="center"/>
              <w:rPr>
                <w:sz w:val="22"/>
                <w:lang w:val="en-US"/>
              </w:rPr>
            </w:pPr>
            <w:r w:rsidRPr="004F5B24">
              <w:rPr>
                <w:sz w:val="22"/>
                <w:lang w:val="en-US"/>
              </w:rPr>
              <w:t>7.74</w:t>
            </w:r>
          </w:p>
        </w:tc>
        <w:tc>
          <w:tcPr>
            <w:tcW w:w="850" w:type="dxa"/>
            <w:shd w:val="clear" w:color="auto" w:fill="auto"/>
            <w:vAlign w:val="center"/>
          </w:tcPr>
          <w:p w14:paraId="6E7450D8" w14:textId="77777777" w:rsidR="00E97C07" w:rsidRPr="004F5B24" w:rsidRDefault="00E97C07" w:rsidP="001B5051">
            <w:pPr>
              <w:spacing w:line="240" w:lineRule="auto"/>
              <w:jc w:val="center"/>
              <w:rPr>
                <w:sz w:val="22"/>
                <w:lang w:val="en-US"/>
              </w:rPr>
            </w:pPr>
            <w:r w:rsidRPr="004F5B24">
              <w:rPr>
                <w:sz w:val="22"/>
                <w:lang w:val="en-US"/>
              </w:rPr>
              <w:t>4.37</w:t>
            </w:r>
          </w:p>
        </w:tc>
        <w:tc>
          <w:tcPr>
            <w:tcW w:w="1188" w:type="dxa"/>
            <w:shd w:val="clear" w:color="auto" w:fill="auto"/>
            <w:vAlign w:val="center"/>
          </w:tcPr>
          <w:p w14:paraId="7F4E59FD" w14:textId="77777777" w:rsidR="00E97C07" w:rsidRPr="004F5B24" w:rsidRDefault="00E97C07" w:rsidP="001B5051">
            <w:pPr>
              <w:spacing w:line="240" w:lineRule="auto"/>
              <w:jc w:val="center"/>
              <w:rPr>
                <w:sz w:val="22"/>
                <w:lang w:val="en-US"/>
              </w:rPr>
            </w:pPr>
            <w:r w:rsidRPr="004F5B24">
              <w:rPr>
                <w:sz w:val="22"/>
                <w:lang w:val="en-US"/>
              </w:rPr>
              <w:t>13.17</w:t>
            </w:r>
          </w:p>
        </w:tc>
      </w:tr>
      <w:tr w:rsidR="00E97C07" w:rsidRPr="00CD7497" w14:paraId="67618742" w14:textId="77777777" w:rsidTr="001B5051">
        <w:trPr>
          <w:trHeight w:val="20"/>
        </w:trPr>
        <w:tc>
          <w:tcPr>
            <w:tcW w:w="1420" w:type="dxa"/>
            <w:vMerge/>
            <w:shd w:val="clear" w:color="auto" w:fill="auto"/>
            <w:vAlign w:val="center"/>
            <w:hideMark/>
          </w:tcPr>
          <w:p w14:paraId="3C8B240B" w14:textId="77777777" w:rsidR="00E97C07" w:rsidRPr="004F5B24" w:rsidRDefault="00E97C07" w:rsidP="00392EE9">
            <w:pPr>
              <w:spacing w:line="240" w:lineRule="auto"/>
              <w:jc w:val="center"/>
              <w:rPr>
                <w:sz w:val="22"/>
                <w:lang w:val="en-US"/>
              </w:rPr>
            </w:pPr>
          </w:p>
        </w:tc>
        <w:tc>
          <w:tcPr>
            <w:tcW w:w="1134" w:type="dxa"/>
            <w:shd w:val="clear" w:color="auto" w:fill="auto"/>
            <w:tcMar>
              <w:top w:w="72" w:type="dxa"/>
              <w:left w:w="144" w:type="dxa"/>
              <w:bottom w:w="72" w:type="dxa"/>
              <w:right w:w="144" w:type="dxa"/>
            </w:tcMar>
            <w:vAlign w:val="center"/>
            <w:hideMark/>
          </w:tcPr>
          <w:p w14:paraId="40F296D5" w14:textId="77777777" w:rsidR="00E97C07" w:rsidRPr="004F5B24" w:rsidRDefault="00E97C07" w:rsidP="00392EE9">
            <w:pPr>
              <w:spacing w:line="240" w:lineRule="auto"/>
              <w:jc w:val="center"/>
              <w:rPr>
                <w:sz w:val="22"/>
                <w:lang w:val="en-US"/>
              </w:rPr>
            </w:pPr>
            <w:r w:rsidRPr="004F5B24">
              <w:rPr>
                <w:sz w:val="22"/>
                <w:lang w:val="el-GR"/>
              </w:rPr>
              <w:t>γ</w:t>
            </w:r>
            <w:r w:rsidRPr="004F5B24">
              <w:rPr>
                <w:sz w:val="22"/>
              </w:rPr>
              <w:t>=75%</w:t>
            </w:r>
          </w:p>
        </w:tc>
        <w:tc>
          <w:tcPr>
            <w:tcW w:w="992" w:type="dxa"/>
            <w:shd w:val="clear" w:color="auto" w:fill="auto"/>
            <w:tcMar>
              <w:top w:w="72" w:type="dxa"/>
              <w:left w:w="144" w:type="dxa"/>
              <w:bottom w:w="72" w:type="dxa"/>
              <w:right w:w="144" w:type="dxa"/>
            </w:tcMar>
            <w:vAlign w:val="center"/>
            <w:hideMark/>
          </w:tcPr>
          <w:p w14:paraId="3591453E" w14:textId="77777777" w:rsidR="00E97C07" w:rsidRPr="004F5B24" w:rsidRDefault="00E97C07" w:rsidP="00392EE9">
            <w:pPr>
              <w:spacing w:line="240" w:lineRule="auto"/>
              <w:jc w:val="center"/>
              <w:rPr>
                <w:sz w:val="22"/>
                <w:lang w:val="en-US"/>
              </w:rPr>
            </w:pPr>
            <w:r w:rsidRPr="004F5B24">
              <w:rPr>
                <w:sz w:val="22"/>
                <w:lang w:val="en-US"/>
              </w:rPr>
              <w:t>25.46</w:t>
            </w:r>
          </w:p>
        </w:tc>
        <w:tc>
          <w:tcPr>
            <w:tcW w:w="993" w:type="dxa"/>
            <w:shd w:val="clear" w:color="auto" w:fill="auto"/>
            <w:tcMar>
              <w:top w:w="72" w:type="dxa"/>
              <w:left w:w="144" w:type="dxa"/>
              <w:bottom w:w="72" w:type="dxa"/>
              <w:right w:w="144" w:type="dxa"/>
            </w:tcMar>
            <w:vAlign w:val="center"/>
            <w:hideMark/>
          </w:tcPr>
          <w:p w14:paraId="211A2987" w14:textId="77777777" w:rsidR="00E97C07" w:rsidRPr="004F5B24" w:rsidRDefault="00E97C07" w:rsidP="00392EE9">
            <w:pPr>
              <w:spacing w:line="240" w:lineRule="auto"/>
              <w:jc w:val="center"/>
              <w:rPr>
                <w:sz w:val="22"/>
                <w:lang w:val="en-US"/>
              </w:rPr>
            </w:pPr>
            <w:r w:rsidRPr="004F5B24">
              <w:rPr>
                <w:sz w:val="22"/>
                <w:lang w:val="en-US"/>
              </w:rPr>
              <w:t>8.47</w:t>
            </w:r>
          </w:p>
        </w:tc>
        <w:tc>
          <w:tcPr>
            <w:tcW w:w="850" w:type="dxa"/>
            <w:shd w:val="clear" w:color="auto" w:fill="auto"/>
            <w:tcMar>
              <w:top w:w="72" w:type="dxa"/>
              <w:left w:w="144" w:type="dxa"/>
              <w:bottom w:w="72" w:type="dxa"/>
              <w:right w:w="144" w:type="dxa"/>
            </w:tcMar>
            <w:vAlign w:val="center"/>
            <w:hideMark/>
          </w:tcPr>
          <w:p w14:paraId="03B7D6E5" w14:textId="77777777" w:rsidR="00E97C07" w:rsidRPr="004F5B24" w:rsidRDefault="00E97C07" w:rsidP="00392EE9">
            <w:pPr>
              <w:spacing w:line="240" w:lineRule="auto"/>
              <w:jc w:val="center"/>
              <w:rPr>
                <w:sz w:val="22"/>
                <w:lang w:val="en-US"/>
              </w:rPr>
            </w:pPr>
            <w:r w:rsidRPr="004F5B24">
              <w:rPr>
                <w:sz w:val="22"/>
                <w:lang w:val="en-US"/>
              </w:rPr>
              <w:t>0.95</w:t>
            </w:r>
          </w:p>
        </w:tc>
        <w:tc>
          <w:tcPr>
            <w:tcW w:w="1134" w:type="dxa"/>
            <w:shd w:val="clear" w:color="auto" w:fill="auto"/>
            <w:vAlign w:val="center"/>
          </w:tcPr>
          <w:p w14:paraId="3EBBC12B" w14:textId="77777777" w:rsidR="00E97C07" w:rsidRPr="004F5B24" w:rsidRDefault="00E97C07" w:rsidP="00392EE9">
            <w:pPr>
              <w:spacing w:line="240" w:lineRule="auto"/>
              <w:jc w:val="center"/>
              <w:rPr>
                <w:color w:val="A6A6A6" w:themeColor="background1" w:themeShade="A6"/>
                <w:sz w:val="22"/>
                <w:lang w:val="en-US"/>
              </w:rPr>
            </w:pPr>
            <w:r w:rsidRPr="004F5B24">
              <w:rPr>
                <w:color w:val="A6A6A6" w:themeColor="background1" w:themeShade="A6"/>
                <w:sz w:val="22"/>
                <w:lang w:val="en-US"/>
              </w:rPr>
              <w:t>x</w:t>
            </w:r>
          </w:p>
        </w:tc>
        <w:tc>
          <w:tcPr>
            <w:tcW w:w="709" w:type="dxa"/>
            <w:shd w:val="clear" w:color="auto" w:fill="auto"/>
            <w:vAlign w:val="center"/>
          </w:tcPr>
          <w:p w14:paraId="43EE6E61" w14:textId="77777777" w:rsidR="00E97C07" w:rsidRPr="004F5B24" w:rsidRDefault="00E97C07" w:rsidP="00392EE9">
            <w:pPr>
              <w:spacing w:line="240" w:lineRule="auto"/>
              <w:jc w:val="center"/>
              <w:rPr>
                <w:color w:val="A6A6A6" w:themeColor="background1" w:themeShade="A6"/>
                <w:sz w:val="22"/>
                <w:lang w:val="en-US"/>
              </w:rPr>
            </w:pPr>
            <w:r w:rsidRPr="004F5B24">
              <w:rPr>
                <w:color w:val="A6A6A6" w:themeColor="background1" w:themeShade="A6"/>
                <w:sz w:val="22"/>
                <w:lang w:val="en-US"/>
              </w:rPr>
              <w:t>x</w:t>
            </w:r>
          </w:p>
        </w:tc>
        <w:tc>
          <w:tcPr>
            <w:tcW w:w="709" w:type="dxa"/>
            <w:shd w:val="clear" w:color="auto" w:fill="auto"/>
            <w:vAlign w:val="center"/>
          </w:tcPr>
          <w:p w14:paraId="2D0D5E53" w14:textId="77777777" w:rsidR="00E97C07" w:rsidRPr="004F5B24" w:rsidRDefault="00E97C07" w:rsidP="00392EE9">
            <w:pPr>
              <w:spacing w:line="240" w:lineRule="auto"/>
              <w:jc w:val="center"/>
              <w:rPr>
                <w:color w:val="A6A6A6" w:themeColor="background1" w:themeShade="A6"/>
                <w:sz w:val="22"/>
                <w:lang w:val="en-US"/>
              </w:rPr>
            </w:pPr>
            <w:r w:rsidRPr="004F5B24">
              <w:rPr>
                <w:color w:val="A6A6A6" w:themeColor="background1" w:themeShade="A6"/>
                <w:sz w:val="22"/>
                <w:lang w:val="en-US"/>
              </w:rPr>
              <w:t>x</w:t>
            </w:r>
          </w:p>
        </w:tc>
        <w:tc>
          <w:tcPr>
            <w:tcW w:w="850" w:type="dxa"/>
            <w:shd w:val="clear" w:color="auto" w:fill="auto"/>
            <w:vAlign w:val="center"/>
          </w:tcPr>
          <w:p w14:paraId="74E85CE2" w14:textId="77777777" w:rsidR="00E97C07" w:rsidRPr="004F5B24" w:rsidRDefault="00E97C07" w:rsidP="00392EE9">
            <w:pPr>
              <w:spacing w:line="240" w:lineRule="auto"/>
              <w:jc w:val="center"/>
              <w:rPr>
                <w:color w:val="A6A6A6" w:themeColor="background1" w:themeShade="A6"/>
                <w:sz w:val="22"/>
                <w:lang w:val="en-US"/>
              </w:rPr>
            </w:pPr>
            <w:r w:rsidRPr="004F5B24">
              <w:rPr>
                <w:color w:val="A6A6A6" w:themeColor="background1" w:themeShade="A6"/>
                <w:sz w:val="22"/>
                <w:lang w:val="en-US"/>
              </w:rPr>
              <w:t>x</w:t>
            </w:r>
          </w:p>
        </w:tc>
        <w:tc>
          <w:tcPr>
            <w:tcW w:w="1188" w:type="dxa"/>
            <w:shd w:val="clear" w:color="auto" w:fill="auto"/>
            <w:vAlign w:val="center"/>
          </w:tcPr>
          <w:p w14:paraId="114035ED" w14:textId="77777777" w:rsidR="00E97C07" w:rsidRPr="004F5B24" w:rsidRDefault="00E97C07" w:rsidP="00392EE9">
            <w:pPr>
              <w:spacing w:line="240" w:lineRule="auto"/>
              <w:jc w:val="center"/>
              <w:rPr>
                <w:color w:val="A6A6A6" w:themeColor="background1" w:themeShade="A6"/>
                <w:sz w:val="22"/>
                <w:lang w:val="en-US"/>
              </w:rPr>
            </w:pPr>
            <w:r w:rsidRPr="004F5B24">
              <w:rPr>
                <w:color w:val="A6A6A6" w:themeColor="background1" w:themeShade="A6"/>
                <w:sz w:val="22"/>
                <w:lang w:val="en-US"/>
              </w:rPr>
              <w:t>x</w:t>
            </w:r>
          </w:p>
        </w:tc>
      </w:tr>
    </w:tbl>
    <w:p w14:paraId="238ED7BA" w14:textId="77777777" w:rsidR="00E97C07" w:rsidRDefault="00E97C07" w:rsidP="00E97C07">
      <w:pPr>
        <w:pStyle w:val="ListParagraph"/>
        <w:spacing w:line="360" w:lineRule="auto"/>
        <w:ind w:left="0"/>
        <w:rPr>
          <w:lang w:val="en-US"/>
        </w:rPr>
      </w:pPr>
    </w:p>
    <w:p w14:paraId="1371F099" w14:textId="0F806552" w:rsidR="00E97C07" w:rsidRDefault="00E97C07" w:rsidP="00E97C07">
      <w:pPr>
        <w:pStyle w:val="ListParagraph"/>
        <w:spacing w:line="360" w:lineRule="auto"/>
        <w:ind w:left="0"/>
        <w:rPr>
          <w:b/>
          <w:lang w:val="en-US"/>
        </w:rPr>
      </w:pPr>
      <w:r w:rsidRPr="00E97C07">
        <w:rPr>
          <w:sz w:val="22"/>
          <w:lang w:val="en-US"/>
        </w:rPr>
        <w:t xml:space="preserve">The proportions of RT-PCR positive results were calculated over the whole study period from June to December 2016, in a synthetic population (N = 15 000) under eight scenarios of exposure to vector-borne transmission, and with four probabilities of vertical transmission. The results were averaged over ten toy datasets generated for each scenario. </w:t>
      </w:r>
      <w:r w:rsidRPr="00E97C07">
        <w:rPr>
          <w:sz w:val="22"/>
          <w:lang w:val="el-GR"/>
        </w:rPr>
        <w:t>γ</w:t>
      </w:r>
      <w:r w:rsidRPr="00E97C07">
        <w:rPr>
          <w:sz w:val="22"/>
          <w:lang w:val="en-US"/>
        </w:rPr>
        <w:t xml:space="preserve">: probability of vertical transmission. H, high; M, medium; L, low. 33% HML: 33% exposure to each pattern; 70%H - 70%M - 70%L: 70% exposure to a pattern and 15% to the two others; 50% H/M: 50/50% exposure to H and M; x: scenario not investigated in the </w:t>
      </w:r>
      <w:r w:rsidRPr="00E97C07">
        <w:rPr>
          <w:i/>
          <w:sz w:val="22"/>
          <w:lang w:val="en-US"/>
        </w:rPr>
        <w:t>in-</w:t>
      </w:r>
      <w:proofErr w:type="spellStart"/>
      <w:r w:rsidRPr="00E97C07">
        <w:rPr>
          <w:i/>
          <w:sz w:val="22"/>
          <w:lang w:val="en-US"/>
        </w:rPr>
        <w:t>silico</w:t>
      </w:r>
      <w:proofErr w:type="spellEnd"/>
      <w:r w:rsidRPr="00E97C07">
        <w:rPr>
          <w:sz w:val="22"/>
          <w:lang w:val="en-US"/>
        </w:rPr>
        <w:t xml:space="preserve"> experiments.</w:t>
      </w:r>
      <w:r>
        <w:rPr>
          <w:b/>
          <w:lang w:val="en-US"/>
        </w:rPr>
        <w:br w:type="page"/>
      </w:r>
    </w:p>
    <w:p w14:paraId="034A8ABF" w14:textId="53335577" w:rsidR="006E2D78" w:rsidRDefault="006E2D78" w:rsidP="006E2D78">
      <w:pPr>
        <w:pStyle w:val="ListParagraph"/>
        <w:ind w:left="0"/>
        <w:rPr>
          <w:b/>
          <w:lang w:val="en-US"/>
        </w:rPr>
      </w:pPr>
      <w:r w:rsidRPr="005F6CEB">
        <w:rPr>
          <w:b/>
          <w:lang w:val="en-US"/>
        </w:rPr>
        <w:lastRenderedPageBreak/>
        <w:t xml:space="preserve">Figure </w:t>
      </w:r>
      <w:r>
        <w:rPr>
          <w:b/>
          <w:lang w:val="en-US"/>
        </w:rPr>
        <w:t xml:space="preserve">AF.1: </w:t>
      </w:r>
      <w:r w:rsidRPr="00617792">
        <w:rPr>
          <w:lang w:val="en-US"/>
        </w:rPr>
        <w:t xml:space="preserve">Results of the </w:t>
      </w:r>
      <w:r w:rsidRPr="008F6FBA">
        <w:rPr>
          <w:i/>
          <w:lang w:val="en-US"/>
        </w:rPr>
        <w:t>in-</w:t>
      </w:r>
      <w:proofErr w:type="spellStart"/>
      <w:r w:rsidRPr="008F6FBA">
        <w:rPr>
          <w:i/>
          <w:lang w:val="en-US"/>
        </w:rPr>
        <w:t>silico</w:t>
      </w:r>
      <w:proofErr w:type="spellEnd"/>
      <w:r w:rsidRPr="00617792">
        <w:rPr>
          <w:lang w:val="en-US"/>
        </w:rPr>
        <w:t xml:space="preserve"> experiments</w:t>
      </w:r>
      <w:r>
        <w:rPr>
          <w:b/>
          <w:lang w:val="en-US"/>
        </w:rPr>
        <w:t xml:space="preserve">. </w:t>
      </w:r>
    </w:p>
    <w:p w14:paraId="0EF9DD92" w14:textId="77777777" w:rsidR="00E97C07" w:rsidRDefault="00E97C07" w:rsidP="00E97C07">
      <w:pPr>
        <w:pStyle w:val="ListParagraph"/>
        <w:ind w:left="0"/>
        <w:jc w:val="center"/>
        <w:rPr>
          <w:b/>
          <w:lang w:val="en-US"/>
        </w:rPr>
      </w:pPr>
      <w:r>
        <w:rPr>
          <w:noProof/>
          <w:lang w:val="en-IN" w:eastAsia="en-IN"/>
        </w:rPr>
        <w:drawing>
          <wp:inline distT="0" distB="0" distL="0" distR="0" wp14:anchorId="376CF234" wp14:editId="699475A0">
            <wp:extent cx="5126916" cy="7831065"/>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34677" cy="7842919"/>
                    </a:xfrm>
                    <a:prstGeom prst="rect">
                      <a:avLst/>
                    </a:prstGeom>
                    <a:noFill/>
                    <a:ln>
                      <a:noFill/>
                    </a:ln>
                  </pic:spPr>
                </pic:pic>
              </a:graphicData>
            </a:graphic>
          </wp:inline>
        </w:drawing>
      </w:r>
    </w:p>
    <w:p w14:paraId="3DDD5DB9" w14:textId="7128E4F7" w:rsidR="00E97C07" w:rsidRDefault="006E2D78" w:rsidP="00E97C07">
      <w:pPr>
        <w:pStyle w:val="ListParagraph"/>
        <w:spacing w:line="360" w:lineRule="auto"/>
        <w:ind w:left="0"/>
        <w:rPr>
          <w:b/>
          <w:lang w:val="en-US"/>
        </w:rPr>
      </w:pPr>
      <w:r w:rsidRPr="00E97C07">
        <w:rPr>
          <w:sz w:val="22"/>
          <w:lang w:val="en-US"/>
        </w:rPr>
        <w:lastRenderedPageBreak/>
        <w:t xml:space="preserve">Impact on the estimation of vertical transmission of four parameters: A. the level of exposure to vector-borne transmission and the probability of vertical transmission in the population; B. the level of exposure to vector-borne transmission and the size of the dataset; C. the level of exposure to vector-borne transmission; D. the spatial heterogeneity of that exposure in the study area. The scenarios of exposure to vector-borne transmission are specified on top of each graph. Unless specified otherwise, a probability of vertical transmission of 50% was applied to a synthetic population of size N=15 000 and predicted vertical transmission probabilities (CI95%) were reconstructed from that population with model </w:t>
      </w:r>
      <w:r w:rsidRPr="00E97C07">
        <w:rPr>
          <w:i/>
          <w:sz w:val="22"/>
          <w:lang w:val="en-US"/>
        </w:rPr>
        <w:t>one-area</w:t>
      </w:r>
      <w:r w:rsidRPr="00E97C07">
        <w:rPr>
          <w:sz w:val="22"/>
          <w:lang w:val="en-US"/>
        </w:rPr>
        <w:t>. Homogeneous exposure patterns of vector-borne infection: 100% exposure to high (H), medium (M) and low-level (L) of vector-borne circulation. Heterogeneous exposure patterns of vector-borne infection: 33% exposure to each pattern (33%), 70% exposure to a pattern and 15% to the two others (70%H, 70%M, 70%L), 50% exposure to H and M (50%HM).</w:t>
      </w:r>
      <w:r w:rsidR="00E97C07">
        <w:rPr>
          <w:b/>
          <w:lang w:val="en-US"/>
        </w:rPr>
        <w:br w:type="page"/>
      </w:r>
    </w:p>
    <w:p w14:paraId="6D9D9DB0" w14:textId="32F3B939" w:rsidR="006E2D78" w:rsidRDefault="006E2D78" w:rsidP="006E2D78">
      <w:pPr>
        <w:pStyle w:val="ListParagraph"/>
        <w:spacing w:line="360" w:lineRule="auto"/>
        <w:ind w:left="0"/>
        <w:rPr>
          <w:lang w:val="en-US"/>
        </w:rPr>
      </w:pPr>
      <w:r w:rsidRPr="00F13DA4">
        <w:rPr>
          <w:b/>
          <w:lang w:val="en-US"/>
        </w:rPr>
        <w:lastRenderedPageBreak/>
        <w:t xml:space="preserve">Figure </w:t>
      </w:r>
      <w:r>
        <w:rPr>
          <w:b/>
          <w:lang w:val="en-US"/>
        </w:rPr>
        <w:t>AF.2</w:t>
      </w:r>
      <w:r w:rsidRPr="00F13DA4">
        <w:rPr>
          <w:b/>
          <w:lang w:val="en-US"/>
        </w:rPr>
        <w:t>:</w:t>
      </w:r>
      <w:r>
        <w:rPr>
          <w:lang w:val="en-US"/>
        </w:rPr>
        <w:t xml:space="preserve"> Monthly probabilities of vector-borne infection reconstructed in the scenarios of heterogeneous exposure.</w:t>
      </w:r>
    </w:p>
    <w:p w14:paraId="1405FDBA" w14:textId="77777777" w:rsidR="00E97C07" w:rsidRPr="00B314CD" w:rsidRDefault="00E97C07" w:rsidP="00E97C07">
      <w:pPr>
        <w:spacing w:line="360" w:lineRule="auto"/>
        <w:rPr>
          <w:lang w:val="en-US"/>
        </w:rPr>
      </w:pPr>
      <w:r>
        <w:rPr>
          <w:noProof/>
          <w:lang w:val="en-IN" w:eastAsia="en-IN"/>
        </w:rPr>
        <w:drawing>
          <wp:inline distT="0" distB="0" distL="0" distR="0" wp14:anchorId="352AEDA3" wp14:editId="4AEB581C">
            <wp:extent cx="5961380" cy="3918585"/>
            <wp:effectExtent l="0" t="0" r="1270" b="571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1380" cy="3918585"/>
                    </a:xfrm>
                    <a:prstGeom prst="rect">
                      <a:avLst/>
                    </a:prstGeom>
                    <a:noFill/>
                    <a:ln>
                      <a:noFill/>
                    </a:ln>
                  </pic:spPr>
                </pic:pic>
              </a:graphicData>
            </a:graphic>
          </wp:inline>
        </w:drawing>
      </w:r>
    </w:p>
    <w:p w14:paraId="44E393CC" w14:textId="77777777" w:rsidR="00E97C07" w:rsidRDefault="00E97C07" w:rsidP="00E97C07">
      <w:pPr>
        <w:pStyle w:val="ListParagraph"/>
        <w:ind w:left="0"/>
        <w:rPr>
          <w:lang w:val="en-US"/>
        </w:rPr>
      </w:pPr>
    </w:p>
    <w:p w14:paraId="6C578961" w14:textId="5DDD0AB0" w:rsidR="00E97C07" w:rsidRPr="00E97C07" w:rsidRDefault="006E2D78" w:rsidP="006E2D78">
      <w:pPr>
        <w:pStyle w:val="ListParagraph"/>
        <w:spacing w:line="360" w:lineRule="auto"/>
        <w:ind w:left="0"/>
        <w:rPr>
          <w:sz w:val="22"/>
          <w:lang w:val="en-US"/>
        </w:rPr>
      </w:pPr>
      <w:r w:rsidRPr="00E97C07">
        <w:rPr>
          <w:sz w:val="22"/>
          <w:lang w:val="en-US"/>
        </w:rPr>
        <w:t xml:space="preserve">The monthly probabilities of vector-borne infection were reconstructed in the scenarios of heterogeneous exposure with </w:t>
      </w:r>
      <w:r w:rsidRPr="00E97C07">
        <w:rPr>
          <w:i/>
          <w:sz w:val="22"/>
          <w:lang w:val="en-US"/>
        </w:rPr>
        <w:t>model one-area vs model sub-areas</w:t>
      </w:r>
      <w:r w:rsidRPr="00E97C07">
        <w:rPr>
          <w:sz w:val="22"/>
          <w:lang w:val="en-US"/>
        </w:rPr>
        <w:t xml:space="preserve">. A-C. Input values for each homogeneous exposure scenario: high (A), medium (B) and low (C). D-H. Inference results for the five heterogeneous scenarios of exposure to vector-borne infection: 70%H (D), 50%HM (E), 33% (F), 70%M (G), 70%L (H). With model </w:t>
      </w:r>
      <w:r w:rsidRPr="00E97C07">
        <w:rPr>
          <w:i/>
          <w:sz w:val="22"/>
          <w:lang w:val="en-US"/>
        </w:rPr>
        <w:t>one-area</w:t>
      </w:r>
      <w:r w:rsidRPr="00E97C07">
        <w:rPr>
          <w:sz w:val="22"/>
          <w:lang w:val="en-US"/>
        </w:rPr>
        <w:t xml:space="preserve">, there is only one line representing the probability of vector-borne infection reconstructed in the whole area, while with model </w:t>
      </w:r>
      <w:r w:rsidRPr="00E97C07">
        <w:rPr>
          <w:i/>
          <w:sz w:val="22"/>
          <w:lang w:val="en-US"/>
        </w:rPr>
        <w:t>sub-areas</w:t>
      </w:r>
      <w:r w:rsidRPr="00E97C07">
        <w:rPr>
          <w:sz w:val="22"/>
          <w:lang w:val="en-US"/>
        </w:rPr>
        <w:t>, there are several lines: one for each sub-area. Heterogeneous scenarios: 33% exposure to each pattern (33%), 70% exposure to a pattern and 15% to the two others (70%H, 70%M, 70%L), 50% exposure to H and M (50%HM).</w:t>
      </w:r>
    </w:p>
    <w:sectPr w:rsidR="00E97C07" w:rsidRPr="00E97C07" w:rsidSect="00392EE9">
      <w:footerReference w:type="default" r:id="rId11"/>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9BE997" w14:textId="77777777" w:rsidR="00F9371C" w:rsidRDefault="00F9371C" w:rsidP="002A525C">
      <w:pPr>
        <w:spacing w:line="240" w:lineRule="auto"/>
      </w:pPr>
      <w:r>
        <w:separator/>
      </w:r>
    </w:p>
  </w:endnote>
  <w:endnote w:type="continuationSeparator" w:id="0">
    <w:p w14:paraId="2084821D" w14:textId="77777777" w:rsidR="00F9371C" w:rsidRDefault="00F9371C" w:rsidP="002A52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465667"/>
      <w:docPartObj>
        <w:docPartGallery w:val="Page Numbers (Bottom of Page)"/>
        <w:docPartUnique/>
      </w:docPartObj>
    </w:sdtPr>
    <w:sdtEndPr/>
    <w:sdtContent>
      <w:p w14:paraId="7FDE9DDF" w14:textId="258DAC26" w:rsidR="002A525C" w:rsidRDefault="002A525C">
        <w:pPr>
          <w:pStyle w:val="Footer"/>
          <w:jc w:val="center"/>
        </w:pPr>
        <w:r>
          <w:fldChar w:fldCharType="begin"/>
        </w:r>
        <w:r>
          <w:instrText>PAGE   \* MERGEFORMAT</w:instrText>
        </w:r>
        <w:r>
          <w:fldChar w:fldCharType="separate"/>
        </w:r>
        <w:r w:rsidR="0016658C">
          <w:rPr>
            <w:noProof/>
          </w:rPr>
          <w:t>4</w:t>
        </w:r>
        <w:r>
          <w:fldChar w:fldCharType="end"/>
        </w:r>
      </w:p>
    </w:sdtContent>
  </w:sdt>
  <w:p w14:paraId="619F5999" w14:textId="77777777" w:rsidR="002A525C" w:rsidRDefault="002A52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D9E510" w14:textId="77777777" w:rsidR="00F9371C" w:rsidRDefault="00F9371C" w:rsidP="002A525C">
      <w:pPr>
        <w:spacing w:line="240" w:lineRule="auto"/>
      </w:pPr>
      <w:r>
        <w:separator/>
      </w:r>
    </w:p>
  </w:footnote>
  <w:footnote w:type="continuationSeparator" w:id="0">
    <w:p w14:paraId="083ADC51" w14:textId="77777777" w:rsidR="00F9371C" w:rsidRDefault="00F9371C" w:rsidP="002A525C">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92840"/>
    <w:multiLevelType w:val="multilevel"/>
    <w:tmpl w:val="C28E51C4"/>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C055854"/>
    <w:multiLevelType w:val="hybridMultilevel"/>
    <w:tmpl w:val="691AAB56"/>
    <w:lvl w:ilvl="0" w:tplc="8530041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4E2FB5"/>
    <w:multiLevelType w:val="hybridMultilevel"/>
    <w:tmpl w:val="8BB2922C"/>
    <w:lvl w:ilvl="0" w:tplc="06F2E4BE">
      <w:start w:val="1"/>
      <w:numFmt w:val="decimal"/>
      <w:pStyle w:val="Heading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BE0DB3"/>
    <w:multiLevelType w:val="hybridMultilevel"/>
    <w:tmpl w:val="1F4E75D2"/>
    <w:lvl w:ilvl="0" w:tplc="4AEA7774">
      <w:start w:val="4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FCE4EF3"/>
    <w:multiLevelType w:val="hybridMultilevel"/>
    <w:tmpl w:val="ADF415FA"/>
    <w:lvl w:ilvl="0" w:tplc="E15AF0BA">
      <w:start w:val="4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42B479A"/>
    <w:multiLevelType w:val="hybridMultilevel"/>
    <w:tmpl w:val="863C490E"/>
    <w:lvl w:ilvl="0" w:tplc="ACA6DC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CC57FC"/>
    <w:multiLevelType w:val="multilevel"/>
    <w:tmpl w:val="29FCF2F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2C271BB9"/>
    <w:multiLevelType w:val="hybridMultilevel"/>
    <w:tmpl w:val="11E274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0852474"/>
    <w:multiLevelType w:val="multilevel"/>
    <w:tmpl w:val="66DEBFE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40682268"/>
    <w:multiLevelType w:val="hybridMultilevel"/>
    <w:tmpl w:val="0734935C"/>
    <w:lvl w:ilvl="0" w:tplc="1AA80486">
      <w:start w:val="15"/>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40830F3"/>
    <w:multiLevelType w:val="hybridMultilevel"/>
    <w:tmpl w:val="2DCEC4A4"/>
    <w:lvl w:ilvl="0" w:tplc="038EE1C6">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AEE5A29"/>
    <w:multiLevelType w:val="hybridMultilevel"/>
    <w:tmpl w:val="14DED962"/>
    <w:lvl w:ilvl="0" w:tplc="05305C6C">
      <w:start w:val="3"/>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0D67704"/>
    <w:multiLevelType w:val="hybridMultilevel"/>
    <w:tmpl w:val="D2EC49CA"/>
    <w:lvl w:ilvl="0" w:tplc="D456843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7A2375D"/>
    <w:multiLevelType w:val="hybridMultilevel"/>
    <w:tmpl w:val="2A94EFEE"/>
    <w:lvl w:ilvl="0" w:tplc="F842A5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A6C18E0"/>
    <w:multiLevelType w:val="hybridMultilevel"/>
    <w:tmpl w:val="EC0ACB9C"/>
    <w:lvl w:ilvl="0" w:tplc="66AEA0D2">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1E42B50"/>
    <w:multiLevelType w:val="hybridMultilevel"/>
    <w:tmpl w:val="8BB2C8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C9B06DA"/>
    <w:multiLevelType w:val="hybridMultilevel"/>
    <w:tmpl w:val="122210BA"/>
    <w:lvl w:ilvl="0" w:tplc="F124B714">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14"/>
  </w:num>
  <w:num w:numId="2">
    <w:abstractNumId w:val="5"/>
  </w:num>
  <w:num w:numId="3">
    <w:abstractNumId w:val="8"/>
  </w:num>
  <w:num w:numId="4">
    <w:abstractNumId w:val="0"/>
  </w:num>
  <w:num w:numId="5">
    <w:abstractNumId w:val="6"/>
  </w:num>
  <w:num w:numId="6">
    <w:abstractNumId w:val="16"/>
  </w:num>
  <w:num w:numId="7">
    <w:abstractNumId w:val="10"/>
  </w:num>
  <w:num w:numId="8">
    <w:abstractNumId w:val="2"/>
  </w:num>
  <w:num w:numId="9">
    <w:abstractNumId w:val="4"/>
  </w:num>
  <w:num w:numId="10">
    <w:abstractNumId w:val="3"/>
  </w:num>
  <w:num w:numId="11">
    <w:abstractNumId w:val="1"/>
  </w:num>
  <w:num w:numId="12">
    <w:abstractNumId w:val="12"/>
  </w:num>
  <w:num w:numId="13">
    <w:abstractNumId w:val="13"/>
  </w:num>
  <w:num w:numId="14">
    <w:abstractNumId w:val="11"/>
  </w:num>
  <w:num w:numId="15">
    <w:abstractNumId w:val="9"/>
  </w:num>
  <w:num w:numId="16">
    <w:abstractNumId w:val="7"/>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4DCD"/>
    <w:rsid w:val="00005291"/>
    <w:rsid w:val="00007514"/>
    <w:rsid w:val="00011610"/>
    <w:rsid w:val="00011728"/>
    <w:rsid w:val="00013AB0"/>
    <w:rsid w:val="00014841"/>
    <w:rsid w:val="000160E7"/>
    <w:rsid w:val="0001763A"/>
    <w:rsid w:val="00017CCB"/>
    <w:rsid w:val="00020689"/>
    <w:rsid w:val="00020E09"/>
    <w:rsid w:val="00022011"/>
    <w:rsid w:val="00025468"/>
    <w:rsid w:val="00025825"/>
    <w:rsid w:val="00026BFA"/>
    <w:rsid w:val="00027BC2"/>
    <w:rsid w:val="0003009D"/>
    <w:rsid w:val="000314DE"/>
    <w:rsid w:val="00031B60"/>
    <w:rsid w:val="00033F2F"/>
    <w:rsid w:val="0003419A"/>
    <w:rsid w:val="0003486B"/>
    <w:rsid w:val="000352C0"/>
    <w:rsid w:val="00037A8E"/>
    <w:rsid w:val="00037B66"/>
    <w:rsid w:val="00037EDB"/>
    <w:rsid w:val="000428E0"/>
    <w:rsid w:val="000463D4"/>
    <w:rsid w:val="00047A1A"/>
    <w:rsid w:val="00050E6F"/>
    <w:rsid w:val="00054013"/>
    <w:rsid w:val="00060023"/>
    <w:rsid w:val="00070846"/>
    <w:rsid w:val="000747E0"/>
    <w:rsid w:val="00077010"/>
    <w:rsid w:val="0008105E"/>
    <w:rsid w:val="0008179A"/>
    <w:rsid w:val="00083BF4"/>
    <w:rsid w:val="000868D2"/>
    <w:rsid w:val="000900C5"/>
    <w:rsid w:val="000909A3"/>
    <w:rsid w:val="00094C02"/>
    <w:rsid w:val="000A05AF"/>
    <w:rsid w:val="000A0792"/>
    <w:rsid w:val="000A67E5"/>
    <w:rsid w:val="000A7E26"/>
    <w:rsid w:val="000B7D9C"/>
    <w:rsid w:val="000C123E"/>
    <w:rsid w:val="000C69AA"/>
    <w:rsid w:val="000D3306"/>
    <w:rsid w:val="000D3373"/>
    <w:rsid w:val="000D6949"/>
    <w:rsid w:val="000D6ADF"/>
    <w:rsid w:val="000E0743"/>
    <w:rsid w:val="000E3759"/>
    <w:rsid w:val="000E3E00"/>
    <w:rsid w:val="000E4DCF"/>
    <w:rsid w:val="000E6319"/>
    <w:rsid w:val="000F1EE9"/>
    <w:rsid w:val="000F252D"/>
    <w:rsid w:val="000F3471"/>
    <w:rsid w:val="000F4048"/>
    <w:rsid w:val="000F7232"/>
    <w:rsid w:val="000F7847"/>
    <w:rsid w:val="00104966"/>
    <w:rsid w:val="00104D59"/>
    <w:rsid w:val="00105123"/>
    <w:rsid w:val="001053B7"/>
    <w:rsid w:val="0010607D"/>
    <w:rsid w:val="00111F99"/>
    <w:rsid w:val="00112542"/>
    <w:rsid w:val="001157EB"/>
    <w:rsid w:val="001164E7"/>
    <w:rsid w:val="00120A0F"/>
    <w:rsid w:val="00120B76"/>
    <w:rsid w:val="00122395"/>
    <w:rsid w:val="00123586"/>
    <w:rsid w:val="00124DD2"/>
    <w:rsid w:val="00126707"/>
    <w:rsid w:val="001267FB"/>
    <w:rsid w:val="00127572"/>
    <w:rsid w:val="00131057"/>
    <w:rsid w:val="00133B65"/>
    <w:rsid w:val="00134958"/>
    <w:rsid w:val="0013549D"/>
    <w:rsid w:val="00136EE0"/>
    <w:rsid w:val="00137B06"/>
    <w:rsid w:val="0014688A"/>
    <w:rsid w:val="00152C5A"/>
    <w:rsid w:val="00153310"/>
    <w:rsid w:val="0015347E"/>
    <w:rsid w:val="00161379"/>
    <w:rsid w:val="00161B11"/>
    <w:rsid w:val="00165D9F"/>
    <w:rsid w:val="0016658C"/>
    <w:rsid w:val="00172F74"/>
    <w:rsid w:val="00173282"/>
    <w:rsid w:val="00181475"/>
    <w:rsid w:val="0018240A"/>
    <w:rsid w:val="0018284D"/>
    <w:rsid w:val="00183D7D"/>
    <w:rsid w:val="00184085"/>
    <w:rsid w:val="0018446F"/>
    <w:rsid w:val="001945A1"/>
    <w:rsid w:val="001A36ED"/>
    <w:rsid w:val="001A3701"/>
    <w:rsid w:val="001A49BB"/>
    <w:rsid w:val="001A6E30"/>
    <w:rsid w:val="001B054D"/>
    <w:rsid w:val="001B3DE2"/>
    <w:rsid w:val="001B4ED0"/>
    <w:rsid w:val="001D0E40"/>
    <w:rsid w:val="001D1814"/>
    <w:rsid w:val="001D2E12"/>
    <w:rsid w:val="001D4A95"/>
    <w:rsid w:val="001D5B00"/>
    <w:rsid w:val="001E156C"/>
    <w:rsid w:val="001E1B79"/>
    <w:rsid w:val="001E5CE3"/>
    <w:rsid w:val="001E63DA"/>
    <w:rsid w:val="001E6F8A"/>
    <w:rsid w:val="001E71C5"/>
    <w:rsid w:val="001E7C9C"/>
    <w:rsid w:val="001F0854"/>
    <w:rsid w:val="001F1279"/>
    <w:rsid w:val="001F4828"/>
    <w:rsid w:val="001F5FB4"/>
    <w:rsid w:val="001F6B4C"/>
    <w:rsid w:val="001F7FD8"/>
    <w:rsid w:val="00206A1F"/>
    <w:rsid w:val="00206CA2"/>
    <w:rsid w:val="00220D08"/>
    <w:rsid w:val="00226B7C"/>
    <w:rsid w:val="0022701E"/>
    <w:rsid w:val="00227825"/>
    <w:rsid w:val="0023095D"/>
    <w:rsid w:val="00231B06"/>
    <w:rsid w:val="002406B0"/>
    <w:rsid w:val="00242BD5"/>
    <w:rsid w:val="00243E9E"/>
    <w:rsid w:val="00244790"/>
    <w:rsid w:val="0024727C"/>
    <w:rsid w:val="00247F2E"/>
    <w:rsid w:val="0025217F"/>
    <w:rsid w:val="00252AA8"/>
    <w:rsid w:val="00254A5A"/>
    <w:rsid w:val="00254EDC"/>
    <w:rsid w:val="00256368"/>
    <w:rsid w:val="0025673E"/>
    <w:rsid w:val="00263D83"/>
    <w:rsid w:val="00265B33"/>
    <w:rsid w:val="00267D01"/>
    <w:rsid w:val="00270DD3"/>
    <w:rsid w:val="00277DD4"/>
    <w:rsid w:val="002828DA"/>
    <w:rsid w:val="00284EA4"/>
    <w:rsid w:val="00285673"/>
    <w:rsid w:val="00285E14"/>
    <w:rsid w:val="00290409"/>
    <w:rsid w:val="00293739"/>
    <w:rsid w:val="0029573B"/>
    <w:rsid w:val="00296132"/>
    <w:rsid w:val="002A311F"/>
    <w:rsid w:val="002A525C"/>
    <w:rsid w:val="002A6952"/>
    <w:rsid w:val="002B0EDE"/>
    <w:rsid w:val="002B2DAA"/>
    <w:rsid w:val="002B36BA"/>
    <w:rsid w:val="002B3DEA"/>
    <w:rsid w:val="002C6567"/>
    <w:rsid w:val="002D0110"/>
    <w:rsid w:val="002D022E"/>
    <w:rsid w:val="002D3955"/>
    <w:rsid w:val="002D551F"/>
    <w:rsid w:val="002D6372"/>
    <w:rsid w:val="002E2FEC"/>
    <w:rsid w:val="002E3EB2"/>
    <w:rsid w:val="002E4C48"/>
    <w:rsid w:val="002E7044"/>
    <w:rsid w:val="002E7D1A"/>
    <w:rsid w:val="002F4336"/>
    <w:rsid w:val="002F5168"/>
    <w:rsid w:val="002F58A7"/>
    <w:rsid w:val="002F6C36"/>
    <w:rsid w:val="00300395"/>
    <w:rsid w:val="003019B2"/>
    <w:rsid w:val="00307F3B"/>
    <w:rsid w:val="003101A5"/>
    <w:rsid w:val="003132F9"/>
    <w:rsid w:val="0031674E"/>
    <w:rsid w:val="00326393"/>
    <w:rsid w:val="003263CB"/>
    <w:rsid w:val="0033694C"/>
    <w:rsid w:val="00337D32"/>
    <w:rsid w:val="0034665B"/>
    <w:rsid w:val="003516F2"/>
    <w:rsid w:val="003531ED"/>
    <w:rsid w:val="00356BB5"/>
    <w:rsid w:val="00361663"/>
    <w:rsid w:val="00362F89"/>
    <w:rsid w:val="0036440B"/>
    <w:rsid w:val="00364B51"/>
    <w:rsid w:val="00365F11"/>
    <w:rsid w:val="00370825"/>
    <w:rsid w:val="0037134A"/>
    <w:rsid w:val="0037175C"/>
    <w:rsid w:val="00371AA9"/>
    <w:rsid w:val="00381672"/>
    <w:rsid w:val="00382B2D"/>
    <w:rsid w:val="00382E1F"/>
    <w:rsid w:val="0038302D"/>
    <w:rsid w:val="00383483"/>
    <w:rsid w:val="00384D3D"/>
    <w:rsid w:val="00386D38"/>
    <w:rsid w:val="00391F0C"/>
    <w:rsid w:val="00392EE9"/>
    <w:rsid w:val="0039630A"/>
    <w:rsid w:val="003963AA"/>
    <w:rsid w:val="003A19B4"/>
    <w:rsid w:val="003A2392"/>
    <w:rsid w:val="003A288C"/>
    <w:rsid w:val="003A48B6"/>
    <w:rsid w:val="003A4B6E"/>
    <w:rsid w:val="003A57D7"/>
    <w:rsid w:val="003B3C2A"/>
    <w:rsid w:val="003B68CB"/>
    <w:rsid w:val="003B6A06"/>
    <w:rsid w:val="003C0BC5"/>
    <w:rsid w:val="003C2F3D"/>
    <w:rsid w:val="003C4F1A"/>
    <w:rsid w:val="003D0A5D"/>
    <w:rsid w:val="003E427E"/>
    <w:rsid w:val="003E6F18"/>
    <w:rsid w:val="003E70D6"/>
    <w:rsid w:val="003E7468"/>
    <w:rsid w:val="003F1877"/>
    <w:rsid w:val="003F38BE"/>
    <w:rsid w:val="003F3AA3"/>
    <w:rsid w:val="003F3C19"/>
    <w:rsid w:val="003F3CCA"/>
    <w:rsid w:val="004017A0"/>
    <w:rsid w:val="00402370"/>
    <w:rsid w:val="004046F9"/>
    <w:rsid w:val="00405153"/>
    <w:rsid w:val="0041083E"/>
    <w:rsid w:val="00411E24"/>
    <w:rsid w:val="00413EC7"/>
    <w:rsid w:val="00420013"/>
    <w:rsid w:val="00421469"/>
    <w:rsid w:val="004250EA"/>
    <w:rsid w:val="004304A8"/>
    <w:rsid w:val="00431E9E"/>
    <w:rsid w:val="0043221B"/>
    <w:rsid w:val="0043398F"/>
    <w:rsid w:val="00443AD1"/>
    <w:rsid w:val="00446072"/>
    <w:rsid w:val="004467C7"/>
    <w:rsid w:val="004533E7"/>
    <w:rsid w:val="00454CCC"/>
    <w:rsid w:val="00455EB9"/>
    <w:rsid w:val="004561AD"/>
    <w:rsid w:val="00462752"/>
    <w:rsid w:val="0046454C"/>
    <w:rsid w:val="0046682F"/>
    <w:rsid w:val="00467479"/>
    <w:rsid w:val="0047241F"/>
    <w:rsid w:val="00474E06"/>
    <w:rsid w:val="0047584F"/>
    <w:rsid w:val="00477603"/>
    <w:rsid w:val="00484719"/>
    <w:rsid w:val="00487424"/>
    <w:rsid w:val="0048766F"/>
    <w:rsid w:val="00490AD5"/>
    <w:rsid w:val="004A1F3F"/>
    <w:rsid w:val="004A3163"/>
    <w:rsid w:val="004A35EF"/>
    <w:rsid w:val="004A4E1A"/>
    <w:rsid w:val="004A54CA"/>
    <w:rsid w:val="004A6BF4"/>
    <w:rsid w:val="004A79AA"/>
    <w:rsid w:val="004B226F"/>
    <w:rsid w:val="004B299B"/>
    <w:rsid w:val="004B2B53"/>
    <w:rsid w:val="004B2EE9"/>
    <w:rsid w:val="004B3CAD"/>
    <w:rsid w:val="004B43B6"/>
    <w:rsid w:val="004B48F3"/>
    <w:rsid w:val="004B7313"/>
    <w:rsid w:val="004B793B"/>
    <w:rsid w:val="004C02F7"/>
    <w:rsid w:val="004C2F65"/>
    <w:rsid w:val="004C63CE"/>
    <w:rsid w:val="004D1295"/>
    <w:rsid w:val="004D1AB6"/>
    <w:rsid w:val="004D1B2F"/>
    <w:rsid w:val="004D3781"/>
    <w:rsid w:val="004D528F"/>
    <w:rsid w:val="004D6416"/>
    <w:rsid w:val="004D799A"/>
    <w:rsid w:val="004E3F66"/>
    <w:rsid w:val="004E469F"/>
    <w:rsid w:val="004E5DC0"/>
    <w:rsid w:val="004E6029"/>
    <w:rsid w:val="004F02D9"/>
    <w:rsid w:val="004F4E63"/>
    <w:rsid w:val="004F5B24"/>
    <w:rsid w:val="004F5C14"/>
    <w:rsid w:val="004F6011"/>
    <w:rsid w:val="005022DD"/>
    <w:rsid w:val="00503EC0"/>
    <w:rsid w:val="00510BA1"/>
    <w:rsid w:val="005133F1"/>
    <w:rsid w:val="005151CF"/>
    <w:rsid w:val="005156BF"/>
    <w:rsid w:val="00515AAC"/>
    <w:rsid w:val="00517CCF"/>
    <w:rsid w:val="00520130"/>
    <w:rsid w:val="00521A32"/>
    <w:rsid w:val="005230D5"/>
    <w:rsid w:val="005233C6"/>
    <w:rsid w:val="00523F47"/>
    <w:rsid w:val="0053040A"/>
    <w:rsid w:val="005348F7"/>
    <w:rsid w:val="0053570F"/>
    <w:rsid w:val="00546734"/>
    <w:rsid w:val="0054674E"/>
    <w:rsid w:val="00551550"/>
    <w:rsid w:val="005547E0"/>
    <w:rsid w:val="00555249"/>
    <w:rsid w:val="00560953"/>
    <w:rsid w:val="00562F6A"/>
    <w:rsid w:val="00566BCE"/>
    <w:rsid w:val="00577E29"/>
    <w:rsid w:val="00581BCD"/>
    <w:rsid w:val="005826F7"/>
    <w:rsid w:val="00587B21"/>
    <w:rsid w:val="00594B3E"/>
    <w:rsid w:val="005964B7"/>
    <w:rsid w:val="0059703A"/>
    <w:rsid w:val="005971A5"/>
    <w:rsid w:val="00597F9F"/>
    <w:rsid w:val="005A1535"/>
    <w:rsid w:val="005A6D66"/>
    <w:rsid w:val="005B11E6"/>
    <w:rsid w:val="005B4CD2"/>
    <w:rsid w:val="005B620A"/>
    <w:rsid w:val="005B7FC3"/>
    <w:rsid w:val="005D02C8"/>
    <w:rsid w:val="005D1736"/>
    <w:rsid w:val="005D24CB"/>
    <w:rsid w:val="005D3873"/>
    <w:rsid w:val="005F08C1"/>
    <w:rsid w:val="005F6CEB"/>
    <w:rsid w:val="006026AA"/>
    <w:rsid w:val="00610A71"/>
    <w:rsid w:val="006115A2"/>
    <w:rsid w:val="00613970"/>
    <w:rsid w:val="006163A7"/>
    <w:rsid w:val="00616982"/>
    <w:rsid w:val="00617792"/>
    <w:rsid w:val="006205D8"/>
    <w:rsid w:val="00624518"/>
    <w:rsid w:val="0062551E"/>
    <w:rsid w:val="006270BF"/>
    <w:rsid w:val="00631AEA"/>
    <w:rsid w:val="00633077"/>
    <w:rsid w:val="00634C48"/>
    <w:rsid w:val="00634F36"/>
    <w:rsid w:val="00635B4D"/>
    <w:rsid w:val="00636BBC"/>
    <w:rsid w:val="00641C31"/>
    <w:rsid w:val="006421E0"/>
    <w:rsid w:val="00642994"/>
    <w:rsid w:val="006437C1"/>
    <w:rsid w:val="00644054"/>
    <w:rsid w:val="00644DCD"/>
    <w:rsid w:val="00645E21"/>
    <w:rsid w:val="00645E61"/>
    <w:rsid w:val="00646BB9"/>
    <w:rsid w:val="006514D6"/>
    <w:rsid w:val="00661D49"/>
    <w:rsid w:val="006644CD"/>
    <w:rsid w:val="00665F1A"/>
    <w:rsid w:val="006678E7"/>
    <w:rsid w:val="00667F25"/>
    <w:rsid w:val="00667FB0"/>
    <w:rsid w:val="00671628"/>
    <w:rsid w:val="006754EA"/>
    <w:rsid w:val="00677028"/>
    <w:rsid w:val="00677C69"/>
    <w:rsid w:val="0068378A"/>
    <w:rsid w:val="006924E5"/>
    <w:rsid w:val="006927E8"/>
    <w:rsid w:val="006947AB"/>
    <w:rsid w:val="0069575F"/>
    <w:rsid w:val="006A1915"/>
    <w:rsid w:val="006A2BE5"/>
    <w:rsid w:val="006A6626"/>
    <w:rsid w:val="006A70CC"/>
    <w:rsid w:val="006B02BD"/>
    <w:rsid w:val="006B30D2"/>
    <w:rsid w:val="006B3316"/>
    <w:rsid w:val="006B7128"/>
    <w:rsid w:val="006C0716"/>
    <w:rsid w:val="006C205E"/>
    <w:rsid w:val="006C2068"/>
    <w:rsid w:val="006C28BC"/>
    <w:rsid w:val="006C2E41"/>
    <w:rsid w:val="006C47B1"/>
    <w:rsid w:val="006C67DF"/>
    <w:rsid w:val="006D1A96"/>
    <w:rsid w:val="006D6327"/>
    <w:rsid w:val="006E0C76"/>
    <w:rsid w:val="006E2D78"/>
    <w:rsid w:val="006E5851"/>
    <w:rsid w:val="006E621A"/>
    <w:rsid w:val="006F2E1C"/>
    <w:rsid w:val="006F3DD2"/>
    <w:rsid w:val="006F6A30"/>
    <w:rsid w:val="006F738C"/>
    <w:rsid w:val="00701E95"/>
    <w:rsid w:val="007058C1"/>
    <w:rsid w:val="007144EC"/>
    <w:rsid w:val="00715358"/>
    <w:rsid w:val="0071572F"/>
    <w:rsid w:val="007272DB"/>
    <w:rsid w:val="007324A9"/>
    <w:rsid w:val="007326E3"/>
    <w:rsid w:val="00732E4D"/>
    <w:rsid w:val="00737972"/>
    <w:rsid w:val="0075148B"/>
    <w:rsid w:val="0075215E"/>
    <w:rsid w:val="00754B80"/>
    <w:rsid w:val="0075669D"/>
    <w:rsid w:val="00756884"/>
    <w:rsid w:val="00761B09"/>
    <w:rsid w:val="00763442"/>
    <w:rsid w:val="007656EE"/>
    <w:rsid w:val="00772B3A"/>
    <w:rsid w:val="00772C5D"/>
    <w:rsid w:val="00773C0A"/>
    <w:rsid w:val="007766CF"/>
    <w:rsid w:val="0078309A"/>
    <w:rsid w:val="00784612"/>
    <w:rsid w:val="007852D5"/>
    <w:rsid w:val="00786685"/>
    <w:rsid w:val="007866B5"/>
    <w:rsid w:val="0078697D"/>
    <w:rsid w:val="007944C8"/>
    <w:rsid w:val="00795D0C"/>
    <w:rsid w:val="007A1A8B"/>
    <w:rsid w:val="007B0968"/>
    <w:rsid w:val="007B098A"/>
    <w:rsid w:val="007B61AF"/>
    <w:rsid w:val="007C030E"/>
    <w:rsid w:val="007C1986"/>
    <w:rsid w:val="007C1F82"/>
    <w:rsid w:val="007C262F"/>
    <w:rsid w:val="007C3322"/>
    <w:rsid w:val="007C3DB5"/>
    <w:rsid w:val="007C5EBF"/>
    <w:rsid w:val="007D2180"/>
    <w:rsid w:val="007D6347"/>
    <w:rsid w:val="007E7371"/>
    <w:rsid w:val="007F6AB8"/>
    <w:rsid w:val="007F6CCA"/>
    <w:rsid w:val="007F6DC0"/>
    <w:rsid w:val="007F748E"/>
    <w:rsid w:val="007F7578"/>
    <w:rsid w:val="0080564F"/>
    <w:rsid w:val="00807D74"/>
    <w:rsid w:val="00811E95"/>
    <w:rsid w:val="008131CA"/>
    <w:rsid w:val="00814EF0"/>
    <w:rsid w:val="00816D3C"/>
    <w:rsid w:val="00825CE8"/>
    <w:rsid w:val="00827173"/>
    <w:rsid w:val="008272A9"/>
    <w:rsid w:val="00827A2C"/>
    <w:rsid w:val="008314B2"/>
    <w:rsid w:val="008349E8"/>
    <w:rsid w:val="00835C59"/>
    <w:rsid w:val="008408C2"/>
    <w:rsid w:val="008431F1"/>
    <w:rsid w:val="00847BE8"/>
    <w:rsid w:val="00850342"/>
    <w:rsid w:val="0085553E"/>
    <w:rsid w:val="0085740D"/>
    <w:rsid w:val="00864581"/>
    <w:rsid w:val="00864F6D"/>
    <w:rsid w:val="0087131E"/>
    <w:rsid w:val="00873C07"/>
    <w:rsid w:val="00874898"/>
    <w:rsid w:val="00876651"/>
    <w:rsid w:val="00881275"/>
    <w:rsid w:val="00891E83"/>
    <w:rsid w:val="00893378"/>
    <w:rsid w:val="008958BE"/>
    <w:rsid w:val="008965C7"/>
    <w:rsid w:val="008975F8"/>
    <w:rsid w:val="008A509D"/>
    <w:rsid w:val="008A6A6E"/>
    <w:rsid w:val="008A71A6"/>
    <w:rsid w:val="008B0360"/>
    <w:rsid w:val="008B178B"/>
    <w:rsid w:val="008B2790"/>
    <w:rsid w:val="008B2EEC"/>
    <w:rsid w:val="008B5566"/>
    <w:rsid w:val="008B579F"/>
    <w:rsid w:val="008B58AC"/>
    <w:rsid w:val="008B79DE"/>
    <w:rsid w:val="008B7C8B"/>
    <w:rsid w:val="008C1E67"/>
    <w:rsid w:val="008C3FC5"/>
    <w:rsid w:val="008C7995"/>
    <w:rsid w:val="008D72B3"/>
    <w:rsid w:val="008E03E9"/>
    <w:rsid w:val="008E3DC2"/>
    <w:rsid w:val="008E51F8"/>
    <w:rsid w:val="008E6118"/>
    <w:rsid w:val="008F0879"/>
    <w:rsid w:val="008F23E5"/>
    <w:rsid w:val="008F3F42"/>
    <w:rsid w:val="008F64F9"/>
    <w:rsid w:val="00900F04"/>
    <w:rsid w:val="009014CD"/>
    <w:rsid w:val="00902AE5"/>
    <w:rsid w:val="00903CDC"/>
    <w:rsid w:val="009117D1"/>
    <w:rsid w:val="00914641"/>
    <w:rsid w:val="00914F20"/>
    <w:rsid w:val="00916584"/>
    <w:rsid w:val="00916CA3"/>
    <w:rsid w:val="00920B20"/>
    <w:rsid w:val="00922C76"/>
    <w:rsid w:val="00924093"/>
    <w:rsid w:val="009312DD"/>
    <w:rsid w:val="00932546"/>
    <w:rsid w:val="0094028C"/>
    <w:rsid w:val="00942387"/>
    <w:rsid w:val="00943747"/>
    <w:rsid w:val="00946490"/>
    <w:rsid w:val="0095598A"/>
    <w:rsid w:val="00956DD2"/>
    <w:rsid w:val="00957116"/>
    <w:rsid w:val="009606BA"/>
    <w:rsid w:val="00961A66"/>
    <w:rsid w:val="0097080D"/>
    <w:rsid w:val="00975554"/>
    <w:rsid w:val="009801FD"/>
    <w:rsid w:val="00980FD9"/>
    <w:rsid w:val="009824F3"/>
    <w:rsid w:val="0098760E"/>
    <w:rsid w:val="00992A49"/>
    <w:rsid w:val="00995A60"/>
    <w:rsid w:val="009A0DD7"/>
    <w:rsid w:val="009A0F00"/>
    <w:rsid w:val="009A5FF1"/>
    <w:rsid w:val="009B1135"/>
    <w:rsid w:val="009B1DAE"/>
    <w:rsid w:val="009B3A6C"/>
    <w:rsid w:val="009B7E72"/>
    <w:rsid w:val="009C3982"/>
    <w:rsid w:val="009C402A"/>
    <w:rsid w:val="009C7511"/>
    <w:rsid w:val="009D2632"/>
    <w:rsid w:val="009D5E88"/>
    <w:rsid w:val="009D65C3"/>
    <w:rsid w:val="009E00F4"/>
    <w:rsid w:val="009E34F7"/>
    <w:rsid w:val="009F5EC6"/>
    <w:rsid w:val="00A1161D"/>
    <w:rsid w:val="00A140E3"/>
    <w:rsid w:val="00A15B7D"/>
    <w:rsid w:val="00A16181"/>
    <w:rsid w:val="00A16C92"/>
    <w:rsid w:val="00A24295"/>
    <w:rsid w:val="00A24B3E"/>
    <w:rsid w:val="00A265FB"/>
    <w:rsid w:val="00A27146"/>
    <w:rsid w:val="00A317AC"/>
    <w:rsid w:val="00A32830"/>
    <w:rsid w:val="00A329A1"/>
    <w:rsid w:val="00A332A3"/>
    <w:rsid w:val="00A33A84"/>
    <w:rsid w:val="00A341A0"/>
    <w:rsid w:val="00A359B0"/>
    <w:rsid w:val="00A40685"/>
    <w:rsid w:val="00A428A8"/>
    <w:rsid w:val="00A43D27"/>
    <w:rsid w:val="00A44F93"/>
    <w:rsid w:val="00A454AC"/>
    <w:rsid w:val="00A61DAE"/>
    <w:rsid w:val="00A646E7"/>
    <w:rsid w:val="00A73EAB"/>
    <w:rsid w:val="00A759CE"/>
    <w:rsid w:val="00A80A05"/>
    <w:rsid w:val="00A80DA4"/>
    <w:rsid w:val="00A83F02"/>
    <w:rsid w:val="00A85A02"/>
    <w:rsid w:val="00A90113"/>
    <w:rsid w:val="00A92C72"/>
    <w:rsid w:val="00A95EC4"/>
    <w:rsid w:val="00AA25DA"/>
    <w:rsid w:val="00AA34DE"/>
    <w:rsid w:val="00AA5652"/>
    <w:rsid w:val="00AA7E47"/>
    <w:rsid w:val="00AB25DD"/>
    <w:rsid w:val="00AB26BE"/>
    <w:rsid w:val="00AB29B2"/>
    <w:rsid w:val="00AB2AB3"/>
    <w:rsid w:val="00AC0BA5"/>
    <w:rsid w:val="00AC11E1"/>
    <w:rsid w:val="00AC2A74"/>
    <w:rsid w:val="00AC47BB"/>
    <w:rsid w:val="00AC4ED6"/>
    <w:rsid w:val="00AD0160"/>
    <w:rsid w:val="00AD0325"/>
    <w:rsid w:val="00AD1780"/>
    <w:rsid w:val="00AD2C79"/>
    <w:rsid w:val="00AD5A71"/>
    <w:rsid w:val="00AD5D0F"/>
    <w:rsid w:val="00AD5EBD"/>
    <w:rsid w:val="00AD70A8"/>
    <w:rsid w:val="00AF50FC"/>
    <w:rsid w:val="00AF52DC"/>
    <w:rsid w:val="00AF534B"/>
    <w:rsid w:val="00B0080D"/>
    <w:rsid w:val="00B05764"/>
    <w:rsid w:val="00B05E64"/>
    <w:rsid w:val="00B136A9"/>
    <w:rsid w:val="00B1468E"/>
    <w:rsid w:val="00B15DEB"/>
    <w:rsid w:val="00B15FFE"/>
    <w:rsid w:val="00B16997"/>
    <w:rsid w:val="00B20974"/>
    <w:rsid w:val="00B21B4F"/>
    <w:rsid w:val="00B2355F"/>
    <w:rsid w:val="00B23B13"/>
    <w:rsid w:val="00B25E6F"/>
    <w:rsid w:val="00B313AF"/>
    <w:rsid w:val="00B32812"/>
    <w:rsid w:val="00B35D48"/>
    <w:rsid w:val="00B4514C"/>
    <w:rsid w:val="00B4600A"/>
    <w:rsid w:val="00B460D7"/>
    <w:rsid w:val="00B53410"/>
    <w:rsid w:val="00B561C4"/>
    <w:rsid w:val="00B57B3B"/>
    <w:rsid w:val="00B6262A"/>
    <w:rsid w:val="00B6354E"/>
    <w:rsid w:val="00B63C81"/>
    <w:rsid w:val="00B66589"/>
    <w:rsid w:val="00B66CDE"/>
    <w:rsid w:val="00B67F13"/>
    <w:rsid w:val="00B71A34"/>
    <w:rsid w:val="00B72164"/>
    <w:rsid w:val="00B77C08"/>
    <w:rsid w:val="00B81B20"/>
    <w:rsid w:val="00B84584"/>
    <w:rsid w:val="00B85508"/>
    <w:rsid w:val="00B92C1D"/>
    <w:rsid w:val="00B9313A"/>
    <w:rsid w:val="00B9498C"/>
    <w:rsid w:val="00B95C81"/>
    <w:rsid w:val="00B9705C"/>
    <w:rsid w:val="00B977E0"/>
    <w:rsid w:val="00B97E9F"/>
    <w:rsid w:val="00BA4CB6"/>
    <w:rsid w:val="00BA78BB"/>
    <w:rsid w:val="00BB03C3"/>
    <w:rsid w:val="00BB19EE"/>
    <w:rsid w:val="00BB6565"/>
    <w:rsid w:val="00BC2839"/>
    <w:rsid w:val="00BC2C6F"/>
    <w:rsid w:val="00BC36C7"/>
    <w:rsid w:val="00BD0AF1"/>
    <w:rsid w:val="00BD0F85"/>
    <w:rsid w:val="00BD1108"/>
    <w:rsid w:val="00BD2886"/>
    <w:rsid w:val="00BD2E04"/>
    <w:rsid w:val="00BD3335"/>
    <w:rsid w:val="00BD3CA9"/>
    <w:rsid w:val="00BE0A3F"/>
    <w:rsid w:val="00BE6AC3"/>
    <w:rsid w:val="00BE75E6"/>
    <w:rsid w:val="00C01CDE"/>
    <w:rsid w:val="00C041C5"/>
    <w:rsid w:val="00C1369F"/>
    <w:rsid w:val="00C1409B"/>
    <w:rsid w:val="00C14418"/>
    <w:rsid w:val="00C21069"/>
    <w:rsid w:val="00C22B7B"/>
    <w:rsid w:val="00C22DF4"/>
    <w:rsid w:val="00C350C4"/>
    <w:rsid w:val="00C3515F"/>
    <w:rsid w:val="00C35A64"/>
    <w:rsid w:val="00C37489"/>
    <w:rsid w:val="00C3758D"/>
    <w:rsid w:val="00C44D23"/>
    <w:rsid w:val="00C45E41"/>
    <w:rsid w:val="00C5423C"/>
    <w:rsid w:val="00C609AB"/>
    <w:rsid w:val="00C82566"/>
    <w:rsid w:val="00C82CE0"/>
    <w:rsid w:val="00C835B1"/>
    <w:rsid w:val="00C8517B"/>
    <w:rsid w:val="00C90C11"/>
    <w:rsid w:val="00C940CA"/>
    <w:rsid w:val="00CA3340"/>
    <w:rsid w:val="00CA3739"/>
    <w:rsid w:val="00CA467B"/>
    <w:rsid w:val="00CB2E2F"/>
    <w:rsid w:val="00CB4520"/>
    <w:rsid w:val="00CB658A"/>
    <w:rsid w:val="00CC15F7"/>
    <w:rsid w:val="00CC1FBB"/>
    <w:rsid w:val="00CC230B"/>
    <w:rsid w:val="00CC456C"/>
    <w:rsid w:val="00CD29D5"/>
    <w:rsid w:val="00CD4592"/>
    <w:rsid w:val="00CD4716"/>
    <w:rsid w:val="00CD5B16"/>
    <w:rsid w:val="00CD5B67"/>
    <w:rsid w:val="00CD5E99"/>
    <w:rsid w:val="00CD7497"/>
    <w:rsid w:val="00CD7997"/>
    <w:rsid w:val="00CE086E"/>
    <w:rsid w:val="00CE2B17"/>
    <w:rsid w:val="00CE3EAE"/>
    <w:rsid w:val="00CE67C8"/>
    <w:rsid w:val="00CF0CFF"/>
    <w:rsid w:val="00CF6F1A"/>
    <w:rsid w:val="00D06372"/>
    <w:rsid w:val="00D10D5C"/>
    <w:rsid w:val="00D12B0C"/>
    <w:rsid w:val="00D1545F"/>
    <w:rsid w:val="00D16CED"/>
    <w:rsid w:val="00D17016"/>
    <w:rsid w:val="00D17DC8"/>
    <w:rsid w:val="00D24E7E"/>
    <w:rsid w:val="00D2677E"/>
    <w:rsid w:val="00D273AA"/>
    <w:rsid w:val="00D32720"/>
    <w:rsid w:val="00D36AF9"/>
    <w:rsid w:val="00D40863"/>
    <w:rsid w:val="00D43336"/>
    <w:rsid w:val="00D54604"/>
    <w:rsid w:val="00D54A93"/>
    <w:rsid w:val="00D6039B"/>
    <w:rsid w:val="00D66B34"/>
    <w:rsid w:val="00D7290E"/>
    <w:rsid w:val="00D7481C"/>
    <w:rsid w:val="00D754FD"/>
    <w:rsid w:val="00D75907"/>
    <w:rsid w:val="00D80497"/>
    <w:rsid w:val="00D811D1"/>
    <w:rsid w:val="00D834B9"/>
    <w:rsid w:val="00D84598"/>
    <w:rsid w:val="00D84B5A"/>
    <w:rsid w:val="00D8606E"/>
    <w:rsid w:val="00D93DC5"/>
    <w:rsid w:val="00DA3C9D"/>
    <w:rsid w:val="00DA6CCE"/>
    <w:rsid w:val="00DA70A1"/>
    <w:rsid w:val="00DB540D"/>
    <w:rsid w:val="00DC07B1"/>
    <w:rsid w:val="00DC45D9"/>
    <w:rsid w:val="00DC47A3"/>
    <w:rsid w:val="00DC56FB"/>
    <w:rsid w:val="00DC5758"/>
    <w:rsid w:val="00DD5A8C"/>
    <w:rsid w:val="00DD693F"/>
    <w:rsid w:val="00DD7191"/>
    <w:rsid w:val="00DD7A0E"/>
    <w:rsid w:val="00DD7B37"/>
    <w:rsid w:val="00DD7E8D"/>
    <w:rsid w:val="00DE0157"/>
    <w:rsid w:val="00DE12F1"/>
    <w:rsid w:val="00DF3304"/>
    <w:rsid w:val="00DF6519"/>
    <w:rsid w:val="00DF71B9"/>
    <w:rsid w:val="00E01246"/>
    <w:rsid w:val="00E02179"/>
    <w:rsid w:val="00E10D95"/>
    <w:rsid w:val="00E1116C"/>
    <w:rsid w:val="00E119D9"/>
    <w:rsid w:val="00E11AF0"/>
    <w:rsid w:val="00E134C1"/>
    <w:rsid w:val="00E13567"/>
    <w:rsid w:val="00E21978"/>
    <w:rsid w:val="00E2207F"/>
    <w:rsid w:val="00E23618"/>
    <w:rsid w:val="00E25B08"/>
    <w:rsid w:val="00E25F4B"/>
    <w:rsid w:val="00E271BD"/>
    <w:rsid w:val="00E32151"/>
    <w:rsid w:val="00E339A3"/>
    <w:rsid w:val="00E3559D"/>
    <w:rsid w:val="00E3640C"/>
    <w:rsid w:val="00E3750E"/>
    <w:rsid w:val="00E41106"/>
    <w:rsid w:val="00E41745"/>
    <w:rsid w:val="00E523AA"/>
    <w:rsid w:val="00E6023F"/>
    <w:rsid w:val="00E62FCF"/>
    <w:rsid w:val="00E70294"/>
    <w:rsid w:val="00E7037F"/>
    <w:rsid w:val="00E709FC"/>
    <w:rsid w:val="00E746B6"/>
    <w:rsid w:val="00E747D4"/>
    <w:rsid w:val="00E86A29"/>
    <w:rsid w:val="00E90925"/>
    <w:rsid w:val="00E92F07"/>
    <w:rsid w:val="00E93B30"/>
    <w:rsid w:val="00E95416"/>
    <w:rsid w:val="00E96219"/>
    <w:rsid w:val="00E97C07"/>
    <w:rsid w:val="00EA0DE7"/>
    <w:rsid w:val="00EA10C7"/>
    <w:rsid w:val="00EA41DA"/>
    <w:rsid w:val="00EA7B4E"/>
    <w:rsid w:val="00EB12D5"/>
    <w:rsid w:val="00EB3C4F"/>
    <w:rsid w:val="00EB40E2"/>
    <w:rsid w:val="00EB522A"/>
    <w:rsid w:val="00EC0A64"/>
    <w:rsid w:val="00EC237A"/>
    <w:rsid w:val="00EC493A"/>
    <w:rsid w:val="00EC4D28"/>
    <w:rsid w:val="00EC587F"/>
    <w:rsid w:val="00EC6FA7"/>
    <w:rsid w:val="00EC7629"/>
    <w:rsid w:val="00EE0893"/>
    <w:rsid w:val="00EF0B7E"/>
    <w:rsid w:val="00EF5359"/>
    <w:rsid w:val="00EF7928"/>
    <w:rsid w:val="00F04283"/>
    <w:rsid w:val="00F0521D"/>
    <w:rsid w:val="00F05985"/>
    <w:rsid w:val="00F05C93"/>
    <w:rsid w:val="00F06D3B"/>
    <w:rsid w:val="00F07661"/>
    <w:rsid w:val="00F07EA9"/>
    <w:rsid w:val="00F10B5A"/>
    <w:rsid w:val="00F117FE"/>
    <w:rsid w:val="00F13DA4"/>
    <w:rsid w:val="00F14488"/>
    <w:rsid w:val="00F146E7"/>
    <w:rsid w:val="00F16F9B"/>
    <w:rsid w:val="00F206B5"/>
    <w:rsid w:val="00F23DFD"/>
    <w:rsid w:val="00F262FF"/>
    <w:rsid w:val="00F264DC"/>
    <w:rsid w:val="00F30D1F"/>
    <w:rsid w:val="00F31A65"/>
    <w:rsid w:val="00F321FA"/>
    <w:rsid w:val="00F35B51"/>
    <w:rsid w:val="00F368B7"/>
    <w:rsid w:val="00F3790E"/>
    <w:rsid w:val="00F4141E"/>
    <w:rsid w:val="00F431E6"/>
    <w:rsid w:val="00F4651A"/>
    <w:rsid w:val="00F5038F"/>
    <w:rsid w:val="00F510FD"/>
    <w:rsid w:val="00F54A05"/>
    <w:rsid w:val="00F57198"/>
    <w:rsid w:val="00F5778B"/>
    <w:rsid w:val="00F601D6"/>
    <w:rsid w:val="00F617F0"/>
    <w:rsid w:val="00F624EE"/>
    <w:rsid w:val="00F63DD2"/>
    <w:rsid w:val="00F63E46"/>
    <w:rsid w:val="00F70D64"/>
    <w:rsid w:val="00F71DBA"/>
    <w:rsid w:val="00F72268"/>
    <w:rsid w:val="00F73843"/>
    <w:rsid w:val="00F77AE5"/>
    <w:rsid w:val="00F85D3C"/>
    <w:rsid w:val="00F866C8"/>
    <w:rsid w:val="00F9371C"/>
    <w:rsid w:val="00F9372B"/>
    <w:rsid w:val="00F9485A"/>
    <w:rsid w:val="00FA31F1"/>
    <w:rsid w:val="00FA4ED4"/>
    <w:rsid w:val="00FA6409"/>
    <w:rsid w:val="00FA6CAE"/>
    <w:rsid w:val="00FB00CF"/>
    <w:rsid w:val="00FB1106"/>
    <w:rsid w:val="00FB18B5"/>
    <w:rsid w:val="00FB199A"/>
    <w:rsid w:val="00FB1B92"/>
    <w:rsid w:val="00FB7B05"/>
    <w:rsid w:val="00FC2248"/>
    <w:rsid w:val="00FC328D"/>
    <w:rsid w:val="00FC3CB0"/>
    <w:rsid w:val="00FD0A52"/>
    <w:rsid w:val="00FD1498"/>
    <w:rsid w:val="00FD366B"/>
    <w:rsid w:val="00FD5938"/>
    <w:rsid w:val="00FD5B70"/>
    <w:rsid w:val="00FD5C88"/>
    <w:rsid w:val="00FD617D"/>
    <w:rsid w:val="00FE2FC3"/>
    <w:rsid w:val="00FE5406"/>
    <w:rsid w:val="00FF0241"/>
    <w:rsid w:val="00FF02F8"/>
    <w:rsid w:val="00FF171E"/>
    <w:rsid w:val="00FF29F1"/>
    <w:rsid w:val="00FF3F88"/>
    <w:rsid w:val="00FF5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2D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2248"/>
    <w:pPr>
      <w:spacing w:after="0" w:line="480" w:lineRule="auto"/>
      <w:jc w:val="both"/>
    </w:pPr>
    <w:rPr>
      <w:rFonts w:ascii="Times New Roman" w:hAnsi="Times New Roman" w:cs="Times New Roman"/>
      <w:sz w:val="24"/>
      <w:lang w:val="fr-FR"/>
    </w:rPr>
  </w:style>
  <w:style w:type="paragraph" w:styleId="Heading1">
    <w:name w:val="heading 1"/>
    <w:basedOn w:val="Normal"/>
    <w:next w:val="Normal"/>
    <w:link w:val="Heading1Char"/>
    <w:uiPriority w:val="9"/>
    <w:qFormat/>
    <w:rsid w:val="0047584F"/>
    <w:pPr>
      <w:numPr>
        <w:numId w:val="8"/>
      </w:numPr>
      <w:spacing w:after="120"/>
      <w:ind w:left="714" w:hanging="357"/>
      <w:outlineLvl w:val="0"/>
    </w:pPr>
    <w:rPr>
      <w:lang w:val="en-US"/>
    </w:rPr>
  </w:style>
  <w:style w:type="paragraph" w:styleId="Heading2">
    <w:name w:val="heading 2"/>
    <w:basedOn w:val="Normal"/>
    <w:next w:val="Normal"/>
    <w:link w:val="Heading2Char"/>
    <w:uiPriority w:val="9"/>
    <w:unhideWhenUsed/>
    <w:qFormat/>
    <w:rsid w:val="00E6023F"/>
    <w:pPr>
      <w:spacing w:before="160"/>
      <w:outlineLvl w:val="1"/>
    </w:pPr>
    <w:rPr>
      <w:i/>
      <w:lang w:val="en-US"/>
    </w:rPr>
  </w:style>
  <w:style w:type="paragraph" w:styleId="Heading3">
    <w:name w:val="heading 3"/>
    <w:basedOn w:val="Normal"/>
    <w:next w:val="Normal"/>
    <w:link w:val="Heading3Char"/>
    <w:uiPriority w:val="9"/>
    <w:unhideWhenUsed/>
    <w:qFormat/>
    <w:rsid w:val="0029573B"/>
    <w:pPr>
      <w:outlineLvl w:val="2"/>
    </w:pPr>
    <w:rPr>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2248"/>
    <w:pPr>
      <w:ind w:left="720"/>
      <w:contextualSpacing/>
    </w:pPr>
  </w:style>
  <w:style w:type="character" w:customStyle="1" w:styleId="Heading1Char">
    <w:name w:val="Heading 1 Char"/>
    <w:basedOn w:val="DefaultParagraphFont"/>
    <w:link w:val="Heading1"/>
    <w:uiPriority w:val="9"/>
    <w:rsid w:val="0047584F"/>
    <w:rPr>
      <w:rFonts w:ascii="Times New Roman" w:hAnsi="Times New Roman" w:cs="Times New Roman"/>
      <w:sz w:val="24"/>
    </w:rPr>
  </w:style>
  <w:style w:type="paragraph" w:styleId="HTMLPreformatted">
    <w:name w:val="HTML Preformatted"/>
    <w:basedOn w:val="Normal"/>
    <w:link w:val="HTMLPreformattedChar"/>
    <w:uiPriority w:val="99"/>
    <w:semiHidden/>
    <w:unhideWhenUsed/>
    <w:rsid w:val="00430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4304A8"/>
    <w:rPr>
      <w:rFonts w:ascii="Courier New" w:eastAsia="Times New Roman" w:hAnsi="Courier New" w:cs="Courier New"/>
      <w:sz w:val="20"/>
      <w:szCs w:val="20"/>
    </w:rPr>
  </w:style>
  <w:style w:type="table" w:styleId="TableGrid">
    <w:name w:val="Table Grid"/>
    <w:basedOn w:val="TableNormal"/>
    <w:uiPriority w:val="59"/>
    <w:rsid w:val="004304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914641"/>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alloonText">
    <w:name w:val="Balloon Text"/>
    <w:basedOn w:val="Normal"/>
    <w:link w:val="BalloonTextChar"/>
    <w:uiPriority w:val="99"/>
    <w:semiHidden/>
    <w:unhideWhenUsed/>
    <w:rsid w:val="0091464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4641"/>
    <w:rPr>
      <w:rFonts w:ascii="Tahoma" w:hAnsi="Tahoma" w:cs="Tahoma"/>
      <w:sz w:val="16"/>
      <w:szCs w:val="16"/>
      <w:lang w:val="fr-FR"/>
    </w:rPr>
  </w:style>
  <w:style w:type="character" w:styleId="PlaceholderText">
    <w:name w:val="Placeholder Text"/>
    <w:basedOn w:val="DefaultParagraphFont"/>
    <w:uiPriority w:val="99"/>
    <w:semiHidden/>
    <w:rsid w:val="00E25F4B"/>
    <w:rPr>
      <w:color w:val="808080"/>
    </w:rPr>
  </w:style>
  <w:style w:type="character" w:customStyle="1" w:styleId="Heading2Char">
    <w:name w:val="Heading 2 Char"/>
    <w:basedOn w:val="DefaultParagraphFont"/>
    <w:link w:val="Heading2"/>
    <w:uiPriority w:val="9"/>
    <w:rsid w:val="00E6023F"/>
    <w:rPr>
      <w:rFonts w:ascii="Times New Roman" w:hAnsi="Times New Roman" w:cs="Times New Roman"/>
      <w:i/>
      <w:sz w:val="24"/>
    </w:rPr>
  </w:style>
  <w:style w:type="character" w:customStyle="1" w:styleId="Heading3Char">
    <w:name w:val="Heading 3 Char"/>
    <w:basedOn w:val="DefaultParagraphFont"/>
    <w:link w:val="Heading3"/>
    <w:uiPriority w:val="9"/>
    <w:rsid w:val="0029573B"/>
    <w:rPr>
      <w:rFonts w:ascii="Times New Roman" w:hAnsi="Times New Roman" w:cs="Times New Roman"/>
      <w:b/>
      <w:sz w:val="24"/>
    </w:rPr>
  </w:style>
  <w:style w:type="paragraph" w:styleId="NormalWeb">
    <w:name w:val="Normal (Web)"/>
    <w:basedOn w:val="Normal"/>
    <w:uiPriority w:val="99"/>
    <w:unhideWhenUsed/>
    <w:rsid w:val="000E6319"/>
    <w:pPr>
      <w:spacing w:before="100" w:beforeAutospacing="1" w:after="100" w:afterAutospacing="1" w:line="240" w:lineRule="auto"/>
      <w:jc w:val="left"/>
    </w:pPr>
    <w:rPr>
      <w:rFonts w:eastAsia="Times New Roman"/>
      <w:szCs w:val="24"/>
      <w:lang w:val="en-US"/>
    </w:rPr>
  </w:style>
  <w:style w:type="character" w:customStyle="1" w:styleId="st">
    <w:name w:val="st"/>
    <w:basedOn w:val="DefaultParagraphFont"/>
    <w:rsid w:val="00F866C8"/>
  </w:style>
  <w:style w:type="character" w:styleId="LineNumber">
    <w:name w:val="line number"/>
    <w:basedOn w:val="DefaultParagraphFont"/>
    <w:uiPriority w:val="99"/>
    <w:semiHidden/>
    <w:unhideWhenUsed/>
    <w:rsid w:val="008F0879"/>
  </w:style>
  <w:style w:type="character" w:customStyle="1" w:styleId="collabsible-text">
    <w:name w:val="collabsible-text"/>
    <w:basedOn w:val="DefaultParagraphFont"/>
    <w:rsid w:val="00005291"/>
  </w:style>
  <w:style w:type="character" w:styleId="Emphasis">
    <w:name w:val="Emphasis"/>
    <w:basedOn w:val="DefaultParagraphFont"/>
    <w:uiPriority w:val="20"/>
    <w:qFormat/>
    <w:rsid w:val="003A57D7"/>
    <w:rPr>
      <w:i/>
      <w:iCs/>
    </w:rPr>
  </w:style>
  <w:style w:type="paragraph" w:styleId="Title">
    <w:name w:val="Title"/>
    <w:basedOn w:val="Normal"/>
    <w:next w:val="Normal"/>
    <w:link w:val="TitleChar"/>
    <w:uiPriority w:val="10"/>
    <w:qFormat/>
    <w:rsid w:val="00F5778B"/>
    <w:pPr>
      <w:jc w:val="center"/>
    </w:pPr>
    <w:rPr>
      <w:sz w:val="28"/>
      <w:szCs w:val="24"/>
    </w:rPr>
  </w:style>
  <w:style w:type="character" w:customStyle="1" w:styleId="TitleChar">
    <w:name w:val="Title Char"/>
    <w:basedOn w:val="DefaultParagraphFont"/>
    <w:link w:val="Title"/>
    <w:uiPriority w:val="10"/>
    <w:rsid w:val="00F5778B"/>
    <w:rPr>
      <w:rFonts w:ascii="Times New Roman" w:hAnsi="Times New Roman" w:cs="Times New Roman"/>
      <w:sz w:val="28"/>
      <w:szCs w:val="24"/>
      <w:lang w:val="fr-FR"/>
    </w:rPr>
  </w:style>
  <w:style w:type="character" w:styleId="CommentReference">
    <w:name w:val="annotation reference"/>
    <w:basedOn w:val="DefaultParagraphFont"/>
    <w:uiPriority w:val="99"/>
    <w:semiHidden/>
    <w:unhideWhenUsed/>
    <w:rsid w:val="00AB26BE"/>
    <w:rPr>
      <w:sz w:val="16"/>
      <w:szCs w:val="16"/>
    </w:rPr>
  </w:style>
  <w:style w:type="paragraph" w:styleId="CommentText">
    <w:name w:val="annotation text"/>
    <w:basedOn w:val="Normal"/>
    <w:link w:val="CommentTextChar"/>
    <w:uiPriority w:val="99"/>
    <w:unhideWhenUsed/>
    <w:rsid w:val="00AB26BE"/>
    <w:pPr>
      <w:spacing w:line="240" w:lineRule="auto"/>
    </w:pPr>
    <w:rPr>
      <w:sz w:val="20"/>
      <w:szCs w:val="20"/>
    </w:rPr>
  </w:style>
  <w:style w:type="character" w:customStyle="1" w:styleId="CommentTextChar">
    <w:name w:val="Comment Text Char"/>
    <w:basedOn w:val="DefaultParagraphFont"/>
    <w:link w:val="CommentText"/>
    <w:uiPriority w:val="99"/>
    <w:rsid w:val="00AB26BE"/>
    <w:rPr>
      <w:rFonts w:ascii="Times New Roman" w:hAnsi="Times New Roman" w:cs="Times New Roman"/>
      <w:sz w:val="20"/>
      <w:szCs w:val="20"/>
      <w:lang w:val="fr-FR"/>
    </w:rPr>
  </w:style>
  <w:style w:type="paragraph" w:styleId="CommentSubject">
    <w:name w:val="annotation subject"/>
    <w:basedOn w:val="CommentText"/>
    <w:next w:val="CommentText"/>
    <w:link w:val="CommentSubjectChar"/>
    <w:uiPriority w:val="99"/>
    <w:semiHidden/>
    <w:unhideWhenUsed/>
    <w:rsid w:val="00AB26BE"/>
    <w:rPr>
      <w:b/>
      <w:bCs/>
    </w:rPr>
  </w:style>
  <w:style w:type="character" w:customStyle="1" w:styleId="CommentSubjectChar">
    <w:name w:val="Comment Subject Char"/>
    <w:basedOn w:val="CommentTextChar"/>
    <w:link w:val="CommentSubject"/>
    <w:uiPriority w:val="99"/>
    <w:semiHidden/>
    <w:rsid w:val="00AB26BE"/>
    <w:rPr>
      <w:rFonts w:ascii="Times New Roman" w:hAnsi="Times New Roman" w:cs="Times New Roman"/>
      <w:b/>
      <w:bCs/>
      <w:sz w:val="20"/>
      <w:szCs w:val="20"/>
      <w:lang w:val="fr-FR"/>
    </w:rPr>
  </w:style>
  <w:style w:type="paragraph" w:styleId="Revision">
    <w:name w:val="Revision"/>
    <w:hidden/>
    <w:uiPriority w:val="99"/>
    <w:semiHidden/>
    <w:rsid w:val="00667FB0"/>
    <w:pPr>
      <w:spacing w:after="0" w:line="240" w:lineRule="auto"/>
    </w:pPr>
    <w:rPr>
      <w:rFonts w:ascii="Times New Roman" w:hAnsi="Times New Roman" w:cs="Times New Roman"/>
      <w:sz w:val="24"/>
      <w:lang w:val="fr-FR"/>
    </w:rPr>
  </w:style>
  <w:style w:type="character" w:styleId="Hyperlink">
    <w:name w:val="Hyperlink"/>
    <w:basedOn w:val="DefaultParagraphFont"/>
    <w:uiPriority w:val="99"/>
    <w:unhideWhenUsed/>
    <w:rsid w:val="004D528F"/>
    <w:rPr>
      <w:color w:val="0000FF" w:themeColor="hyperlink"/>
      <w:u w:val="single"/>
    </w:rPr>
  </w:style>
  <w:style w:type="character" w:styleId="FollowedHyperlink">
    <w:name w:val="FollowedHyperlink"/>
    <w:basedOn w:val="DefaultParagraphFont"/>
    <w:uiPriority w:val="99"/>
    <w:semiHidden/>
    <w:unhideWhenUsed/>
    <w:rsid w:val="001A36ED"/>
    <w:rPr>
      <w:color w:val="800080" w:themeColor="followedHyperlink"/>
      <w:u w:val="single"/>
    </w:rPr>
  </w:style>
  <w:style w:type="paragraph" w:styleId="Header">
    <w:name w:val="header"/>
    <w:basedOn w:val="Normal"/>
    <w:link w:val="HeaderChar"/>
    <w:uiPriority w:val="99"/>
    <w:unhideWhenUsed/>
    <w:rsid w:val="002A525C"/>
    <w:pPr>
      <w:tabs>
        <w:tab w:val="center" w:pos="4536"/>
        <w:tab w:val="right" w:pos="9072"/>
      </w:tabs>
      <w:spacing w:line="240" w:lineRule="auto"/>
    </w:pPr>
  </w:style>
  <w:style w:type="character" w:customStyle="1" w:styleId="HeaderChar">
    <w:name w:val="Header Char"/>
    <w:basedOn w:val="DefaultParagraphFont"/>
    <w:link w:val="Header"/>
    <w:uiPriority w:val="99"/>
    <w:rsid w:val="002A525C"/>
    <w:rPr>
      <w:rFonts w:ascii="Times New Roman" w:hAnsi="Times New Roman" w:cs="Times New Roman"/>
      <w:sz w:val="24"/>
      <w:lang w:val="fr-FR"/>
    </w:rPr>
  </w:style>
  <w:style w:type="paragraph" w:styleId="Footer">
    <w:name w:val="footer"/>
    <w:basedOn w:val="Normal"/>
    <w:link w:val="FooterChar"/>
    <w:uiPriority w:val="99"/>
    <w:unhideWhenUsed/>
    <w:rsid w:val="002A525C"/>
    <w:pPr>
      <w:tabs>
        <w:tab w:val="center" w:pos="4536"/>
        <w:tab w:val="right" w:pos="9072"/>
      </w:tabs>
      <w:spacing w:line="240" w:lineRule="auto"/>
    </w:pPr>
  </w:style>
  <w:style w:type="character" w:customStyle="1" w:styleId="FooterChar">
    <w:name w:val="Footer Char"/>
    <w:basedOn w:val="DefaultParagraphFont"/>
    <w:link w:val="Footer"/>
    <w:uiPriority w:val="99"/>
    <w:rsid w:val="002A525C"/>
    <w:rPr>
      <w:rFonts w:ascii="Times New Roman" w:hAnsi="Times New Roman" w:cs="Times New Roman"/>
      <w:sz w:val="24"/>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2248"/>
    <w:pPr>
      <w:spacing w:after="0" w:line="480" w:lineRule="auto"/>
      <w:jc w:val="both"/>
    </w:pPr>
    <w:rPr>
      <w:rFonts w:ascii="Times New Roman" w:hAnsi="Times New Roman" w:cs="Times New Roman"/>
      <w:sz w:val="24"/>
      <w:lang w:val="fr-FR"/>
    </w:rPr>
  </w:style>
  <w:style w:type="paragraph" w:styleId="Heading1">
    <w:name w:val="heading 1"/>
    <w:basedOn w:val="Normal"/>
    <w:next w:val="Normal"/>
    <w:link w:val="Heading1Char"/>
    <w:uiPriority w:val="9"/>
    <w:qFormat/>
    <w:rsid w:val="0047584F"/>
    <w:pPr>
      <w:numPr>
        <w:numId w:val="8"/>
      </w:numPr>
      <w:spacing w:after="120"/>
      <w:ind w:left="714" w:hanging="357"/>
      <w:outlineLvl w:val="0"/>
    </w:pPr>
    <w:rPr>
      <w:lang w:val="en-US"/>
    </w:rPr>
  </w:style>
  <w:style w:type="paragraph" w:styleId="Heading2">
    <w:name w:val="heading 2"/>
    <w:basedOn w:val="Normal"/>
    <w:next w:val="Normal"/>
    <w:link w:val="Heading2Char"/>
    <w:uiPriority w:val="9"/>
    <w:unhideWhenUsed/>
    <w:qFormat/>
    <w:rsid w:val="00E6023F"/>
    <w:pPr>
      <w:spacing w:before="160"/>
      <w:outlineLvl w:val="1"/>
    </w:pPr>
    <w:rPr>
      <w:i/>
      <w:lang w:val="en-US"/>
    </w:rPr>
  </w:style>
  <w:style w:type="paragraph" w:styleId="Heading3">
    <w:name w:val="heading 3"/>
    <w:basedOn w:val="Normal"/>
    <w:next w:val="Normal"/>
    <w:link w:val="Heading3Char"/>
    <w:uiPriority w:val="9"/>
    <w:unhideWhenUsed/>
    <w:qFormat/>
    <w:rsid w:val="0029573B"/>
    <w:pPr>
      <w:outlineLvl w:val="2"/>
    </w:pPr>
    <w:rPr>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2248"/>
    <w:pPr>
      <w:ind w:left="720"/>
      <w:contextualSpacing/>
    </w:pPr>
  </w:style>
  <w:style w:type="character" w:customStyle="1" w:styleId="Heading1Char">
    <w:name w:val="Heading 1 Char"/>
    <w:basedOn w:val="DefaultParagraphFont"/>
    <w:link w:val="Heading1"/>
    <w:uiPriority w:val="9"/>
    <w:rsid w:val="0047584F"/>
    <w:rPr>
      <w:rFonts w:ascii="Times New Roman" w:hAnsi="Times New Roman" w:cs="Times New Roman"/>
      <w:sz w:val="24"/>
    </w:rPr>
  </w:style>
  <w:style w:type="paragraph" w:styleId="HTMLPreformatted">
    <w:name w:val="HTML Preformatted"/>
    <w:basedOn w:val="Normal"/>
    <w:link w:val="HTMLPreformattedChar"/>
    <w:uiPriority w:val="99"/>
    <w:semiHidden/>
    <w:unhideWhenUsed/>
    <w:rsid w:val="00430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4304A8"/>
    <w:rPr>
      <w:rFonts w:ascii="Courier New" w:eastAsia="Times New Roman" w:hAnsi="Courier New" w:cs="Courier New"/>
      <w:sz w:val="20"/>
      <w:szCs w:val="20"/>
    </w:rPr>
  </w:style>
  <w:style w:type="table" w:styleId="TableGrid">
    <w:name w:val="Table Grid"/>
    <w:basedOn w:val="TableNormal"/>
    <w:uiPriority w:val="59"/>
    <w:rsid w:val="004304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914641"/>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alloonText">
    <w:name w:val="Balloon Text"/>
    <w:basedOn w:val="Normal"/>
    <w:link w:val="BalloonTextChar"/>
    <w:uiPriority w:val="99"/>
    <w:semiHidden/>
    <w:unhideWhenUsed/>
    <w:rsid w:val="0091464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4641"/>
    <w:rPr>
      <w:rFonts w:ascii="Tahoma" w:hAnsi="Tahoma" w:cs="Tahoma"/>
      <w:sz w:val="16"/>
      <w:szCs w:val="16"/>
      <w:lang w:val="fr-FR"/>
    </w:rPr>
  </w:style>
  <w:style w:type="character" w:styleId="PlaceholderText">
    <w:name w:val="Placeholder Text"/>
    <w:basedOn w:val="DefaultParagraphFont"/>
    <w:uiPriority w:val="99"/>
    <w:semiHidden/>
    <w:rsid w:val="00E25F4B"/>
    <w:rPr>
      <w:color w:val="808080"/>
    </w:rPr>
  </w:style>
  <w:style w:type="character" w:customStyle="1" w:styleId="Heading2Char">
    <w:name w:val="Heading 2 Char"/>
    <w:basedOn w:val="DefaultParagraphFont"/>
    <w:link w:val="Heading2"/>
    <w:uiPriority w:val="9"/>
    <w:rsid w:val="00E6023F"/>
    <w:rPr>
      <w:rFonts w:ascii="Times New Roman" w:hAnsi="Times New Roman" w:cs="Times New Roman"/>
      <w:i/>
      <w:sz w:val="24"/>
    </w:rPr>
  </w:style>
  <w:style w:type="character" w:customStyle="1" w:styleId="Heading3Char">
    <w:name w:val="Heading 3 Char"/>
    <w:basedOn w:val="DefaultParagraphFont"/>
    <w:link w:val="Heading3"/>
    <w:uiPriority w:val="9"/>
    <w:rsid w:val="0029573B"/>
    <w:rPr>
      <w:rFonts w:ascii="Times New Roman" w:hAnsi="Times New Roman" w:cs="Times New Roman"/>
      <w:b/>
      <w:sz w:val="24"/>
    </w:rPr>
  </w:style>
  <w:style w:type="paragraph" w:styleId="NormalWeb">
    <w:name w:val="Normal (Web)"/>
    <w:basedOn w:val="Normal"/>
    <w:uiPriority w:val="99"/>
    <w:unhideWhenUsed/>
    <w:rsid w:val="000E6319"/>
    <w:pPr>
      <w:spacing w:before="100" w:beforeAutospacing="1" w:after="100" w:afterAutospacing="1" w:line="240" w:lineRule="auto"/>
      <w:jc w:val="left"/>
    </w:pPr>
    <w:rPr>
      <w:rFonts w:eastAsia="Times New Roman"/>
      <w:szCs w:val="24"/>
      <w:lang w:val="en-US"/>
    </w:rPr>
  </w:style>
  <w:style w:type="character" w:customStyle="1" w:styleId="st">
    <w:name w:val="st"/>
    <w:basedOn w:val="DefaultParagraphFont"/>
    <w:rsid w:val="00F866C8"/>
  </w:style>
  <w:style w:type="character" w:styleId="LineNumber">
    <w:name w:val="line number"/>
    <w:basedOn w:val="DefaultParagraphFont"/>
    <w:uiPriority w:val="99"/>
    <w:semiHidden/>
    <w:unhideWhenUsed/>
    <w:rsid w:val="008F0879"/>
  </w:style>
  <w:style w:type="character" w:customStyle="1" w:styleId="collabsible-text">
    <w:name w:val="collabsible-text"/>
    <w:basedOn w:val="DefaultParagraphFont"/>
    <w:rsid w:val="00005291"/>
  </w:style>
  <w:style w:type="character" w:styleId="Emphasis">
    <w:name w:val="Emphasis"/>
    <w:basedOn w:val="DefaultParagraphFont"/>
    <w:uiPriority w:val="20"/>
    <w:qFormat/>
    <w:rsid w:val="003A57D7"/>
    <w:rPr>
      <w:i/>
      <w:iCs/>
    </w:rPr>
  </w:style>
  <w:style w:type="paragraph" w:styleId="Title">
    <w:name w:val="Title"/>
    <w:basedOn w:val="Normal"/>
    <w:next w:val="Normal"/>
    <w:link w:val="TitleChar"/>
    <w:uiPriority w:val="10"/>
    <w:qFormat/>
    <w:rsid w:val="00F5778B"/>
    <w:pPr>
      <w:jc w:val="center"/>
    </w:pPr>
    <w:rPr>
      <w:sz w:val="28"/>
      <w:szCs w:val="24"/>
    </w:rPr>
  </w:style>
  <w:style w:type="character" w:customStyle="1" w:styleId="TitleChar">
    <w:name w:val="Title Char"/>
    <w:basedOn w:val="DefaultParagraphFont"/>
    <w:link w:val="Title"/>
    <w:uiPriority w:val="10"/>
    <w:rsid w:val="00F5778B"/>
    <w:rPr>
      <w:rFonts w:ascii="Times New Roman" w:hAnsi="Times New Roman" w:cs="Times New Roman"/>
      <w:sz w:val="28"/>
      <w:szCs w:val="24"/>
      <w:lang w:val="fr-FR"/>
    </w:rPr>
  </w:style>
  <w:style w:type="character" w:styleId="CommentReference">
    <w:name w:val="annotation reference"/>
    <w:basedOn w:val="DefaultParagraphFont"/>
    <w:uiPriority w:val="99"/>
    <w:semiHidden/>
    <w:unhideWhenUsed/>
    <w:rsid w:val="00AB26BE"/>
    <w:rPr>
      <w:sz w:val="16"/>
      <w:szCs w:val="16"/>
    </w:rPr>
  </w:style>
  <w:style w:type="paragraph" w:styleId="CommentText">
    <w:name w:val="annotation text"/>
    <w:basedOn w:val="Normal"/>
    <w:link w:val="CommentTextChar"/>
    <w:uiPriority w:val="99"/>
    <w:unhideWhenUsed/>
    <w:rsid w:val="00AB26BE"/>
    <w:pPr>
      <w:spacing w:line="240" w:lineRule="auto"/>
    </w:pPr>
    <w:rPr>
      <w:sz w:val="20"/>
      <w:szCs w:val="20"/>
    </w:rPr>
  </w:style>
  <w:style w:type="character" w:customStyle="1" w:styleId="CommentTextChar">
    <w:name w:val="Comment Text Char"/>
    <w:basedOn w:val="DefaultParagraphFont"/>
    <w:link w:val="CommentText"/>
    <w:uiPriority w:val="99"/>
    <w:rsid w:val="00AB26BE"/>
    <w:rPr>
      <w:rFonts w:ascii="Times New Roman" w:hAnsi="Times New Roman" w:cs="Times New Roman"/>
      <w:sz w:val="20"/>
      <w:szCs w:val="20"/>
      <w:lang w:val="fr-FR"/>
    </w:rPr>
  </w:style>
  <w:style w:type="paragraph" w:styleId="CommentSubject">
    <w:name w:val="annotation subject"/>
    <w:basedOn w:val="CommentText"/>
    <w:next w:val="CommentText"/>
    <w:link w:val="CommentSubjectChar"/>
    <w:uiPriority w:val="99"/>
    <w:semiHidden/>
    <w:unhideWhenUsed/>
    <w:rsid w:val="00AB26BE"/>
    <w:rPr>
      <w:b/>
      <w:bCs/>
    </w:rPr>
  </w:style>
  <w:style w:type="character" w:customStyle="1" w:styleId="CommentSubjectChar">
    <w:name w:val="Comment Subject Char"/>
    <w:basedOn w:val="CommentTextChar"/>
    <w:link w:val="CommentSubject"/>
    <w:uiPriority w:val="99"/>
    <w:semiHidden/>
    <w:rsid w:val="00AB26BE"/>
    <w:rPr>
      <w:rFonts w:ascii="Times New Roman" w:hAnsi="Times New Roman" w:cs="Times New Roman"/>
      <w:b/>
      <w:bCs/>
      <w:sz w:val="20"/>
      <w:szCs w:val="20"/>
      <w:lang w:val="fr-FR"/>
    </w:rPr>
  </w:style>
  <w:style w:type="paragraph" w:styleId="Revision">
    <w:name w:val="Revision"/>
    <w:hidden/>
    <w:uiPriority w:val="99"/>
    <w:semiHidden/>
    <w:rsid w:val="00667FB0"/>
    <w:pPr>
      <w:spacing w:after="0" w:line="240" w:lineRule="auto"/>
    </w:pPr>
    <w:rPr>
      <w:rFonts w:ascii="Times New Roman" w:hAnsi="Times New Roman" w:cs="Times New Roman"/>
      <w:sz w:val="24"/>
      <w:lang w:val="fr-FR"/>
    </w:rPr>
  </w:style>
  <w:style w:type="character" w:styleId="Hyperlink">
    <w:name w:val="Hyperlink"/>
    <w:basedOn w:val="DefaultParagraphFont"/>
    <w:uiPriority w:val="99"/>
    <w:unhideWhenUsed/>
    <w:rsid w:val="004D528F"/>
    <w:rPr>
      <w:color w:val="0000FF" w:themeColor="hyperlink"/>
      <w:u w:val="single"/>
    </w:rPr>
  </w:style>
  <w:style w:type="character" w:styleId="FollowedHyperlink">
    <w:name w:val="FollowedHyperlink"/>
    <w:basedOn w:val="DefaultParagraphFont"/>
    <w:uiPriority w:val="99"/>
    <w:semiHidden/>
    <w:unhideWhenUsed/>
    <w:rsid w:val="001A36ED"/>
    <w:rPr>
      <w:color w:val="800080" w:themeColor="followedHyperlink"/>
      <w:u w:val="single"/>
    </w:rPr>
  </w:style>
  <w:style w:type="paragraph" w:styleId="Header">
    <w:name w:val="header"/>
    <w:basedOn w:val="Normal"/>
    <w:link w:val="HeaderChar"/>
    <w:uiPriority w:val="99"/>
    <w:unhideWhenUsed/>
    <w:rsid w:val="002A525C"/>
    <w:pPr>
      <w:tabs>
        <w:tab w:val="center" w:pos="4536"/>
        <w:tab w:val="right" w:pos="9072"/>
      </w:tabs>
      <w:spacing w:line="240" w:lineRule="auto"/>
    </w:pPr>
  </w:style>
  <w:style w:type="character" w:customStyle="1" w:styleId="HeaderChar">
    <w:name w:val="Header Char"/>
    <w:basedOn w:val="DefaultParagraphFont"/>
    <w:link w:val="Header"/>
    <w:uiPriority w:val="99"/>
    <w:rsid w:val="002A525C"/>
    <w:rPr>
      <w:rFonts w:ascii="Times New Roman" w:hAnsi="Times New Roman" w:cs="Times New Roman"/>
      <w:sz w:val="24"/>
      <w:lang w:val="fr-FR"/>
    </w:rPr>
  </w:style>
  <w:style w:type="paragraph" w:styleId="Footer">
    <w:name w:val="footer"/>
    <w:basedOn w:val="Normal"/>
    <w:link w:val="FooterChar"/>
    <w:uiPriority w:val="99"/>
    <w:unhideWhenUsed/>
    <w:rsid w:val="002A525C"/>
    <w:pPr>
      <w:tabs>
        <w:tab w:val="center" w:pos="4536"/>
        <w:tab w:val="right" w:pos="9072"/>
      </w:tabs>
      <w:spacing w:line="240" w:lineRule="auto"/>
    </w:pPr>
  </w:style>
  <w:style w:type="character" w:customStyle="1" w:styleId="FooterChar">
    <w:name w:val="Footer Char"/>
    <w:basedOn w:val="DefaultParagraphFont"/>
    <w:link w:val="Footer"/>
    <w:uiPriority w:val="99"/>
    <w:rsid w:val="002A525C"/>
    <w:rPr>
      <w:rFonts w:ascii="Times New Roman" w:hAnsi="Times New Roman" w:cs="Times New Roman"/>
      <w:sz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37419">
      <w:bodyDiv w:val="1"/>
      <w:marLeft w:val="0"/>
      <w:marRight w:val="0"/>
      <w:marTop w:val="0"/>
      <w:marBottom w:val="0"/>
      <w:divBdr>
        <w:top w:val="none" w:sz="0" w:space="0" w:color="auto"/>
        <w:left w:val="none" w:sz="0" w:space="0" w:color="auto"/>
        <w:bottom w:val="none" w:sz="0" w:space="0" w:color="auto"/>
        <w:right w:val="none" w:sz="0" w:space="0" w:color="auto"/>
      </w:divBdr>
    </w:div>
    <w:div w:id="244002284">
      <w:bodyDiv w:val="1"/>
      <w:marLeft w:val="0"/>
      <w:marRight w:val="0"/>
      <w:marTop w:val="0"/>
      <w:marBottom w:val="0"/>
      <w:divBdr>
        <w:top w:val="none" w:sz="0" w:space="0" w:color="auto"/>
        <w:left w:val="none" w:sz="0" w:space="0" w:color="auto"/>
        <w:bottom w:val="none" w:sz="0" w:space="0" w:color="auto"/>
        <w:right w:val="none" w:sz="0" w:space="0" w:color="auto"/>
      </w:divBdr>
    </w:div>
    <w:div w:id="670641842">
      <w:bodyDiv w:val="1"/>
      <w:marLeft w:val="0"/>
      <w:marRight w:val="0"/>
      <w:marTop w:val="0"/>
      <w:marBottom w:val="0"/>
      <w:divBdr>
        <w:top w:val="none" w:sz="0" w:space="0" w:color="auto"/>
        <w:left w:val="none" w:sz="0" w:space="0" w:color="auto"/>
        <w:bottom w:val="none" w:sz="0" w:space="0" w:color="auto"/>
        <w:right w:val="none" w:sz="0" w:space="0" w:color="auto"/>
      </w:divBdr>
    </w:div>
    <w:div w:id="794325428">
      <w:bodyDiv w:val="1"/>
      <w:marLeft w:val="0"/>
      <w:marRight w:val="0"/>
      <w:marTop w:val="0"/>
      <w:marBottom w:val="0"/>
      <w:divBdr>
        <w:top w:val="none" w:sz="0" w:space="0" w:color="auto"/>
        <w:left w:val="none" w:sz="0" w:space="0" w:color="auto"/>
        <w:bottom w:val="none" w:sz="0" w:space="0" w:color="auto"/>
        <w:right w:val="none" w:sz="0" w:space="0" w:color="auto"/>
      </w:divBdr>
    </w:div>
    <w:div w:id="826285006">
      <w:bodyDiv w:val="1"/>
      <w:marLeft w:val="0"/>
      <w:marRight w:val="0"/>
      <w:marTop w:val="0"/>
      <w:marBottom w:val="0"/>
      <w:divBdr>
        <w:top w:val="none" w:sz="0" w:space="0" w:color="auto"/>
        <w:left w:val="none" w:sz="0" w:space="0" w:color="auto"/>
        <w:bottom w:val="none" w:sz="0" w:space="0" w:color="auto"/>
        <w:right w:val="none" w:sz="0" w:space="0" w:color="auto"/>
      </w:divBdr>
      <w:divsChild>
        <w:div w:id="567808929">
          <w:marLeft w:val="0"/>
          <w:marRight w:val="0"/>
          <w:marTop w:val="0"/>
          <w:marBottom w:val="0"/>
          <w:divBdr>
            <w:top w:val="none" w:sz="0" w:space="0" w:color="auto"/>
            <w:left w:val="none" w:sz="0" w:space="0" w:color="auto"/>
            <w:bottom w:val="none" w:sz="0" w:space="0" w:color="auto"/>
            <w:right w:val="none" w:sz="0" w:space="0" w:color="auto"/>
          </w:divBdr>
          <w:divsChild>
            <w:div w:id="1307509157">
              <w:marLeft w:val="0"/>
              <w:marRight w:val="0"/>
              <w:marTop w:val="0"/>
              <w:marBottom w:val="0"/>
              <w:divBdr>
                <w:top w:val="none" w:sz="0" w:space="0" w:color="auto"/>
                <w:left w:val="none" w:sz="0" w:space="0" w:color="auto"/>
                <w:bottom w:val="none" w:sz="0" w:space="0" w:color="auto"/>
                <w:right w:val="none" w:sz="0" w:space="0" w:color="auto"/>
              </w:divBdr>
              <w:divsChild>
                <w:div w:id="1852572931">
                  <w:marLeft w:val="0"/>
                  <w:marRight w:val="0"/>
                  <w:marTop w:val="0"/>
                  <w:marBottom w:val="0"/>
                  <w:divBdr>
                    <w:top w:val="none" w:sz="0" w:space="0" w:color="auto"/>
                    <w:left w:val="none" w:sz="0" w:space="0" w:color="auto"/>
                    <w:bottom w:val="none" w:sz="0" w:space="0" w:color="auto"/>
                    <w:right w:val="none" w:sz="0" w:space="0" w:color="auto"/>
                  </w:divBdr>
                </w:div>
                <w:div w:id="1597446238">
                  <w:marLeft w:val="0"/>
                  <w:marRight w:val="0"/>
                  <w:marTop w:val="0"/>
                  <w:marBottom w:val="0"/>
                  <w:divBdr>
                    <w:top w:val="none" w:sz="0" w:space="0" w:color="auto"/>
                    <w:left w:val="none" w:sz="0" w:space="0" w:color="auto"/>
                    <w:bottom w:val="none" w:sz="0" w:space="0" w:color="auto"/>
                    <w:right w:val="none" w:sz="0" w:space="0" w:color="auto"/>
                  </w:divBdr>
                </w:div>
                <w:div w:id="1349480210">
                  <w:marLeft w:val="0"/>
                  <w:marRight w:val="0"/>
                  <w:marTop w:val="0"/>
                  <w:marBottom w:val="0"/>
                  <w:divBdr>
                    <w:top w:val="none" w:sz="0" w:space="0" w:color="auto"/>
                    <w:left w:val="none" w:sz="0" w:space="0" w:color="auto"/>
                    <w:bottom w:val="none" w:sz="0" w:space="0" w:color="auto"/>
                    <w:right w:val="none" w:sz="0" w:space="0" w:color="auto"/>
                  </w:divBdr>
                </w:div>
                <w:div w:id="487019908">
                  <w:marLeft w:val="0"/>
                  <w:marRight w:val="0"/>
                  <w:marTop w:val="0"/>
                  <w:marBottom w:val="0"/>
                  <w:divBdr>
                    <w:top w:val="none" w:sz="0" w:space="0" w:color="auto"/>
                    <w:left w:val="none" w:sz="0" w:space="0" w:color="auto"/>
                    <w:bottom w:val="none" w:sz="0" w:space="0" w:color="auto"/>
                    <w:right w:val="none" w:sz="0" w:space="0" w:color="auto"/>
                  </w:divBdr>
                </w:div>
                <w:div w:id="1018432002">
                  <w:marLeft w:val="0"/>
                  <w:marRight w:val="0"/>
                  <w:marTop w:val="0"/>
                  <w:marBottom w:val="0"/>
                  <w:divBdr>
                    <w:top w:val="none" w:sz="0" w:space="0" w:color="auto"/>
                    <w:left w:val="none" w:sz="0" w:space="0" w:color="auto"/>
                    <w:bottom w:val="none" w:sz="0" w:space="0" w:color="auto"/>
                    <w:right w:val="none" w:sz="0" w:space="0" w:color="auto"/>
                  </w:divBdr>
                </w:div>
                <w:div w:id="1991666547">
                  <w:marLeft w:val="0"/>
                  <w:marRight w:val="0"/>
                  <w:marTop w:val="0"/>
                  <w:marBottom w:val="0"/>
                  <w:divBdr>
                    <w:top w:val="none" w:sz="0" w:space="0" w:color="auto"/>
                    <w:left w:val="none" w:sz="0" w:space="0" w:color="auto"/>
                    <w:bottom w:val="none" w:sz="0" w:space="0" w:color="auto"/>
                    <w:right w:val="none" w:sz="0" w:space="0" w:color="auto"/>
                  </w:divBdr>
                </w:div>
                <w:div w:id="1436363615">
                  <w:marLeft w:val="0"/>
                  <w:marRight w:val="0"/>
                  <w:marTop w:val="0"/>
                  <w:marBottom w:val="0"/>
                  <w:divBdr>
                    <w:top w:val="none" w:sz="0" w:space="0" w:color="auto"/>
                    <w:left w:val="none" w:sz="0" w:space="0" w:color="auto"/>
                    <w:bottom w:val="none" w:sz="0" w:space="0" w:color="auto"/>
                    <w:right w:val="none" w:sz="0" w:space="0" w:color="auto"/>
                  </w:divBdr>
                </w:div>
                <w:div w:id="1748988745">
                  <w:marLeft w:val="0"/>
                  <w:marRight w:val="0"/>
                  <w:marTop w:val="0"/>
                  <w:marBottom w:val="0"/>
                  <w:divBdr>
                    <w:top w:val="none" w:sz="0" w:space="0" w:color="auto"/>
                    <w:left w:val="none" w:sz="0" w:space="0" w:color="auto"/>
                    <w:bottom w:val="none" w:sz="0" w:space="0" w:color="auto"/>
                    <w:right w:val="none" w:sz="0" w:space="0" w:color="auto"/>
                  </w:divBdr>
                </w:div>
                <w:div w:id="1610700534">
                  <w:marLeft w:val="0"/>
                  <w:marRight w:val="0"/>
                  <w:marTop w:val="0"/>
                  <w:marBottom w:val="0"/>
                  <w:divBdr>
                    <w:top w:val="none" w:sz="0" w:space="0" w:color="auto"/>
                    <w:left w:val="none" w:sz="0" w:space="0" w:color="auto"/>
                    <w:bottom w:val="none" w:sz="0" w:space="0" w:color="auto"/>
                    <w:right w:val="none" w:sz="0" w:space="0" w:color="auto"/>
                  </w:divBdr>
                </w:div>
                <w:div w:id="131891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17869">
          <w:marLeft w:val="0"/>
          <w:marRight w:val="0"/>
          <w:marTop w:val="0"/>
          <w:marBottom w:val="0"/>
          <w:divBdr>
            <w:top w:val="none" w:sz="0" w:space="0" w:color="auto"/>
            <w:left w:val="none" w:sz="0" w:space="0" w:color="auto"/>
            <w:bottom w:val="none" w:sz="0" w:space="0" w:color="auto"/>
            <w:right w:val="none" w:sz="0" w:space="0" w:color="auto"/>
          </w:divBdr>
        </w:div>
        <w:div w:id="2088530170">
          <w:marLeft w:val="0"/>
          <w:marRight w:val="0"/>
          <w:marTop w:val="0"/>
          <w:marBottom w:val="0"/>
          <w:divBdr>
            <w:top w:val="none" w:sz="0" w:space="0" w:color="auto"/>
            <w:left w:val="none" w:sz="0" w:space="0" w:color="auto"/>
            <w:bottom w:val="none" w:sz="0" w:space="0" w:color="auto"/>
            <w:right w:val="none" w:sz="0" w:space="0" w:color="auto"/>
          </w:divBdr>
        </w:div>
        <w:div w:id="1412195390">
          <w:marLeft w:val="0"/>
          <w:marRight w:val="0"/>
          <w:marTop w:val="0"/>
          <w:marBottom w:val="0"/>
          <w:divBdr>
            <w:top w:val="none" w:sz="0" w:space="0" w:color="auto"/>
            <w:left w:val="none" w:sz="0" w:space="0" w:color="auto"/>
            <w:bottom w:val="none" w:sz="0" w:space="0" w:color="auto"/>
            <w:right w:val="none" w:sz="0" w:space="0" w:color="auto"/>
          </w:divBdr>
        </w:div>
      </w:divsChild>
    </w:div>
    <w:div w:id="1045562779">
      <w:bodyDiv w:val="1"/>
      <w:marLeft w:val="0"/>
      <w:marRight w:val="0"/>
      <w:marTop w:val="0"/>
      <w:marBottom w:val="0"/>
      <w:divBdr>
        <w:top w:val="none" w:sz="0" w:space="0" w:color="auto"/>
        <w:left w:val="none" w:sz="0" w:space="0" w:color="auto"/>
        <w:bottom w:val="none" w:sz="0" w:space="0" w:color="auto"/>
        <w:right w:val="none" w:sz="0" w:space="0" w:color="auto"/>
      </w:divBdr>
      <w:divsChild>
        <w:div w:id="254561847">
          <w:marLeft w:val="0"/>
          <w:marRight w:val="0"/>
          <w:marTop w:val="0"/>
          <w:marBottom w:val="0"/>
          <w:divBdr>
            <w:top w:val="none" w:sz="0" w:space="0" w:color="auto"/>
            <w:left w:val="none" w:sz="0" w:space="0" w:color="auto"/>
            <w:bottom w:val="none" w:sz="0" w:space="0" w:color="auto"/>
            <w:right w:val="none" w:sz="0" w:space="0" w:color="auto"/>
          </w:divBdr>
        </w:div>
        <w:div w:id="1111976473">
          <w:marLeft w:val="0"/>
          <w:marRight w:val="0"/>
          <w:marTop w:val="0"/>
          <w:marBottom w:val="0"/>
          <w:divBdr>
            <w:top w:val="none" w:sz="0" w:space="0" w:color="auto"/>
            <w:left w:val="none" w:sz="0" w:space="0" w:color="auto"/>
            <w:bottom w:val="none" w:sz="0" w:space="0" w:color="auto"/>
            <w:right w:val="none" w:sz="0" w:space="0" w:color="auto"/>
          </w:divBdr>
        </w:div>
        <w:div w:id="1975521830">
          <w:marLeft w:val="0"/>
          <w:marRight w:val="0"/>
          <w:marTop w:val="0"/>
          <w:marBottom w:val="0"/>
          <w:divBdr>
            <w:top w:val="none" w:sz="0" w:space="0" w:color="auto"/>
            <w:left w:val="none" w:sz="0" w:space="0" w:color="auto"/>
            <w:bottom w:val="none" w:sz="0" w:space="0" w:color="auto"/>
            <w:right w:val="none" w:sz="0" w:space="0" w:color="auto"/>
          </w:divBdr>
        </w:div>
      </w:divsChild>
    </w:div>
    <w:div w:id="1066683564">
      <w:bodyDiv w:val="1"/>
      <w:marLeft w:val="0"/>
      <w:marRight w:val="0"/>
      <w:marTop w:val="0"/>
      <w:marBottom w:val="0"/>
      <w:divBdr>
        <w:top w:val="none" w:sz="0" w:space="0" w:color="auto"/>
        <w:left w:val="none" w:sz="0" w:space="0" w:color="auto"/>
        <w:bottom w:val="none" w:sz="0" w:space="0" w:color="auto"/>
        <w:right w:val="none" w:sz="0" w:space="0" w:color="auto"/>
      </w:divBdr>
    </w:div>
    <w:div w:id="1088191399">
      <w:bodyDiv w:val="1"/>
      <w:marLeft w:val="0"/>
      <w:marRight w:val="0"/>
      <w:marTop w:val="0"/>
      <w:marBottom w:val="0"/>
      <w:divBdr>
        <w:top w:val="none" w:sz="0" w:space="0" w:color="auto"/>
        <w:left w:val="none" w:sz="0" w:space="0" w:color="auto"/>
        <w:bottom w:val="none" w:sz="0" w:space="0" w:color="auto"/>
        <w:right w:val="none" w:sz="0" w:space="0" w:color="auto"/>
      </w:divBdr>
    </w:div>
    <w:div w:id="1192457165">
      <w:bodyDiv w:val="1"/>
      <w:marLeft w:val="0"/>
      <w:marRight w:val="0"/>
      <w:marTop w:val="0"/>
      <w:marBottom w:val="0"/>
      <w:divBdr>
        <w:top w:val="none" w:sz="0" w:space="0" w:color="auto"/>
        <w:left w:val="none" w:sz="0" w:space="0" w:color="auto"/>
        <w:bottom w:val="none" w:sz="0" w:space="0" w:color="auto"/>
        <w:right w:val="none" w:sz="0" w:space="0" w:color="auto"/>
      </w:divBdr>
    </w:div>
    <w:div w:id="1241601092">
      <w:bodyDiv w:val="1"/>
      <w:marLeft w:val="0"/>
      <w:marRight w:val="0"/>
      <w:marTop w:val="0"/>
      <w:marBottom w:val="0"/>
      <w:divBdr>
        <w:top w:val="none" w:sz="0" w:space="0" w:color="auto"/>
        <w:left w:val="none" w:sz="0" w:space="0" w:color="auto"/>
        <w:bottom w:val="none" w:sz="0" w:space="0" w:color="auto"/>
        <w:right w:val="none" w:sz="0" w:space="0" w:color="auto"/>
      </w:divBdr>
    </w:div>
    <w:div w:id="1331249632">
      <w:bodyDiv w:val="1"/>
      <w:marLeft w:val="0"/>
      <w:marRight w:val="0"/>
      <w:marTop w:val="0"/>
      <w:marBottom w:val="0"/>
      <w:divBdr>
        <w:top w:val="none" w:sz="0" w:space="0" w:color="auto"/>
        <w:left w:val="none" w:sz="0" w:space="0" w:color="auto"/>
        <w:bottom w:val="none" w:sz="0" w:space="0" w:color="auto"/>
        <w:right w:val="none" w:sz="0" w:space="0" w:color="auto"/>
      </w:divBdr>
    </w:div>
    <w:div w:id="1344287227">
      <w:bodyDiv w:val="1"/>
      <w:marLeft w:val="0"/>
      <w:marRight w:val="0"/>
      <w:marTop w:val="0"/>
      <w:marBottom w:val="0"/>
      <w:divBdr>
        <w:top w:val="none" w:sz="0" w:space="0" w:color="auto"/>
        <w:left w:val="none" w:sz="0" w:space="0" w:color="auto"/>
        <w:bottom w:val="none" w:sz="0" w:space="0" w:color="auto"/>
        <w:right w:val="none" w:sz="0" w:space="0" w:color="auto"/>
      </w:divBdr>
    </w:div>
    <w:div w:id="1369603884">
      <w:bodyDiv w:val="1"/>
      <w:marLeft w:val="0"/>
      <w:marRight w:val="0"/>
      <w:marTop w:val="0"/>
      <w:marBottom w:val="0"/>
      <w:divBdr>
        <w:top w:val="none" w:sz="0" w:space="0" w:color="auto"/>
        <w:left w:val="none" w:sz="0" w:space="0" w:color="auto"/>
        <w:bottom w:val="none" w:sz="0" w:space="0" w:color="auto"/>
        <w:right w:val="none" w:sz="0" w:space="0" w:color="auto"/>
      </w:divBdr>
    </w:div>
    <w:div w:id="1394887713">
      <w:bodyDiv w:val="1"/>
      <w:marLeft w:val="0"/>
      <w:marRight w:val="0"/>
      <w:marTop w:val="0"/>
      <w:marBottom w:val="0"/>
      <w:divBdr>
        <w:top w:val="none" w:sz="0" w:space="0" w:color="auto"/>
        <w:left w:val="none" w:sz="0" w:space="0" w:color="auto"/>
        <w:bottom w:val="none" w:sz="0" w:space="0" w:color="auto"/>
        <w:right w:val="none" w:sz="0" w:space="0" w:color="auto"/>
      </w:divBdr>
      <w:divsChild>
        <w:div w:id="2049916131">
          <w:marLeft w:val="432"/>
          <w:marRight w:val="0"/>
          <w:marTop w:val="120"/>
          <w:marBottom w:val="0"/>
          <w:divBdr>
            <w:top w:val="none" w:sz="0" w:space="0" w:color="auto"/>
            <w:left w:val="none" w:sz="0" w:space="0" w:color="auto"/>
            <w:bottom w:val="none" w:sz="0" w:space="0" w:color="auto"/>
            <w:right w:val="none" w:sz="0" w:space="0" w:color="auto"/>
          </w:divBdr>
        </w:div>
        <w:div w:id="371154985">
          <w:marLeft w:val="432"/>
          <w:marRight w:val="0"/>
          <w:marTop w:val="120"/>
          <w:marBottom w:val="0"/>
          <w:divBdr>
            <w:top w:val="none" w:sz="0" w:space="0" w:color="auto"/>
            <w:left w:val="none" w:sz="0" w:space="0" w:color="auto"/>
            <w:bottom w:val="none" w:sz="0" w:space="0" w:color="auto"/>
            <w:right w:val="none" w:sz="0" w:space="0" w:color="auto"/>
          </w:divBdr>
        </w:div>
        <w:div w:id="1533422308">
          <w:marLeft w:val="864"/>
          <w:marRight w:val="0"/>
          <w:marTop w:val="100"/>
          <w:marBottom w:val="0"/>
          <w:divBdr>
            <w:top w:val="none" w:sz="0" w:space="0" w:color="auto"/>
            <w:left w:val="none" w:sz="0" w:space="0" w:color="auto"/>
            <w:bottom w:val="none" w:sz="0" w:space="0" w:color="auto"/>
            <w:right w:val="none" w:sz="0" w:space="0" w:color="auto"/>
          </w:divBdr>
        </w:div>
        <w:div w:id="387268093">
          <w:marLeft w:val="864"/>
          <w:marRight w:val="0"/>
          <w:marTop w:val="100"/>
          <w:marBottom w:val="0"/>
          <w:divBdr>
            <w:top w:val="none" w:sz="0" w:space="0" w:color="auto"/>
            <w:left w:val="none" w:sz="0" w:space="0" w:color="auto"/>
            <w:bottom w:val="none" w:sz="0" w:space="0" w:color="auto"/>
            <w:right w:val="none" w:sz="0" w:space="0" w:color="auto"/>
          </w:divBdr>
        </w:div>
        <w:div w:id="417871778">
          <w:marLeft w:val="432"/>
          <w:marRight w:val="0"/>
          <w:marTop w:val="120"/>
          <w:marBottom w:val="0"/>
          <w:divBdr>
            <w:top w:val="none" w:sz="0" w:space="0" w:color="auto"/>
            <w:left w:val="none" w:sz="0" w:space="0" w:color="auto"/>
            <w:bottom w:val="none" w:sz="0" w:space="0" w:color="auto"/>
            <w:right w:val="none" w:sz="0" w:space="0" w:color="auto"/>
          </w:divBdr>
        </w:div>
        <w:div w:id="895243113">
          <w:marLeft w:val="864"/>
          <w:marRight w:val="0"/>
          <w:marTop w:val="100"/>
          <w:marBottom w:val="0"/>
          <w:divBdr>
            <w:top w:val="none" w:sz="0" w:space="0" w:color="auto"/>
            <w:left w:val="none" w:sz="0" w:space="0" w:color="auto"/>
            <w:bottom w:val="none" w:sz="0" w:space="0" w:color="auto"/>
            <w:right w:val="none" w:sz="0" w:space="0" w:color="auto"/>
          </w:divBdr>
        </w:div>
        <w:div w:id="1497721469">
          <w:marLeft w:val="864"/>
          <w:marRight w:val="0"/>
          <w:marTop w:val="100"/>
          <w:marBottom w:val="0"/>
          <w:divBdr>
            <w:top w:val="none" w:sz="0" w:space="0" w:color="auto"/>
            <w:left w:val="none" w:sz="0" w:space="0" w:color="auto"/>
            <w:bottom w:val="none" w:sz="0" w:space="0" w:color="auto"/>
            <w:right w:val="none" w:sz="0" w:space="0" w:color="auto"/>
          </w:divBdr>
        </w:div>
      </w:divsChild>
    </w:div>
    <w:div w:id="1445350008">
      <w:bodyDiv w:val="1"/>
      <w:marLeft w:val="0"/>
      <w:marRight w:val="0"/>
      <w:marTop w:val="0"/>
      <w:marBottom w:val="0"/>
      <w:divBdr>
        <w:top w:val="none" w:sz="0" w:space="0" w:color="auto"/>
        <w:left w:val="none" w:sz="0" w:space="0" w:color="auto"/>
        <w:bottom w:val="none" w:sz="0" w:space="0" w:color="auto"/>
        <w:right w:val="none" w:sz="0" w:space="0" w:color="auto"/>
      </w:divBdr>
    </w:div>
    <w:div w:id="1453942301">
      <w:bodyDiv w:val="1"/>
      <w:marLeft w:val="0"/>
      <w:marRight w:val="0"/>
      <w:marTop w:val="0"/>
      <w:marBottom w:val="0"/>
      <w:divBdr>
        <w:top w:val="none" w:sz="0" w:space="0" w:color="auto"/>
        <w:left w:val="none" w:sz="0" w:space="0" w:color="auto"/>
        <w:bottom w:val="none" w:sz="0" w:space="0" w:color="auto"/>
        <w:right w:val="none" w:sz="0" w:space="0" w:color="auto"/>
      </w:divBdr>
    </w:div>
    <w:div w:id="1581980487">
      <w:bodyDiv w:val="1"/>
      <w:marLeft w:val="0"/>
      <w:marRight w:val="0"/>
      <w:marTop w:val="0"/>
      <w:marBottom w:val="0"/>
      <w:divBdr>
        <w:top w:val="none" w:sz="0" w:space="0" w:color="auto"/>
        <w:left w:val="none" w:sz="0" w:space="0" w:color="auto"/>
        <w:bottom w:val="none" w:sz="0" w:space="0" w:color="auto"/>
        <w:right w:val="none" w:sz="0" w:space="0" w:color="auto"/>
      </w:divBdr>
    </w:div>
    <w:div w:id="1627270463">
      <w:bodyDiv w:val="1"/>
      <w:marLeft w:val="0"/>
      <w:marRight w:val="0"/>
      <w:marTop w:val="0"/>
      <w:marBottom w:val="0"/>
      <w:divBdr>
        <w:top w:val="none" w:sz="0" w:space="0" w:color="auto"/>
        <w:left w:val="none" w:sz="0" w:space="0" w:color="auto"/>
        <w:bottom w:val="none" w:sz="0" w:space="0" w:color="auto"/>
        <w:right w:val="none" w:sz="0" w:space="0" w:color="auto"/>
      </w:divBdr>
    </w:div>
    <w:div w:id="1763337913">
      <w:bodyDiv w:val="1"/>
      <w:marLeft w:val="0"/>
      <w:marRight w:val="0"/>
      <w:marTop w:val="0"/>
      <w:marBottom w:val="0"/>
      <w:divBdr>
        <w:top w:val="none" w:sz="0" w:space="0" w:color="auto"/>
        <w:left w:val="none" w:sz="0" w:space="0" w:color="auto"/>
        <w:bottom w:val="none" w:sz="0" w:space="0" w:color="auto"/>
        <w:right w:val="none" w:sz="0" w:space="0" w:color="auto"/>
      </w:divBdr>
    </w:div>
    <w:div w:id="1917129842">
      <w:bodyDiv w:val="1"/>
      <w:marLeft w:val="0"/>
      <w:marRight w:val="0"/>
      <w:marTop w:val="0"/>
      <w:marBottom w:val="0"/>
      <w:divBdr>
        <w:top w:val="none" w:sz="0" w:space="0" w:color="auto"/>
        <w:left w:val="none" w:sz="0" w:space="0" w:color="auto"/>
        <w:bottom w:val="none" w:sz="0" w:space="0" w:color="auto"/>
        <w:right w:val="none" w:sz="0" w:space="0" w:color="auto"/>
      </w:divBdr>
    </w:div>
    <w:div w:id="2073655129">
      <w:bodyDiv w:val="1"/>
      <w:marLeft w:val="0"/>
      <w:marRight w:val="0"/>
      <w:marTop w:val="0"/>
      <w:marBottom w:val="0"/>
      <w:divBdr>
        <w:top w:val="none" w:sz="0" w:space="0" w:color="auto"/>
        <w:left w:val="none" w:sz="0" w:space="0" w:color="auto"/>
        <w:bottom w:val="none" w:sz="0" w:space="0" w:color="auto"/>
        <w:right w:val="none" w:sz="0" w:space="0" w:color="auto"/>
      </w:divBdr>
      <w:divsChild>
        <w:div w:id="1746679934">
          <w:marLeft w:val="0"/>
          <w:marRight w:val="0"/>
          <w:marTop w:val="0"/>
          <w:marBottom w:val="0"/>
          <w:divBdr>
            <w:top w:val="none" w:sz="0" w:space="0" w:color="auto"/>
            <w:left w:val="none" w:sz="0" w:space="0" w:color="auto"/>
            <w:bottom w:val="none" w:sz="0" w:space="0" w:color="auto"/>
            <w:right w:val="none" w:sz="0" w:space="0" w:color="auto"/>
          </w:divBdr>
          <w:divsChild>
            <w:div w:id="802620355">
              <w:marLeft w:val="0"/>
              <w:marRight w:val="0"/>
              <w:marTop w:val="0"/>
              <w:marBottom w:val="0"/>
              <w:divBdr>
                <w:top w:val="none" w:sz="0" w:space="0" w:color="auto"/>
                <w:left w:val="none" w:sz="0" w:space="0" w:color="auto"/>
                <w:bottom w:val="none" w:sz="0" w:space="0" w:color="auto"/>
                <w:right w:val="none" w:sz="0" w:space="0" w:color="auto"/>
              </w:divBdr>
              <w:divsChild>
                <w:div w:id="1665236913">
                  <w:marLeft w:val="0"/>
                  <w:marRight w:val="0"/>
                  <w:marTop w:val="0"/>
                  <w:marBottom w:val="0"/>
                  <w:divBdr>
                    <w:top w:val="none" w:sz="0" w:space="0" w:color="auto"/>
                    <w:left w:val="none" w:sz="0" w:space="0" w:color="auto"/>
                    <w:bottom w:val="none" w:sz="0" w:space="0" w:color="auto"/>
                    <w:right w:val="none" w:sz="0" w:space="0" w:color="auto"/>
                  </w:divBdr>
                </w:div>
                <w:div w:id="1562903683">
                  <w:marLeft w:val="0"/>
                  <w:marRight w:val="0"/>
                  <w:marTop w:val="0"/>
                  <w:marBottom w:val="0"/>
                  <w:divBdr>
                    <w:top w:val="none" w:sz="0" w:space="0" w:color="auto"/>
                    <w:left w:val="none" w:sz="0" w:space="0" w:color="auto"/>
                    <w:bottom w:val="none" w:sz="0" w:space="0" w:color="auto"/>
                    <w:right w:val="none" w:sz="0" w:space="0" w:color="auto"/>
                  </w:divBdr>
                </w:div>
                <w:div w:id="263342114">
                  <w:marLeft w:val="0"/>
                  <w:marRight w:val="0"/>
                  <w:marTop w:val="0"/>
                  <w:marBottom w:val="0"/>
                  <w:divBdr>
                    <w:top w:val="none" w:sz="0" w:space="0" w:color="auto"/>
                    <w:left w:val="none" w:sz="0" w:space="0" w:color="auto"/>
                    <w:bottom w:val="none" w:sz="0" w:space="0" w:color="auto"/>
                    <w:right w:val="none" w:sz="0" w:space="0" w:color="auto"/>
                  </w:divBdr>
                </w:div>
                <w:div w:id="1487548659">
                  <w:marLeft w:val="0"/>
                  <w:marRight w:val="0"/>
                  <w:marTop w:val="0"/>
                  <w:marBottom w:val="0"/>
                  <w:divBdr>
                    <w:top w:val="none" w:sz="0" w:space="0" w:color="auto"/>
                    <w:left w:val="none" w:sz="0" w:space="0" w:color="auto"/>
                    <w:bottom w:val="none" w:sz="0" w:space="0" w:color="auto"/>
                    <w:right w:val="none" w:sz="0" w:space="0" w:color="auto"/>
                  </w:divBdr>
                </w:div>
                <w:div w:id="1668899902">
                  <w:marLeft w:val="0"/>
                  <w:marRight w:val="0"/>
                  <w:marTop w:val="0"/>
                  <w:marBottom w:val="0"/>
                  <w:divBdr>
                    <w:top w:val="none" w:sz="0" w:space="0" w:color="auto"/>
                    <w:left w:val="none" w:sz="0" w:space="0" w:color="auto"/>
                    <w:bottom w:val="none" w:sz="0" w:space="0" w:color="auto"/>
                    <w:right w:val="none" w:sz="0" w:space="0" w:color="auto"/>
                  </w:divBdr>
                </w:div>
                <w:div w:id="1186211377">
                  <w:marLeft w:val="0"/>
                  <w:marRight w:val="0"/>
                  <w:marTop w:val="0"/>
                  <w:marBottom w:val="0"/>
                  <w:divBdr>
                    <w:top w:val="none" w:sz="0" w:space="0" w:color="auto"/>
                    <w:left w:val="none" w:sz="0" w:space="0" w:color="auto"/>
                    <w:bottom w:val="none" w:sz="0" w:space="0" w:color="auto"/>
                    <w:right w:val="none" w:sz="0" w:space="0" w:color="auto"/>
                  </w:divBdr>
                </w:div>
                <w:div w:id="1126049955">
                  <w:marLeft w:val="0"/>
                  <w:marRight w:val="0"/>
                  <w:marTop w:val="0"/>
                  <w:marBottom w:val="0"/>
                  <w:divBdr>
                    <w:top w:val="none" w:sz="0" w:space="0" w:color="auto"/>
                    <w:left w:val="none" w:sz="0" w:space="0" w:color="auto"/>
                    <w:bottom w:val="none" w:sz="0" w:space="0" w:color="auto"/>
                    <w:right w:val="none" w:sz="0" w:space="0" w:color="auto"/>
                  </w:divBdr>
                </w:div>
                <w:div w:id="211818253">
                  <w:marLeft w:val="0"/>
                  <w:marRight w:val="0"/>
                  <w:marTop w:val="0"/>
                  <w:marBottom w:val="0"/>
                  <w:divBdr>
                    <w:top w:val="none" w:sz="0" w:space="0" w:color="auto"/>
                    <w:left w:val="none" w:sz="0" w:space="0" w:color="auto"/>
                    <w:bottom w:val="none" w:sz="0" w:space="0" w:color="auto"/>
                    <w:right w:val="none" w:sz="0" w:space="0" w:color="auto"/>
                  </w:divBdr>
                </w:div>
                <w:div w:id="1861629123">
                  <w:marLeft w:val="0"/>
                  <w:marRight w:val="0"/>
                  <w:marTop w:val="0"/>
                  <w:marBottom w:val="0"/>
                  <w:divBdr>
                    <w:top w:val="none" w:sz="0" w:space="0" w:color="auto"/>
                    <w:left w:val="none" w:sz="0" w:space="0" w:color="auto"/>
                    <w:bottom w:val="none" w:sz="0" w:space="0" w:color="auto"/>
                    <w:right w:val="none" w:sz="0" w:space="0" w:color="auto"/>
                  </w:divBdr>
                </w:div>
                <w:div w:id="83888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529417">
          <w:marLeft w:val="0"/>
          <w:marRight w:val="0"/>
          <w:marTop w:val="0"/>
          <w:marBottom w:val="0"/>
          <w:divBdr>
            <w:top w:val="none" w:sz="0" w:space="0" w:color="auto"/>
            <w:left w:val="none" w:sz="0" w:space="0" w:color="auto"/>
            <w:bottom w:val="none" w:sz="0" w:space="0" w:color="auto"/>
            <w:right w:val="none" w:sz="0" w:space="0" w:color="auto"/>
          </w:divBdr>
        </w:div>
        <w:div w:id="561915216">
          <w:marLeft w:val="0"/>
          <w:marRight w:val="0"/>
          <w:marTop w:val="0"/>
          <w:marBottom w:val="0"/>
          <w:divBdr>
            <w:top w:val="none" w:sz="0" w:space="0" w:color="auto"/>
            <w:left w:val="none" w:sz="0" w:space="0" w:color="auto"/>
            <w:bottom w:val="none" w:sz="0" w:space="0" w:color="auto"/>
            <w:right w:val="none" w:sz="0" w:space="0" w:color="auto"/>
          </w:divBdr>
        </w:div>
        <w:div w:id="19749465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D4F54D-4373-44FF-B8E9-1C4A67FAA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7</Pages>
  <Words>1577</Words>
  <Characters>8993</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ANSES</Company>
  <LinksUpToDate>false</LinksUpToDate>
  <CharactersWithSpaces>10549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COURTEJOIE Noémie</dc:creator>
  <cp:lastModifiedBy>Shine David S.A.</cp:lastModifiedBy>
  <cp:revision>28</cp:revision>
  <dcterms:created xsi:type="dcterms:W3CDTF">2018-11-06T14:30:00Z</dcterms:created>
  <dcterms:modified xsi:type="dcterms:W3CDTF">2019-04-27T04:37:00Z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zotero-version="4.0.29.2"&gt;&lt;session id="3Se5sxPI"/&gt;&lt;style id="http://www.zotero.org/styles/veterinary-research" hasBibliography="1" bibliographyStyleHasBeenSet="0"/&gt;&lt;prefs&gt;&lt;pref name="fieldType" value="Field"/&gt;&lt;pref name="storeRefere</vt:lpwstr>
  </property>
  <property fmtid="{D5CDD505-2E9C-101B-9397-08002B2CF9AE}" pid="3" name="ZOTERO_PREF_2">
    <vt:lpwstr>nces" value="true"/&gt;&lt;pref name="automaticJournalAbbreviations" value="true"/&gt;&lt;pref name="noteType" value=""/&gt;&lt;/prefs&gt;&lt;/data&gt;</vt:lpwstr>
  </property>
</Properties>
</file>