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847" w:rsidRPr="001B1CFE" w:rsidRDefault="00985847" w:rsidP="0098584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1B1CFE">
        <w:rPr>
          <w:rFonts w:ascii="Times New Roman" w:hAnsi="Times New Roman" w:cs="Times New Roman"/>
          <w:b/>
          <w:bCs/>
          <w:sz w:val="24"/>
          <w:szCs w:val="24"/>
        </w:rPr>
        <w:t>Additional file 3 Antigen detection in tissue samples from animals intraorally inoculated with O/TAI/315/2016 and in contact animals in Experiment 2</w:t>
      </w:r>
    </w:p>
    <w:tbl>
      <w:tblPr>
        <w:tblStyle w:val="Grilledutableau"/>
        <w:tblW w:w="9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1"/>
        <w:gridCol w:w="1077"/>
        <w:gridCol w:w="1077"/>
        <w:gridCol w:w="1077"/>
        <w:gridCol w:w="1077"/>
        <w:gridCol w:w="1077"/>
        <w:gridCol w:w="1077"/>
      </w:tblGrid>
      <w:tr w:rsidR="00985847" w:rsidTr="006D4874">
        <w:tc>
          <w:tcPr>
            <w:tcW w:w="2721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bookmarkEnd w:id="0"/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Tissue</w:t>
            </w:r>
          </w:p>
        </w:tc>
        <w:tc>
          <w:tcPr>
            <w:tcW w:w="6462" w:type="dxa"/>
            <w:gridSpan w:val="6"/>
            <w:tcBorders>
              <w:top w:val="single" w:sz="18" w:space="0" w:color="auto"/>
              <w:bottom w:val="single" w:sz="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Animal</w:t>
            </w:r>
          </w:p>
        </w:tc>
      </w:tr>
      <w:tr w:rsidR="00985847" w:rsidTr="006D4874">
        <w:tc>
          <w:tcPr>
            <w:tcW w:w="2721" w:type="dxa"/>
            <w:vMerge/>
            <w:tcBorders>
              <w:top w:val="single" w:sz="18" w:space="0" w:color="auto"/>
              <w:bottom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77" w:type="dxa"/>
            <w:tcBorders>
              <w:top w:val="single" w:sz="8" w:space="0" w:color="auto"/>
              <w:bottom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B</w:t>
            </w:r>
            <w:r>
              <w:rPr>
                <w:rFonts w:ascii="Times New Roman" w:hAnsi="Times New Roman" w:cs="Times New Roman"/>
                <w:bCs/>
              </w:rPr>
              <w:t>oar#191</w:t>
            </w:r>
          </w:p>
        </w:tc>
        <w:tc>
          <w:tcPr>
            <w:tcW w:w="1077" w:type="dxa"/>
            <w:tcBorders>
              <w:top w:val="single" w:sz="8" w:space="0" w:color="auto"/>
              <w:bottom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B</w:t>
            </w:r>
            <w:r>
              <w:rPr>
                <w:rFonts w:ascii="Times New Roman" w:hAnsi="Times New Roman" w:cs="Times New Roman"/>
                <w:bCs/>
              </w:rPr>
              <w:t>oar#192</w:t>
            </w:r>
          </w:p>
        </w:tc>
        <w:tc>
          <w:tcPr>
            <w:tcW w:w="1077" w:type="dxa"/>
            <w:tcBorders>
              <w:top w:val="single" w:sz="8" w:space="0" w:color="auto"/>
              <w:bottom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P</w:t>
            </w:r>
            <w:r>
              <w:rPr>
                <w:rFonts w:ascii="Times New Roman" w:hAnsi="Times New Roman" w:cs="Times New Roman"/>
                <w:bCs/>
              </w:rPr>
              <w:t>ig#193</w:t>
            </w:r>
          </w:p>
        </w:tc>
        <w:tc>
          <w:tcPr>
            <w:tcW w:w="1077" w:type="dxa"/>
            <w:tcBorders>
              <w:top w:val="single" w:sz="8" w:space="0" w:color="auto"/>
              <w:bottom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P</w:t>
            </w:r>
            <w:r>
              <w:rPr>
                <w:rFonts w:ascii="Times New Roman" w:hAnsi="Times New Roman" w:cs="Times New Roman"/>
                <w:bCs/>
              </w:rPr>
              <w:t>ig#194</w:t>
            </w:r>
          </w:p>
        </w:tc>
        <w:tc>
          <w:tcPr>
            <w:tcW w:w="1077" w:type="dxa"/>
            <w:tcBorders>
              <w:top w:val="single" w:sz="8" w:space="0" w:color="auto"/>
              <w:bottom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P</w:t>
            </w:r>
            <w:r>
              <w:rPr>
                <w:rFonts w:ascii="Times New Roman" w:hAnsi="Times New Roman" w:cs="Times New Roman"/>
                <w:bCs/>
              </w:rPr>
              <w:t>ig#195</w:t>
            </w:r>
          </w:p>
        </w:tc>
        <w:tc>
          <w:tcPr>
            <w:tcW w:w="1077" w:type="dxa"/>
            <w:tcBorders>
              <w:top w:val="single" w:sz="8" w:space="0" w:color="auto"/>
              <w:bottom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B</w:t>
            </w:r>
            <w:r>
              <w:rPr>
                <w:rFonts w:ascii="Times New Roman" w:hAnsi="Times New Roman" w:cs="Times New Roman"/>
                <w:bCs/>
              </w:rPr>
              <w:t>oar#196</w:t>
            </w:r>
          </w:p>
        </w:tc>
      </w:tr>
      <w:tr w:rsidR="00985847" w:rsidTr="006D4874">
        <w:tc>
          <w:tcPr>
            <w:tcW w:w="2721" w:type="dxa"/>
            <w:tcBorders>
              <w:top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T</w:t>
            </w:r>
            <w:r>
              <w:rPr>
                <w:rFonts w:ascii="Times New Roman" w:hAnsi="Times New Roman" w:cs="Times New Roman"/>
                <w:bCs/>
              </w:rPr>
              <w:t>ongue</w:t>
            </w:r>
          </w:p>
        </w:tc>
        <w:tc>
          <w:tcPr>
            <w:tcW w:w="1077" w:type="dxa"/>
            <w:tcBorders>
              <w:top w:val="single" w:sz="18" w:space="0" w:color="auto"/>
            </w:tcBorders>
            <w:shd w:val="clear" w:color="auto" w:fill="FFF2CC" w:themeFill="accent4" w:themeFillTint="33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/-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a</w:t>
            </w:r>
          </w:p>
        </w:tc>
        <w:tc>
          <w:tcPr>
            <w:tcW w:w="1077" w:type="dxa"/>
            <w:tcBorders>
              <w:top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  <w:tcBorders>
              <w:top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  <w:tcBorders>
              <w:top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  <w:tcBorders>
              <w:top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  <w:tcBorders>
              <w:top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oft palate tonsil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oft palate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O</w:t>
            </w:r>
            <w:r>
              <w:rPr>
                <w:rFonts w:ascii="Times New Roman" w:hAnsi="Times New Roman" w:cs="Times New Roman"/>
                <w:bCs/>
              </w:rPr>
              <w:t>ropharynx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asopharynx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L</w:t>
            </w:r>
            <w:r>
              <w:rPr>
                <w:rFonts w:ascii="Times New Roman" w:hAnsi="Times New Roman" w:cs="Times New Roman"/>
                <w:bCs/>
              </w:rPr>
              <w:t>arynx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T</w:t>
            </w:r>
            <w:r>
              <w:rPr>
                <w:rFonts w:ascii="Times New Roman" w:hAnsi="Times New Roman" w:cs="Times New Roman"/>
                <w:bCs/>
              </w:rPr>
              <w:t>rachea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sophagus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M</w:t>
            </w:r>
            <w:r>
              <w:rPr>
                <w:rFonts w:ascii="Times New Roman" w:hAnsi="Times New Roman" w:cs="Times New Roman"/>
                <w:bCs/>
              </w:rPr>
              <w:t>andibular gland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P</w:t>
            </w:r>
            <w:r>
              <w:rPr>
                <w:rFonts w:ascii="Times New Roman" w:hAnsi="Times New Roman" w:cs="Times New Roman"/>
                <w:bCs/>
              </w:rPr>
              <w:t>arotid gland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</w:rPr>
              <w:t>ntraoral salivary gland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M</w:t>
            </w:r>
            <w:r>
              <w:rPr>
                <w:rFonts w:ascii="Times New Roman" w:hAnsi="Times New Roman" w:cs="Times New Roman"/>
                <w:bCs/>
              </w:rPr>
              <w:t xml:space="preserve">andibular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LN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c</w:t>
            </w:r>
            <w:proofErr w:type="spellEnd"/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P</w:t>
            </w:r>
            <w:r>
              <w:rPr>
                <w:rFonts w:ascii="Times New Roman" w:hAnsi="Times New Roman" w:cs="Times New Roman"/>
                <w:bCs/>
              </w:rPr>
              <w:t>arotid gland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L</w:t>
            </w:r>
            <w:r>
              <w:rPr>
                <w:rFonts w:ascii="Times New Roman" w:hAnsi="Times New Roman" w:cs="Times New Roman"/>
                <w:bCs/>
              </w:rPr>
              <w:t>ateral retropharyngeal LN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uperficial cervical LN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</w:rPr>
              <w:t>nguinal LN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T</w:t>
            </w:r>
            <w:r>
              <w:rPr>
                <w:rFonts w:ascii="Times New Roman" w:hAnsi="Times New Roman" w:cs="Times New Roman"/>
                <w:bCs/>
              </w:rPr>
              <w:t>hymus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L</w:t>
            </w:r>
            <w:r>
              <w:rPr>
                <w:rFonts w:ascii="Times New Roman" w:hAnsi="Times New Roman" w:cs="Times New Roman"/>
                <w:bCs/>
              </w:rPr>
              <w:t>iver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pleen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K</w:t>
            </w:r>
            <w:r>
              <w:rPr>
                <w:rFonts w:ascii="Times New Roman" w:hAnsi="Times New Roman" w:cs="Times New Roman"/>
                <w:bCs/>
              </w:rPr>
              <w:t>idney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H</w:t>
            </w:r>
            <w:r>
              <w:rPr>
                <w:rFonts w:ascii="Times New Roman" w:hAnsi="Times New Roman" w:cs="Times New Roman"/>
                <w:bCs/>
              </w:rPr>
              <w:t>eart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L</w:t>
            </w:r>
            <w:r>
              <w:rPr>
                <w:rFonts w:ascii="Times New Roman" w:hAnsi="Times New Roman" w:cs="Times New Roman"/>
                <w:bCs/>
              </w:rPr>
              <w:t>ung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tomach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mall intestine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L</w:t>
            </w:r>
            <w:r>
              <w:rPr>
                <w:rFonts w:ascii="Times New Roman" w:hAnsi="Times New Roman" w:cs="Times New Roman"/>
                <w:bCs/>
              </w:rPr>
              <w:t>arge intestine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L</w:t>
            </w:r>
            <w:r>
              <w:rPr>
                <w:rFonts w:ascii="Times New Roman" w:hAnsi="Times New Roman" w:cs="Times New Roman"/>
                <w:bCs/>
              </w:rPr>
              <w:t>ower lip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nout skin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  <w:shd w:val="clear" w:color="auto" w:fill="FFF2CC" w:themeFill="accent4" w:themeFillTint="33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+/-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Coronary band skin</w:t>
            </w:r>
          </w:p>
        </w:tc>
        <w:tc>
          <w:tcPr>
            <w:tcW w:w="1077" w:type="dxa"/>
            <w:shd w:val="clear" w:color="auto" w:fill="FFC000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  <w:shd w:val="clear" w:color="auto" w:fill="FFF2CC" w:themeFill="accent4" w:themeFillTint="33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  <w:shd w:val="clear" w:color="auto" w:fill="FFF2CC" w:themeFill="accent4" w:themeFillTint="33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  <w:shd w:val="clear" w:color="auto" w:fill="FFC000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1077" w:type="dxa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985847" w:rsidTr="006D4874">
        <w:tc>
          <w:tcPr>
            <w:tcW w:w="2721" w:type="dxa"/>
            <w:tcBorders>
              <w:bottom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H</w:t>
            </w:r>
            <w:r>
              <w:rPr>
                <w:rFonts w:ascii="Times New Roman" w:hAnsi="Times New Roman" w:cs="Times New Roman"/>
                <w:bCs/>
              </w:rPr>
              <w:t>eel bulb skin</w:t>
            </w:r>
          </w:p>
        </w:tc>
        <w:tc>
          <w:tcPr>
            <w:tcW w:w="1077" w:type="dxa"/>
            <w:tcBorders>
              <w:bottom w:val="single" w:sz="18" w:space="0" w:color="auto"/>
            </w:tcBorders>
            <w:shd w:val="clear" w:color="auto" w:fill="FFC000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1077" w:type="dxa"/>
            <w:tcBorders>
              <w:bottom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  <w:tcBorders>
              <w:bottom w:val="single" w:sz="18" w:space="0" w:color="auto"/>
            </w:tcBorders>
            <w:shd w:val="clear" w:color="auto" w:fill="FFF2CC" w:themeFill="accent4" w:themeFillTint="33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  <w:tcBorders>
              <w:bottom w:val="single" w:sz="18" w:space="0" w:color="auto"/>
            </w:tcBorders>
            <w:shd w:val="clear" w:color="auto" w:fill="FFF2CC" w:themeFill="accent4" w:themeFillTint="33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1077" w:type="dxa"/>
            <w:tcBorders>
              <w:bottom w:val="single" w:sz="18" w:space="0" w:color="auto"/>
            </w:tcBorders>
            <w:shd w:val="clear" w:color="auto" w:fill="FFC000"/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1077" w:type="dxa"/>
            <w:tcBorders>
              <w:bottom w:val="single" w:sz="18" w:space="0" w:color="auto"/>
            </w:tcBorders>
          </w:tcPr>
          <w:p w:rsidR="00985847" w:rsidRDefault="00985847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</w:tbl>
    <w:p w:rsidR="00985847" w:rsidRDefault="00985847" w:rsidP="00985847">
      <w:pPr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a</w:t>
      </w:r>
      <w:r>
        <w:rPr>
          <w:rFonts w:ascii="Times New Roman" w:hAnsi="Times New Roman" w:cs="Times New Roman"/>
          <w:bCs/>
        </w:rPr>
        <w:t xml:space="preserve"> +/+: positive for necrotic lesion on histology/immunohistochemistry. Samples positive for viral antigens using both methods are colored orange, and those positive using one method are colored yellow.</w:t>
      </w:r>
    </w:p>
    <w:p w:rsidR="00985847" w:rsidRDefault="00985847" w:rsidP="00985847">
      <w:pPr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b</w:t>
      </w:r>
      <w:r>
        <w:rPr>
          <w:rFonts w:ascii="Times New Roman" w:hAnsi="Times New Roman" w:cs="Times New Roman"/>
          <w:bCs/>
        </w:rPr>
        <w:t xml:space="preserve"> Not sampled.</w:t>
      </w:r>
    </w:p>
    <w:p w:rsidR="00985847" w:rsidRDefault="00985847" w:rsidP="00985847">
      <w:pPr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c</w:t>
      </w:r>
      <w:r>
        <w:rPr>
          <w:rFonts w:ascii="Times New Roman" w:hAnsi="Times New Roman" w:cs="Times New Roman"/>
          <w:bCs/>
        </w:rPr>
        <w:t xml:space="preserve"> Lymph node.</w:t>
      </w:r>
    </w:p>
    <w:p w:rsidR="00985847" w:rsidRPr="002A238D" w:rsidRDefault="00985847" w:rsidP="00985847">
      <w:pPr>
        <w:rPr>
          <w:rFonts w:ascii="Times New Roman" w:hAnsi="Times New Roman" w:cs="Times New Roman"/>
          <w:bCs/>
        </w:rPr>
      </w:pPr>
    </w:p>
    <w:p w:rsidR="00985847" w:rsidRDefault="00985847"/>
    <w:sectPr w:rsidR="009858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847"/>
    <w:rsid w:val="001B1CFE"/>
    <w:rsid w:val="0098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D01DA-8BF5-44CC-9F14-BEDB5E00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5847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85847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Coulamy</dc:creator>
  <cp:keywords/>
  <dc:description/>
  <cp:lastModifiedBy>Elodie Coulamy</cp:lastModifiedBy>
  <cp:revision>2</cp:revision>
  <dcterms:created xsi:type="dcterms:W3CDTF">2022-09-12T15:14:00Z</dcterms:created>
  <dcterms:modified xsi:type="dcterms:W3CDTF">2022-09-13T07:51:00Z</dcterms:modified>
</cp:coreProperties>
</file>