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F68" w:rsidRPr="00414506" w:rsidRDefault="00DB3F68" w:rsidP="00DB3F68">
      <w:pPr>
        <w:spacing w:line="240" w:lineRule="exact"/>
        <w:ind w:rightChars="200" w:right="420"/>
        <w:rPr>
          <w:rFonts w:ascii="Times New Roman" w:hAnsi="Times New Roman" w:cs="Times New Roman"/>
          <w:b/>
          <w:bCs/>
          <w:sz w:val="24"/>
          <w:szCs w:val="24"/>
        </w:rPr>
      </w:pPr>
      <w:r w:rsidRPr="00414506">
        <w:rPr>
          <w:rFonts w:ascii="Times New Roman" w:hAnsi="Times New Roman" w:cs="Times New Roman"/>
          <w:b/>
          <w:bCs/>
          <w:sz w:val="24"/>
          <w:szCs w:val="24"/>
        </w:rPr>
        <w:t>Additional file 4 Detection of viral RNA in clinica</w:t>
      </w:r>
      <w:bookmarkStart w:id="0" w:name="_GoBack"/>
      <w:bookmarkEnd w:id="0"/>
      <w:r w:rsidRPr="00414506">
        <w:rPr>
          <w:rFonts w:ascii="Times New Roman" w:hAnsi="Times New Roman" w:cs="Times New Roman"/>
          <w:b/>
          <w:bCs/>
          <w:sz w:val="24"/>
          <w:szCs w:val="24"/>
        </w:rPr>
        <w:t>l samples by RT-PCR and of antibodies by VNT and ELISA in animals intraorally inoculated with O/TAI/315/2016 and in contact animals in Experiment 2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1284"/>
        <w:gridCol w:w="698"/>
        <w:gridCol w:w="796"/>
        <w:gridCol w:w="796"/>
        <w:gridCol w:w="833"/>
        <w:gridCol w:w="796"/>
        <w:gridCol w:w="796"/>
        <w:gridCol w:w="796"/>
        <w:gridCol w:w="796"/>
        <w:gridCol w:w="796"/>
        <w:gridCol w:w="796"/>
        <w:gridCol w:w="762"/>
        <w:gridCol w:w="699"/>
        <w:gridCol w:w="699"/>
        <w:gridCol w:w="699"/>
        <w:gridCol w:w="796"/>
      </w:tblGrid>
      <w:tr w:rsidR="00DB3F68" w:rsidTr="006D4874">
        <w:tc>
          <w:tcPr>
            <w:tcW w:w="1190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>nimal</w:t>
            </w:r>
          </w:p>
        </w:tc>
        <w:tc>
          <w:tcPr>
            <w:tcW w:w="1697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sample and assay</w:t>
            </w:r>
          </w:p>
        </w:tc>
        <w:tc>
          <w:tcPr>
            <w:tcW w:w="12730" w:type="dxa"/>
            <w:gridSpan w:val="15"/>
            <w:tcBorders>
              <w:top w:val="single" w:sz="1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D</w:t>
            </w:r>
            <w:r>
              <w:rPr>
                <w:rFonts w:ascii="Times New Roman" w:hAnsi="Times New Roman" w:cs="Times New Roman"/>
                <w:bCs/>
              </w:rPr>
              <w:t>ays post-inoculation or days post-contact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  <w:vMerge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7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9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  <w:vMerge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1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2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7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9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B3F68" w:rsidTr="006D4874">
        <w:tc>
          <w:tcPr>
            <w:tcW w:w="15617" w:type="dxa"/>
            <w:gridSpan w:val="17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</w:rPr>
              <w:t>noculated boar</w:t>
            </w:r>
          </w:p>
        </w:tc>
      </w:tr>
      <w:tr w:rsidR="00DB3F68" w:rsidTr="006D4874">
        <w:tc>
          <w:tcPr>
            <w:tcW w:w="1190" w:type="dxa"/>
            <w:vMerge w:val="restart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oar#191</w:t>
            </w:r>
          </w:p>
        </w:tc>
        <w:tc>
          <w:tcPr>
            <w:tcW w:w="1697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erum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a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>.00/+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1" w:type="dxa"/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1" w:type="dxa"/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5.6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d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45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e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f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</w:tr>
      <w:tr w:rsidR="00DB3F68" w:rsidTr="006D4874">
        <w:tc>
          <w:tcPr>
            <w:tcW w:w="15617" w:type="dxa"/>
            <w:gridSpan w:val="17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ontact boar and pig</w:t>
            </w:r>
          </w:p>
        </w:tc>
      </w:tr>
      <w:tr w:rsidR="00DB3F68" w:rsidTr="006D4874">
        <w:tc>
          <w:tcPr>
            <w:tcW w:w="1190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oar#192</w:t>
            </w:r>
          </w:p>
        </w:tc>
        <w:tc>
          <w:tcPr>
            <w:tcW w:w="1697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1" w:type="dxa"/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3.30/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3.80/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auto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</w:tr>
      <w:tr w:rsidR="00DB3F68" w:rsidTr="006D4874">
        <w:tc>
          <w:tcPr>
            <w:tcW w:w="1190" w:type="dxa"/>
            <w:vMerge w:val="restart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ig#193</w:t>
            </w:r>
          </w:p>
        </w:tc>
        <w:tc>
          <w:tcPr>
            <w:tcW w:w="1697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1" w:type="dxa"/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5.80/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7.80/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5.30/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45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12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  <w:tcBorders>
              <w:bottom w:val="single" w:sz="12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8" w:type="dxa"/>
            <w:tcBorders>
              <w:bottom w:val="single" w:sz="12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bottom w:val="single" w:sz="12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12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00B0F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12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12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12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12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12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</w:tr>
      <w:tr w:rsidR="00DB3F68" w:rsidTr="006D4874">
        <w:tc>
          <w:tcPr>
            <w:tcW w:w="15617" w:type="dxa"/>
            <w:gridSpan w:val="17"/>
            <w:tcBorders>
              <w:top w:val="single" w:sz="12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</w:rPr>
              <w:t>noculated pig</w:t>
            </w:r>
          </w:p>
        </w:tc>
      </w:tr>
      <w:tr w:rsidR="00DB3F68" w:rsidTr="006D4874">
        <w:tc>
          <w:tcPr>
            <w:tcW w:w="1190" w:type="dxa"/>
            <w:vMerge w:val="restart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ig#194</w:t>
            </w:r>
          </w:p>
        </w:tc>
        <w:tc>
          <w:tcPr>
            <w:tcW w:w="1697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1" w:type="dxa"/>
            <w:shd w:val="clear" w:color="auto" w:fill="FFC000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64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</w:tr>
      <w:tr w:rsidR="00DB3F68" w:rsidTr="006D4874">
        <w:tc>
          <w:tcPr>
            <w:tcW w:w="15617" w:type="dxa"/>
            <w:gridSpan w:val="17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lastRenderedPageBreak/>
              <w:t>C</w:t>
            </w:r>
            <w:r>
              <w:rPr>
                <w:rFonts w:ascii="Times New Roman" w:hAnsi="Times New Roman" w:cs="Times New Roman"/>
                <w:bCs/>
              </w:rPr>
              <w:t>ontact pig and boar</w:t>
            </w:r>
          </w:p>
        </w:tc>
      </w:tr>
      <w:tr w:rsidR="00DB3F68" w:rsidTr="006D4874">
        <w:tc>
          <w:tcPr>
            <w:tcW w:w="1190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ig#195</w:t>
            </w:r>
          </w:p>
        </w:tc>
        <w:tc>
          <w:tcPr>
            <w:tcW w:w="1697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5.00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3.50/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FFFF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92D05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DB3F68" w:rsidRPr="0031019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</w:tr>
      <w:tr w:rsidR="00DB3F68" w:rsidTr="006D4874">
        <w:tc>
          <w:tcPr>
            <w:tcW w:w="1190" w:type="dxa"/>
            <w:vMerge w:val="restart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oar#196</w:t>
            </w:r>
          </w:p>
        </w:tc>
        <w:tc>
          <w:tcPr>
            <w:tcW w:w="1697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8" w:type="dxa"/>
            <w:shd w:val="clear" w:color="auto" w:fill="FFC000"/>
            <w:tcMar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</w:tr>
      <w:tr w:rsidR="00DB3F68" w:rsidTr="006D4874">
        <w:tc>
          <w:tcPr>
            <w:tcW w:w="1190" w:type="dxa"/>
            <w:vMerge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1" w:type="dxa"/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8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</w:tr>
      <w:tr w:rsidR="00DB3F68" w:rsidTr="006D4874">
        <w:tc>
          <w:tcPr>
            <w:tcW w:w="1190" w:type="dxa"/>
            <w:vMerge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7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8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tcMar>
              <w:left w:w="108" w:type="dxa"/>
              <w:right w:w="0" w:type="dxa"/>
            </w:tcMar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8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18" w:space="0" w:color="auto"/>
            </w:tcBorders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1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49" w:type="dxa"/>
            <w:tcBorders>
              <w:bottom w:val="single" w:sz="18" w:space="0" w:color="auto"/>
            </w:tcBorders>
            <w:shd w:val="clear" w:color="auto" w:fill="00B0F0"/>
          </w:tcPr>
          <w:p w:rsidR="00DB3F68" w:rsidRDefault="00DB3F68" w:rsidP="006D4874">
            <w:pPr>
              <w:spacing w:line="240" w:lineRule="exact"/>
              <w:ind w:rightChars="50" w:right="10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</w:tr>
    </w:tbl>
    <w:p w:rsidR="00DB3F68" w:rsidRDefault="00DB3F68" w:rsidP="00DB3F68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a</w:t>
      </w:r>
      <w:r>
        <w:rPr>
          <w:rFonts w:ascii="Times New Roman" w:hAnsi="Times New Roman" w:cs="Times New Roman"/>
          <w:bCs/>
        </w:rPr>
        <w:t xml:space="preserve"> </w:t>
      </w:r>
      <w:r w:rsidRPr="008C6D67">
        <w:rPr>
          <w:rFonts w:ascii="Times New Roman" w:hAnsi="Times New Roman" w:cs="Times New Roman"/>
          <w:bCs/>
        </w:rPr>
        <w:t>Results of virus isolation and RT-PCR assay were shown sequentially. Virus titers were shown as 10</w:t>
      </w:r>
      <w:r w:rsidRPr="00F94FFC">
        <w:rPr>
          <w:rFonts w:ascii="Times New Roman" w:hAnsi="Times New Roman" w:cs="Times New Roman"/>
          <w:bCs/>
          <w:vertAlign w:val="superscript"/>
        </w:rPr>
        <w:t>χ</w:t>
      </w:r>
      <w:r w:rsidRPr="008C6D67">
        <w:rPr>
          <w:rFonts w:ascii="Times New Roman" w:hAnsi="Times New Roman" w:cs="Times New Roman"/>
          <w:bCs/>
        </w:rPr>
        <w:t xml:space="preserve"> TCID</w:t>
      </w:r>
      <w:r w:rsidRPr="008C6D67">
        <w:rPr>
          <w:rFonts w:ascii="Times New Roman" w:hAnsi="Times New Roman" w:cs="Times New Roman"/>
          <w:bCs/>
          <w:vertAlign w:val="subscript"/>
        </w:rPr>
        <w:t>50</w:t>
      </w:r>
      <w:r w:rsidRPr="008C6D67">
        <w:rPr>
          <w:rFonts w:ascii="Times New Roman" w:hAnsi="Times New Roman" w:cs="Times New Roman"/>
          <w:bCs/>
        </w:rPr>
        <w:t>/</w:t>
      </w:r>
      <w:proofErr w:type="spellStart"/>
      <w:r w:rsidRPr="008C6D67">
        <w:rPr>
          <w:rFonts w:ascii="Times New Roman" w:hAnsi="Times New Roman" w:cs="Times New Roman"/>
          <w:bCs/>
        </w:rPr>
        <w:t>mL.</w:t>
      </w:r>
      <w:proofErr w:type="spellEnd"/>
      <w:r w:rsidRPr="008C6D67">
        <w:rPr>
          <w:rFonts w:ascii="Times New Roman" w:hAnsi="Times New Roman" w:cs="Times New Roman"/>
          <w:bCs/>
        </w:rPr>
        <w:t xml:space="preserve"> "+" means positive results in the RT-PCR assay. "-" means negative results in virus isolation and RT-PCR assay.</w:t>
      </w:r>
    </w:p>
    <w:p w:rsidR="00DB3F68" w:rsidRDefault="00DB3F68" w:rsidP="00DB3F68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b</w:t>
      </w:r>
      <w:r>
        <w:rPr>
          <w:rFonts w:ascii="Times New Roman" w:hAnsi="Times New Roman" w:cs="Times New Roman"/>
          <w:bCs/>
        </w:rPr>
        <w:t xml:space="preserve"> Not sampled.</w:t>
      </w:r>
    </w:p>
    <w:p w:rsidR="00DB3F68" w:rsidRDefault="00DB3F68" w:rsidP="00DB3F68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c</w:t>
      </w:r>
      <w:r>
        <w:rPr>
          <w:rFonts w:ascii="Times New Roman" w:hAnsi="Times New Roman" w:cs="Times New Roman"/>
          <w:bCs/>
        </w:rPr>
        <w:t xml:space="preserve"> </w:t>
      </w:r>
      <w:r w:rsidRPr="006166B0">
        <w:rPr>
          <w:rFonts w:ascii="Times New Roman" w:hAnsi="Times New Roman" w:cs="Times New Roman"/>
          <w:bCs/>
        </w:rPr>
        <w:t>Days on which virus isolation and/or RT-PCR were positive are colored orange.</w:t>
      </w:r>
    </w:p>
    <w:p w:rsidR="00DB3F68" w:rsidRDefault="00DB3F68" w:rsidP="00DB3F68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d</w:t>
      </w:r>
      <w:r>
        <w:rPr>
          <w:rFonts w:ascii="Times New Roman" w:hAnsi="Times New Roman" w:cs="Times New Roman"/>
          <w:bCs/>
        </w:rPr>
        <w:t xml:space="preserve"> </w:t>
      </w:r>
      <w:r w:rsidRPr="006166B0">
        <w:rPr>
          <w:rFonts w:ascii="Times New Roman" w:hAnsi="Times New Roman" w:cs="Times New Roman"/>
          <w:bCs/>
        </w:rPr>
        <w:t>Days on which VNT was positive are colored yellow.</w:t>
      </w:r>
    </w:p>
    <w:p w:rsidR="00DB3F68" w:rsidRDefault="00DB3F68" w:rsidP="00DB3F68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e</w:t>
      </w:r>
      <w:r>
        <w:rPr>
          <w:rFonts w:ascii="Times New Roman" w:hAnsi="Times New Roman" w:cs="Times New Roman"/>
          <w:bCs/>
        </w:rPr>
        <w:t xml:space="preserve"> </w:t>
      </w:r>
      <w:r w:rsidRPr="006166B0">
        <w:rPr>
          <w:rFonts w:ascii="Times New Roman" w:hAnsi="Times New Roman" w:cs="Times New Roman"/>
          <w:bCs/>
        </w:rPr>
        <w:t>Days on which ELISA was positive are colored green.</w:t>
      </w:r>
    </w:p>
    <w:p w:rsidR="00DB3F68" w:rsidRDefault="00DB3F68" w:rsidP="00DB3F68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f</w:t>
      </w:r>
      <w:r>
        <w:rPr>
          <w:rFonts w:ascii="Times New Roman" w:hAnsi="Times New Roman" w:cs="Times New Roman"/>
          <w:bCs/>
        </w:rPr>
        <w:t xml:space="preserve"> Days on which clinical signs were scored are colored blue.</w:t>
      </w:r>
    </w:p>
    <w:p w:rsidR="00DB3F68" w:rsidRDefault="00DB3F68"/>
    <w:sectPr w:rsidR="00DB3F68" w:rsidSect="00DB3F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68"/>
    <w:rsid w:val="00414506"/>
    <w:rsid w:val="00DB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2F031-96AE-4DE4-81C4-0EA7F11C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3F68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DB3F68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3F68"/>
    <w:pPr>
      <w:keepNext/>
      <w:keepLines/>
      <w:spacing w:before="4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3F68"/>
    <w:rPr>
      <w:rFonts w:ascii="Times New Roman" w:eastAsiaTheme="majorEastAsia" w:hAnsi="Times New Roman" w:cstheme="majorBidi"/>
      <w:b/>
      <w:kern w:val="2"/>
      <w:sz w:val="36"/>
      <w:szCs w:val="32"/>
      <w:lang w:val="en-US" w:eastAsia="ja-JP"/>
    </w:rPr>
  </w:style>
  <w:style w:type="character" w:customStyle="1" w:styleId="Titre2Car">
    <w:name w:val="Titre 2 Car"/>
    <w:basedOn w:val="Policepardfaut"/>
    <w:link w:val="Titre2"/>
    <w:uiPriority w:val="9"/>
    <w:rsid w:val="00DB3F68"/>
    <w:rPr>
      <w:rFonts w:ascii="Times New Roman" w:eastAsiaTheme="majorEastAsia" w:hAnsi="Times New Roman" w:cstheme="majorBidi"/>
      <w:b/>
      <w:kern w:val="2"/>
      <w:sz w:val="28"/>
      <w:szCs w:val="26"/>
      <w:lang w:val="en-US" w:eastAsia="ja-JP"/>
    </w:rPr>
  </w:style>
  <w:style w:type="character" w:styleId="Lienhypertexte">
    <w:name w:val="Hyperlink"/>
    <w:basedOn w:val="Policepardfaut"/>
    <w:uiPriority w:val="99"/>
    <w:unhideWhenUsed/>
    <w:rsid w:val="00DB3F6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B3F6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B3F68"/>
    <w:pPr>
      <w:tabs>
        <w:tab w:val="center" w:pos="4252"/>
        <w:tab w:val="right" w:pos="8504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DB3F68"/>
    <w:rPr>
      <w:rFonts w:eastAsiaTheme="minorEastAsia"/>
      <w:kern w:val="2"/>
      <w:sz w:val="21"/>
      <w:szCs w:val="21"/>
      <w:lang w:val="en-US" w:eastAsia="ja-JP"/>
    </w:rPr>
  </w:style>
  <w:style w:type="paragraph" w:styleId="Pieddepage">
    <w:name w:val="footer"/>
    <w:basedOn w:val="Normal"/>
    <w:link w:val="PieddepageCar"/>
    <w:uiPriority w:val="99"/>
    <w:unhideWhenUsed/>
    <w:rsid w:val="00DB3F68"/>
    <w:pPr>
      <w:tabs>
        <w:tab w:val="center" w:pos="4252"/>
        <w:tab w:val="right" w:pos="8504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DB3F68"/>
    <w:rPr>
      <w:rFonts w:eastAsiaTheme="minorEastAsia"/>
      <w:kern w:val="2"/>
      <w:sz w:val="21"/>
      <w:szCs w:val="21"/>
      <w:lang w:val="en-US" w:eastAsia="ja-JP"/>
    </w:rPr>
  </w:style>
  <w:style w:type="table" w:styleId="Grilledutableau">
    <w:name w:val="Table Grid"/>
    <w:basedOn w:val="TableauNormal"/>
    <w:uiPriority w:val="39"/>
    <w:rsid w:val="00DB3F68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DB3F68"/>
    <w:rPr>
      <w:rFonts w:ascii="Calibri" w:eastAsia="Calibri" w:hAnsi="Calibri" w:cs="Calibri"/>
      <w:sz w:val="16"/>
      <w:szCs w:val="20"/>
    </w:rPr>
  </w:style>
  <w:style w:type="paragraph" w:styleId="Rvision">
    <w:name w:val="Revision"/>
    <w:hidden/>
    <w:uiPriority w:val="99"/>
    <w:semiHidden/>
    <w:rsid w:val="00DB3F68"/>
    <w:pPr>
      <w:spacing w:after="0" w:line="240" w:lineRule="auto"/>
    </w:pPr>
    <w:rPr>
      <w:rFonts w:eastAsiaTheme="minorEastAsia"/>
      <w:kern w:val="2"/>
      <w:sz w:val="21"/>
      <w:szCs w:val="21"/>
      <w:lang w:val="en-US"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3F6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3F68"/>
    <w:rPr>
      <w:rFonts w:ascii="Segoe UI" w:eastAsiaTheme="minorEastAsia" w:hAnsi="Segoe UI" w:cs="Segoe U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Coulamy</dc:creator>
  <cp:keywords/>
  <dc:description/>
  <cp:lastModifiedBy>Elodie Coulamy</cp:lastModifiedBy>
  <cp:revision>2</cp:revision>
  <dcterms:created xsi:type="dcterms:W3CDTF">2022-09-12T15:13:00Z</dcterms:created>
  <dcterms:modified xsi:type="dcterms:W3CDTF">2022-09-13T07:51:00Z</dcterms:modified>
</cp:coreProperties>
</file>