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13805" w:rsidRPr="00DF487C" w:rsidRDefault="00AC5308">
      <w:r w:rsidRPr="00DF487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75BF62" wp14:editId="783BC327">
                <wp:simplePos x="0" y="0"/>
                <wp:positionH relativeFrom="column">
                  <wp:posOffset>13970</wp:posOffset>
                </wp:positionH>
                <wp:positionV relativeFrom="paragraph">
                  <wp:posOffset>0</wp:posOffset>
                </wp:positionV>
                <wp:extent cx="5742016" cy="276999"/>
                <wp:effectExtent l="0" t="0" r="0" b="0"/>
                <wp:wrapNone/>
                <wp:docPr id="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2016" cy="2769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C5308" w:rsidRDefault="00AC5308" w:rsidP="00AC530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Additional </w:t>
                            </w:r>
                            <w:r w:rsidR="009D21EC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file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3 Primary antibodies used for immunohistochemistry.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875BF62" id="Rectangle 1" o:spid="_x0000_s1026" style="position:absolute;margin-left:1.1pt;margin-top:0;width:452.15pt;height:2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LDdhAEAAO8CAAAOAAAAZHJzL2Uyb0RvYy54bWysUk1v2zAMvRfYfxB0X5wEXdoYcYoCRXcZ&#10;tmLtfgAjS7EA62OkEjv/fpTipUN3K3qhRJF85HvU5m50vThqJBt8IxezuRTaq9Bav2/kr5fHz7dS&#10;UALfQh+8buRJk7zbfrraDLHWy9CFvtUoGMRTPcRGdinFuqpIddoBzULUnoMmoIPELu6rFmFgdNdX&#10;y/l8VQ0B24hBaSJ+fTgH5bbgG6NV+mEM6ST6RvJsqVgsdpdttd1AvUeInVXTGPCOKRxYz00vUA+Q&#10;QBzQ/gflrMJAwaSZCq4KxlilCwdms5i/YfPcQdSFC4tD8SITfRys+n58QmHbRi6l8OB4RT9ZNPD7&#10;XotFlmeIVHPWc3zCySO+Zq6jQZdPZiHGIunpIqkek1D8+OXmmomtpFAcW96s1ut1Bq1eqyNS+qqD&#10;E/nSSOTuRUk4fqN0Tv2bwnV5mnP/fEvjbpyG2oX2xEwGXmUj6fcBMCsHnHx/SOHRFqhcc06coFjV&#10;Msz0A/La/vVL1us/3f4BAAD//wMAUEsDBBQABgAIAAAAIQB4p7fr3AAAAAUBAAAPAAAAZHJzL2Rv&#10;d25yZXYueG1sTI/BTsMwEETvSPyDtUhcELUJJW1DNhUqIJXeCP0AJ16S0NiOYrcNf89yguNoRjNv&#10;8vVke3GiMXTeIdzNFAhytTedaxD2H6+3SxAhamd07x0hfFOAdXF5kevM+LN7p1MZG8ElLmQaoY1x&#10;yKQMdUtWh5kfyLH36UerI8uxkWbUZy63vUyUSqXVneOFVg+0aak+lEeL8Lab7/abrfw6rLrnm+2i&#10;VLJKXxCvr6anRxCRpvgXhl98RoeCmSp/dCaIHiFJOIjAf9hcqfQBRIUwv09BFrn8T1/8AAAA//8D&#10;AFBLAQItABQABgAIAAAAIQC2gziS/gAAAOEBAAATAAAAAAAAAAAAAAAAAAAAAABbQ29udGVudF9U&#10;eXBlc10ueG1sUEsBAi0AFAAGAAgAAAAhADj9If/WAAAAlAEAAAsAAAAAAAAAAAAAAAAALwEAAF9y&#10;ZWxzLy5yZWxzUEsBAi0AFAAGAAgAAAAhAMC0sN2EAQAA7wIAAA4AAAAAAAAAAAAAAAAALgIAAGRy&#10;cy9lMm9Eb2MueG1sUEsBAi0AFAAGAAgAAAAhAHint+vcAAAABQEAAA8AAAAAAAAAAAAAAAAA3gMA&#10;AGRycy9kb3ducmV2LnhtbFBLBQYAAAAABAAEAPMAAADnBAAAAAA=&#10;" filled="f" stroked="f">
                <v:textbox style="mso-fit-shape-to-text:t">
                  <w:txbxContent>
                    <w:p w:rsidR="00AC5308" w:rsidRDefault="00AC5308" w:rsidP="00AC530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  <w:t xml:space="preserve">Additional </w:t>
                      </w:r>
                      <w:r w:rsidR="009D21EC"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  <w:t>file</w:t>
                      </w:r>
                      <w:r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  <w:t xml:space="preserve"> 3 Primary antibodies used for immunohistochemistry.</w:t>
                      </w:r>
                    </w:p>
                  </w:txbxContent>
                </v:textbox>
              </v:rect>
            </w:pict>
          </mc:Fallback>
        </mc:AlternateContent>
      </w:r>
      <w:r w:rsidRPr="00DF487C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3E31B4EB" wp14:editId="13F661F5">
            <wp:simplePos x="0" y="0"/>
            <wp:positionH relativeFrom="column">
              <wp:posOffset>104775</wp:posOffset>
            </wp:positionH>
            <wp:positionV relativeFrom="paragraph">
              <wp:posOffset>375920</wp:posOffset>
            </wp:positionV>
            <wp:extent cx="5206365" cy="1879283"/>
            <wp:effectExtent l="0" t="0" r="0" b="0"/>
            <wp:wrapNone/>
            <wp:docPr id="3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06365" cy="1879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F487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79245F" wp14:editId="1975318C">
                <wp:simplePos x="0" y="0"/>
                <wp:positionH relativeFrom="column">
                  <wp:posOffset>0</wp:posOffset>
                </wp:positionH>
                <wp:positionV relativeFrom="paragraph">
                  <wp:posOffset>2319020</wp:posOffset>
                </wp:positionV>
                <wp:extent cx="5466242" cy="1200329"/>
                <wp:effectExtent l="0" t="0" r="0" b="0"/>
                <wp:wrapNone/>
                <wp:docPr id="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6242" cy="12003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C5308" w:rsidRDefault="00AC5308" w:rsidP="00AC530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eastAsia="Times New Roman"/>
                                <w:color w:val="000000" w:themeColor="text1"/>
                                <w:kern w:val="24"/>
                                <w:position w:val="7"/>
                                <w:vertAlign w:val="superscript"/>
                              </w:rPr>
                              <w:t>a</w:t>
                            </w:r>
                            <w:proofErr w:type="spellEnd"/>
                            <w:proofErr w:type="gramEnd"/>
                            <w:r>
                              <w:rPr>
                                <w:rFonts w:eastAsia="Times New Roman"/>
                                <w:color w:val="000000" w:themeColor="text1"/>
                                <w:kern w:val="24"/>
                                <w:position w:val="7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color w:val="000000" w:themeColor="text1"/>
                                <w:kern w:val="24"/>
                              </w:rPr>
                              <w:t xml:space="preserve">Institute for Animal Health; </w:t>
                            </w:r>
                            <w:proofErr w:type="spellStart"/>
                            <w:r>
                              <w:rPr>
                                <w:rFonts w:eastAsia="Times New Roman"/>
                                <w:color w:val="000000" w:themeColor="text1"/>
                                <w:kern w:val="24"/>
                              </w:rPr>
                              <w:t>Garceau</w:t>
                            </w:r>
                            <w:proofErr w:type="spellEnd"/>
                            <w:r>
                              <w:rPr>
                                <w:rFonts w:eastAsia="Times New Roman"/>
                                <w:color w:val="000000" w:themeColor="text1"/>
                                <w:kern w:val="24"/>
                              </w:rPr>
                              <w:t xml:space="preserve"> et al. </w:t>
                            </w:r>
                            <w:r w:rsidRPr="00DF487C">
                              <w:rPr>
                                <w:rFonts w:eastAsia="Times New Roman"/>
                                <w:kern w:val="24"/>
                              </w:rPr>
                              <w:t xml:space="preserve">2015 </w:t>
                            </w:r>
                            <w:hyperlink r:id="rId5" w:history="1">
                              <w:r w:rsidRPr="00DF487C">
                                <w:rPr>
                                  <w:rStyle w:val="Hyperlink"/>
                                  <w:rFonts w:eastAsia="Times New Roman"/>
                                  <w:color w:val="auto"/>
                                  <w:kern w:val="24"/>
                                </w:rPr>
                                <w:t>doi.org/10.1186/s12915-015-0121-9</w:t>
                              </w:r>
                            </w:hyperlink>
                          </w:p>
                          <w:p w:rsidR="00AC5308" w:rsidRDefault="00AC5308" w:rsidP="00AC530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 w:themeColor="text1"/>
                                <w:kern w:val="24"/>
                                <w:position w:val="7"/>
                                <w:vertAlign w:val="superscript"/>
                              </w:rPr>
                              <w:t xml:space="preserve">b </w:t>
                            </w: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Sigma-Aldrich; Lee et al</w:t>
                            </w:r>
                            <w:r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. </w:t>
                            </w: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1990 </w:t>
                            </w:r>
                            <w:hyperlink r:id="rId6" w:history="1">
                              <w:r>
                                <w:rPr>
                                  <w:rStyle w:val="Hyperlink"/>
                                  <w:color w:val="000000" w:themeColor="text1"/>
                                  <w:kern w:val="24"/>
                                </w:rPr>
                                <w:t>doi.org/10.1002/cm.970170207</w:t>
                              </w:r>
                            </w:hyperlink>
                          </w:p>
                          <w:p w:rsidR="00AC5308" w:rsidRPr="009D21EC" w:rsidRDefault="00AC5308" w:rsidP="00AC530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9D21EC">
                              <w:rPr>
                                <w:color w:val="000000" w:themeColor="text1"/>
                                <w:kern w:val="24"/>
                                <w:position w:val="7"/>
                                <w:vertAlign w:val="superscript"/>
                                <w:lang w:val="fr-FR"/>
                              </w:rPr>
                              <w:t>c</w:t>
                            </w:r>
                            <w:proofErr w:type="gramEnd"/>
                            <w:r w:rsidRPr="009D21EC">
                              <w:rPr>
                                <w:color w:val="000000" w:themeColor="text1"/>
                                <w:kern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9D21EC">
                              <w:rPr>
                                <w:color w:val="000000" w:themeColor="text1"/>
                                <w:kern w:val="24"/>
                                <w:lang w:val="fr-FR"/>
                              </w:rPr>
                              <w:t>Invitrogen</w:t>
                            </w:r>
                            <w:proofErr w:type="spellEnd"/>
                            <w:r w:rsidRPr="009D21EC">
                              <w:rPr>
                                <w:color w:val="000000" w:themeColor="text1"/>
                                <w:kern w:val="24"/>
                                <w:lang w:val="fr-FR"/>
                              </w:rPr>
                              <w:t xml:space="preserve">; </w:t>
                            </w:r>
                            <w:proofErr w:type="spellStart"/>
                            <w:r w:rsidRPr="009D21EC">
                              <w:rPr>
                                <w:color w:val="000000" w:themeColor="text1"/>
                                <w:kern w:val="24"/>
                                <w:lang w:val="fr-FR"/>
                              </w:rPr>
                              <w:t>Ratie</w:t>
                            </w:r>
                            <w:proofErr w:type="spellEnd"/>
                            <w:r w:rsidRPr="009D21EC">
                              <w:rPr>
                                <w:color w:val="000000" w:themeColor="text1"/>
                                <w:kern w:val="24"/>
                                <w:lang w:val="fr-FR"/>
                              </w:rPr>
                              <w:t xml:space="preserve"> et al.</w:t>
                            </w:r>
                            <w:r w:rsidRPr="009D21EC"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lang w:val="fr-FR"/>
                              </w:rPr>
                              <w:t xml:space="preserve"> </w:t>
                            </w:r>
                            <w:r w:rsidRPr="009D21EC">
                              <w:rPr>
                                <w:color w:val="000000" w:themeColor="text1"/>
                                <w:kern w:val="24"/>
                                <w:lang w:val="fr-FR"/>
                              </w:rPr>
                              <w:t xml:space="preserve">2014 </w:t>
                            </w:r>
                            <w:hyperlink r:id="rId7" w:history="1">
                              <w:r w:rsidRPr="009D21EC">
                                <w:rPr>
                                  <w:rStyle w:val="Hyperlink"/>
                                  <w:color w:val="000000" w:themeColor="text1"/>
                                  <w:kern w:val="24"/>
                                  <w:lang w:val="fr-FR"/>
                                </w:rPr>
                                <w:t>doi.org/10.3389/fnana.2014.00158</w:t>
                              </w:r>
                            </w:hyperlink>
                          </w:p>
                          <w:p w:rsidR="00AC5308" w:rsidRDefault="00AC5308" w:rsidP="00AC530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 w:themeColor="text1"/>
                                <w:kern w:val="24"/>
                                <w:position w:val="7"/>
                                <w:vertAlign w:val="superscript"/>
                              </w:rPr>
                              <w:t>d</w:t>
                            </w: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Chemicon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; Garcia-Moreno &amp; Molnar 2015 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  <w:color w:val="000000" w:themeColor="text1"/>
                                  <w:kern w:val="24"/>
                                </w:rPr>
                                <w:t>doi.org/10.1073/pnas.1506377112</w:t>
                              </w:r>
                            </w:hyperlink>
                          </w:p>
                          <w:p w:rsidR="00AC5308" w:rsidRDefault="00AC5308" w:rsidP="00AC530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 w:themeColor="text1"/>
                                <w:kern w:val="24"/>
                                <w:position w:val="7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Biolegend</w:t>
                            </w:r>
                            <w:proofErr w:type="spellEnd"/>
                          </w:p>
                          <w:p w:rsidR="00AC5308" w:rsidRDefault="00AC5308" w:rsidP="00AC530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 w:themeColor="text1"/>
                                <w:kern w:val="24"/>
                                <w:position w:val="7"/>
                                <w:vertAlign w:val="superscript"/>
                              </w:rPr>
                              <w:t>f</w:t>
                            </w: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 Abcam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79245F" id="Rectangle 4" o:spid="_x0000_s1027" style="position:absolute;margin-left:0;margin-top:182.6pt;width:430.4pt;height:9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ugmiAEAAPcCAAAOAAAAZHJzL2Uyb0RvYy54bWysUk1v2zAMvQ/YfxB0X5x4abAZcYICRXsZ&#10;tmLtfgAjS7EA62OkEjv/fpSSpsV2G3qRKJF8eu9R6+3kBnHUSDb4Vi5mcym0V6Gzft/KX8/3n75I&#10;QQl8B0PwupUnTXK7+fhhPcZG16EPQ6dRMIinZoyt7FOKTVWR6rUDmoWoPSdNQAeJj7ivOoSR0d1Q&#10;1fP5qhoDdhGD0kR8e3dOyk3BN0ar9MMY0kkMrWRuqaxY1l1eq80amj1C7K260ID/YOHAen70CnUH&#10;CcQB7T9QzioMFEyaqeCqYIxVumhgNYv5X2qeeoi6aGFzKF5toveDVd+Pjyhs18obKTw4HtFPNg38&#10;ftBime0ZIzVc9RQf8XIiDrPWyaDLO6sQU7H0dLVUT0kovrxZrlb1spZCcW7BE/tcf82o1Wt7REoP&#10;OjiRg1YiP1+shOM3SufSlxLuy3TOBHKUpt1U2C9eqO5Cd2JFI4+0lfT7AJgdBO65PaRwbwtibj0X&#10;XhDZ3cLp8hPy+N6eS9Xrf938AQAA//8DAFBLAwQUAAYACAAAACEAE7ynvd8AAAAIAQAADwAAAGRy&#10;cy9kb3ducmV2LnhtbEyPQU7DMBBF90jcwRokNojahCYtIZMKFZBKd6Q9gJOYJDQeR7HbhtszXcFy&#10;9Ef/v5etJtuLkxl95wjhYaZAGKpc3VGDsN+93y9B+KCp1r0jg/BjPKzy66tMp7U706c5FaERXEI+&#10;1QhtCEMqpa9aY7WfucEQZ19utDrwOTayHvWZy20vI6USaXVHvNDqwaxbUx2Ko0X42M63+/VGfh+e&#10;ute7zaJQskzeEG9vppdnEMFM4e8ZLviMDjkzle5ItRc9AosEhMckjkBwvEwUm5QIcTyPQOaZ/C+Q&#10;/wIAAP//AwBQSwECLQAUAAYACAAAACEAtoM4kv4AAADhAQAAEwAAAAAAAAAAAAAAAAAAAAAAW0Nv&#10;bnRlbnRfVHlwZXNdLnhtbFBLAQItABQABgAIAAAAIQA4/SH/1gAAAJQBAAALAAAAAAAAAAAAAAAA&#10;AC8BAABfcmVscy8ucmVsc1BLAQItABQABgAIAAAAIQCAMugmiAEAAPcCAAAOAAAAAAAAAAAAAAAA&#10;AC4CAABkcnMvZTJvRG9jLnhtbFBLAQItABQABgAIAAAAIQATvKe93wAAAAgBAAAPAAAAAAAAAAAA&#10;AAAAAOIDAABkcnMvZG93bnJldi54bWxQSwUGAAAAAAQABADzAAAA7gQAAAAA&#10;" filled="f" stroked="f">
                <v:textbox style="mso-fit-shape-to-text:t">
                  <w:txbxContent>
                    <w:p w:rsidR="00AC5308" w:rsidRDefault="00AC5308" w:rsidP="00AC5308">
                      <w:pPr>
                        <w:pStyle w:val="NormalWeb"/>
                        <w:spacing w:before="0" w:beforeAutospacing="0" w:after="0" w:afterAutospacing="0"/>
                      </w:pPr>
                      <w:proofErr w:type="spellStart"/>
                      <w:proofErr w:type="gramStart"/>
                      <w:r>
                        <w:rPr>
                          <w:rFonts w:eastAsia="Times New Roman"/>
                          <w:color w:val="000000" w:themeColor="text1"/>
                          <w:kern w:val="24"/>
                          <w:position w:val="7"/>
                          <w:vertAlign w:val="superscript"/>
                        </w:rPr>
                        <w:t>a</w:t>
                      </w:r>
                      <w:proofErr w:type="spellEnd"/>
                      <w:proofErr w:type="gramEnd"/>
                      <w:r>
                        <w:rPr>
                          <w:rFonts w:eastAsia="Times New Roman"/>
                          <w:color w:val="000000" w:themeColor="text1"/>
                          <w:kern w:val="24"/>
                          <w:position w:val="7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color w:val="000000" w:themeColor="text1"/>
                          <w:kern w:val="24"/>
                        </w:rPr>
                        <w:t xml:space="preserve">Institute for Animal Health; </w:t>
                      </w:r>
                      <w:proofErr w:type="spellStart"/>
                      <w:r>
                        <w:rPr>
                          <w:rFonts w:eastAsia="Times New Roman"/>
                          <w:color w:val="000000" w:themeColor="text1"/>
                          <w:kern w:val="24"/>
                        </w:rPr>
                        <w:t>Garceau</w:t>
                      </w:r>
                      <w:proofErr w:type="spellEnd"/>
                      <w:r>
                        <w:rPr>
                          <w:rFonts w:eastAsia="Times New Roman"/>
                          <w:color w:val="000000" w:themeColor="text1"/>
                          <w:kern w:val="24"/>
                        </w:rPr>
                        <w:t xml:space="preserve"> et al. </w:t>
                      </w:r>
                      <w:r w:rsidRPr="00DF487C">
                        <w:rPr>
                          <w:rFonts w:eastAsia="Times New Roman"/>
                          <w:kern w:val="24"/>
                        </w:rPr>
                        <w:t xml:space="preserve">2015 </w:t>
                      </w:r>
                      <w:hyperlink r:id="rId9" w:history="1">
                        <w:r w:rsidRPr="00DF487C">
                          <w:rPr>
                            <w:rStyle w:val="Hyperlink"/>
                            <w:rFonts w:eastAsia="Times New Roman"/>
                            <w:color w:val="auto"/>
                            <w:kern w:val="24"/>
                          </w:rPr>
                          <w:t>doi.org/10.1186/s12915-015-0121-9</w:t>
                        </w:r>
                      </w:hyperlink>
                    </w:p>
                    <w:p w:rsidR="00AC5308" w:rsidRDefault="00AC5308" w:rsidP="00AC530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color w:val="000000" w:themeColor="text1"/>
                          <w:kern w:val="24"/>
                          <w:position w:val="7"/>
                          <w:vertAlign w:val="superscript"/>
                        </w:rPr>
                        <w:t xml:space="preserve">b </w:t>
                      </w:r>
                      <w:r>
                        <w:rPr>
                          <w:color w:val="000000" w:themeColor="text1"/>
                          <w:kern w:val="24"/>
                        </w:rPr>
                        <w:t>Sigma-Aldrich; Lee et al</w:t>
                      </w:r>
                      <w:r>
                        <w:rPr>
                          <w:i/>
                          <w:iCs/>
                          <w:color w:val="000000" w:themeColor="text1"/>
                          <w:kern w:val="24"/>
                        </w:rPr>
                        <w:t xml:space="preserve">. </w:t>
                      </w:r>
                      <w:r>
                        <w:rPr>
                          <w:color w:val="000000" w:themeColor="text1"/>
                          <w:kern w:val="24"/>
                        </w:rPr>
                        <w:t xml:space="preserve">1990 </w:t>
                      </w:r>
                      <w:hyperlink r:id="rId10" w:history="1">
                        <w:r>
                          <w:rPr>
                            <w:rStyle w:val="Hyperlink"/>
                            <w:color w:val="000000" w:themeColor="text1"/>
                            <w:kern w:val="24"/>
                          </w:rPr>
                          <w:t>doi.org/10.1002/cm.970170207</w:t>
                        </w:r>
                      </w:hyperlink>
                    </w:p>
                    <w:p w:rsidR="00AC5308" w:rsidRPr="009D21EC" w:rsidRDefault="00AC5308" w:rsidP="00AC5308">
                      <w:pPr>
                        <w:pStyle w:val="NormalWeb"/>
                        <w:spacing w:before="0" w:beforeAutospacing="0" w:after="0" w:afterAutospacing="0"/>
                        <w:rPr>
                          <w:lang w:val="fr-FR"/>
                        </w:rPr>
                      </w:pPr>
                      <w:proofErr w:type="gramStart"/>
                      <w:r w:rsidRPr="009D21EC">
                        <w:rPr>
                          <w:color w:val="000000" w:themeColor="text1"/>
                          <w:kern w:val="24"/>
                          <w:position w:val="7"/>
                          <w:vertAlign w:val="superscript"/>
                          <w:lang w:val="fr-FR"/>
                        </w:rPr>
                        <w:t>c</w:t>
                      </w:r>
                      <w:proofErr w:type="gramEnd"/>
                      <w:r w:rsidRPr="009D21EC">
                        <w:rPr>
                          <w:color w:val="000000" w:themeColor="text1"/>
                          <w:kern w:val="24"/>
                          <w:lang w:val="fr-FR"/>
                        </w:rPr>
                        <w:t xml:space="preserve"> </w:t>
                      </w:r>
                      <w:proofErr w:type="spellStart"/>
                      <w:r w:rsidRPr="009D21EC">
                        <w:rPr>
                          <w:color w:val="000000" w:themeColor="text1"/>
                          <w:kern w:val="24"/>
                          <w:lang w:val="fr-FR"/>
                        </w:rPr>
                        <w:t>Invitrogen</w:t>
                      </w:r>
                      <w:proofErr w:type="spellEnd"/>
                      <w:r w:rsidRPr="009D21EC">
                        <w:rPr>
                          <w:color w:val="000000" w:themeColor="text1"/>
                          <w:kern w:val="24"/>
                          <w:lang w:val="fr-FR"/>
                        </w:rPr>
                        <w:t xml:space="preserve">; </w:t>
                      </w:r>
                      <w:proofErr w:type="spellStart"/>
                      <w:r w:rsidRPr="009D21EC">
                        <w:rPr>
                          <w:color w:val="000000" w:themeColor="text1"/>
                          <w:kern w:val="24"/>
                          <w:lang w:val="fr-FR"/>
                        </w:rPr>
                        <w:t>Ratie</w:t>
                      </w:r>
                      <w:proofErr w:type="spellEnd"/>
                      <w:r w:rsidRPr="009D21EC">
                        <w:rPr>
                          <w:color w:val="000000" w:themeColor="text1"/>
                          <w:kern w:val="24"/>
                          <w:lang w:val="fr-FR"/>
                        </w:rPr>
                        <w:t xml:space="preserve"> et al.</w:t>
                      </w:r>
                      <w:r w:rsidRPr="009D21EC">
                        <w:rPr>
                          <w:i/>
                          <w:iCs/>
                          <w:color w:val="000000" w:themeColor="text1"/>
                          <w:kern w:val="24"/>
                          <w:lang w:val="fr-FR"/>
                        </w:rPr>
                        <w:t xml:space="preserve"> </w:t>
                      </w:r>
                      <w:r w:rsidRPr="009D21EC">
                        <w:rPr>
                          <w:color w:val="000000" w:themeColor="text1"/>
                          <w:kern w:val="24"/>
                          <w:lang w:val="fr-FR"/>
                        </w:rPr>
                        <w:t xml:space="preserve">2014 </w:t>
                      </w:r>
                      <w:hyperlink r:id="rId11" w:history="1">
                        <w:r w:rsidRPr="009D21EC">
                          <w:rPr>
                            <w:rStyle w:val="Hyperlink"/>
                            <w:color w:val="000000" w:themeColor="text1"/>
                            <w:kern w:val="24"/>
                            <w:lang w:val="fr-FR"/>
                          </w:rPr>
                          <w:t>doi.org/10.3389/fnana.2014.00158</w:t>
                        </w:r>
                      </w:hyperlink>
                    </w:p>
                    <w:p w:rsidR="00AC5308" w:rsidRDefault="00AC5308" w:rsidP="00AC530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color w:val="000000" w:themeColor="text1"/>
                          <w:kern w:val="24"/>
                          <w:position w:val="7"/>
                          <w:vertAlign w:val="superscript"/>
                        </w:rPr>
                        <w:t>d</w:t>
                      </w:r>
                      <w:r>
                        <w:rPr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kern w:val="24"/>
                        </w:rPr>
                        <w:t>Chemicon</w:t>
                      </w:r>
                      <w:proofErr w:type="spellEnd"/>
                      <w:r>
                        <w:rPr>
                          <w:color w:val="000000" w:themeColor="text1"/>
                          <w:kern w:val="24"/>
                        </w:rPr>
                        <w:t xml:space="preserve">; Garcia-Moreno &amp; Molnar 2015 </w:t>
                      </w:r>
                      <w:hyperlink r:id="rId12" w:history="1">
                        <w:r>
                          <w:rPr>
                            <w:rStyle w:val="Hyperlink"/>
                            <w:color w:val="000000" w:themeColor="text1"/>
                            <w:kern w:val="24"/>
                          </w:rPr>
                          <w:t>doi.org/10.1073/pnas.1506377112</w:t>
                        </w:r>
                      </w:hyperlink>
                    </w:p>
                    <w:p w:rsidR="00AC5308" w:rsidRDefault="00AC5308" w:rsidP="00AC530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color w:val="000000" w:themeColor="text1"/>
                          <w:kern w:val="24"/>
                          <w:position w:val="7"/>
                          <w:vertAlign w:val="superscript"/>
                        </w:rPr>
                        <w:t>e</w:t>
                      </w:r>
                      <w:r>
                        <w:rPr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kern w:val="24"/>
                        </w:rPr>
                        <w:t>Biolegend</w:t>
                      </w:r>
                      <w:proofErr w:type="spellEnd"/>
                    </w:p>
                    <w:p w:rsidR="00AC5308" w:rsidRDefault="00AC5308" w:rsidP="00AC530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color w:val="000000" w:themeColor="text1"/>
                          <w:kern w:val="24"/>
                          <w:position w:val="7"/>
                          <w:vertAlign w:val="superscript"/>
                        </w:rPr>
                        <w:t>f</w:t>
                      </w:r>
                      <w:r>
                        <w:rPr>
                          <w:color w:val="000000" w:themeColor="text1"/>
                          <w:kern w:val="24"/>
                        </w:rPr>
                        <w:t xml:space="preserve"> Abcam</w:t>
                      </w:r>
                    </w:p>
                  </w:txbxContent>
                </v:textbox>
              </v:rect>
            </w:pict>
          </mc:Fallback>
        </mc:AlternateContent>
      </w:r>
    </w:p>
    <w:sectPr w:rsidR="00B13805" w:rsidRPr="00DF487C" w:rsidSect="008E7E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308"/>
    <w:rsid w:val="00105477"/>
    <w:rsid w:val="00210084"/>
    <w:rsid w:val="003C3696"/>
    <w:rsid w:val="0055654F"/>
    <w:rsid w:val="00670C03"/>
    <w:rsid w:val="008D7075"/>
    <w:rsid w:val="008E7E4B"/>
    <w:rsid w:val="009D21EC"/>
    <w:rsid w:val="00A025EF"/>
    <w:rsid w:val="00AC5308"/>
    <w:rsid w:val="00B57A7C"/>
    <w:rsid w:val="00DF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CE0895-14E7-433D-9BED-9839D0D9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53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C53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73/pnas.150637711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3389/fnana.2014.00158" TargetMode="External"/><Relationship Id="rId12" Type="http://schemas.openxmlformats.org/officeDocument/2006/relationships/hyperlink" Target="https://doi.org/10.1073/pnas.15063771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2/cm.970170207" TargetMode="External"/><Relationship Id="rId11" Type="http://schemas.openxmlformats.org/officeDocument/2006/relationships/hyperlink" Target="https://doi.org/10.3389/fnana.2014.00158" TargetMode="External"/><Relationship Id="rId5" Type="http://schemas.openxmlformats.org/officeDocument/2006/relationships/hyperlink" Target="http://doi.org/10.1186/s12915-015-0121-9" TargetMode="External"/><Relationship Id="rId10" Type="http://schemas.openxmlformats.org/officeDocument/2006/relationships/hyperlink" Target="https://doi.org/10.1002/cm.970170207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doi.org/10.1186/s12915-015-0121-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VERVELDE Lonneke</dc:creator>
  <cp:keywords/>
  <dc:description/>
  <cp:lastModifiedBy>Revathi Thangaraj</cp:lastModifiedBy>
  <cp:revision>4</cp:revision>
  <dcterms:created xsi:type="dcterms:W3CDTF">2023-01-30T17:18:00Z</dcterms:created>
  <dcterms:modified xsi:type="dcterms:W3CDTF">2023-02-07T13:05:00Z</dcterms:modified>
</cp:coreProperties>
</file>