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E46FB">
      <w:pPr>
        <w:spacing w:line="360" w:lineRule="auto"/>
        <w:rPr>
          <w:rFonts w:hint="eastAsia" w:ascii="Times New Roman Regular" w:hAnsi="Times New Roman Regular" w:cs="Times New Roman Regular" w:eastAsiaTheme="minorEastAsia"/>
          <w:sz w:val="24"/>
          <w:lang w:val="en-US" w:eastAsia="zh-CN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lang w:val="en-US" w:eastAsia="zh-CN"/>
        </w:rPr>
        <w:t>A</w:t>
      </w:r>
      <w:r>
        <w:rPr>
          <w:rFonts w:hint="eastAsia" w:ascii="Times New Roman Regular" w:hAnsi="Times New Roman Regular" w:cs="Times New Roman Regular"/>
          <w:b/>
          <w:bCs/>
          <w:sz w:val="24"/>
          <w:lang w:val="en-US" w:eastAsia="zh-CN"/>
        </w:rPr>
        <w:t xml:space="preserve">dditional file </w:t>
      </w:r>
      <w:r>
        <w:rPr>
          <w:rFonts w:hint="default" w:ascii="Times New Roman Regular" w:hAnsi="Times New Roman Regular" w:cs="Times New Roman Regular"/>
          <w:b/>
          <w:bCs/>
          <w:sz w:val="24"/>
          <w:lang w:val="en-US" w:eastAsia="zh-CN"/>
        </w:rPr>
        <w:t xml:space="preserve">7. </w:t>
      </w:r>
      <w:r>
        <w:rPr>
          <w:rFonts w:ascii="Times New Roman Regular" w:hAnsi="Times New Roman Regular" w:cs="Times New Roman Regular"/>
          <w:sz w:val="24"/>
        </w:rPr>
        <w:t>Information about the proteins identified in the Lj-EVs and their possible mechanisms mediating immune regulation</w:t>
      </w:r>
      <w:r>
        <w:rPr>
          <w:rFonts w:hint="default" w:ascii="Times New Roman Regular" w:hAnsi="Times New Roman Regular" w:cs="Times New Roman Regular"/>
          <w:sz w:val="24"/>
          <w:lang w:val="en-US"/>
        </w:rPr>
        <w:t>.</w:t>
      </w:r>
      <w:r>
        <w:rPr>
          <w:rFonts w:hint="eastAsia" w:ascii="Times New Roman Regular" w:hAnsi="Times New Roman Regular" w:cs="Times New Roman Regular"/>
          <w:sz w:val="24"/>
          <w:lang w:val="en-US" w:eastAsia="zh-CN"/>
        </w:rPr>
        <w:t xml:space="preserve"> </w:t>
      </w:r>
    </w:p>
    <w:tbl>
      <w:tblPr>
        <w:tblStyle w:val="5"/>
        <w:tblpPr w:leftFromText="180" w:rightFromText="180" w:vertAnchor="text" w:horzAnchor="page" w:tblpX="2155" w:tblpY="284"/>
        <w:tblOverlap w:val="never"/>
        <w:tblW w:w="4998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2603"/>
        <w:gridCol w:w="919"/>
        <w:gridCol w:w="3487"/>
      </w:tblGrid>
      <w:tr w14:paraId="7732B2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39" w:hRule="atLeast"/>
          <w:jc w:val="center"/>
        </w:trPr>
        <w:tc>
          <w:tcPr>
            <w:tcW w:w="886" w:type="pct"/>
            <w:tcBorders>
              <w:bottom w:val="single" w:color="auto" w:sz="12" w:space="0"/>
            </w:tcBorders>
            <w:vAlign w:val="center"/>
          </w:tcPr>
          <w:p w14:paraId="75163329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4"/>
              </w:rPr>
              <w:t>Protein accession</w:t>
            </w:r>
          </w:p>
        </w:tc>
        <w:tc>
          <w:tcPr>
            <w:tcW w:w="1527" w:type="pct"/>
            <w:tcBorders>
              <w:bottom w:val="single" w:color="auto" w:sz="12" w:space="0"/>
            </w:tcBorders>
            <w:vAlign w:val="center"/>
          </w:tcPr>
          <w:p w14:paraId="66A6A551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4"/>
              </w:rPr>
              <w:t>Protein description</w:t>
            </w:r>
          </w:p>
        </w:tc>
        <w:tc>
          <w:tcPr>
            <w:tcW w:w="539" w:type="pct"/>
            <w:tcBorders>
              <w:bottom w:val="single" w:color="auto" w:sz="12" w:space="0"/>
            </w:tcBorders>
            <w:vAlign w:val="center"/>
          </w:tcPr>
          <w:p w14:paraId="185BBD47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4"/>
              </w:rPr>
              <w:t>Gene name</w:t>
            </w:r>
          </w:p>
        </w:tc>
        <w:tc>
          <w:tcPr>
            <w:tcW w:w="2046" w:type="pct"/>
            <w:tcBorders>
              <w:bottom w:val="single" w:color="auto" w:sz="12" w:space="0"/>
            </w:tcBorders>
            <w:vAlign w:val="center"/>
          </w:tcPr>
          <w:p w14:paraId="297E8A1A">
            <w:pPr>
              <w:jc w:val="center"/>
              <w:rPr>
                <w:rFonts w:ascii="Times New Roman Regular" w:hAnsi="Times New Roman Regular" w:cs="Times New Roman Regular"/>
                <w:b/>
                <w:bCs/>
                <w:sz w:val="24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sz w:val="24"/>
              </w:rPr>
              <w:t>Possible mechanisms that mediate immune regulation</w:t>
            </w:r>
          </w:p>
        </w:tc>
      </w:tr>
      <w:tr w14:paraId="3050B4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98" w:hRule="atLeast"/>
          <w:jc w:val="center"/>
        </w:trPr>
        <w:tc>
          <w:tcPr>
            <w:tcW w:w="88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A64B00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D0R3S0</w:t>
            </w:r>
          </w:p>
        </w:tc>
        <w:tc>
          <w:tcPr>
            <w:tcW w:w="1527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E1B184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Fumarate hydratase class II</w:t>
            </w:r>
          </w:p>
        </w:tc>
        <w:tc>
          <w:tcPr>
            <w:tcW w:w="539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40E3C11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fumC</w:t>
            </w:r>
          </w:p>
        </w:tc>
        <w:tc>
          <w:tcPr>
            <w:tcW w:w="204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7E217CB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</w:rPr>
              <w:t>TCA cycle; degrades the pro-inflammatory metabolite fumarate to maintain bacterial metabolic fitness and promote pathogenesis</w:t>
            </w:r>
          </w:p>
        </w:tc>
      </w:tr>
      <w:tr w14:paraId="292B6F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64" w:hRule="atLeast"/>
          <w:jc w:val="center"/>
        </w:trPr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1A7DD5AE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D0R548</w:t>
            </w:r>
          </w:p>
        </w:tc>
        <w:tc>
          <w:tcPr>
            <w:tcW w:w="1527" w:type="pct"/>
            <w:tcBorders>
              <w:tl2br w:val="nil"/>
              <w:tr2bl w:val="nil"/>
            </w:tcBorders>
            <w:vAlign w:val="center"/>
          </w:tcPr>
          <w:p w14:paraId="7413E068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Thioredoxin reductase</w:t>
            </w:r>
          </w:p>
        </w:tc>
        <w:tc>
          <w:tcPr>
            <w:tcW w:w="539" w:type="pct"/>
            <w:tcBorders>
              <w:tl2br w:val="nil"/>
              <w:tr2bl w:val="nil"/>
            </w:tcBorders>
            <w:vAlign w:val="center"/>
          </w:tcPr>
          <w:p w14:paraId="20922DF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trxB</w:t>
            </w:r>
          </w:p>
        </w:tc>
        <w:tc>
          <w:tcPr>
            <w:tcW w:w="2046" w:type="pct"/>
            <w:tcBorders>
              <w:tl2br w:val="nil"/>
              <w:tr2bl w:val="nil"/>
            </w:tcBorders>
            <w:vAlign w:val="center"/>
          </w:tcPr>
          <w:p w14:paraId="33AA8C8B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</w:rPr>
              <w:t>Regulates reactive oxidative metabolism and the reduction/oxidation balance</w:t>
            </w:r>
          </w:p>
        </w:tc>
      </w:tr>
      <w:tr w14:paraId="6CF16F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8" w:hRule="atLeast"/>
          <w:jc w:val="center"/>
        </w:trPr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28C9584D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D0R536</w:t>
            </w:r>
          </w:p>
        </w:tc>
        <w:tc>
          <w:tcPr>
            <w:tcW w:w="1527" w:type="pct"/>
            <w:tcBorders>
              <w:tl2br w:val="nil"/>
              <w:tr2bl w:val="nil"/>
            </w:tcBorders>
            <w:vAlign w:val="center"/>
          </w:tcPr>
          <w:p w14:paraId="36B75DA6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 xml:space="preserve">ATP-dependent Clp protease proteolytic </w:t>
            </w:r>
          </w:p>
        </w:tc>
        <w:tc>
          <w:tcPr>
            <w:tcW w:w="539" w:type="pct"/>
            <w:tcBorders>
              <w:tl2br w:val="nil"/>
              <w:tr2bl w:val="nil"/>
            </w:tcBorders>
            <w:vAlign w:val="center"/>
          </w:tcPr>
          <w:p w14:paraId="059653A3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clpP</w:t>
            </w:r>
          </w:p>
        </w:tc>
        <w:tc>
          <w:tcPr>
            <w:tcW w:w="2046" w:type="pct"/>
            <w:tcBorders>
              <w:tl2br w:val="nil"/>
              <w:tr2bl w:val="nil"/>
            </w:tcBorders>
            <w:vAlign w:val="center"/>
          </w:tcPr>
          <w:p w14:paraId="2DA9735B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Potential antimicrobial targets</w:t>
            </w:r>
          </w:p>
        </w:tc>
      </w:tr>
      <w:tr w14:paraId="2D88FB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66" w:hRule="atLeast"/>
          <w:jc w:val="center"/>
        </w:trPr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3B7E18F4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D0R6A2</w:t>
            </w:r>
          </w:p>
        </w:tc>
        <w:tc>
          <w:tcPr>
            <w:tcW w:w="1527" w:type="pct"/>
            <w:tcBorders>
              <w:tl2br w:val="nil"/>
              <w:tr2bl w:val="nil"/>
            </w:tcBorders>
            <w:vAlign w:val="center"/>
          </w:tcPr>
          <w:p w14:paraId="547DFC54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ABC transporter, CydDC cysteine exporter (CydDC-E) family</w:t>
            </w:r>
          </w:p>
        </w:tc>
        <w:tc>
          <w:tcPr>
            <w:tcW w:w="539" w:type="pct"/>
            <w:tcBorders>
              <w:tl2br w:val="nil"/>
              <w:tr2bl w:val="nil"/>
            </w:tcBorders>
            <w:vAlign w:val="center"/>
          </w:tcPr>
          <w:p w14:paraId="485AB21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cydC</w:t>
            </w:r>
          </w:p>
        </w:tc>
        <w:tc>
          <w:tcPr>
            <w:tcW w:w="2046" w:type="pct"/>
            <w:tcBorders>
              <w:tl2br w:val="nil"/>
              <w:tr2bl w:val="nil"/>
            </w:tcBorders>
            <w:vAlign w:val="center"/>
          </w:tcPr>
          <w:p w14:paraId="4E8489C8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</w:rPr>
              <w:t>ABC transporter (with CydD) that exports glutathione and cysteine to maintain redox homeostasis in the periplasm</w:t>
            </w:r>
          </w:p>
        </w:tc>
      </w:tr>
      <w:tr w14:paraId="4B0D28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8" w:hRule="atLeast"/>
          <w:jc w:val="center"/>
        </w:trPr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4A86F7B9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D0R614</w:t>
            </w:r>
          </w:p>
        </w:tc>
        <w:tc>
          <w:tcPr>
            <w:tcW w:w="1527" w:type="pct"/>
            <w:tcBorders>
              <w:tl2br w:val="nil"/>
              <w:tr2bl w:val="nil"/>
            </w:tcBorders>
            <w:vAlign w:val="center"/>
          </w:tcPr>
          <w:p w14:paraId="2B4D4038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Tyrosine-protein phosphatase</w:t>
            </w:r>
          </w:p>
        </w:tc>
        <w:tc>
          <w:tcPr>
            <w:tcW w:w="539" w:type="pct"/>
            <w:tcBorders>
              <w:tl2br w:val="nil"/>
              <w:tr2bl w:val="nil"/>
            </w:tcBorders>
            <w:vAlign w:val="center"/>
          </w:tcPr>
          <w:p w14:paraId="5F887E74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tpk</w:t>
            </w:r>
          </w:p>
        </w:tc>
        <w:tc>
          <w:tcPr>
            <w:tcW w:w="2046" w:type="pct"/>
            <w:tcBorders>
              <w:tl2br w:val="nil"/>
              <w:tr2bl w:val="nil"/>
            </w:tcBorders>
            <w:vAlign w:val="center"/>
          </w:tcPr>
          <w:p w14:paraId="0C84CB49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Activation and function of B cells</w:t>
            </w:r>
          </w:p>
        </w:tc>
      </w:tr>
      <w:tr w14:paraId="5CF821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24" w:hRule="atLeast"/>
          <w:jc w:val="center"/>
        </w:trPr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56D009A7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D0R3E0</w:t>
            </w:r>
          </w:p>
        </w:tc>
        <w:tc>
          <w:tcPr>
            <w:tcW w:w="1527" w:type="pct"/>
            <w:tcBorders>
              <w:tl2br w:val="nil"/>
              <w:tr2bl w:val="nil"/>
            </w:tcBorders>
            <w:vAlign w:val="center"/>
          </w:tcPr>
          <w:p w14:paraId="0AD7B8EF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non-specific serine/threonine protein kinase</w:t>
            </w:r>
          </w:p>
        </w:tc>
        <w:tc>
          <w:tcPr>
            <w:tcW w:w="539" w:type="pct"/>
            <w:tcBorders>
              <w:tl2br w:val="nil"/>
              <w:tr2bl w:val="nil"/>
            </w:tcBorders>
            <w:vAlign w:val="center"/>
          </w:tcPr>
          <w:p w14:paraId="181344AC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prkC</w:t>
            </w:r>
          </w:p>
        </w:tc>
        <w:tc>
          <w:tcPr>
            <w:tcW w:w="2046" w:type="pct"/>
            <w:tcBorders>
              <w:tl2br w:val="nil"/>
              <w:tr2bl w:val="nil"/>
            </w:tcBorders>
            <w:vAlign w:val="center"/>
          </w:tcPr>
          <w:p w14:paraId="21359249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</w:rPr>
              <w:t>Regulated cell wall homeostasis, chain length, and biofilm formation</w:t>
            </w:r>
          </w:p>
        </w:tc>
      </w:tr>
      <w:tr w14:paraId="34974E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94" w:hRule="atLeast"/>
          <w:jc w:val="center"/>
        </w:trPr>
        <w:tc>
          <w:tcPr>
            <w:tcW w:w="886" w:type="pct"/>
            <w:tcBorders>
              <w:tl2br w:val="nil"/>
              <w:tr2bl w:val="nil"/>
            </w:tcBorders>
            <w:vAlign w:val="center"/>
          </w:tcPr>
          <w:p w14:paraId="72179951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D0R2F3</w:t>
            </w:r>
          </w:p>
        </w:tc>
        <w:tc>
          <w:tcPr>
            <w:tcW w:w="1527" w:type="pct"/>
            <w:tcBorders>
              <w:tl2br w:val="nil"/>
              <w:tr2bl w:val="nil"/>
            </w:tcBorders>
            <w:vAlign w:val="center"/>
          </w:tcPr>
          <w:p w14:paraId="0BF2534B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Chaperonin GroEL</w:t>
            </w:r>
          </w:p>
        </w:tc>
        <w:tc>
          <w:tcPr>
            <w:tcW w:w="539" w:type="pct"/>
            <w:tcBorders>
              <w:tl2br w:val="nil"/>
              <w:tr2bl w:val="nil"/>
            </w:tcBorders>
            <w:vAlign w:val="center"/>
          </w:tcPr>
          <w:p w14:paraId="03D861C7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ascii="Times New Roman Regular" w:hAnsi="Times New Roman Regular" w:cs="Times New Roman Regular"/>
                <w:sz w:val="24"/>
              </w:rPr>
              <w:t>groEL</w:t>
            </w:r>
          </w:p>
        </w:tc>
        <w:tc>
          <w:tcPr>
            <w:tcW w:w="2046" w:type="pct"/>
            <w:tcBorders>
              <w:tl2br w:val="nil"/>
              <w:tr2bl w:val="nil"/>
            </w:tcBorders>
            <w:vAlign w:val="center"/>
          </w:tcPr>
          <w:p w14:paraId="7C8FAE09">
            <w:pPr>
              <w:jc w:val="center"/>
              <w:rPr>
                <w:rFonts w:ascii="Times New Roman Regular" w:hAnsi="Times New Roman Regular" w:cs="Times New Roman Regular"/>
                <w:sz w:val="24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</w:rPr>
              <w:t>Molecular chaperone essential for protein folding, assembly, and transport under stress conditions; immunomodulatory protein that influences dendritic cell responses</w:t>
            </w:r>
            <w:bookmarkStart w:id="0" w:name="_GoBack"/>
            <w:bookmarkEnd w:id="0"/>
          </w:p>
        </w:tc>
      </w:tr>
    </w:tbl>
    <w:p w14:paraId="7D3AF560">
      <w:pPr>
        <w:rPr>
          <w:rFonts w:ascii="Times New Roman Regular" w:hAnsi="Times New Roman Regular" w:cs="Times New Roman Regular"/>
          <w:sz w:val="24"/>
        </w:rPr>
      </w:pPr>
    </w:p>
    <w:p w14:paraId="3DA9CDB1">
      <w:pPr>
        <w:spacing w:line="400" w:lineRule="atLeast"/>
        <w:rPr>
          <w:rFonts w:ascii="Times New Roman Regular" w:hAnsi="Times New Roman Regular" w:cs="Times New Roman Regular"/>
          <w:sz w:val="24"/>
        </w:rPr>
      </w:pPr>
      <w:r>
        <w:rPr>
          <w:rFonts w:ascii="Times New Roman Regular" w:hAnsi="Times New Roman Regular" w:cs="Times New Roman Regular"/>
          <w:sz w:val="24"/>
        </w:rPr>
        <w:t xml:space="preserve">The whole list of proteome composition, the INTERPRO analysis, and the KEGG analysis was introduced in </w:t>
      </w:r>
      <w:r>
        <w:rPr>
          <w:rFonts w:hint="default" w:ascii="Times New Roman Regular" w:hAnsi="Times New Roman Regular" w:cs="Times New Roman Regular"/>
          <w:sz w:val="24"/>
          <w:lang w:val="en-US"/>
        </w:rPr>
        <w:t>additional file 5</w:t>
      </w:r>
      <w:r>
        <w:rPr>
          <w:rFonts w:ascii="Times New Roman Regular" w:hAnsi="Times New Roman Regular" w:cs="Times New Roman Regular"/>
          <w:sz w:val="24"/>
        </w:rPr>
        <w:t xml:space="preserve">. </w:t>
      </w:r>
    </w:p>
    <w:sectPr>
      <w:footerReference r:id="rId3" w:type="default"/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6175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830DC">
                          <w:pPr>
                            <w:pStyle w:val="2"/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B830DC">
                    <w:pPr>
                      <w:pStyle w:val="2"/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24F336B"/>
    <w:rsid w:val="000B5C72"/>
    <w:rsid w:val="00204D0C"/>
    <w:rsid w:val="002F1620"/>
    <w:rsid w:val="00416D38"/>
    <w:rsid w:val="00453064"/>
    <w:rsid w:val="004F710B"/>
    <w:rsid w:val="00514236"/>
    <w:rsid w:val="00555A6D"/>
    <w:rsid w:val="005D2EBB"/>
    <w:rsid w:val="00613742"/>
    <w:rsid w:val="00623FD3"/>
    <w:rsid w:val="006D354F"/>
    <w:rsid w:val="006F356D"/>
    <w:rsid w:val="00871885"/>
    <w:rsid w:val="009107E5"/>
    <w:rsid w:val="00A209E7"/>
    <w:rsid w:val="00A652D2"/>
    <w:rsid w:val="00A74BBD"/>
    <w:rsid w:val="00AD73EF"/>
    <w:rsid w:val="00C10ACC"/>
    <w:rsid w:val="00E221F8"/>
    <w:rsid w:val="00E30083"/>
    <w:rsid w:val="00FC1A40"/>
    <w:rsid w:val="0BBF594A"/>
    <w:rsid w:val="1FEB450C"/>
    <w:rsid w:val="2DBFE826"/>
    <w:rsid w:val="355E1687"/>
    <w:rsid w:val="3CF68D1C"/>
    <w:rsid w:val="3F7F7ADC"/>
    <w:rsid w:val="57EFB4C5"/>
    <w:rsid w:val="59FD72B7"/>
    <w:rsid w:val="5FEB3535"/>
    <w:rsid w:val="5FFB5196"/>
    <w:rsid w:val="5FFF2BAF"/>
    <w:rsid w:val="673E9682"/>
    <w:rsid w:val="69FF4566"/>
    <w:rsid w:val="6F2FC485"/>
    <w:rsid w:val="6FC952A2"/>
    <w:rsid w:val="6FD73C81"/>
    <w:rsid w:val="6FEF4099"/>
    <w:rsid w:val="777DE58A"/>
    <w:rsid w:val="77BF2808"/>
    <w:rsid w:val="77EBBFDC"/>
    <w:rsid w:val="77F6A401"/>
    <w:rsid w:val="77FF63FC"/>
    <w:rsid w:val="79FC136C"/>
    <w:rsid w:val="7AFBB399"/>
    <w:rsid w:val="7BFBC336"/>
    <w:rsid w:val="7C757A9E"/>
    <w:rsid w:val="7DEF4186"/>
    <w:rsid w:val="7FBBFC23"/>
    <w:rsid w:val="7FD5A457"/>
    <w:rsid w:val="7FF1DC4A"/>
    <w:rsid w:val="7FFF90D4"/>
    <w:rsid w:val="97FE3458"/>
    <w:rsid w:val="ABF68E71"/>
    <w:rsid w:val="B7E76FAC"/>
    <w:rsid w:val="B975F10D"/>
    <w:rsid w:val="B9DEBFC3"/>
    <w:rsid w:val="BB3C1EF2"/>
    <w:rsid w:val="BBD7C9E8"/>
    <w:rsid w:val="BBDBAA32"/>
    <w:rsid w:val="D8FE827C"/>
    <w:rsid w:val="E2BFE9C1"/>
    <w:rsid w:val="E57A49B0"/>
    <w:rsid w:val="EF3D4AA5"/>
    <w:rsid w:val="EF91502D"/>
    <w:rsid w:val="F24F336B"/>
    <w:rsid w:val="FCBF2098"/>
    <w:rsid w:val="FEDE379C"/>
    <w:rsid w:val="FEFF4496"/>
    <w:rsid w:val="FF6FED01"/>
    <w:rsid w:val="FF7FFDC2"/>
    <w:rsid w:val="FFBBE563"/>
    <w:rsid w:val="FFDDABDF"/>
    <w:rsid w:val="FFE78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line number"/>
    <w:basedOn w:val="6"/>
    <w:qFormat/>
    <w:uiPriority w:val="0"/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1020</Words>
  <Characters>6386</Characters>
  <Lines>177</Lines>
  <Paragraphs>83</Paragraphs>
  <TotalTime>2</TotalTime>
  <ScaleCrop>false</ScaleCrop>
  <LinksUpToDate>false</LinksUpToDate>
  <CharactersWithSpaces>7323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2025-04-09T01:01:00Z</dcterms:created>
  <dc:creator>WUYI</dc:creator>
  <cp:lastModifiedBy>WUYI</cp:lastModifiedBy>
  <dcterms:modified xsi:type="dcterms:W3CDTF">2026-04-06T13:57:49Z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E62046938A1CE096D08B91697853B446_43</vt:lpwstr>
  </property>
</Properties>
</file>