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AE1C7A">
      <w:pPr>
        <w:spacing w:line="360" w:lineRule="auto"/>
        <w:rPr>
          <w:rFonts w:ascii="Times New Roman" w:hAnsi="Times New Roman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274310" cy="3834130"/>
            <wp:effectExtent l="0" t="0" r="2540" b="0"/>
            <wp:docPr id="71685159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6851591" name="图片 2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34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7E52B7">
      <w:pPr>
        <w:spacing w:line="360" w:lineRule="auto"/>
        <w:rPr>
          <w:rFonts w:ascii="Times New Roman" w:hAnsi="Times New Roman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p w14:paraId="4E21AF85">
      <w:pPr>
        <w:spacing w:line="360" w:lineRule="auto"/>
        <w:rPr>
          <w:rFonts w:hint="default" w:ascii="Times New Roman" w:hAnsi="Times New Roman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Figure legend:</w:t>
      </w:r>
    </w:p>
    <w:p w14:paraId="0A1A8FC2">
      <w:pPr>
        <w:spacing w:line="240" w:lineRule="auto"/>
        <w:jc w:val="left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sFig.1.</w:t>
      </w:r>
      <w:r>
        <w:rPr>
          <w:rFonts w:hint="default" w:ascii="Times New Roman" w:hAnsi="Times New Roman" w:eastAsia="宋体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宋体" w:cs="Times New Roman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Depletion of EthA did not affect the levels of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PANoptosis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stimulated by </w:t>
      </w: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  <w:lang w:val="en-US" w:eastAsia="zh-CN"/>
        </w:rPr>
        <w:t>E. piscicida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PPD130/91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 in J774A.1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 xml:space="preserve">macrophages. </w:t>
      </w:r>
    </w:p>
    <w:p w14:paraId="7BB6C8D6">
      <w:pPr>
        <w:spacing w:line="240" w:lineRule="auto"/>
        <w:jc w:val="left"/>
        <w:rPr>
          <w:rFonts w:hint="default" w:ascii="Times New Roman" w:hAnsi="Times New Roman" w:eastAsia="宋体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(</w:t>
      </w:r>
      <w:r>
        <w:rPr>
          <w:rFonts w:hint="default" w:ascii="Times New Roman" w:hAnsi="Times New Roman" w:eastAsia="宋体" w:cs="Times New Roman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A</w:t>
      </w:r>
      <w:r>
        <w:rPr>
          <w:rFonts w:hint="default" w:ascii="Times New Roman" w:hAnsi="Times New Roman" w:eastAsia="宋体" w:cs="Times New Roman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)</w:t>
      </w:r>
      <w:r>
        <w:rPr>
          <w:rFonts w:hint="default" w:ascii="Times New Roman" w:hAnsi="Times New Roman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Immunoblotting of cleaved caspase-1 (p20), cleaved caspase-3 and p-MLKL in J774A.1 cells infected with the </w:t>
      </w:r>
      <w:r>
        <w:rPr>
          <w:rFonts w:hint="default" w:ascii="Times New Roman" w:hAnsi="Times New Roman" w:eastAsia="宋体" w:cs="Times New Roman"/>
          <w:i/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E. piscicida </w:t>
      </w:r>
      <w:r>
        <w:rPr>
          <w:rFonts w:hint="default" w:ascii="Times New Roman" w:hAnsi="Times New Roman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WT, Δ</w:t>
      </w:r>
      <w:r>
        <w:rPr>
          <w:rFonts w:hint="default" w:ascii="Times New Roman" w:hAnsi="Times New Roman" w:eastAsia="宋体" w:cs="Times New Roman"/>
          <w:i/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eseJ</w:t>
      </w:r>
      <w:r>
        <w:rPr>
          <w:rFonts w:hint="default" w:ascii="Times New Roman" w:hAnsi="Times New Roman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and Δ</w:t>
      </w:r>
      <w:r>
        <w:rPr>
          <w:rFonts w:hint="default" w:ascii="Times New Roman" w:hAnsi="Times New Roman" w:eastAsia="宋体" w:cs="Times New Roman"/>
          <w:i/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ethA</w:t>
      </w:r>
      <w:r>
        <w:rPr>
          <w:rFonts w:hint="default" w:ascii="Times New Roman" w:hAnsi="Times New Roman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strains. The cell lysates and culture supernatants were precipitated for probing. Actin was used as a loading control to indicate similar amounts of protein loading per lane.</w:t>
      </w:r>
      <w:r>
        <w:rPr>
          <w:rFonts w:hint="default" w:ascii="Times New Roman" w:hAnsi="Times New Roman" w:eastAsia="宋体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</w:p>
    <w:p w14:paraId="4B5F9359">
      <w:pPr>
        <w:spacing w:line="240" w:lineRule="auto"/>
        <w:jc w:val="left"/>
        <w:rPr>
          <w:rFonts w:hint="default" w:ascii="Times New Roman" w:hAnsi="Times New Roman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(B, C &amp; D) </w:t>
      </w:r>
      <w:r>
        <w:rPr>
          <w:rFonts w:hint="default" w:ascii="Times New Roman" w:hAnsi="Times New Roman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Quantitative analysis of p20 (B), cleaved caspase-3 (C), and p-MLKL (D) in J774A.1 cells infected with the </w:t>
      </w:r>
      <w:r>
        <w:rPr>
          <w:rFonts w:hint="default" w:ascii="Times New Roman" w:hAnsi="Times New Roman" w:eastAsia="宋体" w:cs="Times New Roman"/>
          <w:i/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E. piscicida</w:t>
      </w:r>
      <w:r>
        <w:rPr>
          <w:rFonts w:hint="default" w:ascii="Times New Roman" w:hAnsi="Times New Roman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strains shown in sFig. 1A. The levels of p20, cleaved caspase-3 and p-MLKL were quantified using densitometry and normalized to actin levels. The graph shows the relative ratios of p20, cleaved caspase-3, or p-MLKL obtained from three independent experiments. ***, </w:t>
      </w:r>
      <w:r>
        <w:rPr>
          <w:rFonts w:hint="default" w:ascii="Times New Roman" w:hAnsi="Times New Roman" w:eastAsia="宋体" w:cs="Times New Roman"/>
          <w:i/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P</w:t>
      </w:r>
      <w:r>
        <w:rPr>
          <w:rFonts w:hint="default" w:ascii="Times New Roman" w:hAnsi="Times New Roman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&lt; 0.001; **, </w:t>
      </w:r>
      <w:r>
        <w:rPr>
          <w:rFonts w:hint="default" w:ascii="Times New Roman" w:hAnsi="Times New Roman" w:eastAsia="宋体" w:cs="Times New Roman"/>
          <w:i/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P</w:t>
      </w:r>
      <w:r>
        <w:rPr>
          <w:rFonts w:hint="default" w:ascii="Times New Roman" w:hAnsi="Times New Roman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&lt; 0.01; *, </w:t>
      </w:r>
      <w:r>
        <w:rPr>
          <w:rFonts w:hint="default" w:ascii="Times New Roman" w:hAnsi="Times New Roman" w:eastAsia="宋体" w:cs="Times New Roman"/>
          <w:i/>
          <w:i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P</w:t>
      </w:r>
      <w:r>
        <w:rPr>
          <w:rFonts w:hint="default" w:ascii="Times New Roman" w:hAnsi="Times New Roman" w:eastAsia="宋体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&lt; 0.05; ns, not significant. </w:t>
      </w:r>
    </w:p>
    <w:p w14:paraId="257D73E6">
      <w:pPr>
        <w:rPr>
          <w:rFonts w:ascii="Times New Roman" w:hAnsi="Times New Roman" w:cs="Times New Roman"/>
        </w:rPr>
      </w:pPr>
    </w:p>
    <w:p w14:paraId="0BB063CF">
      <w:pPr>
        <w:rPr>
          <w:rFonts w:ascii="Times New Roman" w:hAnsi="Times New Roman" w:cs="Times New Roman"/>
        </w:rPr>
      </w:pPr>
    </w:p>
    <w:p w14:paraId="06A2F359">
      <w:pPr>
        <w:rPr>
          <w:rFonts w:ascii="Times New Roman" w:hAnsi="Times New Roman" w:cs="Times New Roman"/>
        </w:rPr>
      </w:pPr>
    </w:p>
    <w:p w14:paraId="1C320F6C">
      <w:pPr>
        <w:spacing w:line="360" w:lineRule="auto"/>
        <w:jc w:val="left"/>
        <w:rPr>
          <w:rFonts w:ascii="Times New Roman" w:hAnsi="Times New Roman" w:cs="Times New Roman"/>
          <w:b/>
          <w:bCs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9E8"/>
    <w:rsid w:val="000A4D4E"/>
    <w:rsid w:val="00113252"/>
    <w:rsid w:val="00226486"/>
    <w:rsid w:val="00333E80"/>
    <w:rsid w:val="003804A8"/>
    <w:rsid w:val="00431C52"/>
    <w:rsid w:val="00523A0F"/>
    <w:rsid w:val="0064381E"/>
    <w:rsid w:val="006E1EE9"/>
    <w:rsid w:val="007819E8"/>
    <w:rsid w:val="00805F6B"/>
    <w:rsid w:val="00C22CFB"/>
    <w:rsid w:val="03C45A33"/>
    <w:rsid w:val="2E535F83"/>
    <w:rsid w:val="31255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5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2">
    <w:name w:val="标题 6 字符"/>
    <w:basedOn w:val="16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3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3">
    <w:name w:val="明显引用 字符"/>
    <w:basedOn w:val="16"/>
    <w:link w:val="32"/>
    <w:qFormat/>
    <w:uiPriority w:val="30"/>
    <w:rPr>
      <w:i/>
      <w:iCs/>
      <w:color w:val="104862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5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6">
    <w:name w:val="页脚 字符"/>
    <w:basedOn w:val="16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130</Words>
  <Characters>686</Characters>
  <Lines>24</Lines>
  <Paragraphs>4</Paragraphs>
  <TotalTime>0</TotalTime>
  <ScaleCrop>false</ScaleCrop>
  <LinksUpToDate>false</LinksUpToDate>
  <CharactersWithSpaces>814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2026-02-03T08:55:00Z</dcterms:created>
  <dc:creator>璞玉 汤</dc:creator>
  <cp:lastModifiedBy>XH</cp:lastModifiedBy>
  <dcterms:modified xsi:type="dcterms:W3CDTF">2026-02-13T07:33:09Z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E51A333A31CA4D5CB6CC31DA676E4069_13</vt:lpwstr>
  </property>
  <property fmtid="{D5CDD505-2E9C-101B-9397-08002B2CF9AE}" pid="4" name="KSOTemplateDocerSaveRecord">
    <vt:lpwstr>eyJoZGlkIjoiNDE1OWNhMmIzMzBjYjMzZmU3NGRmYjBiMDllMTVhMTkiLCJ1c2VySWQiOiI4MTUwOTM5MjgifQ==</vt:lpwstr>
  </property>
</Properties>
</file>