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952" w:rsidRPr="00CC6B87" w:rsidRDefault="006F1952" w:rsidP="006F1952">
      <w:pPr>
        <w:spacing w:line="480" w:lineRule="auto"/>
        <w:rPr>
          <w:rFonts w:ascii="Times New Roman" w:hAnsi="Times New Roman"/>
          <w:b/>
        </w:rPr>
      </w:pPr>
      <w:bookmarkStart w:id="0" w:name="OLE_LINK9"/>
      <w:bookmarkStart w:id="1" w:name="OLE_LINK10"/>
      <w:r w:rsidRPr="00CC6B87">
        <w:rPr>
          <w:rFonts w:ascii="Times New Roman" w:hAnsi="Times New Roman" w:hint="eastAsia"/>
          <w:b/>
          <w:szCs w:val="21"/>
        </w:rPr>
        <w:t>A</w:t>
      </w:r>
      <w:r w:rsidRPr="00CC6B87">
        <w:rPr>
          <w:rFonts w:ascii="Times New Roman" w:hAnsi="Times New Roman"/>
          <w:b/>
          <w:szCs w:val="21"/>
        </w:rPr>
        <w:t>mplification</w:t>
      </w:r>
      <w:r w:rsidRPr="00CC6B87">
        <w:rPr>
          <w:rFonts w:ascii="Times New Roman" w:hAnsi="Times New Roman"/>
          <w:b/>
        </w:rPr>
        <w:t xml:space="preserve"> </w:t>
      </w:r>
      <w:r w:rsidRPr="00CC6B87">
        <w:rPr>
          <w:rFonts w:ascii="Times New Roman" w:hAnsi="Times New Roman" w:hint="eastAsia"/>
          <w:b/>
        </w:rPr>
        <w:t xml:space="preserve">of </w:t>
      </w:r>
      <w:r w:rsidRPr="00CC6B87">
        <w:rPr>
          <w:rFonts w:ascii="Times New Roman" w:hAnsi="Times New Roman"/>
          <w:b/>
          <w:kern w:val="0"/>
          <w:szCs w:val="21"/>
        </w:rPr>
        <w:t>V3–V4 region</w:t>
      </w:r>
    </w:p>
    <w:bookmarkEnd w:id="0"/>
    <w:bookmarkEnd w:id="1"/>
    <w:p w:rsidR="00B74D95" w:rsidRPr="006D2E27" w:rsidRDefault="00B74D95" w:rsidP="00B74D95">
      <w:pPr>
        <w:spacing w:line="480" w:lineRule="auto"/>
        <w:ind w:firstLineChars="202" w:firstLine="424"/>
        <w:rPr>
          <w:rFonts w:ascii="Times New Roman" w:hAnsi="Times New Roman"/>
          <w:szCs w:val="21"/>
        </w:rPr>
      </w:pPr>
      <w:r w:rsidRPr="006D2E27">
        <w:rPr>
          <w:rFonts w:ascii="Times New Roman" w:hAnsi="Times New Roman"/>
        </w:rPr>
        <w:t>DNA from different samples was extracted using the MicroElute Genomic DNA Kit (D3096-01, Omega, Inc., USA) according to manufacturer’s instructions. The reagent which was designed to uncover DNA from trace amounts of sample has been shown to be effective for the preparation of DNA of most bacteria. Sample blanks consisted of unused swabs processed through DNA extraction and tested to contain no 16S amplicons. The total DNA was eluted in 50 µl of Elution buffer by a modification of the procedure described by manufacturer (QIAGEN) and stored at -80°C until measurement.</w:t>
      </w:r>
    </w:p>
    <w:p w:rsidR="00B74D95" w:rsidRPr="006D2E27" w:rsidRDefault="00B74D95" w:rsidP="00B74D95">
      <w:pPr>
        <w:spacing w:line="480" w:lineRule="auto"/>
        <w:ind w:firstLineChars="202" w:firstLine="424"/>
        <w:rPr>
          <w:rFonts w:ascii="Times New Roman" w:hAnsi="Times New Roman"/>
          <w:b/>
        </w:rPr>
      </w:pPr>
      <w:r w:rsidRPr="006D2E27">
        <w:rPr>
          <w:rFonts w:ascii="Times New Roman" w:hAnsi="Times New Roman"/>
          <w:color w:val="231F20"/>
          <w:kern w:val="0"/>
          <w:szCs w:val="21"/>
        </w:rPr>
        <w:t>Using the total DNA</w:t>
      </w:r>
      <w:r>
        <w:rPr>
          <w:rFonts w:ascii="Times New Roman" w:hAnsi="Times New Roman"/>
          <w:color w:val="231F20"/>
          <w:kern w:val="0"/>
          <w:szCs w:val="21"/>
        </w:rPr>
        <w:t xml:space="preserve"> </w:t>
      </w:r>
      <w:r w:rsidRPr="006D2E27">
        <w:rPr>
          <w:rFonts w:ascii="Times New Roman" w:hAnsi="Times New Roman"/>
          <w:color w:val="231F20"/>
          <w:kern w:val="0"/>
          <w:szCs w:val="21"/>
        </w:rPr>
        <w:t>as a template and the primer (319F 5'-ACTCCTACGGGAGGC</w:t>
      </w:r>
      <w:r>
        <w:rPr>
          <w:rFonts w:ascii="Times New Roman" w:hAnsi="Times New Roman"/>
          <w:color w:val="231F20"/>
          <w:kern w:val="0"/>
          <w:szCs w:val="21"/>
        </w:rPr>
        <w:t xml:space="preserve">- </w:t>
      </w:r>
      <w:r w:rsidRPr="006D2E27">
        <w:rPr>
          <w:rFonts w:ascii="Times New Roman" w:hAnsi="Times New Roman"/>
          <w:color w:val="231F20"/>
          <w:kern w:val="0"/>
          <w:szCs w:val="21"/>
        </w:rPr>
        <w:t>AGCAG-3'; 806R 5'-GGACTACHVGGGTWTCTAAT-3'), we amplified the</w:t>
      </w:r>
      <w:bookmarkStart w:id="2" w:name="OLE_LINK1"/>
      <w:bookmarkStart w:id="3" w:name="OLE_LINK2"/>
      <w:r w:rsidRPr="006D2E27">
        <w:rPr>
          <w:rFonts w:ascii="Times New Roman" w:hAnsi="Times New Roman"/>
          <w:color w:val="231F20"/>
          <w:kern w:val="0"/>
          <w:szCs w:val="21"/>
        </w:rPr>
        <w:t xml:space="preserve"> V3–V4 region</w:t>
      </w:r>
      <w:bookmarkEnd w:id="2"/>
      <w:bookmarkEnd w:id="3"/>
      <w:r w:rsidRPr="006D2E27">
        <w:rPr>
          <w:rFonts w:ascii="Times New Roman" w:hAnsi="Times New Roman"/>
          <w:color w:val="231F20"/>
          <w:kern w:val="0"/>
          <w:szCs w:val="21"/>
        </w:rPr>
        <w:t xml:space="preserve"> of the bacterial 16S rRNA. All reactions were carried out in 25µl(total volume) mixtures containing approximately 25</w:t>
      </w:r>
      <w:r>
        <w:rPr>
          <w:rFonts w:ascii="Times New Roman" w:hAnsi="Times New Roman"/>
          <w:color w:val="231F20"/>
          <w:kern w:val="0"/>
          <w:szCs w:val="21"/>
        </w:rPr>
        <w:t xml:space="preserve"> </w:t>
      </w:r>
      <w:r w:rsidRPr="006D2E27">
        <w:rPr>
          <w:rFonts w:ascii="Times New Roman" w:hAnsi="Times New Roman"/>
          <w:color w:val="231F20"/>
          <w:kern w:val="0"/>
          <w:szCs w:val="21"/>
        </w:rPr>
        <w:t>ng of genomic DNA extract, 12.5µl PCR Premix, 2.5µl of each primer, and PCR-grade water to adjust the volume. PCR reactions were performed in a Master cycler gradient thermocycler (Eppendorf, Hamburg, Germany) set t</w:t>
      </w:r>
      <w:r w:rsidRPr="00924353">
        <w:rPr>
          <w:rFonts w:ascii="Times New Roman" w:hAnsi="Times New Roman"/>
          <w:color w:val="231F20"/>
          <w:kern w:val="0"/>
          <w:szCs w:val="21"/>
        </w:rPr>
        <w:t>o the following conditions: initial denaturation at 98</w:t>
      </w:r>
      <w:r w:rsidRPr="00924353">
        <w:rPr>
          <w:rFonts w:ascii="SimSun" w:hAnsi="SimSun" w:cs="SimSun" w:hint="eastAsia"/>
          <w:color w:val="231F20"/>
          <w:kern w:val="0"/>
          <w:szCs w:val="21"/>
        </w:rPr>
        <w:t>℃</w:t>
      </w:r>
      <w:r w:rsidRPr="00924353">
        <w:rPr>
          <w:rFonts w:ascii="Times New Roman" w:hAnsi="Times New Roman"/>
          <w:color w:val="231F20"/>
          <w:kern w:val="0"/>
          <w:szCs w:val="21"/>
        </w:rPr>
        <w:t>for 30 seconds; 35cycles of denaturation at 98</w:t>
      </w:r>
      <w:r>
        <w:rPr>
          <w:rFonts w:ascii="Times New Roman" w:hAnsi="Times New Roman"/>
          <w:color w:val="231F20"/>
          <w:kern w:val="0"/>
          <w:szCs w:val="21"/>
        </w:rPr>
        <w:t xml:space="preserve"> </w:t>
      </w:r>
      <w:r w:rsidRPr="00924353">
        <w:rPr>
          <w:rFonts w:ascii="SimSun" w:hAnsi="SimSun" w:cs="SimSun" w:hint="eastAsia"/>
          <w:color w:val="231F20"/>
          <w:kern w:val="0"/>
          <w:szCs w:val="21"/>
        </w:rPr>
        <w:t>℃</w:t>
      </w:r>
      <w:r w:rsidRPr="00924353">
        <w:rPr>
          <w:rFonts w:ascii="Times New Roman" w:hAnsi="Times New Roman"/>
          <w:color w:val="231F20"/>
          <w:kern w:val="0"/>
          <w:szCs w:val="21"/>
        </w:rPr>
        <w:t>for 10 seconds, annealing at 54</w:t>
      </w:r>
      <w:r>
        <w:rPr>
          <w:rFonts w:ascii="Times New Roman" w:hAnsi="Times New Roman"/>
          <w:color w:val="231F20"/>
          <w:kern w:val="0"/>
          <w:szCs w:val="21"/>
        </w:rPr>
        <w:t xml:space="preserve"> </w:t>
      </w:r>
      <w:r w:rsidRPr="00924353">
        <w:rPr>
          <w:rFonts w:ascii="Times New Roman" w:hAnsi="SimSun" w:hint="eastAsia"/>
          <w:color w:val="231F20"/>
          <w:kern w:val="0"/>
          <w:szCs w:val="21"/>
        </w:rPr>
        <w:t>℃</w:t>
      </w:r>
      <w:r w:rsidRPr="00924353">
        <w:rPr>
          <w:rFonts w:ascii="Times New Roman" w:hAnsi="Times New Roman"/>
          <w:color w:val="231F20"/>
          <w:kern w:val="0"/>
          <w:szCs w:val="21"/>
        </w:rPr>
        <w:t>/52</w:t>
      </w:r>
      <w:r>
        <w:rPr>
          <w:rFonts w:ascii="Times New Roman" w:hAnsi="Times New Roman"/>
          <w:color w:val="231F20"/>
          <w:kern w:val="0"/>
          <w:szCs w:val="21"/>
        </w:rPr>
        <w:t xml:space="preserve"> </w:t>
      </w:r>
      <w:r w:rsidRPr="00924353">
        <w:rPr>
          <w:rFonts w:ascii="Times New Roman" w:hAnsi="SimSun" w:hint="eastAsia"/>
          <w:color w:val="231F20"/>
          <w:kern w:val="0"/>
          <w:szCs w:val="21"/>
        </w:rPr>
        <w:t>℃</w:t>
      </w:r>
      <w:r w:rsidRPr="00924353">
        <w:rPr>
          <w:rFonts w:ascii="Times New Roman" w:hAnsi="Times New Roman"/>
          <w:color w:val="231F20"/>
          <w:kern w:val="0"/>
          <w:szCs w:val="21"/>
        </w:rPr>
        <w:t>for 30 seconds, and extension at 72</w:t>
      </w:r>
      <w:r>
        <w:rPr>
          <w:rFonts w:ascii="Times New Roman" w:hAnsi="Times New Roman"/>
          <w:color w:val="231F20"/>
          <w:kern w:val="0"/>
          <w:szCs w:val="21"/>
        </w:rPr>
        <w:t xml:space="preserve"> </w:t>
      </w:r>
      <w:r w:rsidRPr="00924353">
        <w:rPr>
          <w:rFonts w:ascii="Times New Roman" w:hAnsi="SimSun" w:hint="eastAsia"/>
          <w:color w:val="231F20"/>
          <w:kern w:val="0"/>
          <w:szCs w:val="21"/>
        </w:rPr>
        <w:t>℃</w:t>
      </w:r>
      <w:r w:rsidRPr="00924353">
        <w:rPr>
          <w:rFonts w:ascii="Times New Roman" w:hAnsi="Times New Roman"/>
          <w:color w:val="231F20"/>
          <w:kern w:val="0"/>
          <w:szCs w:val="21"/>
        </w:rPr>
        <w:t xml:space="preserve"> for 45 seconds; and then </w:t>
      </w:r>
      <w:r w:rsidRPr="006D2E27">
        <w:rPr>
          <w:rFonts w:ascii="Times New Roman" w:hAnsi="Times New Roman"/>
          <w:color w:val="231F20"/>
          <w:kern w:val="0"/>
          <w:szCs w:val="21"/>
        </w:rPr>
        <w:t>final extension at 72</w:t>
      </w:r>
      <w:r>
        <w:rPr>
          <w:rFonts w:ascii="Times New Roman" w:hAnsi="Times New Roman"/>
          <w:color w:val="231F20"/>
          <w:kern w:val="0"/>
          <w:szCs w:val="21"/>
        </w:rPr>
        <w:t xml:space="preserve"> </w:t>
      </w:r>
      <w:r w:rsidRPr="006D2E27">
        <w:rPr>
          <w:rFonts w:ascii="SimSun" w:hAnsi="SimSun" w:cs="SimSun" w:hint="eastAsia"/>
          <w:color w:val="231F20"/>
          <w:kern w:val="0"/>
          <w:szCs w:val="21"/>
        </w:rPr>
        <w:t>℃</w:t>
      </w:r>
      <w:r w:rsidRPr="006D2E27">
        <w:rPr>
          <w:rFonts w:ascii="Times New Roman" w:hAnsi="Times New Roman"/>
          <w:color w:val="231F20"/>
          <w:kern w:val="0"/>
          <w:szCs w:val="21"/>
        </w:rPr>
        <w:t xml:space="preserve">for 10 minutes. The PCR products were confirmed with 2% agarose gel electrophoresis. Throughout the DNA extraction process, ultrapure water, instead of a sample solution, was used to exclude the possibility of false-positive PCR results as a negative control. The PCR products were normalized by AxyPrep TM Mag PCR Normalizer (Axygen Biosciences, Union City, CA, USA), which allowed for the skipping of the quantifications step regardless of the PCR volume submitted for sequencing. The amplicon pools were prepared for sequencing with AMPure XT beads (Beckman </w:t>
      </w:r>
      <w:r w:rsidRPr="006D2E27">
        <w:rPr>
          <w:rFonts w:ascii="Times New Roman" w:hAnsi="Times New Roman"/>
          <w:color w:val="231F20"/>
          <w:kern w:val="0"/>
          <w:szCs w:val="21"/>
        </w:rPr>
        <w:lastRenderedPageBreak/>
        <w:t>Coulter Genomics, Danvers, MA, USA) and the size and quantity of the amplicon library were assessed on the LabChip GX (Perkin Elmer, Waltham, MA, USA) and with the Library Quantification Kit for Illumina (Kapa Biosciences, Woburn, MA, USA), respectively. PhiX Control library (v3) (Illumina) was combined with the amplicon library (expected at 30%). The library was clustered to a density of approximately 570 K/mm2. The libraries were sequenced either on 300PE MiSeq runs and one library was sequenced with both protocols using the standard Illumina sequencing primers, eliminating the need for a third (or fou</w:t>
      </w:r>
      <w:r w:rsidR="00865998">
        <w:rPr>
          <w:rFonts w:ascii="Times New Roman" w:hAnsi="Times New Roman"/>
          <w:color w:val="231F20"/>
          <w:kern w:val="0"/>
          <w:szCs w:val="21"/>
        </w:rPr>
        <w:t>rth) index read.</w:t>
      </w:r>
      <w:bookmarkStart w:id="4" w:name="_GoBack"/>
      <w:bookmarkEnd w:id="4"/>
    </w:p>
    <w:sectPr w:rsidR="00B74D95" w:rsidRPr="006D2E27" w:rsidSect="00503B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E83" w:rsidRDefault="009D3E83" w:rsidP="00B74D95">
      <w:r>
        <w:separator/>
      </w:r>
    </w:p>
  </w:endnote>
  <w:endnote w:type="continuationSeparator" w:id="0">
    <w:p w:rsidR="009D3E83" w:rsidRDefault="009D3E83" w:rsidP="00B74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E83" w:rsidRDefault="009D3E83" w:rsidP="00B74D95">
      <w:r>
        <w:separator/>
      </w:r>
    </w:p>
  </w:footnote>
  <w:footnote w:type="continuationSeparator" w:id="0">
    <w:p w:rsidR="009D3E83" w:rsidRDefault="009D3E83" w:rsidP="00B74D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74D95"/>
    <w:rsid w:val="00072C34"/>
    <w:rsid w:val="00503BDC"/>
    <w:rsid w:val="006F1952"/>
    <w:rsid w:val="00704C50"/>
    <w:rsid w:val="00865998"/>
    <w:rsid w:val="009D3E83"/>
    <w:rsid w:val="00B74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C368E909-ACD8-463B-B6F8-2D658F4F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3BDC"/>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74D9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B74D95"/>
    <w:rPr>
      <w:sz w:val="18"/>
      <w:szCs w:val="18"/>
    </w:rPr>
  </w:style>
  <w:style w:type="paragraph" w:styleId="Footer">
    <w:name w:val="footer"/>
    <w:basedOn w:val="Normal"/>
    <w:link w:val="FooterChar"/>
    <w:uiPriority w:val="99"/>
    <w:semiHidden/>
    <w:unhideWhenUsed/>
    <w:rsid w:val="00B74D9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B74D9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2128</Characters>
  <Application>Microsoft Office Word</Application>
  <DocSecurity>0</DocSecurity>
  <Lines>17</Lines>
  <Paragraphs>4</Paragraphs>
  <ScaleCrop>false</ScaleCrop>
  <Company/>
  <LinksUpToDate>false</LinksUpToDate>
  <CharactersWithSpaces>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usq</dc:creator>
  <cp:keywords/>
  <dc:description/>
  <cp:lastModifiedBy>Rajalakshmi</cp:lastModifiedBy>
  <cp:revision>5</cp:revision>
  <dcterms:created xsi:type="dcterms:W3CDTF">2017-03-07T08:26:00Z</dcterms:created>
  <dcterms:modified xsi:type="dcterms:W3CDTF">2020-11-23T11:01:00Z</dcterms:modified>
</cp:coreProperties>
</file>