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344AD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lang w:bidi="ar"/>
        </w:rPr>
        <w:t xml:space="preserve">Supporting Information for </w:t>
      </w:r>
    </w:p>
    <w:p w14:paraId="79BE5D63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lang w:bidi="ar"/>
        </w:rPr>
      </w:pPr>
    </w:p>
    <w:p w14:paraId="1711962E">
      <w:pPr>
        <w:suppressLineNumbers/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Eicosadienoic acid </w:t>
      </w:r>
      <w:r>
        <w:rPr>
          <w:rFonts w:hint="eastAsia" w:ascii="Times New Roman" w:hAnsi="Times New Roman" w:cs="Times New Roman"/>
          <w:b/>
          <w:bCs/>
        </w:rPr>
        <w:t>enhances</w:t>
      </w:r>
      <w:r>
        <w:rPr>
          <w:rFonts w:ascii="Times New Roman" w:hAnsi="Times New Roman" w:cs="Times New Roman"/>
          <w:b/>
          <w:bCs/>
        </w:rPr>
        <w:t xml:space="preserve"> antibody production in CHO cells </w:t>
      </w:r>
      <w:r>
        <w:rPr>
          <w:rFonts w:hint="eastAsia" w:ascii="Times New Roman" w:hAnsi="Times New Roman" w:cs="Times New Roman"/>
          <w:b/>
          <w:bCs/>
        </w:rPr>
        <w:t>by</w:t>
      </w:r>
      <w:r>
        <w:rPr>
          <w:rFonts w:ascii="Times New Roman" w:hAnsi="Times New Roman" w:cs="Times New Roman"/>
          <w:b/>
          <w:bCs/>
        </w:rPr>
        <w:t xml:space="preserve"> prolonging culture </w:t>
      </w:r>
      <w:r>
        <w:rPr>
          <w:rFonts w:hint="eastAsia" w:ascii="Times New Roman" w:hAnsi="Times New Roman" w:cs="Times New Roman"/>
          <w:b/>
          <w:bCs/>
        </w:rPr>
        <w:t>longevity</w:t>
      </w:r>
      <w:r>
        <w:rPr>
          <w:rFonts w:ascii="Times New Roman" w:hAnsi="Times New Roman" w:cs="Times New Roman"/>
          <w:b/>
          <w:bCs/>
        </w:rPr>
        <w:t xml:space="preserve"> and attenuating apoptosi</w:t>
      </w:r>
      <w:r>
        <w:rPr>
          <w:rFonts w:hint="eastAsia" w:ascii="Times New Roman" w:hAnsi="Times New Roman" w:cs="Times New Roman"/>
          <w:b/>
          <w:bCs/>
        </w:rPr>
        <w:t>s</w:t>
      </w:r>
    </w:p>
    <w:p w14:paraId="18BB15E4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Xinxin Pei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1#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 Xiaoyi Liu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1#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 Rui Wang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1#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 Tengfei Ma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 Buchang Zhang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bookmarkStart w:id="0" w:name="OLE_LINK5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Changzhi Xu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</w:t>
      </w:r>
      <w:bookmarkEnd w:id="0"/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*</w:t>
      </w:r>
    </w:p>
    <w:p w14:paraId="5C4381A0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4D0C100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" w:name="OLE_LINK2"/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School of Life Sciences and Medical Engineering, Anhui University, Hefei, 230601, PR China</w:t>
      </w:r>
    </w:p>
    <w:p w14:paraId="7788E9B9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Fuyang Tianxiang Food Technology, Co., Ltd., Fuyang, 230600, PR China</w:t>
      </w:r>
    </w:p>
    <w:p w14:paraId="5A7B5E68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These authors contribute to this work equally</w:t>
      </w:r>
    </w:p>
    <w:p w14:paraId="49E1B3E4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Corresponding author: </w:t>
      </w:r>
      <w:r>
        <w:fldChar w:fldCharType="begin"/>
      </w:r>
      <w:r>
        <w:instrText xml:space="preserve"> HYPERLINK "mailto:changzhixu007@163.com" </w:instrText>
      </w:r>
      <w:r>
        <w:fldChar w:fldCharType="separate"/>
      </w:r>
      <w:r>
        <w:rPr>
          <w:rStyle w:val="9"/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changzhixu007@163.com</w:t>
      </w:r>
      <w:r>
        <w:rPr>
          <w:rStyle w:val="9"/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</w:p>
    <w:bookmarkEnd w:id="1"/>
    <w:p w14:paraId="72BF122F">
      <w:pPr>
        <w:suppressLineNumbers/>
        <w:spacing w:line="48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Running title: Eicosadienoic acid enhances antibody expression in CHO cells</w:t>
      </w:r>
    </w:p>
    <w:p w14:paraId="2729858B">
      <w:pPr>
        <w:spacing w:line="360" w:lineRule="auto"/>
        <w:rPr>
          <w:rFonts w:ascii="Times New Roman" w:hAnsi="Times New Roman" w:cs="Times New Roman"/>
          <w:szCs w:val="21"/>
        </w:rPr>
      </w:pPr>
    </w:p>
    <w:p w14:paraId="7EF4F1B2">
      <w:pPr>
        <w:spacing w:line="360" w:lineRule="auto"/>
        <w:rPr>
          <w:rFonts w:ascii="Times New Roman" w:hAnsi="Times New Roman" w:cs="Times New Roman"/>
          <w:szCs w:val="21"/>
        </w:rPr>
      </w:pPr>
    </w:p>
    <w:p w14:paraId="15E92F74">
      <w:pPr>
        <w:spacing w:line="360" w:lineRule="auto"/>
        <w:rPr>
          <w:rFonts w:ascii="Times New Roman" w:hAnsi="Times New Roman" w:cs="Times New Roman"/>
          <w:szCs w:val="21"/>
        </w:rPr>
      </w:pPr>
    </w:p>
    <w:p w14:paraId="2DCE3D4C">
      <w:pPr>
        <w:spacing w:line="360" w:lineRule="auto"/>
        <w:rPr>
          <w:rFonts w:ascii="Times New Roman" w:hAnsi="Times New Roman" w:cs="Times New Roman"/>
          <w:szCs w:val="21"/>
        </w:rPr>
      </w:pPr>
    </w:p>
    <w:p w14:paraId="5C126360">
      <w:pPr>
        <w:spacing w:line="360" w:lineRule="auto"/>
        <w:rPr>
          <w:rFonts w:ascii="Times New Roman" w:hAnsi="Times New Roman" w:cs="Times New Roman"/>
          <w:szCs w:val="21"/>
        </w:rPr>
      </w:pPr>
    </w:p>
    <w:p w14:paraId="487B40C0">
      <w:pPr>
        <w:spacing w:line="360" w:lineRule="auto"/>
        <w:rPr>
          <w:rFonts w:ascii="Times New Roman" w:hAnsi="Times New Roman" w:cs="Times New Roman"/>
          <w:szCs w:val="21"/>
        </w:rPr>
      </w:pPr>
    </w:p>
    <w:p w14:paraId="3B6FEEA6">
      <w:pPr>
        <w:spacing w:line="360" w:lineRule="auto"/>
        <w:rPr>
          <w:rFonts w:ascii="Times New Roman" w:hAnsi="Times New Roman" w:cs="Times New Roman"/>
          <w:szCs w:val="21"/>
        </w:rPr>
      </w:pPr>
    </w:p>
    <w:p w14:paraId="50233B88">
      <w:pPr>
        <w:spacing w:line="360" w:lineRule="auto"/>
        <w:rPr>
          <w:rFonts w:ascii="Times New Roman" w:hAnsi="Times New Roman" w:cs="Times New Roman"/>
          <w:szCs w:val="21"/>
        </w:rPr>
      </w:pPr>
    </w:p>
    <w:p w14:paraId="72AFB974">
      <w:pPr>
        <w:spacing w:line="360" w:lineRule="auto"/>
        <w:rPr>
          <w:rFonts w:ascii="Times New Roman" w:hAnsi="Times New Roman" w:cs="Times New Roman"/>
          <w:szCs w:val="21"/>
        </w:rPr>
      </w:pPr>
    </w:p>
    <w:p w14:paraId="5A6A8A4E">
      <w:pPr>
        <w:spacing w:line="360" w:lineRule="auto"/>
        <w:rPr>
          <w:rFonts w:ascii="Times New Roman" w:hAnsi="Times New Roman" w:cs="Times New Roman"/>
          <w:szCs w:val="21"/>
        </w:rPr>
      </w:pPr>
    </w:p>
    <w:p w14:paraId="4448B338">
      <w:pPr>
        <w:spacing w:line="360" w:lineRule="auto"/>
        <w:rPr>
          <w:rFonts w:ascii="Times New Roman" w:hAnsi="Times New Roman" w:cs="Times New Roman"/>
          <w:szCs w:val="21"/>
        </w:rPr>
      </w:pPr>
    </w:p>
    <w:p w14:paraId="34103FDD">
      <w:pPr>
        <w:spacing w:line="360" w:lineRule="auto"/>
        <w:rPr>
          <w:rFonts w:ascii="Times New Roman" w:hAnsi="Times New Roman" w:cs="Times New Roman"/>
          <w:szCs w:val="21"/>
        </w:rPr>
      </w:pPr>
    </w:p>
    <w:p w14:paraId="6E6ED6ED">
      <w:pPr>
        <w:spacing w:line="360" w:lineRule="auto"/>
        <w:rPr>
          <w:rFonts w:ascii="Times New Roman" w:hAnsi="Times New Roman" w:cs="Times New Roman"/>
          <w:szCs w:val="21"/>
        </w:rPr>
      </w:pPr>
    </w:p>
    <w:p w14:paraId="2D38338A">
      <w:pPr>
        <w:spacing w:line="360" w:lineRule="auto"/>
        <w:rPr>
          <w:rFonts w:ascii="Times New Roman" w:hAnsi="Times New Roman" w:cs="Times New Roman"/>
          <w:szCs w:val="21"/>
        </w:rPr>
      </w:pPr>
    </w:p>
    <w:p w14:paraId="601E0F45">
      <w:pPr>
        <w:spacing w:line="360" w:lineRule="auto"/>
        <w:rPr>
          <w:rFonts w:ascii="Times New Roman" w:hAnsi="Times New Roman" w:cs="Times New Roman"/>
          <w:szCs w:val="21"/>
        </w:rPr>
      </w:pPr>
    </w:p>
    <w:p w14:paraId="624C230A">
      <w:pPr>
        <w:spacing w:line="360" w:lineRule="auto"/>
      </w:pPr>
    </w:p>
    <w:p w14:paraId="1DE91F76">
      <w:pPr>
        <w:spacing w:line="360" w:lineRule="auto"/>
      </w:pPr>
      <w:r>
        <w:drawing>
          <wp:inline distT="0" distB="0" distL="0" distR="0">
            <wp:extent cx="5273675" cy="3534410"/>
            <wp:effectExtent l="0" t="0" r="3175" b="8890"/>
            <wp:docPr id="18395250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25036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15" b="416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53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8A9C4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</w:pP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Fig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.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S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1</w:t>
      </w:r>
      <w:r>
        <w:rPr>
          <w:rStyle w:val="7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Effect of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d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ifferent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f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atty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a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cids on CHO-IgG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c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ell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v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iability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.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br w:type="textWrapping"/>
      </w:r>
      <w:r>
        <w:rPr>
          <w:rStyle w:val="7"/>
          <w:rFonts w:hint="eastAsia" w:ascii="Times New Roman" w:hAnsi="Times New Roman" w:cs="Times New Roman"/>
          <w:bCs/>
          <w:color w:val="0F1115"/>
          <w:sz w:val="21"/>
          <w:szCs w:val="21"/>
          <w:shd w:val="clear" w:color="auto" w:fill="FFFFFF"/>
        </w:rPr>
        <w:t>(A-B)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 xml:space="preserve"> Cell viability of CHO-IgG cells treated with fatty acids at concentrations of 5, 10, 20, and 40 µM for 48 hours, determined by 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the 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>MTT assay.</w:t>
      </w:r>
    </w:p>
    <w:p w14:paraId="31458B03">
      <w:pPr>
        <w:spacing w:line="360" w:lineRule="auto"/>
        <w:rPr>
          <w:rFonts w:ascii="Times New Roman" w:hAnsi="Times New Roman" w:cs="Times New Roman"/>
          <w:szCs w:val="21"/>
        </w:rPr>
      </w:pPr>
    </w:p>
    <w:p w14:paraId="53F2BE84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5273675" cy="1956435"/>
            <wp:effectExtent l="0" t="0" r="3175" b="5715"/>
            <wp:docPr id="5821550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155069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99" b="577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723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3B249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</w:pP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Fig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.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S</w:t>
      </w:r>
      <w:r>
        <w:rPr>
          <w:rStyle w:val="7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 xml:space="preserve">2 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Analysis of EDA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u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tilization in CHO-IgG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c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ells by GC-MS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>.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br w:type="textWrapping"/>
      </w:r>
      <w:r>
        <w:rPr>
          <w:rStyle w:val="7"/>
          <w:rFonts w:hint="eastAsia" w:ascii="Times New Roman" w:hAnsi="Times New Roman" w:cs="Times New Roman"/>
          <w:bCs/>
          <w:color w:val="0F1115"/>
          <w:sz w:val="21"/>
          <w:szCs w:val="21"/>
          <w:shd w:val="clear" w:color="auto" w:fill="FFFFFF"/>
        </w:rPr>
        <w:t>(A)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> Retention time and peak areas of EDA methyl ester standards detected by GC-MS.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hint="eastAsia" w:ascii="Times New Roman" w:hAnsi="Times New Roman" w:cs="Times New Roman"/>
          <w:bCs/>
          <w:color w:val="0F1115"/>
          <w:sz w:val="21"/>
          <w:szCs w:val="21"/>
          <w:shd w:val="clear" w:color="auto" w:fill="FFFFFF"/>
        </w:rPr>
        <w:t>(B)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> Standard curve generated from the concentration of EDA methyl ester versus its peak area.</w:t>
      </w:r>
      <w:r>
        <w:rPr>
          <w:rFonts w:hint="eastAsia" w:ascii="Times New Rom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hint="eastAsia" w:ascii="Times New Roman" w:hAnsi="Times New Roman" w:cs="Times New Roman"/>
          <w:bCs/>
          <w:color w:val="0F1115"/>
          <w:sz w:val="21"/>
          <w:szCs w:val="21"/>
          <w:shd w:val="clear" w:color="auto" w:fill="FFFFFF"/>
        </w:rPr>
        <w:t>(C)</w:t>
      </w:r>
      <w:r>
        <w:rPr>
          <w:rFonts w:ascii="Times New Roman" w:hAnsi="Times New Roman" w:eastAsia="Segoe UI" w:cs="Times New Roman"/>
          <w:color w:val="0F1115"/>
          <w:sz w:val="21"/>
          <w:szCs w:val="21"/>
          <w:shd w:val="clear" w:color="auto" w:fill="FFFFFF"/>
        </w:rPr>
        <w:t> Changes in the intracellular concentration of EDA in CHO-IgG cells from day 2 to day 14 after EDA supplementation.</w:t>
      </w:r>
    </w:p>
    <w:p w14:paraId="315B5650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</w:pPr>
    </w:p>
    <w:p w14:paraId="180B12F5">
      <w:pPr>
        <w:pStyle w:val="4"/>
        <w:widowControl/>
        <w:shd w:val="clear" w:color="auto" w:fill="FFFFFF"/>
        <w:spacing w:before="160" w:after="160" w:line="360" w:lineRule="auto"/>
        <w:rPr>
          <w:rStyle w:val="7"/>
          <w:rFonts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  <w:drawing>
          <wp:inline distT="0" distB="0" distL="0" distR="0">
            <wp:extent cx="5273675" cy="4187190"/>
            <wp:effectExtent l="0" t="0" r="3175" b="3810"/>
            <wp:docPr id="5721034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03461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3" b="401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75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Fig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.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S</w:t>
      </w:r>
      <w:r>
        <w:rPr>
          <w:rStyle w:val="7"/>
          <w:rFonts w:ascii="Times New Roman" w:hAnsi="Times New Roman" w:eastAsia="宋体" w:cs="Times New Roman"/>
          <w:b w:val="0"/>
          <w:color w:val="0F1115"/>
          <w:sz w:val="21"/>
          <w:szCs w:val="21"/>
          <w:shd w:val="clear" w:color="auto" w:fill="FFFFFF"/>
        </w:rPr>
        <w:t>3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 Effect of EDA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a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ddition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t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iming on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a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ntibody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e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 xml:space="preserve">xpression in CHO-IgG 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c</w:t>
      </w:r>
      <w:r>
        <w:rPr>
          <w:rStyle w:val="7"/>
          <w:rFonts w:ascii="Times New Roman" w:hAnsi="Times New Roman" w:eastAsia="Segoe UI" w:cs="Times New Roman"/>
          <w:b w:val="0"/>
          <w:color w:val="0F1115"/>
          <w:sz w:val="21"/>
          <w:szCs w:val="21"/>
          <w:shd w:val="clear" w:color="auto" w:fill="FFFFFF"/>
        </w:rPr>
        <w:t>ells</w:t>
      </w:r>
      <w:r>
        <w:rPr>
          <w:rStyle w:val="7"/>
          <w:rFonts w:hint="eastAsia" w:ascii="Times New Roman" w:hAnsi="Times New Roman" w:cs="Times New Roman"/>
          <w:b w:val="0"/>
          <w:color w:val="0F1115"/>
          <w:sz w:val="21"/>
          <w:szCs w:val="21"/>
          <w:shd w:val="clear" w:color="auto" w:fill="FFFFFF"/>
        </w:rPr>
        <w:t>.</w:t>
      </w:r>
    </w:p>
    <w:p w14:paraId="7BE2F6F3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cs="Times New Roman"/>
          <w:b/>
          <w:bCs/>
          <w:color w:val="0F1115"/>
          <w:sz w:val="21"/>
          <w:szCs w:val="21"/>
        </w:rPr>
        <w:t>(A-D)</w:t>
      </w:r>
      <w:r>
        <w:rPr>
          <w:rFonts w:hint="eastAsia" w:ascii="Times New Roman" w:hAnsi="Times New Roman" w:cs="Times New Roman"/>
          <w:color w:val="0F1115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F1115"/>
          <w:sz w:val="21"/>
          <w:szCs w:val="21"/>
        </w:rPr>
        <w:t>In the batch culture, EDA (10 µM) was added to the CHO-IgG cells on days 4, 8, and 12. The supernatant was then collected on day 26, and the antibody titer (</w:t>
      </w:r>
      <w:r>
        <w:rPr>
          <w:rFonts w:ascii="Times New Roman" w:hAnsi="Times New Roman" w:cs="Times New Roman"/>
          <w:b/>
          <w:bCs/>
          <w:color w:val="0F1115"/>
          <w:sz w:val="21"/>
          <w:szCs w:val="21"/>
        </w:rPr>
        <w:t>A</w:t>
      </w:r>
      <w:r>
        <w:rPr>
          <w:rFonts w:ascii="Times New Roman" w:hAnsi="Times New Roman" w:cs="Times New Roman"/>
          <w:color w:val="0F1115"/>
          <w:sz w:val="21"/>
          <w:szCs w:val="21"/>
        </w:rPr>
        <w:t>) and specific productivity (</w:t>
      </w:r>
      <w:r>
        <w:rPr>
          <w:rFonts w:ascii="Times New Roman" w:hAnsi="Times New Roman" w:cs="Times New Roman"/>
          <w:b/>
          <w:bCs/>
          <w:color w:val="0F1115"/>
          <w:sz w:val="21"/>
          <w:szCs w:val="21"/>
        </w:rPr>
        <w:t>B</w:t>
      </w:r>
      <w:r>
        <w:rPr>
          <w:rFonts w:ascii="Times New Roman" w:hAnsi="Times New Roman" w:cs="Times New Roman"/>
          <w:color w:val="0F1115"/>
          <w:sz w:val="21"/>
          <w:szCs w:val="21"/>
        </w:rPr>
        <w:t>) were measured.</w:t>
      </w:r>
      <w:r>
        <w:t xml:space="preserve"> </w:t>
      </w:r>
      <w:r>
        <w:rPr>
          <w:rFonts w:ascii="Times New Roman" w:hAnsi="Times New Roman" w:cs="Times New Roman"/>
          <w:color w:val="0F1115"/>
          <w:sz w:val="21"/>
          <w:szCs w:val="21"/>
        </w:rPr>
        <w:t>In fed-batch culture, EDA (10 µM) was added on days 3, 6, 9, and 12. The supernatant from CHO-IgG cells was then collected on day 26 for the determination of antibody titer (</w:t>
      </w:r>
      <w:r>
        <w:rPr>
          <w:rFonts w:hint="eastAsia" w:ascii="Times New Roman" w:hAnsi="Times New Roman" w:cs="Times New Roman"/>
          <w:b/>
          <w:bCs/>
          <w:color w:val="0F1115"/>
          <w:sz w:val="21"/>
          <w:szCs w:val="21"/>
        </w:rPr>
        <w:t>C</w:t>
      </w:r>
      <w:r>
        <w:rPr>
          <w:rFonts w:ascii="Times New Roman" w:hAnsi="Times New Roman" w:cs="Times New Roman"/>
          <w:color w:val="0F1115"/>
          <w:sz w:val="21"/>
          <w:szCs w:val="21"/>
        </w:rPr>
        <w:t>) and specific productivity (</w:t>
      </w:r>
      <w:r>
        <w:rPr>
          <w:rFonts w:hint="eastAsia" w:ascii="Times New Roman" w:hAnsi="Times New Roman" w:cs="Times New Roman"/>
          <w:b/>
          <w:bCs/>
          <w:color w:val="0F1115"/>
          <w:sz w:val="21"/>
          <w:szCs w:val="21"/>
        </w:rPr>
        <w:t>D</w:t>
      </w:r>
      <w:r>
        <w:rPr>
          <w:rFonts w:ascii="Times New Roman" w:hAnsi="Times New Roman" w:cs="Times New Roman"/>
          <w:color w:val="0F1115"/>
          <w:sz w:val="21"/>
          <w:szCs w:val="21"/>
        </w:rPr>
        <w:t>).</w:t>
      </w:r>
    </w:p>
    <w:p w14:paraId="4D28C016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</w:rPr>
      </w:pPr>
    </w:p>
    <w:p w14:paraId="2F5DF6EB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</w:rPr>
      </w:pPr>
    </w:p>
    <w:p w14:paraId="42D65091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</w:rPr>
      </w:pPr>
    </w:p>
    <w:p w14:paraId="32DD912F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</w:rPr>
      </w:pPr>
      <w:r>
        <w:drawing>
          <wp:inline distT="0" distB="0" distL="0" distR="0">
            <wp:extent cx="5274310" cy="4210050"/>
            <wp:effectExtent l="0" t="0" r="2540" b="0"/>
            <wp:docPr id="12298364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3649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78EFD">
      <w:pPr>
        <w:pStyle w:val="4"/>
        <w:spacing w:line="360" w:lineRule="auto"/>
        <w:rPr>
          <w:rFonts w:ascii="Times New Roman" w:hAnsi="Times New Roman" w:cs="Times New Roman"/>
          <w:color w:val="0F1115"/>
          <w:sz w:val="21"/>
          <w:szCs w:val="21"/>
        </w:rPr>
      </w:pPr>
      <w:r>
        <w:rPr>
          <w:rFonts w:ascii="Times New Roman" w:hAnsi="Times New Roman" w:cs="Times New Roman"/>
          <w:color w:val="0F1115"/>
          <w:sz w:val="21"/>
          <w:szCs w:val="21"/>
        </w:rPr>
        <w:t>Fig. S</w:t>
      </w:r>
      <w:r>
        <w:rPr>
          <w:rFonts w:hint="eastAsia" w:ascii="Times New Roman" w:hAnsi="Times New Roman" w:cs="Times New Roman"/>
          <w:color w:val="0F1115"/>
          <w:sz w:val="21"/>
          <w:szCs w:val="21"/>
          <w:lang w:val="en-US" w:eastAsia="zh-CN"/>
        </w:rPr>
        <w:t>4</w:t>
      </w:r>
      <w:r>
        <w:rPr>
          <w:rFonts w:ascii="Times New Roman" w:hAnsi="Times New Roman" w:cs="Times New Roman"/>
          <w:color w:val="0F1115"/>
          <w:sz w:val="21"/>
          <w:szCs w:val="21"/>
        </w:rPr>
        <w:t xml:space="preserve"> Effect of EDA addition timing on antibody expression in CHO-IgG cells.</w:t>
      </w:r>
    </w:p>
    <w:p w14:paraId="6B7178B8">
      <w:pPr>
        <w:pStyle w:val="4"/>
        <w:spacing w:line="360" w:lineRule="auto"/>
        <w:rPr>
          <w:rFonts w:ascii="Times New Roman" w:hAnsi="Times New Roman" w:cs="Times New Roman"/>
          <w:color w:val="0F1115"/>
          <w:sz w:val="21"/>
          <w:szCs w:val="21"/>
        </w:rPr>
      </w:pPr>
      <w:bookmarkStart w:id="2" w:name="_GoBack"/>
      <w:bookmarkEnd w:id="2"/>
    </w:p>
    <w:p w14:paraId="60EA244B">
      <w:pPr>
        <w:pStyle w:val="4"/>
        <w:spacing w:line="360" w:lineRule="auto"/>
        <w:rPr>
          <w:rFonts w:hint="eastAsia" w:ascii="Times New Roman" w:hAnsi="Times New Roman" w:cs="Times New Roman"/>
          <w:color w:val="0F1115"/>
          <w:sz w:val="21"/>
          <w:szCs w:val="21"/>
        </w:rPr>
      </w:pPr>
      <w:r>
        <w:rPr>
          <w:rFonts w:ascii="Times New Roman" w:hAnsi="Times New Roman" w:cs="Times New Roman"/>
          <w:color w:val="0F1115"/>
          <w:sz w:val="21"/>
          <w:szCs w:val="21"/>
        </w:rPr>
        <w:t>(A-B) In the batch culture, IVCD (A) and Qp (B) of CHO-IgG cells were measured following the addition of Ethanol or EDA (10 µM) on day 8.</w:t>
      </w:r>
      <w:r>
        <w:rPr>
          <w:rFonts w:hint="eastAsia" w:ascii="Times New Roman" w:hAnsi="Times New Roman" w:cs="Times New Roman"/>
          <w:color w:val="0F1115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F1115"/>
          <w:sz w:val="21"/>
          <w:szCs w:val="21"/>
        </w:rPr>
        <w:t xml:space="preserve">(C-D) In the fed-batch culture, IVCD (C) and Qp (D) of CHO-IgG cells were measured following the addition of Ethanol or EDA on day 6. </w:t>
      </w:r>
    </w:p>
    <w:p w14:paraId="5563DD66">
      <w:pPr>
        <w:pStyle w:val="4"/>
        <w:spacing w:line="360" w:lineRule="auto"/>
        <w:rPr>
          <w:rFonts w:ascii="Times New Roman" w:hAnsi="Times New Roman" w:cs="Times New Roman"/>
          <w:color w:val="0F1115"/>
          <w:sz w:val="21"/>
          <w:szCs w:val="21"/>
        </w:rPr>
      </w:pPr>
    </w:p>
    <w:p w14:paraId="58E28D22">
      <w:pPr>
        <w:pStyle w:val="4"/>
        <w:widowControl/>
        <w:shd w:val="clear" w:color="auto" w:fill="FFFFFF"/>
        <w:spacing w:before="160" w:after="160" w:line="360" w:lineRule="auto"/>
        <w:rPr>
          <w:rFonts w:ascii="Times New Roman" w:hAnsi="Times New Roman" w:cs="Times New Roman"/>
          <w:color w:val="0F1115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033F5"/>
    <w:rsid w:val="00020477"/>
    <w:rsid w:val="00023C43"/>
    <w:rsid w:val="00054227"/>
    <w:rsid w:val="00095847"/>
    <w:rsid w:val="000E11AA"/>
    <w:rsid w:val="00104A7D"/>
    <w:rsid w:val="001575BA"/>
    <w:rsid w:val="0017380C"/>
    <w:rsid w:val="001A13E9"/>
    <w:rsid w:val="00210B1E"/>
    <w:rsid w:val="002A0112"/>
    <w:rsid w:val="002A6B7F"/>
    <w:rsid w:val="0034658A"/>
    <w:rsid w:val="00376BFF"/>
    <w:rsid w:val="00390199"/>
    <w:rsid w:val="003B3480"/>
    <w:rsid w:val="0041126C"/>
    <w:rsid w:val="00473F8C"/>
    <w:rsid w:val="004832BB"/>
    <w:rsid w:val="004C67D6"/>
    <w:rsid w:val="00527A63"/>
    <w:rsid w:val="0056252A"/>
    <w:rsid w:val="00567107"/>
    <w:rsid w:val="005742B7"/>
    <w:rsid w:val="00576D3D"/>
    <w:rsid w:val="00585659"/>
    <w:rsid w:val="005A1335"/>
    <w:rsid w:val="005F0F73"/>
    <w:rsid w:val="00684E9A"/>
    <w:rsid w:val="006C336E"/>
    <w:rsid w:val="006C7EC1"/>
    <w:rsid w:val="006E727D"/>
    <w:rsid w:val="006F6917"/>
    <w:rsid w:val="00703D41"/>
    <w:rsid w:val="00715200"/>
    <w:rsid w:val="007963F9"/>
    <w:rsid w:val="007A04C0"/>
    <w:rsid w:val="007B15C6"/>
    <w:rsid w:val="007D2CF5"/>
    <w:rsid w:val="0080144E"/>
    <w:rsid w:val="00830C3A"/>
    <w:rsid w:val="0085582D"/>
    <w:rsid w:val="00871B84"/>
    <w:rsid w:val="00874336"/>
    <w:rsid w:val="00876DA8"/>
    <w:rsid w:val="008D3603"/>
    <w:rsid w:val="009720A8"/>
    <w:rsid w:val="009B4E0D"/>
    <w:rsid w:val="009D15B9"/>
    <w:rsid w:val="009D6D11"/>
    <w:rsid w:val="00A147FB"/>
    <w:rsid w:val="00A21162"/>
    <w:rsid w:val="00A3721B"/>
    <w:rsid w:val="00A77FBF"/>
    <w:rsid w:val="00A920B9"/>
    <w:rsid w:val="00AE758B"/>
    <w:rsid w:val="00AF0C4E"/>
    <w:rsid w:val="00B6542C"/>
    <w:rsid w:val="00B70A43"/>
    <w:rsid w:val="00BB6DA2"/>
    <w:rsid w:val="00C87163"/>
    <w:rsid w:val="00CF0F87"/>
    <w:rsid w:val="00D10028"/>
    <w:rsid w:val="00D609EA"/>
    <w:rsid w:val="00D654B3"/>
    <w:rsid w:val="00D97CDD"/>
    <w:rsid w:val="00DD5C4C"/>
    <w:rsid w:val="00DE56EA"/>
    <w:rsid w:val="00E533A1"/>
    <w:rsid w:val="00E76746"/>
    <w:rsid w:val="00E91C6B"/>
    <w:rsid w:val="00EB7232"/>
    <w:rsid w:val="00F2485C"/>
    <w:rsid w:val="00F57075"/>
    <w:rsid w:val="00FC04A4"/>
    <w:rsid w:val="00FF3E86"/>
    <w:rsid w:val="04A70C4D"/>
    <w:rsid w:val="0DAB3CA6"/>
    <w:rsid w:val="146952EF"/>
    <w:rsid w:val="1A0B2287"/>
    <w:rsid w:val="2A6C6DBE"/>
    <w:rsid w:val="2D2033F5"/>
    <w:rsid w:val="30154853"/>
    <w:rsid w:val="497E18B7"/>
    <w:rsid w:val="4C397AD5"/>
    <w:rsid w:val="53D56516"/>
    <w:rsid w:val="56E979A0"/>
    <w:rsid w:val="5D843B5A"/>
    <w:rsid w:val="5FA85ACD"/>
    <w:rsid w:val="73B13C7D"/>
    <w:rsid w:val="7B38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96607D"/>
      <w:u w:val="single"/>
    </w:rPr>
  </w:style>
  <w:style w:type="character" w:styleId="9">
    <w:name w:val="Hyperlink"/>
    <w:basedOn w:val="6"/>
    <w:qFormat/>
    <w:uiPriority w:val="0"/>
    <w:rPr>
      <w:color w:val="467886"/>
      <w:u w:val="single"/>
    </w:rPr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329</Words>
  <Characters>1660</Characters>
  <Lines>63</Lines>
  <Paragraphs>17</Paragraphs>
  <TotalTime>125</TotalTime>
  <ScaleCrop>false</ScaleCrop>
  <LinksUpToDate>false</LinksUpToDate>
  <CharactersWithSpaces>1975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2025-10-25T02:34:00Z</dcterms:created>
  <dc:creator>村上翠花</dc:creator>
  <cp:lastModifiedBy>无关痛痒</cp:lastModifiedBy>
  <dcterms:modified xsi:type="dcterms:W3CDTF">2026-03-28T13:23:35Z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3AFC6D15BAE74516BFDC0C2586DF64A3</vt:lpwstr>
  </property>
  <property fmtid="{D5CDD505-2E9C-101B-9397-08002B2CF9AE}" pid="4" name="KSOTemplateDocerSaveRecord">
    <vt:lpwstr>eyJoZGlkIjoiNWNmNzhlMWNlODdkZTI3MjA2N2VkNGEwNTY0Yjc4ZGIiLCJ1c2VySWQiOiIzNzc3NDQ0NzcifQ==</vt:lpwstr>
  </property>
</Properties>
</file>