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pPr>
      <w:r>
        <w:rPr>
          <w:rFonts w:ascii="Times New Roman" w:hAnsi="Times New Roman" w:eastAsia="Times New Roman"/>
          <w:b/>
          <w:sz w:val="28"/>
        </w:rPr>
        <w:t>Supplementary Materials 1</w:t>
      </w:r>
    </w:p>
    <w:p>
      <w:pPr>
        <w:spacing w:line="360" w:lineRule="auto"/>
        <w:jc w:val="left"/>
      </w:pPr>
      <w:r>
        <w:rPr>
          <w:rFonts w:ascii="Times New Roman" w:hAnsi="Times New Roman" w:eastAsia="Times New Roman"/>
          <w:b/>
          <w:sz w:val="24"/>
        </w:rPr>
        <w:t>1. Detailed Information on GWAS Data Used in This Study</w:t>
      </w:r>
    </w:p>
    <w:p>
      <w:pPr>
        <w:spacing w:line="360" w:lineRule="auto"/>
        <w:jc w:val="left"/>
      </w:pPr>
      <w:r>
        <w:rPr>
          <w:rFonts w:ascii="Times New Roman" w:hAnsi="Times New Roman" w:eastAsia="Times New Roman"/>
          <w:b/>
          <w:sz w:val="24"/>
        </w:rPr>
        <w:t>1.1 Specific Information on Gut, Skin, and Oral Microbiota Data Sources</w:t>
      </w:r>
    </w:p>
    <w:p>
      <w:pPr>
        <w:spacing w:line="360" w:lineRule="auto"/>
        <w:jc w:val="both"/>
      </w:pPr>
      <w:r>
        <w:rPr>
          <w:rFonts w:ascii="Times New Roman" w:hAnsi="Times New Roman" w:eastAsia="Times New Roman"/>
          <w:b w:val="0"/>
          <w:i w:val="0"/>
          <w:sz w:val="24"/>
        </w:rPr>
        <w:t xml:space="preserve">The genetic data for gut microbiota were sourced from the Dutch Microbiome Project (DMP), a parallel project of the multidisciplinary prospective population cohort study LifeLines. The LifeLines study was approved by the Medical Ethics Committee of the University Medical Center Groningen (METc number 2017/152). A total of 7,738 DMP participants were included, comprising males and females from the Netherlands aged between 8 and 84 years. Shotgun metagenomic sequencing was performed using the Illumina HiSeq 2000 platform. Sequencing data were preprocessed using KneadData (v0.5) to remove low-quality reads and host contamination. Taxonomic composition was determined using MetaPhlAn2 (v2.7.2), and functional profiling was performed using the DIAMOND alignment tool against existing reference databases. After quality control filtering, 207 microbial taxa (5 phyla, 10 classes, 13 orders, 26 families, 48 genera, and 105 species) and 205 representative microbial functional pathways were retained for genome-wide association analysis. GWAS summary statistics are publicly available from the GWAS Catalog (accession numbers GCST90027446–GCST90027857; </w:t>
      </w:r>
      <w:hyperlink r:id="rId9">
        <w:r>
          <w:rPr>
            <w:color w:val="0563C1"/>
            <w:u w:val="single"/>
            <w:rStyle w:val="Hyperlink"/>
            <w:sz w:val="24"/>
            <w:szCs w:val="24"/>
            <w:rFonts w:ascii="Times New Roman" w:hAnsi="Times New Roman"/>
          </w:rPr>
          <w:t xml:space="preserve">https://www.ebi.ac.uk/gwas/</w:t>
        </w:r>
      </w:hyperlink>
      <w:r>
        <w:rPr>
          <w:rFonts w:ascii="Times New Roman" w:hAnsi="Times New Roman"/>
          <w:sz w:val="24"/>
        </w:rPr>
        <w:t>).</w:t>
      </w:r>
    </w:p>
    <w:p>
      <w:pPr>
        <w:spacing w:line="360" w:lineRule="auto"/>
        <w:jc w:val="both"/>
      </w:pPr>
      <w:r>
        <w:rPr>
          <w:rFonts w:ascii="Times New Roman" w:hAnsi="Times New Roman" w:eastAsia="Times New Roman"/>
          <w:b w:val="0"/>
          <w:i w:val="0"/>
          <w:sz w:val="24"/>
        </w:rPr>
        <w:t xml:space="preserve">The genetic data for skin microbiota were derived from a study sequencing the V1–V2 region of the 16S ribosomal RNA (rRNA) gene. Participants were recruited from two German cohorts: the PopGen cohort (randomly recruited through the local population registry in Kiel, Germany) and the KORA FF4 cohort (recruited from two regions in and around the southern German city of Augsburg). All study participants provided written informed consent, and all protocols were approved by the ethics committees of the Medical Faculty of Kiel University (PopGen) and the Bavarian Medical Association (KORA). A total of 647 participants contributed 1,794 skin samples collected from three skin microenvironments: moist skin (elbow fossa of PopGen and KORA FF4), sebaceous skin (retroauricular fold of KORA FF4 and forehead of PopGen), and dry skin (volar and dorsal forearm of PopGen). PCR amplification of the V1–V2 variable region of the 16S rRNA gene was performed using unidirectional primers 27F and 338R, followed by sequencing on Illumina MiSeq using MiSeq Reagent Kit v3. Samples not meeting quality criteria were excluded. Microbial composition was determined using 16S rRNA gene sequencing, yielding 150 microbial features after quality filtering. GWAS summary statistics are available from the GWAS Catalog (accession numbers GCST90133164–GCST90133313; </w:t>
      </w:r>
      <w:hyperlink r:id="rId9">
        <w:r>
          <w:rPr>
            <w:color w:val="0563C1"/>
            <w:u w:val="single"/>
            <w:rStyle w:val="Hyperlink"/>
            <w:sz w:val="24"/>
            <w:szCs w:val="24"/>
            <w:rFonts w:ascii="Times New Roman" w:hAnsi="Times New Roman"/>
          </w:rPr>
          <w:t xml:space="preserve">https://www.ebi.ac.uk/gwas/</w:t>
        </w:r>
      </w:hyperlink>
      <w:r>
        <w:rPr>
          <w:rFonts w:ascii="Times New Roman" w:hAnsi="Times New Roman"/>
          <w:sz w:val="24"/>
        </w:rPr>
        <w:t>).</w:t>
      </w:r>
    </w:p>
    <w:p>
      <w:pPr>
        <w:spacing w:line="360" w:lineRule="auto"/>
        <w:jc w:val="both"/>
      </w:pPr>
      <w:r>
        <w:rPr>
          <w:rFonts w:ascii="Times New Roman" w:hAnsi="Times New Roman" w:eastAsia="Times New Roman"/>
          <w:b w:val="0"/>
          <w:i w:val="0"/>
          <w:sz w:val="24"/>
        </w:rPr>
        <w:t xml:space="preserve">The genetic data for oral microbiota were obtained from the 4D-SZ multi-omics study involving 2,984 healthy Chinese adults. The study was approved by the Institutional Review Board (IRB) of BGI Shenzhen, and all participants provided written informed consent at the time of enrollment. Blood samples were collected in 2017, and 3,932 oral samples (2,017 tongue coating samples and 1,915 saliva samples) were collected between 2017 and 2018. Whole-genome sequencing was performed on blood samples, with reads aligned to the human reference genome GRCh38/hg38 using BWA (v0.7.15). Indexing was performed using Samtools (v0.1.18) in BAM format, and PCR duplicate sequences were labeled using Picard tools for filtering. The Genome Analysis Toolkit (GATK, v3.8) was used to create recalibration tables for known SNPs, followed by base quality recalibration using GATKlite (v2.2.15). Metagenomic sequencing was performed on the BGISEQ-500 platform. Oral metagenomic sequencing reads were mapped to an established oral genome catalog to obtain normalized continuous depth, which was converted into relative abundance values for each species in each sample. The relative abundances of all representative species were merged to generate a comprehensive taxonomic profile of the oral microbiota, yielding 3,117 microbial features. GWAS summary statistics are available from the China National GeneBank (accession number CNP0001664; </w:t>
      </w:r>
      <w:hyperlink r:id="rId10">
        <w:r>
          <w:rPr>
            <w:color w:val="0563C1"/>
            <w:u w:val="single"/>
            <w:rStyle w:val="Hyperlink"/>
            <w:sz w:val="24"/>
            <w:szCs w:val="24"/>
            <w:rFonts w:ascii="Times New Roman" w:hAnsi="Times New Roman"/>
          </w:rPr>
          <w:t xml:space="preserve">https://db.cngb.org/search/project/CNP0001664</w:t>
        </w:r>
      </w:hyperlink>
      <w:r>
        <w:rPr>
          <w:rFonts w:ascii="Times New Roman" w:hAnsi="Times New Roman"/>
          <w:sz w:val="24"/>
        </w:rPr>
        <w:t>).</w:t>
      </w:r>
    </w:p>
    <w:p>
      <w:pPr>
        <w:spacing w:line="360" w:lineRule="auto"/>
        <w:jc w:val="left"/>
      </w:pPr>
      <w:r>
        <w:rPr>
          <w:rFonts w:ascii="Times New Roman" w:hAnsi="Times New Roman" w:eastAsia="Times New Roman"/>
          <w:b/>
          <w:sz w:val="24"/>
        </w:rPr>
        <w:t>1.2 Specific Information on Data Sources for Inflammatory Skin Diseases in the European Population</w:t>
      </w:r>
    </w:p>
    <w:p>
      <w:pPr>
        <w:spacing w:line="360" w:lineRule="auto"/>
        <w:jc w:val="both"/>
      </w:pPr>
      <w:r>
        <w:rPr>
          <w:rFonts w:ascii="Times New Roman" w:hAnsi="Times New Roman" w:eastAsia="Times New Roman"/>
          <w:b w:val="0"/>
          <w:i w:val="0"/>
          <w:sz w:val="24"/>
        </w:rPr>
        <w:t>The GWAS data for psoriasis, atopic dermatitis, acne, seborrheic dermatitis, and urticaria in European populations were all obtained from the FinnGen consortium, Release 10 (R10), published in 2023 (</w:t>
      </w:r>
      <w:hyperlink r:id="rId11">
        <w:r>
          <w:rPr>
            <w:color w:val="0563C1"/>
            <w:u w:val="single"/>
            <w:rStyle w:val="Hyperlink"/>
            <w:sz w:val="24"/>
            <w:szCs w:val="24"/>
            <w:rFonts w:ascii="Times New Roman" w:hAnsi="Times New Roman"/>
          </w:rPr>
          <w:t xml:space="preserve">https://r10.risteys.finngen.fi/</w:t>
        </w:r>
      </w:hyperlink>
      <w:r>
        <w:rPr>
          <w:rFonts w:ascii="Times New Roman" w:hAnsi="Times New Roman"/>
          <w:sz w:val="24"/>
        </w:rPr>
        <w:t>). All FinnGen studies were approved by the Coordinating Ethics Committee of the Helsinki and Uusimaa Hospital District. Detailed characteristics of each disease cohort are described below.</w:t>
      </w:r>
    </w:p>
    <w:p>
      <w:pPr>
        <w:spacing w:line="360" w:lineRule="auto"/>
        <w:jc w:val="both"/>
      </w:pPr>
      <w:r>
        <w:rPr>
          <w:rFonts w:ascii="Times New Roman" w:hAnsi="Times New Roman" w:eastAsia="Times New Roman"/>
          <w:b w:val="0"/>
          <w:i w:val="0"/>
          <w:sz w:val="24"/>
        </w:rPr>
        <w:t>Psoriasis: Diagnostic criteria were based on ICD-10 code L40. A total of 10,312 psoriasis patients (5,400 females and 4,912 males) and 212,242 healthy controls were included, with 21,306,286 SNPs detected. Registry information includes the mean age of first onset (males: 50.90 years, females: 48.56 years, overall: 49.67 years), age range distribution of first onset (50–60 years most common, 40–50 years second), cumulative incidence (reaching approximately 4% for both sexes), prevalence (males: 2.70%, females: 2.35%, overall: 2.50%), and mortality (0.00 at 1 year, 0.00 at 5 years, 0.01 at 15 years, 0.05 for the complete cycle from 1998 to 2019).</w:t>
      </w:r>
    </w:p>
    <w:p>
      <w:pPr>
        <w:spacing w:line="360" w:lineRule="auto"/>
        <w:jc w:val="both"/>
      </w:pPr>
      <w:r>
        <w:rPr>
          <w:rFonts w:ascii="Times New Roman" w:hAnsi="Times New Roman" w:eastAsia="Times New Roman"/>
          <w:b w:val="0"/>
          <w:i w:val="0"/>
          <w:sz w:val="24"/>
        </w:rPr>
        <w:t>Atopic dermatitis: Diagnostic criteria were based on ICD-10 code L20. A total of 15,208 patients (10,846 females and 4,362 males) and 367,046 healthy controls were included, with 21,305,750 SNPs detected. The mean age of first onset was 29.38 years for males, 30.13 years for females, and 29.92 years overall. The age range distribution of first onset was most common at 20–30 years, followed by 0–10 years. Cumulative incidence reached approximately 6% for females and 3% for males. Prevalence was 2.40% for males, 4.71% for females, and 3.69% overall.</w:t>
      </w:r>
    </w:p>
    <w:p>
      <w:pPr>
        <w:spacing w:line="360" w:lineRule="auto"/>
        <w:jc w:val="both"/>
      </w:pPr>
      <w:r>
        <w:rPr>
          <w:rFonts w:ascii="Times New Roman" w:hAnsi="Times New Roman" w:eastAsia="Times New Roman"/>
          <w:b w:val="0"/>
          <w:i w:val="0"/>
          <w:sz w:val="24"/>
        </w:rPr>
        <w:t>Acne: Diagnostic criteria were based on ICD-10 code L70. A total of 3,245 acne patients (2,068 females and 1,177 males) and 394,105 healthy controls were included, with 21,306,099 SNPs detected. The mean age of first onset was 27.27 years for males, 28.43 years for females, and 28.01 years overall. Prevalence was 0.65% for males, 0.90% for females, and 0.79% overall.</w:t>
      </w:r>
    </w:p>
    <w:p>
      <w:pPr>
        <w:spacing w:line="360" w:lineRule="auto"/>
        <w:jc w:val="both"/>
      </w:pPr>
      <w:r>
        <w:rPr>
          <w:rFonts w:ascii="Times New Roman" w:hAnsi="Times New Roman" w:eastAsia="Times New Roman"/>
          <w:b w:val="0"/>
          <w:i w:val="0"/>
          <w:sz w:val="24"/>
        </w:rPr>
        <w:t>Seborrheic dermatitis: Diagnostic criteria were based on ICD-10 code L21. A total of 2,949 patients (1,236 females and 1,713 males) and 367,046 healthy controls were included, with 21,305,446 SNPs detected. The mean age of first onset was 56.30 years for males, 48.19 years for females, and 52.90 years overall. Prevalence was 0.94% for males, 0.54% for females, and 0.72% overall.</w:t>
      </w:r>
    </w:p>
    <w:p>
      <w:pPr>
        <w:spacing w:line="360" w:lineRule="auto"/>
        <w:jc w:val="both"/>
      </w:pPr>
      <w:r>
        <w:rPr>
          <w:rFonts w:ascii="Times New Roman" w:hAnsi="Times New Roman" w:eastAsia="Times New Roman"/>
          <w:b w:val="0"/>
          <w:i w:val="0"/>
          <w:sz w:val="24"/>
        </w:rPr>
        <w:t>Urticaria: A total of 11,186 patients (8,025 females and 3,161 males) and 398,204 healthy controls were included, with 21,306,309 SNPs detected. The mean age of onset was 42.30 years for males, 40.68 years for females, and 41.14 years overall. Cumulative incidence reached approximately 5% for females and 2% for males. Prevalence was 1.74% for males, 3.49% for females, and 2.72% overall.</w:t>
      </w:r>
    </w:p>
    <w:p>
      <w:pPr>
        <w:spacing w:line="360" w:lineRule="auto"/>
        <w:jc w:val="left"/>
      </w:pPr>
      <w:r>
        <w:rPr>
          <w:rFonts w:ascii="Times New Roman" w:hAnsi="Times New Roman" w:eastAsia="Times New Roman"/>
          <w:b/>
          <w:sz w:val="24"/>
        </w:rPr>
        <w:t>1.3 Specific Information on Data Sources for Asian Populations with Inflammatory Skin Diseases</w:t>
      </w:r>
    </w:p>
    <w:p>
      <w:pPr>
        <w:spacing w:line="360" w:lineRule="auto"/>
        <w:jc w:val="both"/>
      </w:pPr>
      <w:r>
        <w:rPr>
          <w:rFonts w:ascii="Times New Roman" w:hAnsi="Times New Roman" w:eastAsia="Times New Roman"/>
          <w:b w:val="0"/>
          <w:i w:val="0"/>
          <w:sz w:val="24"/>
        </w:rPr>
        <w:t>GWAS data for atopic dermatitis, psoriasis, and urticaria in Asian populations were obtained from the IEU GWAS database (</w:t>
      </w:r>
      <w:hyperlink r:id="rId12">
        <w:r>
          <w:rPr>
            <w:color w:val="0563C1"/>
            <w:u w:val="single"/>
            <w:rStyle w:val="Hyperlink"/>
            <w:sz w:val="24"/>
            <w:szCs w:val="24"/>
            <w:rFonts w:ascii="Times New Roman" w:hAnsi="Times New Roman"/>
          </w:rPr>
          <w:t xml:space="preserve">https://gwas.mrcieu.ac.uk/</w:t>
        </w:r>
      </w:hyperlink>
      <w:r>
        <w:rPr>
          <w:rFonts w:ascii="Times New Roman" w:hAnsi="Times New Roman"/>
          <w:sz w:val="24"/>
        </w:rPr>
        <w:t>). Genetic data for atopic dermatitis and urticaria were derived from 220 deep phenotypic genome-wide association studies conducted at BioBank Japan (BBJ), a prospective biobank that collaboratively collected DNA and serum samples from 12 medical institutions in Japan and recruited approximately 200,000 participants, mostly of Japanese descent. All participants provided written informed consent approved by the ethics committees of the Institute of Medical Sciences, the University of Tokyo, and RIKEN Center for Integrative Medical Sciences. For atopic dermatitis, a total of 168,103 samples were included (4,296 cases and 163,807 controls; East Asian population; 12,453,030 SNPs; accession number ebi-a-GCST90018564). For urticaria, a total of 172,083 samples were included (9,893 cases and 162,190 controls; East Asian population; 12,453,869 SNPs; accession number ebi-a-GCST90018716). The GWAS data for psoriasis included 4,310 samples from South Asian populations (India and Pakistan), comprising 2,590 cases and 1,720 controls, with 8,792,205 SNPs (accession number ebi-a-GCST90019015). All participating individuals provided written informed consent and were recruited in accordance with protocols approved by the Institutional Review Committee of each participating institution.</w:t>
      </w:r>
    </w:p>
    <w:p>
      <w:pPr>
        <w:spacing w:line="360" w:lineRule="auto"/>
        <w:jc w:val="left"/>
      </w:pPr>
      <w:r>
        <w:rPr>
          <w:rFonts w:ascii="Times New Roman" w:hAnsi="Times New Roman" w:eastAsia="Times New Roman"/>
          <w:b/>
          <w:sz w:val="24"/>
        </w:rPr>
        <w:t>2. Detailed Mendelian Randomization Methodology</w:t>
      </w:r>
    </w:p>
    <w:p>
      <w:pPr>
        <w:spacing w:line="360" w:lineRule="auto"/>
        <w:jc w:val="left"/>
      </w:pPr>
      <w:r>
        <w:rPr>
          <w:rFonts w:ascii="Times New Roman" w:hAnsi="Times New Roman" w:eastAsia="Times New Roman"/>
          <w:b/>
          <w:sz w:val="24"/>
        </w:rPr>
        <w:t>2.1 Selection Criteria for Instrumental Variables</w:t>
      </w:r>
    </w:p>
    <w:p>
      <w:pPr>
        <w:spacing w:line="360" w:lineRule="auto"/>
        <w:jc w:val="both"/>
      </w:pPr>
      <w:r>
        <w:rPr>
          <w:rFonts w:ascii="Times New Roman" w:hAnsi="Times New Roman" w:eastAsia="Times New Roman"/>
          <w:b w:val="0"/>
          <w:i w:val="0"/>
          <w:sz w:val="24"/>
        </w:rPr>
        <w:t xml:space="preserve">Instrumental variables (IVs) for the two-sample MR analysis were selected according to established guidelines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Ref_Burgess2019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Burgess et al., 2019</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The selection process involved four sequential steps. First, SNPs associated with each microbial feature were identified at a genome-wide significance threshold of P &lt; 1 × 10⁻⁵. This relaxed threshold, rather than the conventional genome-wide significance level of P &lt; 5 × 10⁻⁸, was adopted because microbiome GWAS typically have smaller sample sizes and lower statistical power compared with traditional GWAS for common diseases. This approach is consistent with prior MR studies investigating the microbiome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Ref_Li2022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Li et al., 2022</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 </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Ref_Feng2023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Feng et al., 2023</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Second, SNPs in linkage disequilibrium (LD) were removed using a clumping procedure with parameters r² &lt; 0.001 and a clumping window of 10,000 kb, ensuring that the selected IVs were approximately independent. Third, the selected SNPs were extracted from the outcome GWAS datasets (inflammatory skin disease GWAS), and palindromic SNPs with ambiguous strand orientation were excluded to prevent allele misalignment. Fourth, the strength of each IV was assessed by calculating the F-statistic, and weak instruments (F &lt; 10) were discarded to minimize weak instrument bias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Ref_Burgess2011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Burgess &amp; Thompson, 2011</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These criteria ensure that the three core IV assumptions are satisfied: (i) the relevance assumption (the genetic variant is associated with the exposure), (ii) the independence assumption (the genetic variant is not associated with confounders of the exposure–outcome relationship), and (iii) the exclusion restriction assumption (the genetic variant affects the outcome only through the exposure).</w:t>
      </w:r>
    </w:p>
    <w:p>
      <w:pPr>
        <w:spacing w:line="360" w:lineRule="auto"/>
        <w:jc w:val="left"/>
      </w:pPr>
      <w:r>
        <w:rPr>
          <w:rFonts w:ascii="Times New Roman" w:hAnsi="Times New Roman" w:eastAsia="Times New Roman"/>
          <w:b/>
          <w:sz w:val="24"/>
        </w:rPr>
        <w:t>2.2 Justification for the Chosen MR Methods</w:t>
      </w:r>
    </w:p>
    <w:p>
      <w:pPr>
        <w:spacing w:line="360" w:lineRule="auto"/>
        <w:jc w:val="both"/>
      </w:pPr>
      <w:r>
        <w:rPr>
          <w:rFonts w:ascii="Times New Roman" w:hAnsi="Times New Roman" w:eastAsia="Times New Roman"/>
          <w:b w:val="0"/>
          <w:i w:val="0"/>
          <w:sz w:val="24"/>
        </w:rPr>
        <w:t>Five complementary MR methods were employed to ensure the robustness of the findings, each with distinct assumptions regarding the validity of the instrumental variables.</w:t>
      </w:r>
    </w:p>
    <w:p>
      <w:pPr>
        <w:spacing w:line="360" w:lineRule="auto"/>
        <w:jc w:val="both"/>
      </w:pPr>
      <w:r>
        <w:rPr>
          <w:rFonts w:ascii="Times New Roman" w:hAnsi="Times New Roman" w:eastAsia="Times New Roman"/>
          <w:b w:val="0"/>
          <w:i w:val="0"/>
          <w:sz w:val="24"/>
        </w:rPr>
        <w:t xml:space="preserve">Inverse variance weighting (IVW) was used as the primary analytical method. IVW combines the Wald ratio estimates from individual SNPs using an inverse-variance weighted meta-analysis framework, providing the most statistically efficient estimate when all IVs are valid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Ref_Burgess2013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Burgess et al., 2013</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IVW assumes that all genetic variants are valid instruments (i.e., no horizontal pleiotropy). When heterogeneity is detected, a multiplicative random-effects IVW model is applied to account for overdispersion.</w:t>
      </w:r>
    </w:p>
    <w:p>
      <w:pPr>
        <w:spacing w:line="360" w:lineRule="auto"/>
        <w:jc w:val="both"/>
      </w:pPr>
      <w:r>
        <w:rPr>
          <w:rFonts w:ascii="Times New Roman" w:hAnsi="Times New Roman" w:eastAsia="Times New Roman"/>
          <w:b w:val="0"/>
          <w:i w:val="0"/>
          <w:sz w:val="24"/>
        </w:rPr>
        <w:t xml:space="preserve">MR-Egger regression was employed as a sensitivity analysis to detect and correct for directional pleiotropy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Ref_Bowden2015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Bowden et al., 2015</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Unlike IVW, MR-Egger relaxes the exclusion restriction assumption by allowing a non-zero intercept, which provides a test for directional pleiotropy. A statistically significant intercept (P &lt; 0.05) indicates the presence of directional pleiotropy. The slope of the MR-Egger regression provides a pleiotropy-corrected causal estimate. However, MR-Egger requires the InSIDE (Instrument Strength Independent of Direct Effect) assumption and is less statistically efficient than IVW.</w:t>
      </w:r>
    </w:p>
    <w:p>
      <w:pPr>
        <w:spacing w:line="360" w:lineRule="auto"/>
        <w:jc w:val="both"/>
      </w:pPr>
      <w:r>
        <w:rPr>
          <w:rFonts w:ascii="Times New Roman" w:hAnsi="Times New Roman" w:eastAsia="Times New Roman"/>
          <w:b w:val="0"/>
          <w:i w:val="0"/>
          <w:sz w:val="24"/>
        </w:rPr>
        <w:t xml:space="preserve">The weighted median method was used as an additional sensitivity analysis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Ref_Bowden2016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Bowden et al., 2016</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This method provides a consistent estimate when at least 50% of the weight in the analysis comes from valid instruments. It is more robust than IVW when a minority of instruments are invalid, and more efficient than MR-Egger. The weighted median estimator is particularly useful when the InSIDE assumption required by MR-Egger may not hold.</w:t>
      </w:r>
    </w:p>
    <w:p>
      <w:pPr>
        <w:spacing w:line="360" w:lineRule="auto"/>
        <w:jc w:val="both"/>
      </w:pPr>
      <w:r>
        <w:rPr>
          <w:rFonts w:ascii="Times New Roman" w:hAnsi="Times New Roman" w:eastAsia="Times New Roman"/>
          <w:b w:val="0"/>
          <w:i w:val="0"/>
          <w:sz w:val="24"/>
        </w:rPr>
        <w:t>The weighted mode and simple mode methods were also applied. The weighted mode estimator provides a consistent estimate when the largest group of instruments identifying the same causal effect are valid instruments (the ZEMPA assumption). The simple mode estimator is a variant that does not weight by precision. These methods provide additional robustness checks under different assumptions about the proportion of valid instruments.</w:t>
      </w:r>
    </w:p>
    <w:p>
      <w:pPr>
        <w:spacing w:line="360" w:lineRule="auto"/>
        <w:jc w:val="both"/>
      </w:pPr>
      <w:r>
        <w:rPr>
          <w:rFonts w:ascii="Times New Roman" w:hAnsi="Times New Roman" w:eastAsia="Times New Roman"/>
          <w:b w:val="0"/>
          <w:i w:val="0"/>
          <w:sz w:val="24"/>
        </w:rPr>
        <w:t>When only a single SNP was available as an instrumental variable, the Wald ratio method was used to estimate the causal effect. The Wald ratio is calculated as the ratio of the SNP–outcome association to the SNP–exposure association.</w:t>
      </w:r>
    </w:p>
    <w:p>
      <w:pPr>
        <w:spacing w:line="360" w:lineRule="auto"/>
        <w:jc w:val="both"/>
      </w:pPr>
      <w:r>
        <w:rPr>
          <w:rFonts w:ascii="Times New Roman" w:hAnsi="Times New Roman" w:eastAsia="Times New Roman"/>
          <w:b w:val="0"/>
          <w:i w:val="0"/>
          <w:sz w:val="24"/>
        </w:rPr>
        <w:t>The use of multiple MR methods with different underlying assumptions allows for triangulation of evidence. Consistency of effect estimates across methods strengthens confidence in the findings, whereas discordance may indicate violations of IV assumptions. The IVW method was chosen as the primary method due to its superior statistical efficiency, while MR-Egger, weighted median, and mode-based methods served as sensitivity analyses to evaluate the robustness of the IVW estimates under different pleiotropy scenarios.</w:t>
      </w:r>
    </w:p>
    <w:p>
      <w:pPr>
        <w:spacing w:line="360" w:lineRule="auto"/>
        <w:jc w:val="left"/>
      </w:pPr>
      <w:r>
        <w:rPr>
          <w:rFonts w:ascii="Times New Roman" w:hAnsi="Times New Roman" w:eastAsia="Times New Roman"/>
          <w:b/>
          <w:sz w:val="24"/>
        </w:rPr>
        <w:t>2.3 Sensitivity Analyses Performed</w:t>
      </w:r>
    </w:p>
    <w:p>
      <w:pPr>
        <w:spacing w:line="360" w:lineRule="auto"/>
        <w:jc w:val="both"/>
      </w:pPr>
      <w:r>
        <w:rPr>
          <w:rFonts w:ascii="Times New Roman" w:hAnsi="Times New Roman" w:eastAsia="Times New Roman"/>
          <w:b w:val="0"/>
          <w:i w:val="0"/>
          <w:sz w:val="24"/>
        </w:rPr>
        <w:t>A comprehensive set of sensitivity analyses was conducted to evaluate the robustness of the MR findings and to detect potential violations of the IV assumptions.</w:t>
      </w:r>
    </w:p>
    <w:p>
      <w:pPr>
        <w:spacing w:line="360" w:lineRule="auto"/>
        <w:jc w:val="both"/>
      </w:pPr>
      <w:r>
        <w:rPr>
          <w:rFonts w:ascii="Times New Roman" w:hAnsi="Times New Roman" w:eastAsia="Times New Roman"/>
          <w:b w:val="0"/>
          <w:i w:val="0"/>
          <w:sz w:val="24"/>
        </w:rPr>
        <w:t xml:space="preserve">Heterogeneity assessment: Cochran's Q test was used to assess heterogeneity among the causal estimates derived from individual SNPs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Ref_Cochran1954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Cochran, 1954</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A significant Q statistic (P &lt; 0.05) indicates the presence of heterogeneity, which may arise from invalid instruments or violations of the IV assumptions. When significant heterogeneity was detected, the random-effects IVW model was preferred over the fixed-effects model.</w:t>
      </w:r>
    </w:p>
    <w:p>
      <w:pPr>
        <w:spacing w:line="360" w:lineRule="auto"/>
        <w:jc w:val="both"/>
      </w:pPr>
      <w:r>
        <w:rPr>
          <w:rFonts w:ascii="Times New Roman" w:hAnsi="Times New Roman" w:eastAsia="Times New Roman"/>
          <w:b w:val="0"/>
          <w:i w:val="0"/>
          <w:sz w:val="24"/>
        </w:rPr>
        <w:t xml:space="preserve">MR-PRESSO (Mendelian Randomization Pleiotropy RESidual Sum and Outlier): The MR-PRESSO global test was used to detect the overall presence of horizontal pleiotropy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Ref_Verbanck2018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Verbanck et al., 2018</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When significant horizontal pleiotropy was detected (global test P &lt; 0.05), the MR-PRESSO outlier test was applied to identify and remove individual pleiotropic outlier SNPs. The analysis was then repeated using the remaining instruments to obtain corrected causal estimates. The MR-PRESSO distortion test was used to assess whether the outlier removal significantly altered the causal estimate.</w:t>
      </w:r>
    </w:p>
    <w:p>
      <w:pPr>
        <w:spacing w:line="360" w:lineRule="auto"/>
        <w:jc w:val="both"/>
      </w:pPr>
      <w:r>
        <w:rPr>
          <w:rFonts w:ascii="Times New Roman" w:hAnsi="Times New Roman" w:eastAsia="Times New Roman"/>
          <w:b w:val="0"/>
          <w:i w:val="0"/>
          <w:sz w:val="24"/>
        </w:rPr>
        <w:t>MR-Egger intercept test: The intercept from MR-Egger regression was used as an additional test for directional pleiotropy. A non-significant intercept (P &gt; 0.05) suggests the absence of directional pleiotropy, supporting the validity of the IVW estimate.</w:t>
      </w:r>
    </w:p>
    <w:p>
      <w:pPr>
        <w:spacing w:line="360" w:lineRule="auto"/>
        <w:jc w:val="both"/>
      </w:pPr>
      <w:r>
        <w:rPr>
          <w:rFonts w:ascii="Times New Roman" w:hAnsi="Times New Roman" w:eastAsia="Times New Roman"/>
          <w:b w:val="0"/>
          <w:i w:val="0"/>
          <w:sz w:val="24"/>
        </w:rPr>
        <w:t>Leave-one-out analysis: A leave-one-out sensitivity analysis was performed by sequentially removing each SNP and re-estimating the causal effect using the remaining instruments. This analysis was used to identify whether any single SNP was disproportionately driving the observed association. If the removal of a single SNP substantially altered the causal estimate, the result was flagged for cautious interpretation.</w:t>
      </w:r>
    </w:p>
    <w:p>
      <w:pPr>
        <w:spacing w:line="360" w:lineRule="auto"/>
        <w:jc w:val="both"/>
      </w:pPr>
      <w:r>
        <w:rPr>
          <w:rFonts w:ascii="Times New Roman" w:hAnsi="Times New Roman" w:eastAsia="Times New Roman"/>
          <w:b w:val="0"/>
          <w:i w:val="0"/>
          <w:sz w:val="24"/>
        </w:rPr>
        <w:t xml:space="preserve">Multiple testing correction: To account for the large number of exposure–outcome pairs tested, false discovery rate (FDR) correction was applied using the Benjamini–Hochberg procedure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Ref_Benjamini1995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Benjamini &amp; Hochberg, 1995</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FDR correction was applied separately within each microbiota source (skin, gut, oral) and disease outcome combination. Associations with P_IVW &lt; 0.05 and P_FDR &lt; 0.05 were classified as robust, while those with P_IVW &lt; 0.05 and P_FDR ≥ 0.05 were classified as suggestive.</w:t>
      </w:r>
    </w:p>
    <w:p>
      <w:pPr>
        <w:spacing w:line="360" w:lineRule="auto"/>
        <w:jc w:val="left"/>
      </w:pPr>
      <w:r>
        <w:rPr>
          <w:rFonts w:ascii="Times New Roman" w:hAnsi="Times New Roman" w:eastAsia="Times New Roman"/>
          <w:b/>
          <w:sz w:val="24"/>
        </w:rPr>
        <w:t>2.4 Data Harmonization and Preprocessing</w:t>
      </w:r>
    </w:p>
    <w:p>
      <w:pPr>
        <w:spacing w:line="360" w:lineRule="auto"/>
        <w:jc w:val="both"/>
      </w:pPr>
      <w:r>
        <w:rPr>
          <w:rFonts w:ascii="Times New Roman" w:hAnsi="Times New Roman" w:eastAsia="Times New Roman"/>
          <w:b w:val="0"/>
          <w:i w:val="0"/>
          <w:sz w:val="24"/>
        </w:rPr>
        <w:t xml:space="preserve">Data harmonization was performed to ensure that the effect alleles were aligned between the exposure and outcome GWAS datasets. The harmonization procedure involved the following steps: (1) matching SNPs between exposure and outcome datasets by rsID; (2) aligning effect alleles so that the effect allele in the exposure dataset corresponded to the same allele in the outcome dataset; (3) removing palindromic SNPs (A/T or G/C) with intermediate allele frequencies (minor allele frequency between 0.01 and 0.30 were retained; those with ambiguous strand orientation were excluded); and (4) removing SNPs not present in both datasets. This harmonization procedure was implemented using the harmonise_data() function in the TwoSampleMR R package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Ref_Hemani2018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Hemani et al., 2018</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No additional batch effect correction was required, as all analyses were conducted using GWAS summary statistics from independent cohorts, and the two-sample MR design inherently avoids within-sample biases.</w:t>
      </w:r>
    </w:p>
    <w:p>
      <w:pPr>
        <w:spacing w:line="360" w:lineRule="auto"/>
        <w:jc w:val="left"/>
      </w:pPr>
      <w:r>
        <w:rPr>
          <w:rFonts w:ascii="Times New Roman" w:hAnsi="Times New Roman" w:eastAsia="Times New Roman"/>
          <w:b/>
          <w:sz w:val="24"/>
        </w:rPr>
        <w:t>2.5 Alignment of MR Methods with Study Hypotheses and Objectives</w:t>
      </w:r>
    </w:p>
    <w:p>
      <w:pPr>
        <w:spacing w:line="360" w:lineRule="auto"/>
        <w:jc w:val="both"/>
      </w:pPr>
      <w:r>
        <w:rPr>
          <w:rFonts w:ascii="Times New Roman" w:hAnsi="Times New Roman" w:eastAsia="Times New Roman"/>
          <w:b w:val="0"/>
          <w:i w:val="0"/>
          <w:sz w:val="24"/>
        </w:rPr>
        <w:t xml:space="preserve">The primary objective of this study was to investigate whether genetically predicted variation in the abundance of specific microbial taxa and metabolic pathways is associated with the risk of inflammatory skin diseases. The two-sample MR design was chosen because it leverages publicly available GWAS summary statistics from independent cohorts, avoiding the need for individual-level data and minimizing the risk of winner's curse bias. The use of IVW as the primary method is appropriate for this objective because it provides the most statistically efficient estimate under the assumption that all instruments are valid. The complementary sensitivity analyses (MR-Egger, weighted median, MR-PRESSO) were selected to address the specific concern of horizontal pleiotropy, which is particularly relevant in microbiome MR studies given the interconnected nature of microbial ecosystems. The FDR correction was applied to control for the inflated false positive rate arising from the large number of exposure–outcome pairs tested. This analytical framework is consistent with established best practices for microbiome MR studies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Ref_Feng2023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Feng et al., 2023</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 </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Ref_Cupido2024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Cupido et al., 2024</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and ensures that the findings are robust to common sources of bias in MR analyses.</w:t>
      </w:r>
    </w:p>
    <w:p>
      <w:pPr>
        <w:spacing w:line="360" w:lineRule="auto"/>
        <w:jc w:val="left"/>
      </w:pPr>
      <w:r>
        <w:rPr>
          <w:rFonts w:ascii="Times New Roman" w:hAnsi="Times New Roman" w:eastAsia="Times New Roman"/>
          <w:b/>
          <w:sz w:val="24"/>
        </w:rPr>
        <w:t>3. F-statistic Calculation</w:t>
      </w:r>
    </w:p>
    <w:p>
      <w:pPr>
        <w:spacing w:line="360" w:lineRule="auto"/>
        <w:jc w:val="both"/>
      </w:pPr>
      <w:r>
        <w:rPr>
          <w:rFonts w:ascii="Times New Roman" w:hAnsi="Times New Roman" w:eastAsia="Times New Roman"/>
          <w:b w:val="0"/>
          <w:i w:val="0"/>
          <w:sz w:val="24"/>
        </w:rPr>
        <w:t>The F-statistic was calculated to assess the strength of the instrumental variables using the following formula:</w:t>
      </w:r>
    </w:p>
    <w:p>
      <w:pPr>
        <w:spacing w:line="360" w:lineRule="auto"/>
        <w:jc w:val="center"/>
      </w:pPr>
      <w:r>
        <w:rPr>
          <w:rFonts w:ascii="Times New Roman" w:hAnsi="Times New Roman" w:eastAsia="Times New Roman"/>
          <w:b w:val="0"/>
          <w:i w:val="0"/>
          <w:sz w:val="24"/>
        </w:rPr>
        <w:t>F = R² × (N − K − 1) / [K × (1 − R²)]</w:t>
      </w:r>
    </w:p>
    <w:p>
      <w:pPr>
        <w:spacing w:line="360" w:lineRule="auto"/>
        <w:jc w:val="both"/>
      </w:pPr>
      <w:r>
        <w:rPr>
          <w:rFonts w:ascii="Times New Roman" w:hAnsi="Times New Roman" w:eastAsia="Times New Roman"/>
          <w:b w:val="0"/>
          <w:i w:val="0"/>
          <w:sz w:val="24"/>
        </w:rPr>
        <w:t>where R² is calculated as:</w:t>
      </w:r>
    </w:p>
    <w:p>
      <w:pPr>
        <w:spacing w:line="360" w:lineRule="auto"/>
        <w:jc w:val="center"/>
      </w:pPr>
      <w:r>
        <w:rPr>
          <w:rFonts w:ascii="Times New Roman" w:hAnsi="Times New Roman" w:eastAsia="Times New Roman"/>
          <w:b w:val="0"/>
          <w:i w:val="0"/>
          <w:sz w:val="24"/>
        </w:rPr>
        <w:t>R² = [2 × EAF × (1 − EAF) × β²] / [2 × EAF × (1 − EAF) × β² + 2 × EAF × (1 − EAF) × N × SE²]</w:t>
      </w:r>
    </w:p>
    <w:p>
      <w:pPr>
        <w:spacing w:line="360" w:lineRule="auto"/>
        <w:jc w:val="both"/>
      </w:pPr>
      <w:r>
        <w:rPr>
          <w:rFonts w:ascii="Times New Roman" w:hAnsi="Times New Roman" w:eastAsia="Times New Roman"/>
          <w:b w:val="0"/>
          <w:i w:val="0"/>
          <w:sz w:val="24"/>
        </w:rPr>
        <w:t xml:space="preserve">In these formulas, N represents the sample size for the exposure factor, K is the number of instrumental variables, R² is the proportion of variance in the exposure factor explained by the instrumental variables, EAF is the effect allele frequency, β is the effect size, and SE is the standard error of the β value. An F-statistic &gt; 10 is generally considered sufficient to avoid weak instrument bias </w:t>
      </w:r>
      <w:r>
        <w:rPr>
          <w:rFonts w:ascii="Times New Roman" w:hAnsi="Times New Roman" w:eastAsia="Times New Roman"/>
          <w:b w:val="0"/>
          <w:i w:val="0"/>
          <w:sz w:val="24"/>
        </w:rPr>
        <w:t xml:space="preserve">(</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Ref_Burgess2011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Burgess &amp; Thompson, 2011</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w:t>
      </w:r>
    </w:p>
    <w:p>
      <w:pPr>
        <w:spacing w:line="360" w:lineRule="auto"/>
        <w:jc w:val="left"/>
      </w:pPr>
      <w:r>
        <w:rPr>
          <w:rFonts w:ascii="Times New Roman" w:hAnsi="Times New Roman" w:eastAsia="Times New Roman"/>
          <w:b/>
          <w:sz w:val="24"/>
        </w:rPr>
        <w:t>4. Software and Packages</w:t>
      </w:r>
    </w:p>
    <w:p>
      <w:pPr>
        <w:spacing w:line="360" w:lineRule="auto"/>
        <w:jc w:val="both"/>
      </w:pPr>
      <w:r>
        <w:rPr>
          <w:rFonts w:ascii="Times New Roman" w:hAnsi="Times New Roman" w:eastAsia="Times New Roman"/>
          <w:b w:val="0"/>
          <w:i w:val="0"/>
          <w:sz w:val="24"/>
        </w:rPr>
        <w:t xml:space="preserve">All MR analyses were performed using R software (version 4.2.1). The primary analysis was conducted using the TwoSampleMR package </w:t>
      </w:r>
      <w:r>
        <w:rPr>
          <w:rFonts w:ascii="Times New Roman" w:hAnsi="Times New Roman" w:eastAsia="Times New Roman"/>
          <w:b w:val="0"/>
          <w:i w:val="0"/>
          <w:sz w:val="24"/>
        </w:rPr>
        <w:t xml:space="preserve">(version 0.5.7; </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Ref_Hemani2018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Hemani et al., 2018</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which provides functions for data extraction, harmonization, and MR analysis. The MR-PRESSO test was implemented using the MR-PRESSO R package </w:t>
      </w:r>
      <w:r>
        <w:rPr>
          <w:rFonts w:ascii="Times New Roman" w:hAnsi="Times New Roman" w:eastAsia="Times New Roman"/>
          <w:b w:val="0"/>
          <w:i w:val="0"/>
          <w:sz w:val="24"/>
        </w:rPr>
        <w:t xml:space="preserve">(version 1.0; </w:t>
      </w:r>
      <w:r>
        <w:rPr>
          <w:rFonts w:ascii="Times New Roman" w:hAnsi="Times New Roman" w:eastAsia="Times New Roman"/>
          <w:b w:val="0"/>
          <w:i w:val="0"/>
          <w:sz w:val="24"/>
        </w:rPr>
        <w:fldChar w:fldCharType="begin"/>
      </w:r>
      <w:r>
        <w:rPr>
          <w:rFonts w:ascii="Times New Roman" w:hAnsi="Times New Roman" w:eastAsia="Times New Roman"/>
          <w:b w:val="0"/>
          <w:i w:val="0"/>
          <w:sz w:val="24"/>
        </w:rPr>
        <w:instrText xml:space="preserve"> REF Ref_Verbanck2018 \h  \* MERGEFORMAT </w:instrText>
      </w:r>
      <w:r>
        <w:rPr>
          <w:rFonts w:ascii="Times New Roman" w:hAnsi="Times New Roman" w:eastAsia="Times New Roman"/>
          <w:b w:val="0"/>
          <w:i w:val="0"/>
          <w:sz w:val="24"/>
        </w:rPr>
        <w:fldChar w:fldCharType="separate"/>
      </w:r>
      <w:r>
        <w:rPr>
          <w:rFonts w:ascii="Times New Roman" w:hAnsi="Times New Roman" w:eastAsia="Times New Roman"/>
          <w:b w:val="0"/>
          <w:i w:val="0"/>
          <w:sz w:val="24"/>
          <w:color w:val="0563C1"/>
          <w:u w:val="single"/>
        </w:rPr>
        <w:t xml:space="preserve">Verbanck et al., 2018</w:t>
      </w:r>
      <w:r>
        <w:rPr>
          <w:rFonts w:ascii="Times New Roman" w:hAnsi="Times New Roman" w:eastAsia="Times New Roman"/>
          <w:b w:val="0"/>
          <w:i w:val="0"/>
          <w:sz w:val="24"/>
        </w:rPr>
        <w:fldChar w:fldCharType="end"/>
      </w:r>
      <w:r>
        <w:rPr>
          <w:rFonts w:ascii="Times New Roman" w:hAnsi="Times New Roman" w:eastAsia="Times New Roman"/>
          <w:b w:val="0"/>
          <w:i w:val="0"/>
          <w:sz w:val="24"/>
        </w:rPr>
        <w:t xml:space="preserve">)</w:t>
      </w:r>
      <w:r>
        <w:rPr>
          <w:rFonts w:ascii="Times New Roman" w:hAnsi="Times New Roman" w:eastAsia="Times New Roman"/>
          <w:b w:val="0"/>
          <w:i w:val="0"/>
          <w:sz w:val="24"/>
        </w:rPr>
        <w:t xml:space="preserve">. Forest plots were generated using the forestploter R package. FDR correction was performed using the p.adjust() function in R with the "BH" method.</w:t>
      </w:r>
    </w:p>
    <w:p/>
    <w:p>
      <w:pPr>
        <w:spacing w:line="360" w:lineRule="auto"/>
        <w:jc w:val="left"/>
      </w:pPr>
      <w:r>
        <w:rPr>
          <w:rFonts w:ascii="Times New Roman" w:hAnsi="Times New Roman" w:eastAsia="Times New Roman"/>
          <w:b/>
          <w:sz w:val="24"/>
        </w:rPr>
        <w:t>References</w:t>
      </w:r>
    </w:p>
    <w:p>
      <w:pPr>
        <w:spacing w:line="360" w:lineRule="auto"/>
        <w:jc w:val="both"/>
      </w:pPr>
      <w:bookmarkStart w:id="200" w:name="Ref_Benjamini1995"/>
      <w:r>
        <w:rPr>
          <w:rFonts w:ascii="Times New Roman" w:hAnsi="Times New Roman" w:eastAsia="Times New Roman"/>
          <w:b w:val="0"/>
          <w:i w:val="0"/>
          <w:sz w:val="20"/>
        </w:rPr>
        <w:t>Benjamini Y, Hochberg Y (1995). Controlling the false discovery rate: a practical and powerful approach to multiple testing. Journal of the Royal Statistical Society Series B, 57(1), 289–300.</w:t>
      </w:r>
      <w:bookmarkEnd w:id="200"/>
    </w:p>
    <w:p>
      <w:pPr>
        <w:spacing w:line="360" w:lineRule="auto"/>
        <w:jc w:val="both"/>
      </w:pPr>
      <w:bookmarkStart w:id="201" w:name="Ref_Bowden2015"/>
      <w:r>
        <w:rPr>
          <w:rFonts w:ascii="Times New Roman" w:hAnsi="Times New Roman" w:eastAsia="Times New Roman"/>
          <w:b w:val="0"/>
          <w:i w:val="0"/>
          <w:sz w:val="20"/>
        </w:rPr>
        <w:t>Bowden J, Davey Smith G, Burgess S (2015). Mendelian randomization with invalid instruments: effect estimation and bias detection through Egger regression. International Journal of Epidemiology, 44(2), 512–525.</w:t>
      </w:r>
      <w:bookmarkEnd w:id="201"/>
    </w:p>
    <w:p>
      <w:pPr>
        <w:spacing w:line="360" w:lineRule="auto"/>
        <w:jc w:val="both"/>
      </w:pPr>
      <w:bookmarkStart w:id="202" w:name="Ref_Bowden2016"/>
      <w:r>
        <w:rPr>
          <w:rFonts w:ascii="Times New Roman" w:hAnsi="Times New Roman" w:eastAsia="Times New Roman"/>
          <w:b w:val="0"/>
          <w:i w:val="0"/>
          <w:sz w:val="20"/>
        </w:rPr>
        <w:t>Bowden J, Davey Smith G, Haycock PC, Burgess S (2016). Consistent estimation in Mendelian randomization with some invalid instruments using a weighted median estimator. Genetic Epidemiology, 40(4), 304–314.</w:t>
      </w:r>
      <w:bookmarkEnd w:id="202"/>
    </w:p>
    <w:p>
      <w:pPr>
        <w:spacing w:line="360" w:lineRule="auto"/>
        <w:jc w:val="both"/>
      </w:pPr>
      <w:bookmarkStart w:id="203" w:name="Ref_Burgess2013"/>
      <w:r>
        <w:rPr>
          <w:rFonts w:ascii="Times New Roman" w:hAnsi="Times New Roman" w:eastAsia="Times New Roman"/>
          <w:b w:val="0"/>
          <w:i w:val="0"/>
          <w:sz w:val="20"/>
        </w:rPr>
        <w:t>Burgess S, Butterworth A, Thompson SG (2013). Mendelian randomization analysis with multiple genetic variants using summarized data. Genetic Epidemiology, 37(7), 658–665.</w:t>
      </w:r>
      <w:bookmarkEnd w:id="203"/>
    </w:p>
    <w:p>
      <w:pPr>
        <w:spacing w:line="360" w:lineRule="auto"/>
        <w:jc w:val="both"/>
      </w:pPr>
      <w:bookmarkStart w:id="204" w:name="Ref_Burgess2019"/>
      <w:r>
        <w:rPr>
          <w:rFonts w:ascii="Times New Roman" w:hAnsi="Times New Roman" w:eastAsia="Times New Roman"/>
          <w:b w:val="0"/>
          <w:i w:val="0"/>
          <w:sz w:val="20"/>
        </w:rPr>
        <w:t>Burgess S, Davies NM, Thompson SG (2019). Guidelines for performing Mendelian randomization investigations. Wellcome Open Research, 4, 186.</w:t>
      </w:r>
      <w:bookmarkEnd w:id="204"/>
    </w:p>
    <w:p>
      <w:pPr>
        <w:spacing w:line="360" w:lineRule="auto"/>
        <w:jc w:val="both"/>
      </w:pPr>
      <w:bookmarkStart w:id="205" w:name="Ref_Burgess2011"/>
      <w:r>
        <w:rPr>
          <w:rFonts w:ascii="Times New Roman" w:hAnsi="Times New Roman" w:eastAsia="Times New Roman"/>
          <w:b w:val="0"/>
          <w:i w:val="0"/>
          <w:sz w:val="20"/>
        </w:rPr>
        <w:t>Burgess S, Thompson SG (2011). Avoiding bias from weak instruments in Mendelian randomization studies. International Journal of Epidemiology, 40(3), 755–764.</w:t>
      </w:r>
      <w:bookmarkEnd w:id="205"/>
    </w:p>
    <w:p>
      <w:pPr>
        <w:spacing w:line="360" w:lineRule="auto"/>
        <w:jc w:val="both"/>
      </w:pPr>
      <w:bookmarkStart w:id="206" w:name="Ref_Cochran1954"/>
      <w:r>
        <w:rPr>
          <w:rFonts w:ascii="Times New Roman" w:hAnsi="Times New Roman" w:eastAsia="Times New Roman"/>
          <w:b w:val="0"/>
          <w:i w:val="0"/>
          <w:sz w:val="20"/>
        </w:rPr>
        <w:t>Cochran WG (1954). The combination of estimates from different experiments. Biometrics, 10(1), 101–129.</w:t>
      </w:r>
      <w:bookmarkEnd w:id="206"/>
    </w:p>
    <w:p>
      <w:pPr>
        <w:spacing w:line="360" w:lineRule="auto"/>
        <w:jc w:val="both"/>
      </w:pPr>
      <w:bookmarkStart w:id="207" w:name="Ref_Cupido2024"/>
      <w:r>
        <w:rPr>
          <w:rFonts w:ascii="Times New Roman" w:hAnsi="Times New Roman" w:eastAsia="Times New Roman"/>
          <w:b w:val="0"/>
          <w:i w:val="0"/>
          <w:sz w:val="20"/>
        </w:rPr>
        <w:t>Cupido AJ, Zhou M, Lusis AJ, Seldin MM (2024). Specific approaches and limitations in (multi)-omic Mendelian randomization. Journal of Lipid Research, 65(10), 100619.</w:t>
      </w:r>
      <w:bookmarkEnd w:id="207"/>
    </w:p>
    <w:p>
      <w:pPr>
        <w:spacing w:line="360" w:lineRule="auto"/>
        <w:jc w:val="both"/>
      </w:pPr>
      <w:bookmarkStart w:id="208" w:name="Ref_Feng2023"/>
      <w:r>
        <w:rPr>
          <w:rFonts w:ascii="Times New Roman" w:hAnsi="Times New Roman" w:eastAsia="Times New Roman"/>
          <w:b w:val="0"/>
          <w:i w:val="0"/>
          <w:sz w:val="20"/>
        </w:rPr>
        <w:t>Feng K, Ren F, Xing Z, Zhao Y, Yang C (2023). Microbiome and its implications in oncogenesis: a Mendelian randomization perspective. American Journal of Cancer Research, 13(12), 5785–5819.</w:t>
      </w:r>
      <w:bookmarkEnd w:id="208"/>
    </w:p>
    <w:p>
      <w:pPr>
        <w:spacing w:line="360" w:lineRule="auto"/>
        <w:jc w:val="both"/>
      </w:pPr>
      <w:bookmarkStart w:id="209" w:name="Ref_Hemani2018"/>
      <w:r>
        <w:rPr>
          <w:rFonts w:ascii="Times New Roman" w:hAnsi="Times New Roman" w:eastAsia="Times New Roman"/>
          <w:b w:val="0"/>
          <w:i w:val="0"/>
          <w:sz w:val="20"/>
        </w:rPr>
        <w:t>Hemani G, Zheng J, Elsworth B, et al. (2018). The MR-Base platform supports systematic causal inference across the human phenome. eLife, 7, e34408.</w:t>
      </w:r>
      <w:bookmarkEnd w:id="209"/>
    </w:p>
    <w:p>
      <w:pPr>
        <w:spacing w:line="360" w:lineRule="auto"/>
        <w:jc w:val="both"/>
      </w:pPr>
      <w:bookmarkStart w:id="210" w:name="Ref_Li2022"/>
      <w:r>
        <w:rPr>
          <w:rFonts w:ascii="Times New Roman" w:hAnsi="Times New Roman" w:eastAsia="Times New Roman"/>
          <w:b w:val="0"/>
          <w:i w:val="0"/>
          <w:sz w:val="20"/>
        </w:rPr>
        <w:t>Li P, Wang H, Guo L, et al. (2022). Association between gut microbiota and preeclampsia-eclampsia: a two-sample Mendelian randomization study. BMC Medicine, 20(1), 443.</w:t>
      </w:r>
      <w:bookmarkEnd w:id="210"/>
    </w:p>
    <w:p>
      <w:pPr>
        <w:spacing w:line="360" w:lineRule="auto"/>
        <w:jc w:val="both"/>
      </w:pPr>
      <w:bookmarkStart w:id="211" w:name="Ref_Verbanck2018"/>
      <w:r>
        <w:rPr>
          <w:rFonts w:ascii="Times New Roman" w:hAnsi="Times New Roman" w:eastAsia="Times New Roman"/>
          <w:b w:val="0"/>
          <w:i w:val="0"/>
          <w:sz w:val="20"/>
        </w:rPr>
        <w:t>Verbanck M, Chen CY, Neale B, Do R (2018). Detection of widespread horizontal pleiotropy in causal relationships inferred from Mendelian randomization between complex traits and diseases. Nature Genetics, 50(5), 693–698.</w:t>
      </w:r>
      <w:bookmarkEnd w:id="211"/>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ebi.ac.uk/gwas/" TargetMode="External"/><Relationship Id="rId10" Type="http://schemas.openxmlformats.org/officeDocument/2006/relationships/hyperlink" Target="https://db.cngb.org/search/project/CNP0001664" TargetMode="External"/><Relationship Id="rId11" Type="http://schemas.openxmlformats.org/officeDocument/2006/relationships/hyperlink" Target="https://r10.risteys.finngen.fi/" TargetMode="External"/><Relationship Id="rId12" Type="http://schemas.openxmlformats.org/officeDocument/2006/relationships/hyperlink" Target="https://gwas.mrcie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