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3F2B" w:rsidRDefault="00473F2B" w:rsidP="00473F2B">
      <w:pPr>
        <w:spacing w:line="360" w:lineRule="auto"/>
        <w:jc w:val="both"/>
        <w:rPr>
          <w:rFonts w:ascii="Times New Roman" w:hAnsi="Times New Roman" w:cs="Times New Roman"/>
        </w:rPr>
      </w:pPr>
      <w:r w:rsidRPr="00473F2B">
        <w:rPr>
          <w:rFonts w:ascii="Times New Roman" w:hAnsi="Times New Roman" w:cs="Times New Roman"/>
          <w:b/>
          <w:bCs/>
        </w:rPr>
        <w:t>Table S1.</w:t>
      </w:r>
      <w:r w:rsidRPr="00473F2B">
        <w:rPr>
          <w:rFonts w:ascii="Times New Roman" w:hAnsi="Times New Roman" w:cs="Times New Roman"/>
        </w:rPr>
        <w:t> </w:t>
      </w:r>
      <w:r w:rsidRPr="00473F2B">
        <w:rPr>
          <w:rFonts w:ascii="Times New Roman" w:hAnsi="Times New Roman" w:cs="Times New Roman"/>
          <w:b/>
          <w:bCs/>
        </w:rPr>
        <w:t>Cumulative hydrogen (H₂) production during second-stage anaerobic fermentation of SCG-derived residual media by </w:t>
      </w:r>
      <w:r w:rsidRPr="00473F2B">
        <w:rPr>
          <w:rFonts w:ascii="Times New Roman" w:hAnsi="Times New Roman" w:cs="Times New Roman"/>
          <w:b/>
          <w:bCs/>
          <w:i/>
          <w:iCs/>
        </w:rPr>
        <w:t>Escherichia coli</w:t>
      </w:r>
      <w:r w:rsidRPr="00473F2B">
        <w:rPr>
          <w:rFonts w:ascii="Times New Roman" w:hAnsi="Times New Roman" w:cs="Times New Roman"/>
          <w:b/>
          <w:bCs/>
        </w:rPr>
        <w:t>.</w:t>
      </w:r>
      <w:r w:rsidRPr="00473F2B">
        <w:rPr>
          <w:rFonts w:ascii="Times New Roman" w:hAnsi="Times New Roman" w:cs="Times New Roman"/>
        </w:rPr>
        <w:t> </w:t>
      </w:r>
      <w:r w:rsidRPr="00473F2B">
        <w:rPr>
          <w:rFonts w:ascii="Times New Roman" w:hAnsi="Times New Roman" w:cs="Times New Roman"/>
          <w:i/>
          <w:iCs/>
        </w:rPr>
        <w:t>E. coli</w:t>
      </w:r>
      <w:r w:rsidRPr="00473F2B">
        <w:rPr>
          <w:rFonts w:ascii="Times New Roman" w:hAnsi="Times New Roman" w:cs="Times New Roman"/>
        </w:rPr>
        <w:t> BW25113 wild-type (WT) and the engineered septuple mutant (BW25113 Δ</w:t>
      </w:r>
      <w:r w:rsidRPr="00473F2B">
        <w:rPr>
          <w:rFonts w:ascii="Times New Roman" w:hAnsi="Times New Roman" w:cs="Times New Roman"/>
          <w:i/>
          <w:iCs/>
        </w:rPr>
        <w:t>hyaB</w:t>
      </w:r>
      <w:r w:rsidRPr="00473F2B">
        <w:rPr>
          <w:rFonts w:ascii="Times New Roman" w:hAnsi="Times New Roman" w:cs="Times New Roman"/>
        </w:rPr>
        <w:t> Δ</w:t>
      </w:r>
      <w:r w:rsidRPr="00473F2B">
        <w:rPr>
          <w:rFonts w:ascii="Times New Roman" w:hAnsi="Times New Roman" w:cs="Times New Roman"/>
          <w:i/>
          <w:iCs/>
        </w:rPr>
        <w:t>hybC</w:t>
      </w:r>
      <w:r w:rsidRPr="00473F2B">
        <w:rPr>
          <w:rFonts w:ascii="Times New Roman" w:hAnsi="Times New Roman" w:cs="Times New Roman"/>
        </w:rPr>
        <w:t>Δ</w:t>
      </w:r>
      <w:r w:rsidRPr="00473F2B">
        <w:rPr>
          <w:rFonts w:ascii="Times New Roman" w:hAnsi="Times New Roman" w:cs="Times New Roman"/>
          <w:i/>
          <w:iCs/>
        </w:rPr>
        <w:t>hycA</w:t>
      </w:r>
      <w:r w:rsidRPr="00473F2B">
        <w:rPr>
          <w:rFonts w:ascii="Times New Roman" w:hAnsi="Times New Roman" w:cs="Times New Roman"/>
        </w:rPr>
        <w:t> Δ</w:t>
      </w:r>
      <w:r w:rsidRPr="00473F2B">
        <w:rPr>
          <w:rFonts w:ascii="Times New Roman" w:hAnsi="Times New Roman" w:cs="Times New Roman"/>
          <w:i/>
          <w:iCs/>
        </w:rPr>
        <w:t>fdoG</w:t>
      </w:r>
      <w:r w:rsidRPr="00473F2B">
        <w:rPr>
          <w:rFonts w:ascii="Times New Roman" w:hAnsi="Times New Roman" w:cs="Times New Roman"/>
        </w:rPr>
        <w:t> Δ</w:t>
      </w:r>
      <w:r w:rsidRPr="00473F2B">
        <w:rPr>
          <w:rFonts w:ascii="Times New Roman" w:hAnsi="Times New Roman" w:cs="Times New Roman"/>
          <w:i/>
          <w:iCs/>
        </w:rPr>
        <w:t>ldhA</w:t>
      </w:r>
      <w:r w:rsidRPr="00473F2B">
        <w:rPr>
          <w:rFonts w:ascii="Times New Roman" w:hAnsi="Times New Roman" w:cs="Times New Roman"/>
        </w:rPr>
        <w:t> Δ</w:t>
      </w:r>
      <w:r w:rsidRPr="00473F2B">
        <w:rPr>
          <w:rFonts w:ascii="Times New Roman" w:hAnsi="Times New Roman" w:cs="Times New Roman"/>
          <w:i/>
          <w:iCs/>
        </w:rPr>
        <w:t>frdC</w:t>
      </w:r>
      <w:r w:rsidRPr="00473F2B">
        <w:rPr>
          <w:rFonts w:ascii="Times New Roman" w:hAnsi="Times New Roman" w:cs="Times New Roman"/>
        </w:rPr>
        <w:t> Δ</w:t>
      </w:r>
      <w:r w:rsidRPr="00473F2B">
        <w:rPr>
          <w:rFonts w:ascii="Times New Roman" w:hAnsi="Times New Roman" w:cs="Times New Roman"/>
          <w:i/>
          <w:iCs/>
        </w:rPr>
        <w:t>aceE</w:t>
      </w:r>
      <w:r w:rsidRPr="00473F2B">
        <w:rPr>
          <w:rFonts w:ascii="Times New Roman" w:hAnsi="Times New Roman" w:cs="Times New Roman"/>
        </w:rPr>
        <w:t>) were cultivated in cell-free supernatant (CFS) and lysed cell supernatant (LCS) media prepared after the first-stage </w:t>
      </w:r>
      <w:r w:rsidRPr="00473F2B">
        <w:rPr>
          <w:rFonts w:ascii="Times New Roman" w:hAnsi="Times New Roman" w:cs="Times New Roman"/>
          <w:i/>
          <w:iCs/>
        </w:rPr>
        <w:t>Saccharomyces cerevisiae</w:t>
      </w:r>
      <w:r w:rsidRPr="00473F2B">
        <w:rPr>
          <w:rFonts w:ascii="Times New Roman" w:hAnsi="Times New Roman" w:cs="Times New Roman"/>
        </w:rPr>
        <w:t> fermentation of SCG hydrolysate. Media were tested without dilution and after two-fold dilution. Cumulative H₂ production was continuously monitored using a Gas Endeavour System (BPC Instruments, Sweden) and is presented as the total H₂ volume recorded at the indicated sampling time. Most measurements were recorded at 70 h, while the 2× diluted CFS culture of the septuple mutant was recorded at 96 h.</w:t>
      </w:r>
    </w:p>
    <w:tbl>
      <w:tblPr>
        <w:tblStyle w:val="TableGrid"/>
        <w:tblpPr w:leftFromText="180" w:rightFromText="180" w:vertAnchor="page" w:horzAnchor="margin" w:tblpXSpec="center" w:tblpY="5457"/>
        <w:tblW w:w="0" w:type="auto"/>
        <w:tblLook w:val="04A0" w:firstRow="1" w:lastRow="0" w:firstColumn="1" w:lastColumn="0" w:noHBand="0" w:noVBand="1"/>
      </w:tblPr>
      <w:tblGrid>
        <w:gridCol w:w="1083"/>
        <w:gridCol w:w="1317"/>
        <w:gridCol w:w="1783"/>
        <w:gridCol w:w="2418"/>
        <w:gridCol w:w="1099"/>
      </w:tblGrid>
      <w:tr w:rsidR="00473F2B" w:rsidRPr="00473F2B" w:rsidTr="00473F2B"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73F2B">
              <w:rPr>
                <w:rFonts w:ascii="Times New Roman" w:hAnsi="Times New Roman" w:cs="Times New Roman"/>
                <w:b/>
                <w:bCs/>
              </w:rPr>
              <w:t>Medium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73F2B">
              <w:rPr>
                <w:rFonts w:ascii="Times New Roman" w:hAnsi="Times New Roman" w:cs="Times New Roman"/>
                <w:b/>
                <w:bCs/>
              </w:rPr>
              <w:t>Dilution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73F2B">
              <w:rPr>
                <w:rFonts w:ascii="Times New Roman" w:hAnsi="Times New Roman" w:cs="Times New Roman"/>
                <w:b/>
                <w:bCs/>
                <w:i/>
                <w:iCs/>
              </w:rPr>
              <w:t>E. coli</w:t>
            </w:r>
            <w:r w:rsidRPr="00473F2B">
              <w:rPr>
                <w:rFonts w:ascii="Times New Roman" w:hAnsi="Times New Roman" w:cs="Times New Roman"/>
                <w:b/>
                <w:bCs/>
              </w:rPr>
              <w:t> strain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73F2B">
              <w:rPr>
                <w:rFonts w:ascii="Times New Roman" w:hAnsi="Times New Roman" w:cs="Times New Roman"/>
                <w:b/>
                <w:bCs/>
              </w:rPr>
              <w:t>H₂ production (</w:t>
            </w:r>
            <w:r w:rsidRPr="00473F2B">
              <w:rPr>
                <w:rFonts w:ascii="Times New Roman" w:hAnsi="Times New Roman" w:cs="Times New Roman"/>
                <w:b/>
                <w:bCs/>
                <w:lang w:val="en-US"/>
              </w:rPr>
              <w:t>N</w:t>
            </w:r>
            <w:r w:rsidRPr="00473F2B">
              <w:rPr>
                <w:rFonts w:ascii="Times New Roman" w:hAnsi="Times New Roman" w:cs="Times New Roman"/>
                <w:b/>
                <w:bCs/>
              </w:rPr>
              <w:t>mL)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73F2B">
              <w:rPr>
                <w:rFonts w:ascii="Times New Roman" w:hAnsi="Times New Roman" w:cs="Times New Roman"/>
                <w:b/>
                <w:bCs/>
              </w:rPr>
              <w:t>Time (h)</w:t>
            </w:r>
          </w:p>
        </w:tc>
      </w:tr>
      <w:tr w:rsidR="00473F2B" w:rsidRPr="00473F2B" w:rsidTr="00473F2B">
        <w:tc>
          <w:tcPr>
            <w:tcW w:w="0" w:type="auto"/>
            <w:vMerge w:val="restart"/>
            <w:vAlign w:val="center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LCS</w:t>
            </w:r>
          </w:p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No dilution</w:t>
            </w:r>
          </w:p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WT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73F2B">
              <w:rPr>
                <w:rFonts w:ascii="Times New Roman" w:hAnsi="Times New Roman" w:cs="Times New Roman"/>
              </w:rPr>
              <w:t>± 1.1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70</w:t>
            </w:r>
          </w:p>
        </w:tc>
      </w:tr>
      <w:tr w:rsidR="00473F2B" w:rsidRPr="00473F2B" w:rsidTr="00473F2B">
        <w:tc>
          <w:tcPr>
            <w:tcW w:w="0" w:type="auto"/>
            <w:vMerge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Septuple mutant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3.7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73F2B">
              <w:rPr>
                <w:rFonts w:ascii="Times New Roman" w:hAnsi="Times New Roman" w:cs="Times New Roman"/>
              </w:rPr>
              <w:t>± 0.3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70</w:t>
            </w:r>
          </w:p>
        </w:tc>
      </w:tr>
      <w:tr w:rsidR="00473F2B" w:rsidRPr="00473F2B" w:rsidTr="00473F2B">
        <w:tc>
          <w:tcPr>
            <w:tcW w:w="0" w:type="auto"/>
            <w:vMerge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2× dilution</w:t>
            </w:r>
          </w:p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WT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73F2B">
              <w:rPr>
                <w:rFonts w:ascii="Times New Roman" w:hAnsi="Times New Roman" w:cs="Times New Roman"/>
              </w:rPr>
              <w:t>± 2.0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70</w:t>
            </w:r>
          </w:p>
        </w:tc>
      </w:tr>
      <w:tr w:rsidR="00473F2B" w:rsidRPr="00473F2B" w:rsidTr="00473F2B">
        <w:tc>
          <w:tcPr>
            <w:tcW w:w="0" w:type="auto"/>
            <w:vMerge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Septuple mutant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74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73F2B">
              <w:rPr>
                <w:rFonts w:ascii="Times New Roman" w:hAnsi="Times New Roman" w:cs="Times New Roman"/>
              </w:rPr>
              <w:t>± 5.2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70</w:t>
            </w:r>
          </w:p>
        </w:tc>
      </w:tr>
      <w:tr w:rsidR="00473F2B" w:rsidRPr="00473F2B" w:rsidTr="00473F2B">
        <w:tc>
          <w:tcPr>
            <w:tcW w:w="0" w:type="auto"/>
            <w:vMerge w:val="restart"/>
            <w:vAlign w:val="center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CFS</w:t>
            </w:r>
          </w:p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No dilution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WT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70</w:t>
            </w:r>
          </w:p>
        </w:tc>
      </w:tr>
      <w:tr w:rsidR="00473F2B" w:rsidRPr="00473F2B" w:rsidTr="00473F2B">
        <w:tc>
          <w:tcPr>
            <w:tcW w:w="0" w:type="auto"/>
            <w:vMerge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Septuple mutant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73F2B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73F2B">
              <w:rPr>
                <w:rFonts w:ascii="Times New Roman" w:hAnsi="Times New Roman" w:cs="Times New Roman"/>
              </w:rPr>
              <w:t>± 0.8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70</w:t>
            </w:r>
          </w:p>
        </w:tc>
      </w:tr>
      <w:tr w:rsidR="00473F2B" w:rsidRPr="00473F2B" w:rsidTr="00473F2B">
        <w:tc>
          <w:tcPr>
            <w:tcW w:w="0" w:type="auto"/>
            <w:vMerge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2× dilution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WT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73F2B">
              <w:rPr>
                <w:rFonts w:ascii="Times New Roman" w:hAnsi="Times New Roman" w:cs="Times New Roman"/>
              </w:rPr>
              <w:t>40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73F2B">
              <w:rPr>
                <w:rFonts w:ascii="Times New Roman" w:hAnsi="Times New Roman" w:cs="Times New Roman"/>
              </w:rPr>
              <w:t>± 2.8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70</w:t>
            </w:r>
          </w:p>
        </w:tc>
      </w:tr>
      <w:tr w:rsidR="00473F2B" w:rsidRPr="00473F2B" w:rsidTr="00473F2B">
        <w:tc>
          <w:tcPr>
            <w:tcW w:w="0" w:type="auto"/>
            <w:vMerge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Septuple mutant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73F2B">
              <w:rPr>
                <w:rFonts w:ascii="Times New Roman" w:hAnsi="Times New Roman" w:cs="Times New Roman"/>
              </w:rPr>
              <w:t>86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73F2B">
              <w:rPr>
                <w:rFonts w:ascii="Times New Roman" w:hAnsi="Times New Roman" w:cs="Times New Roman"/>
              </w:rPr>
              <w:t>± 6.0</w:t>
            </w:r>
          </w:p>
        </w:tc>
        <w:tc>
          <w:tcPr>
            <w:tcW w:w="0" w:type="auto"/>
            <w:hideMark/>
          </w:tcPr>
          <w:p w:rsidR="00473F2B" w:rsidRPr="00473F2B" w:rsidRDefault="00473F2B" w:rsidP="00473F2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73F2B">
              <w:rPr>
                <w:rFonts w:ascii="Times New Roman" w:hAnsi="Times New Roman" w:cs="Times New Roman"/>
              </w:rPr>
              <w:t>96</w:t>
            </w:r>
          </w:p>
        </w:tc>
      </w:tr>
    </w:tbl>
    <w:p w:rsidR="00473F2B" w:rsidRPr="00473F2B" w:rsidRDefault="00473F2B" w:rsidP="00473F2B">
      <w:pPr>
        <w:jc w:val="both"/>
        <w:rPr>
          <w:rFonts w:ascii="Times New Roman" w:hAnsi="Times New Roman" w:cs="Times New Roman"/>
        </w:rPr>
      </w:pPr>
    </w:p>
    <w:sectPr w:rsidR="00473F2B" w:rsidRPr="00473F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F2B"/>
    <w:rsid w:val="0047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M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A5F231A"/>
  <w15:chartTrackingRefBased/>
  <w15:docId w15:val="{CC36698F-BD56-234C-A7B9-D516EAED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M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3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2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2026-08-13T21:41:00Z</dcterms:created>
  <dcterms:modified xsi:type="dcterms:W3CDTF">2026-08-13T21:49:00Z</dcterms:modified>
</cp:coreProperties>
</file>