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object w:dxaOrig="8422" w:dyaOrig="6114">
          <v:rect xmlns:o="urn:schemas-microsoft-com:office:office" xmlns:v="urn:schemas-microsoft-com:vml" id="rectole0000000000" style="width:421.100000pt;height:305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2"/>
          <w:shd w:fill="auto" w:val="clear"/>
        </w:rPr>
        <w:t xml:space="preserve">Complementary Figure 1: Local relapse rate depending on the quality of surgical margins (clear or intralesional)  of patients with non-metastatic soft-tissue sarcoma of the extremities, treated with preoperative radiotherapy, calculated in a competitive risk model with death as a competing factor. Clear surgical margins are not associated to local control rate in a competitive risk model (p=0.173).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