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Additional file 1: Figs. S1–S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26990" cy="3419475"/>
            <wp:effectExtent l="0" t="0" r="16510" b="9525"/>
            <wp:docPr id="2" name="图片 2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699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Fig. S1.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Mass spectrometry results</w:t>
      </w:r>
    </w:p>
    <w:p>
      <w:pP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MS/MS spectrum of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PI3Kp85α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protein related peptid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s.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83505" cy="5183505"/>
            <wp:effectExtent l="0" t="0" r="17145" b="17145"/>
            <wp:docPr id="1" name="图片 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3505" cy="518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 S2.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KLHL18 can regulate the expression of EMT pathway related proteins</w:t>
      </w:r>
    </w:p>
    <w:p>
      <w:pPr>
        <w:rPr>
          <w:rFonts w:ascii="Times New Roman" w:hAnsi="Times New Roman" w:eastAsia="宋体" w:cs="Times New Roman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Changes in levels of EMT pathway-related proteins in NCI-A549 and NCI-H1299 cells. The lower graph is a gray value statistical graph, *P &lt; 0.05, **P &lt; 0.01.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13350" cy="6085840"/>
            <wp:effectExtent l="0" t="0" r="6350" b="10160"/>
            <wp:docPr id="6" name="图片 6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608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rPr>
          <w:rFonts w:hint="eastAsia" w:ascii="Times New Roman" w:hAnsi="Times New Roman" w:cs="Times New Roman" w:eastAsiaTheme="minorEastAsia"/>
          <w:color w:val="000000" w:themeColor="text1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sz w:val="24"/>
        </w:rPr>
        <w:t>Fig.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PI3K signaling pathway can regulate the expression of mTOR</w:t>
      </w:r>
    </w:p>
    <w:p>
      <w:pPr>
        <w:rPr>
          <w:rFonts w:ascii="Times New Roman" w:hAnsi="Times New Roman" w:cs="Times New Roman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宋体" w:cs="Times New Roman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 w:eastAsia="宋体" w:cs="Times New Roman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. After adding LY294002 to NCI-A549 cells and NCI-H1299 cells, AKT phosphorylation and mTOR phosphorylation levels decreased. The lower graph is a gray value statistical graph, *P &lt; 0.05, **P &lt; 0.01. 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eastAsia="宋体" w:cs="Times New Roman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D</w:t>
      </w:r>
      <w:r>
        <w:rPr>
          <w:rFonts w:ascii="Times New Roman" w:hAnsi="Times New Roman" w:eastAsia="宋体" w:cs="Times New Roman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. After adding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rapamycin </w:t>
      </w:r>
      <w:r>
        <w:rPr>
          <w:rFonts w:ascii="Times New Roman" w:hAnsi="Times New Roman" w:eastAsia="宋体" w:cs="Times New Roman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to NCI-A549 cells and NCI-H1299 cells, PD-L1 levels decreased. The lower graph is a gray value statistical graph, *P &lt; 0.05, **P &lt; 0.01.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10480" cy="5110480"/>
            <wp:effectExtent l="0" t="0" r="13970" b="13970"/>
            <wp:docPr id="4" name="图片 4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10480" cy="511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Fig.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S4. The immunofluorescence experiment of KLHL18 spliceosome</w:t>
      </w:r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Cellular immunofluorescence shows that PI3Kp85α does not bind to the BTB domain.</w:t>
      </w:r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Cellular immunofluorescence shows that PI3Kp85α binds to the non-BTB domains.</w:t>
      </w:r>
    </w:p>
    <w:p>
      <w:pPr>
        <w:numPr>
          <w:ilvl w:val="0"/>
          <w:numId w:val="0"/>
        </w:numPr>
        <w:spacing w:line="480" w:lineRule="auto"/>
        <w:rPr>
          <w:rFonts w:hint="eastAsia" w:ascii="Times New Roman" w:hAnsi="Times New Roman" w:eastAsia="宋体" w:cs="Times New Roman"/>
          <w:color w:val="000000" w:themeColor="text1"/>
          <w:sz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480" w:lineRule="auto"/>
        <w:rPr>
          <w:rFonts w:hint="eastAsia" w:ascii="Times New Roman" w:hAnsi="Times New Roman" w:eastAsia="宋体" w:cs="Times New Roman"/>
          <w:color w:val="000000" w:themeColor="text1"/>
          <w:sz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480" w:lineRule="auto"/>
        <w:rPr>
          <w:rFonts w:hint="eastAsia" w:ascii="Times New Roman" w:hAnsi="Times New Roman" w:eastAsia="宋体" w:cs="Times New Roman"/>
          <w:color w:val="000000" w:themeColor="text1"/>
          <w:sz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480" w:lineRule="auto"/>
        <w:rPr>
          <w:rFonts w:hint="eastAsia" w:ascii="Times New Roman" w:hAnsi="Times New Roman" w:eastAsia="宋体" w:cs="Times New Roman"/>
          <w:color w:val="000000" w:themeColor="text1"/>
          <w:sz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480" w:lineRule="auto"/>
        <w:rPr>
          <w:rFonts w:hint="eastAsia" w:ascii="Times New Roman" w:hAnsi="Times New Roman" w:eastAsia="宋体" w:cs="Times New Roman"/>
          <w:color w:val="000000" w:themeColor="text1"/>
          <w:sz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480" w:lineRule="auto"/>
        <w:rPr>
          <w:rFonts w:hint="eastAsia" w:ascii="Times New Roman" w:hAnsi="Times New Roman" w:eastAsia="宋体" w:cs="Times New Roman"/>
          <w:color w:val="000000" w:themeColor="text1"/>
          <w:sz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480" w:lineRule="auto"/>
        <w:rPr>
          <w:rFonts w:hint="eastAsia" w:ascii="Times New Roman" w:hAnsi="Times New Roman" w:eastAsia="宋体" w:cs="Times New Roman"/>
          <w:color w:val="000000" w:themeColor="text1"/>
          <w:sz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191760" cy="3462020"/>
            <wp:effectExtent l="0" t="0" r="8890" b="5080"/>
            <wp:docPr id="5" name="图片 5" descr="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1760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Fig.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S5. The KLHL18 spliceosome still has the ability to form complexes</w:t>
      </w:r>
    </w:p>
    <w:p>
      <w:pPr>
        <w:pStyle w:val="6"/>
        <w:spacing w:line="480" w:lineRule="auto"/>
        <w:rPr>
          <w:rFonts w:ascii="Times New Roman" w:hAnsi="Times New Roman" w:eastAsia="宋体" w:cs="Times New Roman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宋体" w:cs="Times New Roman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 w:eastAsia="宋体" w:cs="Times New Roman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. As demonstrated via Co-IPs in NCI-A549 cells and NCI-H1299 cells, KLHL18-</w:t>
      </w:r>
      <w:r>
        <w:rPr>
          <w:rFonts w:ascii="Symbol" w:hAnsi="Symbol" w:eastAsia="宋体" w:cs="Times New Roman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</w:t>
      </w:r>
      <w:r>
        <w:rPr>
          <w:rFonts w:ascii="Times New Roman" w:hAnsi="Times New Roman" w:eastAsia="宋体" w:cs="Times New Roman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BTB can still bind to PI3Kp85α protein.</w:t>
      </w:r>
    </w:p>
    <w:p>
      <w:pPr>
        <w:numPr>
          <w:ilvl w:val="0"/>
          <w:numId w:val="0"/>
        </w:numPr>
        <w:spacing w:line="480" w:lineRule="auto"/>
        <w:rPr>
          <w:rFonts w:hint="eastAsia" w:ascii="Times New Roman" w:hAnsi="Times New Roman" w:eastAsia="宋体" w:cs="Times New Roman"/>
          <w:color w:val="000000" w:themeColor="text1"/>
          <w:sz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64EAAD"/>
    <w:multiLevelType w:val="singleLevel"/>
    <w:tmpl w:val="BD64EAAD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5B188D"/>
    <w:rsid w:val="0C4778E0"/>
    <w:rsid w:val="166F53DA"/>
    <w:rsid w:val="17772A2A"/>
    <w:rsid w:val="186E7066"/>
    <w:rsid w:val="49110B8A"/>
    <w:rsid w:val="4CCD10F2"/>
    <w:rsid w:val="5EAB6E3B"/>
    <w:rsid w:val="61EA7B7F"/>
    <w:rsid w:val="67C14B00"/>
    <w:rsid w:val="6D5B188D"/>
    <w:rsid w:val="7701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EndNote Bibliography"/>
    <w:basedOn w:val="1"/>
    <w:qFormat/>
    <w:uiPriority w:val="0"/>
    <w:pPr>
      <w:spacing w:line="240" w:lineRule="auto"/>
    </w:pPr>
    <w:rPr>
      <w:rFonts w:ascii="Calibri" w:hAnsi="Calibri" w:cs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</Words>
  <Characters>284</Characters>
  <Lines>0</Lines>
  <Paragraphs>0</Paragraphs>
  <TotalTime>6</TotalTime>
  <ScaleCrop>false</ScaleCrop>
  <LinksUpToDate>false</LinksUpToDate>
  <CharactersWithSpaces>331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2020-10-17T13:05:00Z</dcterms:created>
  <dc:creator>latte</dc:creator>
  <cp:lastModifiedBy>latte</cp:lastModifiedBy>
  <dcterms:modified xsi:type="dcterms:W3CDTF">2020-11-20T10:23:52Z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