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1095" w:rsidRDefault="00797858" w:rsidP="00F9070A">
      <w:pPr>
        <w:pStyle w:val="berschrift1"/>
        <w:rPr>
          <w:lang w:val="en-GB"/>
        </w:rPr>
      </w:pPr>
      <w:r>
        <w:rPr>
          <w:lang w:val="en-GB"/>
        </w:rPr>
        <w:t>Supplementary</w:t>
      </w:r>
      <w:r w:rsidR="000A1095">
        <w:rPr>
          <w:lang w:val="en-GB"/>
        </w:rPr>
        <w:t xml:space="preserve"> information</w:t>
      </w:r>
    </w:p>
    <w:p w:rsidR="000A1095" w:rsidRPr="00064AD6" w:rsidRDefault="000A1095" w:rsidP="000A1095">
      <w:pPr>
        <w:rPr>
          <w:b/>
          <w:sz w:val="28"/>
          <w:szCs w:val="28"/>
          <w:lang w:val="en-GB"/>
        </w:rPr>
      </w:pPr>
      <w:r w:rsidRPr="00064AD6">
        <w:rPr>
          <w:b/>
          <w:sz w:val="28"/>
          <w:szCs w:val="28"/>
          <w:lang w:val="en-GB"/>
        </w:rPr>
        <w:t>Influence of miR-221/222 on cardiomyocyte calcium handling and function</w:t>
      </w:r>
    </w:p>
    <w:p w:rsidR="000A1095" w:rsidRPr="00064AD6" w:rsidRDefault="000A1095" w:rsidP="000A1095">
      <w:pPr>
        <w:rPr>
          <w:b/>
          <w:lang w:val="en-GB"/>
        </w:rPr>
      </w:pPr>
      <w:r w:rsidRPr="00064AD6">
        <w:rPr>
          <w:b/>
          <w:lang w:val="en-GB"/>
        </w:rPr>
        <w:t>Authors &amp; affiliations</w:t>
      </w:r>
    </w:p>
    <w:p w:rsidR="000A1095" w:rsidRPr="00C73B05" w:rsidRDefault="000A1095" w:rsidP="000A1095">
      <w:pPr>
        <w:rPr>
          <w:lang w:val="en-GB"/>
        </w:rPr>
      </w:pPr>
      <w:r w:rsidRPr="00C73B05">
        <w:rPr>
          <w:lang w:val="en-GB"/>
        </w:rPr>
        <w:t>Maria Knyrim</w:t>
      </w:r>
      <w:r w:rsidRPr="00C73B05">
        <w:rPr>
          <w:vertAlign w:val="superscript"/>
          <w:lang w:val="en-GB"/>
        </w:rPr>
        <w:t>1</w:t>
      </w:r>
      <w:r w:rsidR="008219EC" w:rsidRPr="00C73B05">
        <w:rPr>
          <w:rFonts w:cs="Times New Roman"/>
          <w:szCs w:val="24"/>
          <w:vertAlign w:val="superscript"/>
          <w:lang w:val="en-GB" w:eastAsia="de-CH"/>
        </w:rPr>
        <w:t>$</w:t>
      </w:r>
      <w:r w:rsidRPr="00C73B05">
        <w:rPr>
          <w:lang w:val="en-GB"/>
        </w:rPr>
        <w:t xml:space="preserve">, </w:t>
      </w:r>
      <w:proofErr w:type="spellStart"/>
      <w:r w:rsidRPr="00C73B05">
        <w:rPr>
          <w:lang w:val="en-GB"/>
        </w:rPr>
        <w:t>Sindy</w:t>
      </w:r>
      <w:proofErr w:type="spellEnd"/>
      <w:r w:rsidRPr="00C73B05">
        <w:rPr>
          <w:lang w:val="en-GB"/>
        </w:rPr>
        <w:t xml:space="preserve"> Rabe</w:t>
      </w:r>
      <w:r w:rsidRPr="00C73B05">
        <w:rPr>
          <w:vertAlign w:val="superscript"/>
          <w:lang w:val="en-GB"/>
        </w:rPr>
        <w:t>1</w:t>
      </w:r>
      <w:r w:rsidRPr="00C73B05">
        <w:rPr>
          <w:lang w:val="en-GB"/>
        </w:rPr>
        <w:t>, Claudia Grossmann</w:t>
      </w:r>
      <w:r w:rsidRPr="00C73B05">
        <w:rPr>
          <w:vertAlign w:val="superscript"/>
          <w:lang w:val="en-GB"/>
        </w:rPr>
        <w:t>1</w:t>
      </w:r>
      <w:r w:rsidRPr="00C73B05">
        <w:rPr>
          <w:lang w:val="en-GB"/>
        </w:rPr>
        <w:t>, Michael Gekle</w:t>
      </w:r>
      <w:r w:rsidRPr="00C73B05">
        <w:rPr>
          <w:vertAlign w:val="superscript"/>
          <w:lang w:val="en-GB"/>
        </w:rPr>
        <w:t>1</w:t>
      </w:r>
      <w:r w:rsidRPr="00C73B05">
        <w:rPr>
          <w:lang w:val="en-GB"/>
        </w:rPr>
        <w:t>, Barbara Schreier</w:t>
      </w:r>
      <w:r w:rsidRPr="00C73B05">
        <w:rPr>
          <w:vertAlign w:val="superscript"/>
          <w:lang w:val="en-GB"/>
        </w:rPr>
        <w:t>1</w:t>
      </w:r>
    </w:p>
    <w:p w:rsidR="000A1095" w:rsidRPr="00C43188" w:rsidRDefault="000A1095" w:rsidP="000A1095">
      <w:pPr>
        <w:rPr>
          <w:rFonts w:cs="Times New Roman"/>
          <w:szCs w:val="24"/>
          <w:lang w:val="en-US" w:eastAsia="de-CH"/>
        </w:rPr>
      </w:pPr>
      <w:r w:rsidRPr="00683554">
        <w:rPr>
          <w:vertAlign w:val="superscript"/>
          <w:lang w:val="en-GB"/>
        </w:rPr>
        <w:t>1</w:t>
      </w:r>
      <w:r w:rsidRPr="00C8472C">
        <w:rPr>
          <w:rFonts w:cs="Times New Roman"/>
          <w:szCs w:val="24"/>
          <w:lang w:val="en-US" w:eastAsia="de-CH"/>
        </w:rPr>
        <w:t xml:space="preserve">Julius-Bernstein-Institute of Physiology, Martin Luther University Halle-Wittenberg, </w:t>
      </w:r>
      <w:proofErr w:type="spellStart"/>
      <w:r w:rsidRPr="00C8472C">
        <w:rPr>
          <w:rFonts w:cs="Times New Roman"/>
          <w:szCs w:val="24"/>
          <w:lang w:val="en-US" w:eastAsia="de-CH"/>
        </w:rPr>
        <w:t>Magdeburger</w:t>
      </w:r>
      <w:proofErr w:type="spellEnd"/>
      <w:r w:rsidRPr="00C8472C">
        <w:rPr>
          <w:rFonts w:cs="Times New Roman"/>
          <w:szCs w:val="24"/>
          <w:lang w:val="en-US" w:eastAsia="de-CH"/>
        </w:rPr>
        <w:t xml:space="preserve"> Str. 6, 06110 Halle/Saale, Germany</w:t>
      </w:r>
    </w:p>
    <w:p w:rsidR="000A1095" w:rsidRPr="00064AD6" w:rsidRDefault="000A1095" w:rsidP="000A1095">
      <w:pPr>
        <w:rPr>
          <w:b/>
          <w:lang w:val="en-GB" w:eastAsia="de-CH"/>
        </w:rPr>
      </w:pPr>
      <w:r w:rsidRPr="00064AD6">
        <w:rPr>
          <w:b/>
          <w:lang w:val="en-GB" w:eastAsia="de-CH"/>
        </w:rPr>
        <w:t>Author ORCIDs</w:t>
      </w:r>
    </w:p>
    <w:p w:rsidR="000A1095" w:rsidRPr="00DC1909" w:rsidRDefault="000A1095" w:rsidP="000A1095">
      <w:pPr>
        <w:widowControl w:val="0"/>
        <w:spacing w:after="120"/>
        <w:rPr>
          <w:rFonts w:cs="Times New Roman"/>
          <w:szCs w:val="24"/>
          <w:lang w:val="en-US" w:eastAsia="de-CH"/>
        </w:rPr>
      </w:pPr>
      <w:r w:rsidRPr="00DC1909">
        <w:rPr>
          <w:rFonts w:cs="Times New Roman"/>
          <w:szCs w:val="24"/>
          <w:lang w:val="en-US" w:eastAsia="de-CH"/>
        </w:rPr>
        <w:t>Maria Knyrim</w:t>
      </w:r>
      <w:r w:rsidRPr="00DC1909">
        <w:rPr>
          <w:rFonts w:cs="Times New Roman"/>
          <w:szCs w:val="24"/>
          <w:lang w:val="en-US" w:eastAsia="de-CH"/>
        </w:rPr>
        <w:tab/>
      </w:r>
      <w:r w:rsidRPr="00DC1909">
        <w:rPr>
          <w:rFonts w:cs="Times New Roman"/>
          <w:szCs w:val="24"/>
          <w:lang w:val="en-US" w:eastAsia="de-CH"/>
        </w:rPr>
        <w:tab/>
      </w:r>
      <w:r w:rsidRPr="00DC1909">
        <w:rPr>
          <w:rStyle w:val="orcid-id-https"/>
          <w:rFonts w:cs="Times New Roman"/>
          <w:szCs w:val="24"/>
          <w:lang w:val="en-GB"/>
        </w:rPr>
        <w:t>0000-0003-4211-2361</w:t>
      </w:r>
    </w:p>
    <w:p w:rsidR="000A1095" w:rsidRPr="00DC1909" w:rsidRDefault="000A1095" w:rsidP="000A1095">
      <w:pPr>
        <w:widowControl w:val="0"/>
        <w:spacing w:after="120"/>
        <w:rPr>
          <w:rFonts w:cs="Times New Roman"/>
          <w:szCs w:val="24"/>
          <w:lang w:val="en-US" w:eastAsia="de-CH"/>
        </w:rPr>
      </w:pPr>
      <w:proofErr w:type="spellStart"/>
      <w:r w:rsidRPr="00DC1909">
        <w:rPr>
          <w:rFonts w:cs="Times New Roman"/>
          <w:szCs w:val="24"/>
          <w:lang w:val="en-US" w:eastAsia="de-CH"/>
        </w:rPr>
        <w:t>Sindy</w:t>
      </w:r>
      <w:proofErr w:type="spellEnd"/>
      <w:r w:rsidRPr="00DC1909">
        <w:rPr>
          <w:rFonts w:cs="Times New Roman"/>
          <w:szCs w:val="24"/>
          <w:lang w:val="en-US" w:eastAsia="de-CH"/>
        </w:rPr>
        <w:t xml:space="preserve"> </w:t>
      </w:r>
      <w:proofErr w:type="spellStart"/>
      <w:r w:rsidRPr="00DC1909">
        <w:rPr>
          <w:rFonts w:cs="Times New Roman"/>
          <w:szCs w:val="24"/>
          <w:lang w:val="en-US" w:eastAsia="de-CH"/>
        </w:rPr>
        <w:t>Rabe</w:t>
      </w:r>
      <w:proofErr w:type="spellEnd"/>
      <w:r w:rsidRPr="00DC1909">
        <w:rPr>
          <w:rFonts w:cs="Times New Roman"/>
          <w:szCs w:val="24"/>
          <w:lang w:val="en-US" w:eastAsia="de-CH"/>
        </w:rPr>
        <w:t xml:space="preserve"> </w:t>
      </w:r>
      <w:r w:rsidRPr="00DC1909">
        <w:rPr>
          <w:rFonts w:cs="Times New Roman"/>
          <w:szCs w:val="24"/>
          <w:lang w:val="en-US" w:eastAsia="de-CH"/>
        </w:rPr>
        <w:tab/>
      </w:r>
      <w:r w:rsidRPr="00DC1909">
        <w:rPr>
          <w:rFonts w:cs="Times New Roman"/>
          <w:szCs w:val="24"/>
          <w:lang w:val="en-US" w:eastAsia="de-CH"/>
        </w:rPr>
        <w:tab/>
        <w:t>no ORCID Number available</w:t>
      </w:r>
    </w:p>
    <w:p w:rsidR="000A1095" w:rsidRPr="008219EC" w:rsidRDefault="000A1095" w:rsidP="000A1095">
      <w:pPr>
        <w:widowControl w:val="0"/>
        <w:spacing w:after="120"/>
        <w:rPr>
          <w:rStyle w:val="orcid-id-https"/>
          <w:rFonts w:cs="Times New Roman"/>
          <w:szCs w:val="24"/>
        </w:rPr>
      </w:pPr>
      <w:r w:rsidRPr="008219EC">
        <w:rPr>
          <w:rFonts w:cs="Times New Roman"/>
          <w:szCs w:val="24"/>
          <w:lang w:eastAsia="de-CH"/>
        </w:rPr>
        <w:t>Michael Gekle</w:t>
      </w:r>
      <w:r w:rsidRPr="008219EC">
        <w:rPr>
          <w:rFonts w:cs="Times New Roman"/>
          <w:szCs w:val="24"/>
          <w:lang w:eastAsia="de-CH"/>
        </w:rPr>
        <w:tab/>
      </w:r>
      <w:r w:rsidRPr="008219EC">
        <w:rPr>
          <w:rFonts w:cs="Times New Roman"/>
          <w:szCs w:val="24"/>
          <w:lang w:eastAsia="de-CH"/>
        </w:rPr>
        <w:tab/>
      </w:r>
      <w:r w:rsidRPr="008219EC">
        <w:rPr>
          <w:rStyle w:val="orcid-id-https"/>
          <w:rFonts w:cs="Times New Roman"/>
          <w:szCs w:val="24"/>
        </w:rPr>
        <w:t>0000-0002-1581-8767</w:t>
      </w:r>
    </w:p>
    <w:p w:rsidR="000A1095" w:rsidRPr="008219EC" w:rsidRDefault="000A1095" w:rsidP="000A1095">
      <w:pPr>
        <w:widowControl w:val="0"/>
        <w:spacing w:after="120"/>
        <w:rPr>
          <w:rStyle w:val="orcid-id-https"/>
          <w:rFonts w:cs="Times New Roman"/>
          <w:szCs w:val="24"/>
        </w:rPr>
      </w:pPr>
      <w:r w:rsidRPr="008219EC">
        <w:rPr>
          <w:rFonts w:cs="Times New Roman"/>
          <w:szCs w:val="24"/>
          <w:lang w:eastAsia="de-CH"/>
        </w:rPr>
        <w:t>Claudia Grossmann</w:t>
      </w:r>
      <w:r w:rsidRPr="008219EC">
        <w:rPr>
          <w:rStyle w:val="orcid-id-https"/>
          <w:rFonts w:cs="Times New Roman"/>
          <w:szCs w:val="24"/>
        </w:rPr>
        <w:t xml:space="preserve"> </w:t>
      </w:r>
      <w:r w:rsidRPr="008219EC">
        <w:rPr>
          <w:rFonts w:cs="Times New Roman"/>
          <w:szCs w:val="24"/>
          <w:lang w:eastAsia="de-CH"/>
        </w:rPr>
        <w:tab/>
      </w:r>
      <w:r w:rsidR="00AA49AD" w:rsidRPr="008219EC">
        <w:rPr>
          <w:rFonts w:cs="Times New Roman"/>
          <w:szCs w:val="24"/>
          <w:lang w:eastAsia="de-CH"/>
        </w:rPr>
        <w:t>0000-0003-2026-1980</w:t>
      </w:r>
    </w:p>
    <w:p w:rsidR="000A1095" w:rsidRPr="008219EC" w:rsidRDefault="000A1095" w:rsidP="000A1095">
      <w:pPr>
        <w:widowControl w:val="0"/>
        <w:spacing w:after="120"/>
        <w:rPr>
          <w:rFonts w:cs="Times New Roman"/>
          <w:szCs w:val="24"/>
        </w:rPr>
      </w:pPr>
      <w:r w:rsidRPr="008219EC">
        <w:rPr>
          <w:rStyle w:val="orcid-id-https"/>
          <w:rFonts w:cs="Times New Roman"/>
          <w:szCs w:val="24"/>
        </w:rPr>
        <w:t>Barbara Schreier</w:t>
      </w:r>
      <w:r w:rsidRPr="008219EC">
        <w:rPr>
          <w:rStyle w:val="orcid-id-https"/>
          <w:rFonts w:cs="Times New Roman"/>
          <w:szCs w:val="24"/>
        </w:rPr>
        <w:tab/>
      </w:r>
      <w:r w:rsidRPr="008219EC">
        <w:rPr>
          <w:rStyle w:val="orcid-id-https"/>
          <w:rFonts w:cs="Times New Roman"/>
          <w:szCs w:val="24"/>
        </w:rPr>
        <w:tab/>
        <w:t>0000-0002-3087-6439</w:t>
      </w:r>
    </w:p>
    <w:p w:rsidR="006E34C4" w:rsidRDefault="000A1095" w:rsidP="000A1095">
      <w:pPr>
        <w:widowControl w:val="0"/>
        <w:spacing w:after="120"/>
        <w:rPr>
          <w:rFonts w:cs="Times New Roman"/>
          <w:b/>
          <w:szCs w:val="24"/>
          <w:lang w:val="en-US" w:eastAsia="de-CH"/>
        </w:rPr>
      </w:pPr>
      <w:r w:rsidRPr="00DC1909">
        <w:rPr>
          <w:rFonts w:cs="Times New Roman"/>
          <w:szCs w:val="24"/>
          <w:vertAlign w:val="superscript"/>
          <w:lang w:val="en-US" w:eastAsia="de-CH"/>
        </w:rPr>
        <w:t>$</w:t>
      </w:r>
      <w:r w:rsidR="006E34C4">
        <w:rPr>
          <w:rFonts w:cs="Times New Roman"/>
          <w:b/>
          <w:szCs w:val="24"/>
          <w:lang w:val="en-US" w:eastAsia="de-CH"/>
        </w:rPr>
        <w:t>Corresponding Author:</w:t>
      </w:r>
    </w:p>
    <w:p w:rsidR="006E34C4" w:rsidRDefault="00FC52AF" w:rsidP="000A1095">
      <w:pPr>
        <w:widowControl w:val="0"/>
        <w:spacing w:after="120"/>
        <w:rPr>
          <w:rFonts w:cs="Times New Roman"/>
          <w:szCs w:val="24"/>
          <w:lang w:val="en-US" w:eastAsia="de-CH"/>
        </w:rPr>
      </w:pPr>
      <w:r w:rsidRPr="00FC52AF">
        <w:rPr>
          <w:rFonts w:cs="Times New Roman"/>
          <w:szCs w:val="24"/>
          <w:lang w:val="en-US" w:eastAsia="de-CH"/>
        </w:rPr>
        <w:t>Maria Knyrim</w:t>
      </w:r>
      <w:r w:rsidR="006E34C4">
        <w:rPr>
          <w:rFonts w:cs="Times New Roman"/>
          <w:szCs w:val="24"/>
          <w:lang w:val="en-US" w:eastAsia="de-CH"/>
        </w:rPr>
        <w:t xml:space="preserve"> </w:t>
      </w:r>
    </w:p>
    <w:p w:rsidR="00F9070A" w:rsidRPr="000B63C6" w:rsidRDefault="006E34C4" w:rsidP="000B63C6">
      <w:pPr>
        <w:widowControl w:val="0"/>
        <w:spacing w:after="120"/>
        <w:rPr>
          <w:rFonts w:cs="Times New Roman"/>
          <w:b/>
          <w:szCs w:val="24"/>
          <w:lang w:val="en-US" w:eastAsia="de-CH"/>
        </w:rPr>
      </w:pPr>
      <w:r>
        <w:rPr>
          <w:rFonts w:cs="Times New Roman"/>
          <w:szCs w:val="24"/>
          <w:lang w:val="en-US" w:eastAsia="de-CH"/>
        </w:rPr>
        <w:t>maria.knyrim@medizin.uni-halle.de</w:t>
      </w:r>
    </w:p>
    <w:p w:rsidR="000A1095" w:rsidRPr="00064AD6" w:rsidRDefault="000B63C6" w:rsidP="000A1095">
      <w:pPr>
        <w:pStyle w:val="berschrift2"/>
        <w:rPr>
          <w:lang w:val="en-GB"/>
        </w:rPr>
      </w:pPr>
      <w:r>
        <w:rPr>
          <w:lang w:val="en-GB"/>
        </w:rPr>
        <w:t xml:space="preserve">Additional figure </w:t>
      </w:r>
      <w:r w:rsidR="00472C71">
        <w:rPr>
          <w:lang w:val="en-GB"/>
        </w:rPr>
        <w:t>S</w:t>
      </w:r>
      <w:bookmarkStart w:id="0" w:name="_GoBack"/>
      <w:bookmarkEnd w:id="0"/>
      <w:r>
        <w:rPr>
          <w:lang w:val="en-GB"/>
        </w:rPr>
        <w:t>1</w:t>
      </w:r>
    </w:p>
    <w:p w:rsidR="000A1095" w:rsidRDefault="000A1095" w:rsidP="000A1095">
      <w:pPr>
        <w:rPr>
          <w:lang w:val="en-GB"/>
        </w:rPr>
      </w:pPr>
      <w:r w:rsidRPr="007D53B7">
        <w:rPr>
          <w:noProof/>
          <w:lang w:val="en-GB" w:eastAsia="en-GB"/>
        </w:rPr>
        <w:drawing>
          <wp:anchor distT="0" distB="0" distL="114300" distR="114300" simplePos="0" relativeHeight="251659264" behindDoc="1" locked="0" layoutInCell="1" allowOverlap="1" wp14:anchorId="24F481E0" wp14:editId="53273435">
            <wp:simplePos x="0" y="0"/>
            <wp:positionH relativeFrom="margin">
              <wp:align>center</wp:align>
            </wp:positionH>
            <wp:positionV relativeFrom="paragraph">
              <wp:posOffset>234627</wp:posOffset>
            </wp:positionV>
            <wp:extent cx="5007600" cy="2638800"/>
            <wp:effectExtent l="0" t="0" r="3175" b="9525"/>
            <wp:wrapNone/>
            <wp:docPr id="17"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fik 13"/>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07600" cy="2638800"/>
                    </a:xfrm>
                    <a:prstGeom prst="rect">
                      <a:avLst/>
                    </a:prstGeom>
                  </pic:spPr>
                </pic:pic>
              </a:graphicData>
            </a:graphic>
            <wp14:sizeRelH relativeFrom="margin">
              <wp14:pctWidth>0</wp14:pctWidth>
            </wp14:sizeRelH>
            <wp14:sizeRelV relativeFrom="margin">
              <wp14:pctHeight>0</wp14:pctHeight>
            </wp14:sizeRelV>
          </wp:anchor>
        </w:drawing>
      </w:r>
    </w:p>
    <w:p w:rsidR="000A1095" w:rsidRDefault="000A1095" w:rsidP="000A1095">
      <w:pPr>
        <w:rPr>
          <w:b/>
          <w:lang w:val="en-GB"/>
        </w:rPr>
      </w:pPr>
    </w:p>
    <w:p w:rsidR="000A1095" w:rsidRDefault="000A1095" w:rsidP="000A1095">
      <w:pPr>
        <w:rPr>
          <w:b/>
          <w:lang w:val="en-GB"/>
        </w:rPr>
      </w:pPr>
    </w:p>
    <w:p w:rsidR="000A1095" w:rsidRDefault="000A1095" w:rsidP="000A1095">
      <w:pPr>
        <w:rPr>
          <w:b/>
          <w:lang w:val="en-GB"/>
        </w:rPr>
      </w:pPr>
    </w:p>
    <w:p w:rsidR="000A1095" w:rsidRDefault="000A1095" w:rsidP="000A1095">
      <w:pPr>
        <w:rPr>
          <w:b/>
          <w:lang w:val="en-GB"/>
        </w:rPr>
      </w:pPr>
    </w:p>
    <w:p w:rsidR="000A1095" w:rsidRDefault="000A1095" w:rsidP="000A1095">
      <w:pPr>
        <w:rPr>
          <w:b/>
          <w:lang w:val="en-GB"/>
        </w:rPr>
      </w:pPr>
    </w:p>
    <w:p w:rsidR="000A1095" w:rsidRDefault="000A1095" w:rsidP="000A1095">
      <w:pPr>
        <w:rPr>
          <w:b/>
          <w:lang w:val="en-GB"/>
        </w:rPr>
      </w:pPr>
    </w:p>
    <w:p w:rsidR="000A1095" w:rsidRDefault="000A1095" w:rsidP="000A1095">
      <w:pPr>
        <w:rPr>
          <w:b/>
          <w:lang w:val="en-GB"/>
        </w:rPr>
      </w:pPr>
    </w:p>
    <w:p w:rsidR="000A1095" w:rsidRDefault="000A1095" w:rsidP="000A1095">
      <w:pPr>
        <w:rPr>
          <w:b/>
          <w:lang w:val="en-GB"/>
        </w:rPr>
      </w:pPr>
    </w:p>
    <w:p w:rsidR="000A1095" w:rsidRDefault="00472C71" w:rsidP="00E27C10">
      <w:pPr>
        <w:spacing w:line="276" w:lineRule="auto"/>
        <w:rPr>
          <w:lang w:val="en-GB"/>
        </w:rPr>
      </w:pPr>
      <w:r>
        <w:rPr>
          <w:b/>
          <w:lang w:val="en-GB"/>
        </w:rPr>
        <w:t>F</w:t>
      </w:r>
      <w:r w:rsidR="00E27C10">
        <w:rPr>
          <w:b/>
          <w:lang w:val="en-GB"/>
        </w:rPr>
        <w:t xml:space="preserve">igure </w:t>
      </w:r>
      <w:r>
        <w:rPr>
          <w:b/>
          <w:lang w:val="en-GB"/>
        </w:rPr>
        <w:t>S</w:t>
      </w:r>
      <w:r w:rsidR="000A1095">
        <w:rPr>
          <w:b/>
          <w:lang w:val="en-GB"/>
        </w:rPr>
        <w:t>1</w:t>
      </w:r>
      <w:r w:rsidR="001637C3">
        <w:rPr>
          <w:b/>
          <w:lang w:val="en-GB"/>
        </w:rPr>
        <w:t>.</w:t>
      </w:r>
      <w:r w:rsidR="000A1095" w:rsidRPr="00960145">
        <w:rPr>
          <w:b/>
          <w:lang w:val="en-GB"/>
        </w:rPr>
        <w:t xml:space="preserve"> </w:t>
      </w:r>
      <w:r w:rsidR="000A1095" w:rsidRPr="001637C3">
        <w:rPr>
          <w:b/>
          <w:lang w:val="en-GB"/>
        </w:rPr>
        <w:t xml:space="preserve">Contraction-inhibiting effect of verapamil depends on </w:t>
      </w:r>
      <w:proofErr w:type="spellStart"/>
      <w:r w:rsidR="000A1095" w:rsidRPr="001637C3">
        <w:rPr>
          <w:b/>
          <w:lang w:val="en-GB"/>
        </w:rPr>
        <w:t>neoCM</w:t>
      </w:r>
      <w:proofErr w:type="spellEnd"/>
      <w:r w:rsidR="000A1095" w:rsidRPr="001637C3">
        <w:rPr>
          <w:b/>
          <w:lang w:val="en-GB"/>
        </w:rPr>
        <w:t xml:space="preserve"> cluster size</w:t>
      </w:r>
      <w:r w:rsidR="000A1095" w:rsidRPr="00890237">
        <w:rPr>
          <w:lang w:val="en-GB"/>
        </w:rPr>
        <w:t>.</w:t>
      </w:r>
      <w:r w:rsidR="000A1095" w:rsidRPr="00960145">
        <w:rPr>
          <w:b/>
          <w:lang w:val="en-GB"/>
        </w:rPr>
        <w:t xml:space="preserve"> </w:t>
      </w:r>
      <w:r w:rsidR="000A1095" w:rsidRPr="00960145">
        <w:rPr>
          <w:lang w:val="en-GB"/>
        </w:rPr>
        <w:t xml:space="preserve">Spontaneous beating activity at room temperature was measured under control conditions (for ca. 54 s) and at two successive </w:t>
      </w:r>
      <w:proofErr w:type="gramStart"/>
      <w:r w:rsidR="000A1095" w:rsidRPr="00960145">
        <w:rPr>
          <w:lang w:val="en-GB"/>
        </w:rPr>
        <w:t>time periods</w:t>
      </w:r>
      <w:proofErr w:type="gramEnd"/>
      <w:r w:rsidR="000A1095" w:rsidRPr="00960145">
        <w:rPr>
          <w:lang w:val="en-GB"/>
        </w:rPr>
        <w:t xml:space="preserve"> after solution change to 10 µM verapamil (verapamil 1: ca. 54 s movie, verapamil 2: ca. 58 s movie). Beats were analysed using </w:t>
      </w:r>
      <w:proofErr w:type="spellStart"/>
      <w:r w:rsidR="000A1095" w:rsidRPr="00960145">
        <w:rPr>
          <w:lang w:val="en-GB"/>
        </w:rPr>
        <w:t>Myocyter</w:t>
      </w:r>
      <w:proofErr w:type="spellEnd"/>
      <w:r w:rsidR="000A1095" w:rsidRPr="00960145">
        <w:rPr>
          <w:lang w:val="en-GB"/>
        </w:rPr>
        <w:t xml:space="preserve"> Image J plugin. </w:t>
      </w:r>
      <w:r w:rsidR="000A1095" w:rsidRPr="00960145">
        <w:rPr>
          <w:b/>
          <w:lang w:val="en-GB"/>
        </w:rPr>
        <w:t>A</w:t>
      </w:r>
      <w:r w:rsidR="000A1095" w:rsidRPr="00960145">
        <w:rPr>
          <w:lang w:val="en-GB"/>
        </w:rPr>
        <w:t xml:space="preserve"> Cluster-specific beating activity. </w:t>
      </w:r>
      <w:r w:rsidR="000A1095" w:rsidRPr="00960145">
        <w:rPr>
          <w:b/>
          <w:lang w:val="en-GB"/>
        </w:rPr>
        <w:t>B</w:t>
      </w:r>
      <w:r w:rsidR="000A1095" w:rsidRPr="00960145">
        <w:rPr>
          <w:lang w:val="en-GB"/>
        </w:rPr>
        <w:t xml:space="preserve"> Statistical analysis. N=</w:t>
      </w:r>
      <w:proofErr w:type="gramStart"/>
      <w:r w:rsidR="000A1095" w:rsidRPr="00960145">
        <w:rPr>
          <w:lang w:val="en-GB"/>
        </w:rPr>
        <w:t>1</w:t>
      </w:r>
      <w:proofErr w:type="gramEnd"/>
      <w:r w:rsidR="000A1095" w:rsidRPr="00960145">
        <w:rPr>
          <w:lang w:val="en-GB"/>
        </w:rPr>
        <w:t xml:space="preserve">, n=9 cluster, paired t-test, </w:t>
      </w:r>
      <w:r w:rsidR="000A1095" w:rsidRPr="00960145">
        <w:rPr>
          <w:rFonts w:cs="Times New Roman"/>
          <w:lang w:val="en-GB"/>
        </w:rPr>
        <w:t xml:space="preserve">* indicates p &lt; 0.05. </w:t>
      </w:r>
      <w:r w:rsidR="000A1095">
        <w:rPr>
          <w:rFonts w:cs="Times New Roman"/>
          <w:lang w:val="en-GB"/>
        </w:rPr>
        <w:t>The corresponding movies can be found in the supplemental material</w:t>
      </w:r>
      <w:r w:rsidR="001637C3">
        <w:rPr>
          <w:rFonts w:cs="Times New Roman"/>
          <w:lang w:val="en-GB"/>
        </w:rPr>
        <w:t>.</w:t>
      </w:r>
    </w:p>
    <w:p w:rsidR="00552C7C" w:rsidRDefault="00552C7C" w:rsidP="000A1095">
      <w:pPr>
        <w:rPr>
          <w:lang w:val="en-GB"/>
        </w:rPr>
        <w:sectPr w:rsidR="00552C7C">
          <w:footerReference w:type="default" r:id="rId7"/>
          <w:pgSz w:w="11906" w:h="16838"/>
          <w:pgMar w:top="1417" w:right="1417" w:bottom="1134" w:left="1417" w:header="708" w:footer="708" w:gutter="0"/>
          <w:cols w:space="708"/>
          <w:docGrid w:linePitch="360"/>
        </w:sectPr>
      </w:pPr>
    </w:p>
    <w:p w:rsidR="000A1095" w:rsidRDefault="00C90253" w:rsidP="000A1095">
      <w:pPr>
        <w:pStyle w:val="berschrift2"/>
        <w:rPr>
          <w:lang w:val="en-GB"/>
        </w:rPr>
      </w:pPr>
      <w:r>
        <w:rPr>
          <w:lang w:val="en-GB"/>
        </w:rPr>
        <w:lastRenderedPageBreak/>
        <w:t>List of supplemental m</w:t>
      </w:r>
      <w:r w:rsidR="000A1095">
        <w:rPr>
          <w:lang w:val="en-GB"/>
        </w:rPr>
        <w:t>ovies and images</w:t>
      </w:r>
    </w:p>
    <w:p w:rsidR="00B83C6B" w:rsidRPr="00F027F2" w:rsidRDefault="000A1095" w:rsidP="00B83C6B">
      <w:pPr>
        <w:rPr>
          <w:lang w:val="en-GB"/>
        </w:rPr>
      </w:pPr>
      <w:r>
        <w:rPr>
          <w:lang w:val="en-GB"/>
        </w:rPr>
        <w:t xml:space="preserve">Movies from spontaneous contraction recordings under control conditions and after application of ISO or verapamil can be found in the supplemental material. Attached images are overviews of manual ROIs used for analysis with the Image J plugin </w:t>
      </w:r>
      <w:proofErr w:type="spellStart"/>
      <w:r>
        <w:rPr>
          <w:lang w:val="en-GB"/>
        </w:rPr>
        <w:t>Myocyter</w:t>
      </w:r>
      <w:proofErr w:type="spellEnd"/>
      <w:r>
        <w:rPr>
          <w:lang w:val="en-GB"/>
        </w:rPr>
        <w:t>. An overview of the file</w:t>
      </w:r>
      <w:r w:rsidR="00B8209F">
        <w:rPr>
          <w:lang w:val="en-GB"/>
        </w:rPr>
        <w:t xml:space="preserve"> names</w:t>
      </w:r>
      <w:r>
        <w:rPr>
          <w:lang w:val="en-GB"/>
        </w:rPr>
        <w:t xml:space="preserve"> is given below. </w:t>
      </w:r>
      <w:r w:rsidR="00B83C6B">
        <w:rPr>
          <w:lang w:val="en-GB"/>
        </w:rPr>
        <w:t xml:space="preserve">For the corresponding </w:t>
      </w:r>
      <w:proofErr w:type="gramStart"/>
      <w:r w:rsidR="00B83C6B">
        <w:rPr>
          <w:lang w:val="en-GB"/>
        </w:rPr>
        <w:t>movies</w:t>
      </w:r>
      <w:proofErr w:type="gramEnd"/>
      <w:r w:rsidR="00B83C6B">
        <w:rPr>
          <w:lang w:val="en-GB"/>
        </w:rPr>
        <w:t xml:space="preserve"> see Additional files 10 to 17. Scale bars are provided in the ROI overview</w:t>
      </w:r>
      <w:r w:rsidR="00D829FD">
        <w:rPr>
          <w:lang w:val="en-GB"/>
        </w:rPr>
        <w:t xml:space="preserve"> images</w:t>
      </w:r>
      <w:r w:rsidR="00B83C6B">
        <w:rPr>
          <w:lang w:val="en-GB"/>
        </w:rPr>
        <w:t>.</w:t>
      </w:r>
    </w:p>
    <w:p w:rsidR="000A1095" w:rsidRDefault="000A1095" w:rsidP="000A1095">
      <w:pPr>
        <w:rPr>
          <w:lang w:val="en-GB"/>
        </w:rPr>
      </w:pPr>
    </w:p>
    <w:p w:rsidR="000A1095" w:rsidRPr="00D25AA3" w:rsidRDefault="000A1095" w:rsidP="00FE0945">
      <w:pPr>
        <w:spacing w:after="0"/>
        <w:rPr>
          <w:b/>
          <w:lang w:val="en-GB"/>
        </w:rPr>
      </w:pPr>
      <w:proofErr w:type="spellStart"/>
      <w:proofErr w:type="gramStart"/>
      <w:r w:rsidRPr="00D25AA3">
        <w:rPr>
          <w:b/>
          <w:lang w:val="en-GB"/>
        </w:rPr>
        <w:t>untransfected</w:t>
      </w:r>
      <w:proofErr w:type="spellEnd"/>
      <w:proofErr w:type="gramEnd"/>
      <w:r w:rsidRPr="00D25AA3">
        <w:rPr>
          <w:b/>
          <w:lang w:val="en-GB"/>
        </w:rPr>
        <w:t xml:space="preserve"> </w:t>
      </w:r>
      <w:proofErr w:type="spellStart"/>
      <w:r w:rsidRPr="00D25AA3">
        <w:rPr>
          <w:b/>
          <w:lang w:val="en-GB"/>
        </w:rPr>
        <w:t>neoCM</w:t>
      </w:r>
      <w:proofErr w:type="spellEnd"/>
      <w:r w:rsidRPr="00D25AA3">
        <w:rPr>
          <w:b/>
          <w:lang w:val="en-GB"/>
        </w:rPr>
        <w:t xml:space="preserve"> spontaneous contraction verapamil</w:t>
      </w:r>
      <w:r w:rsidR="00B70151">
        <w:rPr>
          <w:b/>
          <w:lang w:val="en-GB"/>
        </w:rPr>
        <w:t xml:space="preserve"> (for quantification see Additional figure </w:t>
      </w:r>
      <w:r>
        <w:rPr>
          <w:b/>
          <w:lang w:val="en-GB"/>
        </w:rPr>
        <w:t>1):</w:t>
      </w:r>
    </w:p>
    <w:p w:rsidR="00F9070A" w:rsidRDefault="00F9070A" w:rsidP="00F9070A">
      <w:pPr>
        <w:rPr>
          <w:lang w:val="en-GB"/>
        </w:rPr>
      </w:pPr>
      <w:r w:rsidRPr="00F027F2">
        <w:rPr>
          <w:lang w:val="en-GB"/>
        </w:rPr>
        <w:t>Additional file 2_neoCM control</w:t>
      </w:r>
      <w:r>
        <w:rPr>
          <w:lang w:val="en-GB"/>
        </w:rPr>
        <w:t>.jpg</w:t>
      </w:r>
    </w:p>
    <w:p w:rsidR="00F9070A" w:rsidRDefault="00F9070A" w:rsidP="00F9070A">
      <w:pPr>
        <w:rPr>
          <w:lang w:val="en-GB"/>
        </w:rPr>
      </w:pPr>
      <w:r w:rsidRPr="00542EE9">
        <w:rPr>
          <w:lang w:val="en-GB"/>
        </w:rPr>
        <w:t>Additional file 3_neoCM verapamil</w:t>
      </w:r>
      <w:r>
        <w:rPr>
          <w:lang w:val="en-GB"/>
        </w:rPr>
        <w:t>.jpg</w:t>
      </w:r>
    </w:p>
    <w:p w:rsidR="00F9070A" w:rsidRDefault="00F9070A" w:rsidP="00F9070A">
      <w:pPr>
        <w:rPr>
          <w:lang w:val="en-GB"/>
        </w:rPr>
      </w:pPr>
      <w:r w:rsidRPr="006161E3">
        <w:rPr>
          <w:lang w:val="en-GB"/>
        </w:rPr>
        <w:t>Additional file 10_neoCM control</w:t>
      </w:r>
      <w:r>
        <w:rPr>
          <w:lang w:val="en-GB"/>
        </w:rPr>
        <w:t>.mp4</w:t>
      </w:r>
    </w:p>
    <w:p w:rsidR="00F9070A" w:rsidRDefault="00F9070A" w:rsidP="00F9070A">
      <w:pPr>
        <w:rPr>
          <w:lang w:val="en-GB"/>
        </w:rPr>
      </w:pPr>
      <w:r w:rsidRPr="00B71620">
        <w:rPr>
          <w:lang w:val="en-GB"/>
        </w:rPr>
        <w:t>Additional file 11_neoCM verapamil</w:t>
      </w:r>
      <w:r>
        <w:rPr>
          <w:lang w:val="en-GB"/>
        </w:rPr>
        <w:t>.mp4</w:t>
      </w:r>
    </w:p>
    <w:p w:rsidR="00FE0945" w:rsidRPr="00656928" w:rsidRDefault="00FE0945" w:rsidP="00FE0945">
      <w:pPr>
        <w:spacing w:after="0"/>
        <w:rPr>
          <w:lang w:val="en-GB"/>
        </w:rPr>
      </w:pPr>
    </w:p>
    <w:p w:rsidR="000A1095" w:rsidRPr="0000084E" w:rsidRDefault="000A1095" w:rsidP="00FE0945">
      <w:pPr>
        <w:spacing w:after="0"/>
        <w:rPr>
          <w:b/>
          <w:lang w:val="en-GB"/>
        </w:rPr>
      </w:pPr>
      <w:proofErr w:type="gramStart"/>
      <w:r>
        <w:rPr>
          <w:b/>
          <w:lang w:val="en-GB"/>
        </w:rPr>
        <w:t>mc</w:t>
      </w:r>
      <w:r w:rsidRPr="0000084E">
        <w:rPr>
          <w:b/>
          <w:lang w:val="en-GB"/>
        </w:rPr>
        <w:t>-transfected</w:t>
      </w:r>
      <w:proofErr w:type="gramEnd"/>
      <w:r w:rsidRPr="0000084E">
        <w:rPr>
          <w:b/>
          <w:lang w:val="en-GB"/>
        </w:rPr>
        <w:t xml:space="preserve"> </w:t>
      </w:r>
      <w:proofErr w:type="spellStart"/>
      <w:r w:rsidRPr="0000084E">
        <w:rPr>
          <w:b/>
          <w:lang w:val="en-GB"/>
        </w:rPr>
        <w:t>neoCM</w:t>
      </w:r>
      <w:proofErr w:type="spellEnd"/>
      <w:r w:rsidRPr="0000084E">
        <w:rPr>
          <w:b/>
          <w:lang w:val="en-GB"/>
        </w:rPr>
        <w:t xml:space="preserve"> spontaneous contraction ISO</w:t>
      </w:r>
      <w:r>
        <w:rPr>
          <w:b/>
          <w:lang w:val="en-GB"/>
        </w:rPr>
        <w:t xml:space="preserve"> (for corresponding tracings of ROI 3 see Fig. 5A):</w:t>
      </w:r>
    </w:p>
    <w:p w:rsidR="00F9070A" w:rsidRDefault="00F9070A" w:rsidP="00F9070A">
      <w:pPr>
        <w:rPr>
          <w:lang w:val="en-GB"/>
        </w:rPr>
      </w:pPr>
      <w:r w:rsidRPr="00542EE9">
        <w:rPr>
          <w:lang w:val="en-GB"/>
        </w:rPr>
        <w:t>Additional file 4_neoCM mc control</w:t>
      </w:r>
      <w:r>
        <w:rPr>
          <w:lang w:val="en-GB"/>
        </w:rPr>
        <w:t>.jpg</w:t>
      </w:r>
    </w:p>
    <w:p w:rsidR="00F9070A" w:rsidRDefault="00F9070A" w:rsidP="00F9070A">
      <w:pPr>
        <w:rPr>
          <w:lang w:val="en-GB"/>
        </w:rPr>
      </w:pPr>
      <w:r w:rsidRPr="00CF4CAA">
        <w:rPr>
          <w:lang w:val="en-GB"/>
        </w:rPr>
        <w:t>Additional file 5_neoCM mc ISO 1</w:t>
      </w:r>
      <w:r>
        <w:rPr>
          <w:lang w:val="en-GB"/>
        </w:rPr>
        <w:t>.jpg</w:t>
      </w:r>
    </w:p>
    <w:p w:rsidR="00F9070A" w:rsidRDefault="00F9070A" w:rsidP="00F9070A">
      <w:pPr>
        <w:rPr>
          <w:lang w:val="en-GB"/>
        </w:rPr>
      </w:pPr>
      <w:r w:rsidRPr="00CF4CAA">
        <w:rPr>
          <w:lang w:val="en-GB"/>
        </w:rPr>
        <w:t>Additional file 6_neoCM mc ISO 2</w:t>
      </w:r>
      <w:r>
        <w:rPr>
          <w:lang w:val="en-GB"/>
        </w:rPr>
        <w:t>.jpg</w:t>
      </w:r>
    </w:p>
    <w:p w:rsidR="00F9070A" w:rsidRDefault="00F9070A" w:rsidP="00F9070A">
      <w:pPr>
        <w:rPr>
          <w:lang w:val="en-GB"/>
        </w:rPr>
      </w:pPr>
      <w:r w:rsidRPr="00EF2D41">
        <w:rPr>
          <w:lang w:val="en-GB"/>
        </w:rPr>
        <w:t>Additional file 12_neoCM mc control</w:t>
      </w:r>
      <w:r w:rsidR="00B03068">
        <w:rPr>
          <w:lang w:val="en-GB"/>
        </w:rPr>
        <w:t>.mp4</w:t>
      </w:r>
    </w:p>
    <w:p w:rsidR="00F9070A" w:rsidRDefault="00F9070A" w:rsidP="00F9070A">
      <w:pPr>
        <w:rPr>
          <w:lang w:val="en-GB"/>
        </w:rPr>
      </w:pPr>
      <w:r w:rsidRPr="000E792D">
        <w:rPr>
          <w:lang w:val="en-GB"/>
        </w:rPr>
        <w:t>Additional file 13_neoCM mc ISO 1</w:t>
      </w:r>
      <w:r>
        <w:rPr>
          <w:lang w:val="en-GB"/>
        </w:rPr>
        <w:t>.mp4</w:t>
      </w:r>
    </w:p>
    <w:p w:rsidR="00F9070A" w:rsidRDefault="00F9070A" w:rsidP="00F9070A">
      <w:pPr>
        <w:rPr>
          <w:lang w:val="en-GB"/>
        </w:rPr>
      </w:pPr>
      <w:r w:rsidRPr="00BF5A96">
        <w:rPr>
          <w:lang w:val="en-GB"/>
        </w:rPr>
        <w:t>Additional file 14_neoCM mc ISO 2</w:t>
      </w:r>
      <w:r>
        <w:rPr>
          <w:lang w:val="en-GB"/>
        </w:rPr>
        <w:t>.mp4</w:t>
      </w:r>
    </w:p>
    <w:p w:rsidR="00FE0945" w:rsidRDefault="00FE0945" w:rsidP="00FE0945">
      <w:pPr>
        <w:spacing w:after="0"/>
        <w:rPr>
          <w:lang w:val="en-GB"/>
        </w:rPr>
      </w:pPr>
    </w:p>
    <w:p w:rsidR="00552C7C" w:rsidRPr="00F9070A" w:rsidRDefault="000A1095" w:rsidP="00F9070A">
      <w:pPr>
        <w:spacing w:after="0"/>
        <w:rPr>
          <w:b/>
          <w:lang w:val="en-GB"/>
        </w:rPr>
      </w:pPr>
      <w:proofErr w:type="gramStart"/>
      <w:r>
        <w:rPr>
          <w:b/>
          <w:lang w:val="en-GB"/>
        </w:rPr>
        <w:t>miR-222</w:t>
      </w:r>
      <w:r w:rsidRPr="0000084E">
        <w:rPr>
          <w:b/>
          <w:lang w:val="en-GB"/>
        </w:rPr>
        <w:t>-transfected</w:t>
      </w:r>
      <w:proofErr w:type="gramEnd"/>
      <w:r w:rsidRPr="0000084E">
        <w:rPr>
          <w:b/>
          <w:lang w:val="en-GB"/>
        </w:rPr>
        <w:t xml:space="preserve"> </w:t>
      </w:r>
      <w:proofErr w:type="spellStart"/>
      <w:r w:rsidRPr="0000084E">
        <w:rPr>
          <w:b/>
          <w:lang w:val="en-GB"/>
        </w:rPr>
        <w:t>neoCM</w:t>
      </w:r>
      <w:proofErr w:type="spellEnd"/>
      <w:r w:rsidRPr="0000084E">
        <w:rPr>
          <w:b/>
          <w:lang w:val="en-GB"/>
        </w:rPr>
        <w:t xml:space="preserve"> spontaneous contraction ISO</w:t>
      </w:r>
      <w:r>
        <w:rPr>
          <w:b/>
          <w:lang w:val="en-GB"/>
        </w:rPr>
        <w:t xml:space="preserve"> (for corresponding tracings of ROI 1 see Fig. 5A):</w:t>
      </w:r>
    </w:p>
    <w:p w:rsidR="00F9070A" w:rsidRDefault="00F9070A" w:rsidP="00F9070A">
      <w:pPr>
        <w:rPr>
          <w:lang w:val="en-GB"/>
        </w:rPr>
      </w:pPr>
      <w:r w:rsidRPr="00CF4CAA">
        <w:rPr>
          <w:lang w:val="en-GB"/>
        </w:rPr>
        <w:t>Additional file 7_neoCM miR-222 control</w:t>
      </w:r>
      <w:r>
        <w:rPr>
          <w:lang w:val="en-GB"/>
        </w:rPr>
        <w:t>.jpg</w:t>
      </w:r>
    </w:p>
    <w:p w:rsidR="00F9070A" w:rsidRDefault="00F9070A" w:rsidP="00F9070A">
      <w:pPr>
        <w:rPr>
          <w:lang w:val="en-GB"/>
        </w:rPr>
      </w:pPr>
      <w:r w:rsidRPr="003161BF">
        <w:rPr>
          <w:lang w:val="en-GB"/>
        </w:rPr>
        <w:t>Additional file 8_neoCM miR-222 ISO 1</w:t>
      </w:r>
      <w:r>
        <w:rPr>
          <w:lang w:val="en-GB"/>
        </w:rPr>
        <w:t>.jpg</w:t>
      </w:r>
    </w:p>
    <w:p w:rsidR="00F9070A" w:rsidRDefault="00F9070A" w:rsidP="00F9070A">
      <w:pPr>
        <w:rPr>
          <w:lang w:val="en-GB"/>
        </w:rPr>
      </w:pPr>
      <w:r w:rsidRPr="003161BF">
        <w:rPr>
          <w:lang w:val="en-GB"/>
        </w:rPr>
        <w:t>Additional file 9_neoCM miR-222 ISO 2</w:t>
      </w:r>
      <w:r>
        <w:rPr>
          <w:lang w:val="en-GB"/>
        </w:rPr>
        <w:t>.jpg</w:t>
      </w:r>
    </w:p>
    <w:p w:rsidR="00F9070A" w:rsidRDefault="00F9070A" w:rsidP="00F9070A">
      <w:pPr>
        <w:rPr>
          <w:lang w:val="en-GB"/>
        </w:rPr>
      </w:pPr>
      <w:r w:rsidRPr="00034B81">
        <w:rPr>
          <w:lang w:val="en-GB"/>
        </w:rPr>
        <w:t>Additional file 15_neoCM miR-222 control</w:t>
      </w:r>
      <w:r>
        <w:rPr>
          <w:lang w:val="en-GB"/>
        </w:rPr>
        <w:t>.mp4</w:t>
      </w:r>
    </w:p>
    <w:p w:rsidR="00F9070A" w:rsidRDefault="00F9070A" w:rsidP="00F9070A">
      <w:pPr>
        <w:rPr>
          <w:lang w:val="en-GB"/>
        </w:rPr>
      </w:pPr>
      <w:r w:rsidRPr="00002383">
        <w:rPr>
          <w:lang w:val="en-GB"/>
        </w:rPr>
        <w:t>Additional file 16_neoCM miR-222 ISO 1</w:t>
      </w:r>
      <w:r>
        <w:rPr>
          <w:lang w:val="en-GB"/>
        </w:rPr>
        <w:t>.mp4</w:t>
      </w:r>
    </w:p>
    <w:p w:rsidR="00F9070A" w:rsidRPr="00321D10" w:rsidRDefault="00F9070A" w:rsidP="00F9070A">
      <w:pPr>
        <w:rPr>
          <w:lang w:val="en-GB"/>
        </w:rPr>
      </w:pPr>
      <w:r w:rsidRPr="00113249">
        <w:rPr>
          <w:lang w:val="en-GB"/>
        </w:rPr>
        <w:t>Additional file 17_neoCM miR-222 ISO 2</w:t>
      </w:r>
      <w:r>
        <w:rPr>
          <w:lang w:val="en-GB"/>
        </w:rPr>
        <w:t>.mp4</w:t>
      </w:r>
    </w:p>
    <w:p w:rsidR="00F9070A" w:rsidRDefault="00F9070A" w:rsidP="000A1095">
      <w:pPr>
        <w:spacing w:after="0" w:line="276" w:lineRule="auto"/>
        <w:rPr>
          <w:lang w:val="en-GB"/>
        </w:rPr>
      </w:pPr>
    </w:p>
    <w:p w:rsidR="00F9070A" w:rsidRDefault="00F9070A" w:rsidP="000A1095">
      <w:pPr>
        <w:spacing w:after="0" w:line="276" w:lineRule="auto"/>
        <w:rPr>
          <w:lang w:val="en-GB"/>
        </w:rPr>
      </w:pPr>
    </w:p>
    <w:p w:rsidR="00F9070A" w:rsidRDefault="00F9070A" w:rsidP="000A1095">
      <w:pPr>
        <w:spacing w:after="0" w:line="276" w:lineRule="auto"/>
        <w:rPr>
          <w:lang w:val="en-GB"/>
        </w:rPr>
      </w:pPr>
    </w:p>
    <w:p w:rsidR="00F9070A" w:rsidRDefault="00F9070A" w:rsidP="000A1095">
      <w:pPr>
        <w:spacing w:after="0" w:line="276" w:lineRule="auto"/>
        <w:rPr>
          <w:lang w:val="en-GB"/>
        </w:rPr>
      </w:pPr>
    </w:p>
    <w:p w:rsidR="00090641" w:rsidRDefault="00090641" w:rsidP="000A1095">
      <w:pPr>
        <w:spacing w:after="0" w:line="276" w:lineRule="auto"/>
        <w:rPr>
          <w:lang w:val="en-GB"/>
        </w:rPr>
      </w:pPr>
    </w:p>
    <w:p w:rsidR="000A1095" w:rsidRDefault="006610E4" w:rsidP="000A1095">
      <w:pPr>
        <w:pStyle w:val="berschrift2"/>
        <w:rPr>
          <w:lang w:val="en-GB"/>
        </w:rPr>
      </w:pPr>
      <w:r>
        <w:rPr>
          <w:lang w:val="en-GB"/>
        </w:rPr>
        <w:lastRenderedPageBreak/>
        <w:t>Supplementary m</w:t>
      </w:r>
      <w:r w:rsidR="000A1095">
        <w:rPr>
          <w:lang w:val="en-GB"/>
        </w:rPr>
        <w:t>ethods</w:t>
      </w:r>
    </w:p>
    <w:p w:rsidR="002709DB" w:rsidRDefault="002709DB" w:rsidP="002709DB">
      <w:pPr>
        <w:rPr>
          <w:lang w:val="en-GB"/>
        </w:rPr>
      </w:pPr>
      <w:r>
        <w:rPr>
          <w:lang w:val="en-GB"/>
        </w:rPr>
        <w:t>A</w:t>
      </w:r>
      <w:r w:rsidRPr="00432A20">
        <w:rPr>
          <w:lang w:val="en-GB"/>
        </w:rPr>
        <w:t xml:space="preserve">ll </w:t>
      </w:r>
      <w:r>
        <w:rPr>
          <w:lang w:val="en-GB"/>
        </w:rPr>
        <w:t xml:space="preserve">materials, chemicals and reagents were purchased </w:t>
      </w:r>
      <w:r w:rsidRPr="00432A20">
        <w:rPr>
          <w:lang w:val="en-GB"/>
        </w:rPr>
        <w:t>from Sigma Aldrich (Munich, Germany) unless stated otherwise</w:t>
      </w:r>
      <w:r>
        <w:rPr>
          <w:lang w:val="en-GB"/>
        </w:rPr>
        <w:t xml:space="preserve">. </w:t>
      </w:r>
    </w:p>
    <w:p w:rsidR="002709DB" w:rsidRPr="00155D09" w:rsidRDefault="002709DB" w:rsidP="002709DB">
      <w:pPr>
        <w:rPr>
          <w:b/>
          <w:lang w:val="en-GB"/>
        </w:rPr>
      </w:pPr>
      <w:r w:rsidRPr="00155D09">
        <w:rPr>
          <w:b/>
          <w:lang w:val="en-GB"/>
        </w:rPr>
        <w:t>Isolation and culture of neonatal mouse cardiomyocytes and cardiac fibroblasts</w:t>
      </w:r>
    </w:p>
    <w:p w:rsidR="002709DB" w:rsidRPr="002709DB" w:rsidRDefault="002709DB" w:rsidP="002709DB">
      <w:pPr>
        <w:rPr>
          <w:rFonts w:cs="Times New Roman"/>
          <w:szCs w:val="24"/>
          <w:lang w:val="en-GB"/>
        </w:rPr>
      </w:pPr>
      <w:proofErr w:type="spellStart"/>
      <w:r>
        <w:rPr>
          <w:lang w:val="en-GB"/>
        </w:rPr>
        <w:t>NeoCM</w:t>
      </w:r>
      <w:proofErr w:type="spellEnd"/>
      <w:r>
        <w:rPr>
          <w:lang w:val="en-GB"/>
        </w:rPr>
        <w:t xml:space="preserve"> were isolated from </w:t>
      </w:r>
      <w:proofErr w:type="spellStart"/>
      <w:r>
        <w:rPr>
          <w:lang w:val="en-GB"/>
        </w:rPr>
        <w:t>wildtype</w:t>
      </w:r>
      <w:proofErr w:type="spellEnd"/>
      <w:r>
        <w:rPr>
          <w:lang w:val="en-GB"/>
        </w:rPr>
        <w:t xml:space="preserve"> C57BL/6J </w:t>
      </w:r>
      <w:proofErr w:type="spellStart"/>
      <w:r w:rsidR="00A14C2E">
        <w:rPr>
          <w:lang w:val="en-GB"/>
        </w:rPr>
        <w:t>newborn</w:t>
      </w:r>
      <w:proofErr w:type="spellEnd"/>
      <w:r>
        <w:rPr>
          <w:lang w:val="en-GB"/>
        </w:rPr>
        <w:t xml:space="preserve"> mice on postnatal day 0-2. Mice were sacrificed by decapitation and hearts were removed and placed in cold 0.9% </w:t>
      </w:r>
      <w:proofErr w:type="spellStart"/>
      <w:r>
        <w:rPr>
          <w:lang w:val="en-GB"/>
        </w:rPr>
        <w:t>NaCl</w:t>
      </w:r>
      <w:proofErr w:type="spellEnd"/>
      <w:r>
        <w:rPr>
          <w:lang w:val="en-GB"/>
        </w:rPr>
        <w:t xml:space="preserve"> solution. Hearts from all littermates were pooled. Connective tissue was removed from the hearts. Whole hearts were transferred into 5 ml digestion buffer (HBSS, 0.5 mg/ml trypsin, </w:t>
      </w:r>
      <w:r w:rsidRPr="00280B97">
        <w:rPr>
          <w:lang w:val="en-GB"/>
        </w:rPr>
        <w:t>20 µg/ml DNase II</w:t>
      </w:r>
      <w:r>
        <w:rPr>
          <w:lang w:val="en-GB"/>
        </w:rPr>
        <w:t xml:space="preserve">) and minced into small pieces. Digestion was performed in 6-8 successive 10 min steps in 25 ml beakers at room temperature and constant stirring at 300 rpm. Generally, digestion steps were performed until all tissue pieces were digested. After 10 minutes of digestion the undigested tissue was allowed to settle down to the bottom of the beaker and the supernatant </w:t>
      </w:r>
      <w:r w:rsidRPr="00832ED5">
        <w:rPr>
          <w:lang w:val="en-GB"/>
        </w:rPr>
        <w:t xml:space="preserve">containing single cells was transferred to a 15 ml tube </w:t>
      </w:r>
      <w:r>
        <w:rPr>
          <w:lang w:val="en-GB"/>
        </w:rPr>
        <w:t>with</w:t>
      </w:r>
      <w:r w:rsidRPr="00832ED5">
        <w:rPr>
          <w:lang w:val="en-GB"/>
        </w:rPr>
        <w:t xml:space="preserve"> 6 ml FCS (for trypsin </w:t>
      </w:r>
      <w:r>
        <w:rPr>
          <w:lang w:val="en-GB"/>
        </w:rPr>
        <w:t xml:space="preserve">inactivation; </w:t>
      </w:r>
      <w:proofErr w:type="spellStart"/>
      <w:r>
        <w:rPr>
          <w:lang w:val="en-GB"/>
        </w:rPr>
        <w:t>Biochrom</w:t>
      </w:r>
      <w:proofErr w:type="spellEnd"/>
      <w:r>
        <w:rPr>
          <w:lang w:val="en-GB"/>
        </w:rPr>
        <w:t xml:space="preserve">, Berlin, Germany). New digestion buffer was added to the still undigested tissue and stirred again for 10 min. After each digestion </w:t>
      </w:r>
      <w:r w:rsidR="00A14C2E">
        <w:rPr>
          <w:lang w:val="en-GB"/>
        </w:rPr>
        <w:t>step,</w:t>
      </w:r>
      <w:r>
        <w:rPr>
          <w:lang w:val="en-GB"/>
        </w:rPr>
        <w:t xml:space="preserve"> the supernatant/FCS mixture was centrifuged at 1000 rpm for 5 min at room temperature. The supernatant was removed and the cell pellet </w:t>
      </w:r>
      <w:proofErr w:type="spellStart"/>
      <w:r>
        <w:rPr>
          <w:lang w:val="en-GB"/>
        </w:rPr>
        <w:t>resuspended</w:t>
      </w:r>
      <w:proofErr w:type="spellEnd"/>
      <w:r>
        <w:rPr>
          <w:lang w:val="en-GB"/>
        </w:rPr>
        <w:t xml:space="preserve"> in </w:t>
      </w:r>
      <w:proofErr w:type="spellStart"/>
      <w:r>
        <w:rPr>
          <w:rFonts w:cs="Times New Roman"/>
          <w:szCs w:val="24"/>
          <w:lang w:val="en-GB"/>
        </w:rPr>
        <w:t>neoCM</w:t>
      </w:r>
      <w:proofErr w:type="spellEnd"/>
      <w:r>
        <w:rPr>
          <w:rFonts w:cs="Times New Roman"/>
          <w:szCs w:val="24"/>
          <w:lang w:val="en-GB"/>
        </w:rPr>
        <w:t xml:space="preserve"> medium (DMEM with 4.5 g/l glucose</w:t>
      </w:r>
      <w:r w:rsidRPr="009A007C">
        <w:rPr>
          <w:rFonts w:cs="Times New Roman"/>
          <w:szCs w:val="24"/>
          <w:lang w:val="en-GB"/>
        </w:rPr>
        <w:t>, 5% FCS</w:t>
      </w:r>
      <w:r>
        <w:rPr>
          <w:rFonts w:cs="Times New Roman"/>
          <w:szCs w:val="24"/>
          <w:lang w:val="en-GB"/>
        </w:rPr>
        <w:t>, 20 µg/ml vitamin B</w:t>
      </w:r>
      <w:r w:rsidRPr="00F15622">
        <w:rPr>
          <w:rFonts w:cs="Times New Roman"/>
          <w:szCs w:val="24"/>
          <w:vertAlign w:val="subscript"/>
          <w:lang w:val="en-GB"/>
        </w:rPr>
        <w:t>12</w:t>
      </w:r>
      <w:r>
        <w:rPr>
          <w:rFonts w:cs="Times New Roman"/>
          <w:szCs w:val="24"/>
          <w:lang w:val="en-GB"/>
        </w:rPr>
        <w:t xml:space="preserve">) supplemented with 25 µl/ml penicillin/streptomycin. To remove most of the non-cardiomyocytes (mainly fibroblasts) from the cardiomyocyte culture, a pre-plating step was included. For this, cells were incubated for 1-2 h on untreated 50 mm Petri dishes at 37°C. In contrast to the cardiomyocytes, fibroblasts adhere to the untreated surface and the medium containing mainly cardiomyocytes could be removed and was centrifuged again. The cell pellet was </w:t>
      </w:r>
      <w:proofErr w:type="spellStart"/>
      <w:r>
        <w:rPr>
          <w:rFonts w:cs="Times New Roman"/>
          <w:szCs w:val="24"/>
          <w:lang w:val="en-GB"/>
        </w:rPr>
        <w:t>resuspended</w:t>
      </w:r>
      <w:proofErr w:type="spellEnd"/>
      <w:r>
        <w:rPr>
          <w:rFonts w:cs="Times New Roman"/>
          <w:szCs w:val="24"/>
          <w:lang w:val="en-GB"/>
        </w:rPr>
        <w:t xml:space="preserve"> in </w:t>
      </w:r>
      <w:proofErr w:type="spellStart"/>
      <w:r>
        <w:rPr>
          <w:rFonts w:cs="Times New Roman"/>
          <w:szCs w:val="24"/>
          <w:lang w:val="en-GB"/>
        </w:rPr>
        <w:t>neoCM</w:t>
      </w:r>
      <w:proofErr w:type="spellEnd"/>
      <w:r>
        <w:rPr>
          <w:rFonts w:cs="Times New Roman"/>
          <w:szCs w:val="24"/>
          <w:lang w:val="en-GB"/>
        </w:rPr>
        <w:t xml:space="preserve"> medium without antibiotics and the cells were plated onto fibronectin-1-coated glass cover slides in 50 mm Petri dishes (about two hearts per Petri dish). The next day the medium was changed to remove dead cells. After the initial </w:t>
      </w:r>
      <w:r w:rsidR="00090641">
        <w:rPr>
          <w:rFonts w:cs="Times New Roman"/>
          <w:szCs w:val="24"/>
          <w:lang w:val="en-GB"/>
        </w:rPr>
        <w:t>seeding,</w:t>
      </w:r>
      <w:r>
        <w:rPr>
          <w:rFonts w:cs="Times New Roman"/>
          <w:szCs w:val="24"/>
          <w:lang w:val="en-GB"/>
        </w:rPr>
        <w:t xml:space="preserve"> the FCS content was reduced to 1% to minimize fibroblast growth. </w:t>
      </w:r>
    </w:p>
    <w:p w:rsidR="000A1095" w:rsidRPr="00162708" w:rsidRDefault="000A1095" w:rsidP="000A1095">
      <w:pPr>
        <w:rPr>
          <w:b/>
          <w:lang w:val="en-GB"/>
        </w:rPr>
      </w:pPr>
      <w:r w:rsidRPr="00162708">
        <w:rPr>
          <w:b/>
          <w:lang w:val="en-GB"/>
        </w:rPr>
        <w:t>Immunofluorescence</w:t>
      </w:r>
    </w:p>
    <w:p w:rsidR="000A1095" w:rsidRPr="00515207" w:rsidRDefault="000A1095" w:rsidP="000A1095">
      <w:pPr>
        <w:rPr>
          <w:lang w:val="en-GB"/>
        </w:rPr>
      </w:pPr>
      <w:r>
        <w:rPr>
          <w:lang w:val="en-GB"/>
        </w:rPr>
        <w:t xml:space="preserve">Freshly isolated ventricular </w:t>
      </w:r>
      <w:proofErr w:type="spellStart"/>
      <w:r>
        <w:rPr>
          <w:lang w:val="en-GB"/>
        </w:rPr>
        <w:t>neoCM</w:t>
      </w:r>
      <w:proofErr w:type="spellEnd"/>
      <w:r>
        <w:rPr>
          <w:lang w:val="en-GB"/>
        </w:rPr>
        <w:t xml:space="preserve"> were plated on fibronectin-1-coated </w:t>
      </w:r>
      <w:proofErr w:type="spellStart"/>
      <w:r>
        <w:rPr>
          <w:lang w:val="en-GB"/>
        </w:rPr>
        <w:t>Multitest</w:t>
      </w:r>
      <w:proofErr w:type="spellEnd"/>
      <w:r>
        <w:rPr>
          <w:lang w:val="en-GB"/>
        </w:rPr>
        <w:t xml:space="preserve"> slides (Dunn, </w:t>
      </w:r>
      <w:proofErr w:type="spellStart"/>
      <w:r w:rsidRPr="007C6281">
        <w:rPr>
          <w:lang w:val="en-GB"/>
        </w:rPr>
        <w:t>Asbach</w:t>
      </w:r>
      <w:proofErr w:type="spellEnd"/>
      <w:r w:rsidRPr="007C6281">
        <w:rPr>
          <w:lang w:val="en-GB"/>
        </w:rPr>
        <w:t>, Germany</w:t>
      </w:r>
      <w:r>
        <w:rPr>
          <w:lang w:val="en-GB"/>
        </w:rPr>
        <w:t xml:space="preserve">) and incubated for 24 h. Cells were fixated with 4% paraformaldehyde for 15 min at room temperature. After three washing steps with 1xPBS for 5 min each, cells were </w:t>
      </w:r>
      <w:proofErr w:type="spellStart"/>
      <w:r>
        <w:rPr>
          <w:lang w:val="en-GB"/>
        </w:rPr>
        <w:t>permeabilized</w:t>
      </w:r>
      <w:proofErr w:type="spellEnd"/>
      <w:r>
        <w:rPr>
          <w:lang w:val="en-GB"/>
        </w:rPr>
        <w:t xml:space="preserve"> using 1xPBS containing 1% TritonX-100 for 30 min at room temperature. This was followed by two washing steps: 10 min with 1xPBS with 1%SDS and 100 </w:t>
      </w:r>
      <w:proofErr w:type="spellStart"/>
      <w:r>
        <w:rPr>
          <w:lang w:val="en-GB"/>
        </w:rPr>
        <w:t>mM</w:t>
      </w:r>
      <w:proofErr w:type="spellEnd"/>
      <w:r>
        <w:rPr>
          <w:lang w:val="en-GB"/>
        </w:rPr>
        <w:t xml:space="preserve"> glycine and 10 min with 1xPBS with 100 </w:t>
      </w:r>
      <w:proofErr w:type="spellStart"/>
      <w:r>
        <w:rPr>
          <w:lang w:val="en-GB"/>
        </w:rPr>
        <w:t>mM</w:t>
      </w:r>
      <w:proofErr w:type="spellEnd"/>
      <w:r>
        <w:rPr>
          <w:lang w:val="en-GB"/>
        </w:rPr>
        <w:t xml:space="preserve"> glycine at room temperature. Cells were incubated with 1xPBS containing 10% goat serum, 10% donkey serum, 1% BSA for 30 min to block unspecific antibody binding sites and washed once with 1xPBS. Primary antibody solution was added and incubated overnight at 4°C. The next day, after three 5 min washing steps with 1xPBS, cells were incubated </w:t>
      </w:r>
      <w:proofErr w:type="gramStart"/>
      <w:r>
        <w:rPr>
          <w:lang w:val="en-GB"/>
        </w:rPr>
        <w:t>with secondary antibody solution for 45 min at room temperature in the dark</w:t>
      </w:r>
      <w:proofErr w:type="gramEnd"/>
      <w:r>
        <w:rPr>
          <w:lang w:val="en-GB"/>
        </w:rPr>
        <w:t xml:space="preserve">. Afterwards, cells were again washed three times with 1xPBS for 5 min. To stain nuclei, DAPI working solution was added and cells were incubated for 2-15 min. After three further washing steps with 1xPBS slides were mounted with </w:t>
      </w:r>
      <w:proofErr w:type="spellStart"/>
      <w:r>
        <w:rPr>
          <w:lang w:val="en-GB"/>
        </w:rPr>
        <w:t>Dako</w:t>
      </w:r>
      <w:proofErr w:type="spellEnd"/>
      <w:r>
        <w:rPr>
          <w:lang w:val="en-GB"/>
        </w:rPr>
        <w:t xml:space="preserve"> fluorescence mounting medium (Agilent, </w:t>
      </w:r>
      <w:r w:rsidRPr="00B01A23">
        <w:rPr>
          <w:lang w:val="en-GB"/>
        </w:rPr>
        <w:t>Santa Clara, USA</w:t>
      </w:r>
      <w:r>
        <w:rPr>
          <w:lang w:val="en-GB"/>
        </w:rPr>
        <w:t xml:space="preserve">) and coverslips were added. The slides were incubated at 4°C overnight to dry. Background fluorescence was checked in samples treated with only secondary antibodies. Immunofluorescence was analysed using the fluorescence microscope </w:t>
      </w:r>
      <w:proofErr w:type="spellStart"/>
      <w:r>
        <w:rPr>
          <w:lang w:val="en-GB"/>
        </w:rPr>
        <w:t>BioZero</w:t>
      </w:r>
      <w:proofErr w:type="spellEnd"/>
      <w:r>
        <w:rPr>
          <w:lang w:val="en-GB"/>
        </w:rPr>
        <w:t xml:space="preserve"> </w:t>
      </w:r>
      <w:r w:rsidRPr="00A47671">
        <w:rPr>
          <w:lang w:val="en-GB"/>
        </w:rPr>
        <w:t>BZ-8100</w:t>
      </w:r>
      <w:r>
        <w:rPr>
          <w:lang w:val="en-GB"/>
        </w:rPr>
        <w:t xml:space="preserve"> (Keyence, </w:t>
      </w:r>
      <w:r w:rsidRPr="00A264E6">
        <w:rPr>
          <w:lang w:val="en-GB"/>
        </w:rPr>
        <w:t>Osaka, Japan</w:t>
      </w:r>
      <w:r>
        <w:rPr>
          <w:lang w:val="en-GB"/>
        </w:rPr>
        <w:t xml:space="preserve">). </w:t>
      </w:r>
    </w:p>
    <w:p w:rsidR="000A1095" w:rsidRPr="00F1609E" w:rsidRDefault="000A1095" w:rsidP="000A1095">
      <w:pPr>
        <w:spacing w:after="0"/>
        <w:rPr>
          <w:b/>
          <w:lang w:val="en-GB"/>
        </w:rPr>
      </w:pPr>
      <w:r w:rsidRPr="0093027E">
        <w:rPr>
          <w:lang w:val="en-GB"/>
        </w:rPr>
        <w:lastRenderedPageBreak/>
        <w:t>Primary antibodies: mouse anti-</w:t>
      </w:r>
      <w:proofErr w:type="spellStart"/>
      <w:r w:rsidRPr="0093027E">
        <w:rPr>
          <w:lang w:val="en-GB"/>
        </w:rPr>
        <w:t>cTnT</w:t>
      </w:r>
      <w:proofErr w:type="spellEnd"/>
      <w:r w:rsidRPr="0093027E">
        <w:rPr>
          <w:lang w:val="en-GB"/>
        </w:rPr>
        <w:t xml:space="preserve">: dilution 1:300 (ab10214, </w:t>
      </w:r>
      <w:proofErr w:type="spellStart"/>
      <w:r w:rsidRPr="0093027E">
        <w:rPr>
          <w:lang w:val="en-GB"/>
        </w:rPr>
        <w:t>Abcam</w:t>
      </w:r>
      <w:proofErr w:type="spellEnd"/>
      <w:r>
        <w:rPr>
          <w:lang w:val="en-GB"/>
        </w:rPr>
        <w:t xml:space="preserve">, </w:t>
      </w:r>
      <w:r w:rsidRPr="00B01A23">
        <w:rPr>
          <w:rFonts w:cs="Times New Roman"/>
          <w:szCs w:val="24"/>
          <w:lang w:val="en-GB"/>
        </w:rPr>
        <w:t>Cambridge, UK</w:t>
      </w:r>
      <w:r w:rsidRPr="0093027E">
        <w:rPr>
          <w:lang w:val="en-GB"/>
        </w:rPr>
        <w:t>), rabbit anti-</w:t>
      </w:r>
      <w:proofErr w:type="spellStart"/>
      <w:r w:rsidRPr="0093027E">
        <w:rPr>
          <w:lang w:val="en-GB"/>
        </w:rPr>
        <w:t>vimentin</w:t>
      </w:r>
      <w:proofErr w:type="spellEnd"/>
      <w:r w:rsidRPr="0093027E">
        <w:rPr>
          <w:lang w:val="en-GB"/>
        </w:rPr>
        <w:t xml:space="preserve">: 1:100 (#5741, Cell </w:t>
      </w:r>
      <w:proofErr w:type="spellStart"/>
      <w:r w:rsidRPr="0093027E">
        <w:rPr>
          <w:lang w:val="en-GB"/>
        </w:rPr>
        <w:t>Signaling</w:t>
      </w:r>
      <w:proofErr w:type="spellEnd"/>
      <w:r w:rsidRPr="0093027E">
        <w:rPr>
          <w:lang w:val="en-GB"/>
        </w:rPr>
        <w:t xml:space="preserve"> </w:t>
      </w:r>
      <w:r w:rsidRPr="0093027E">
        <w:rPr>
          <w:rFonts w:eastAsia="Times New Roman" w:cs="Times New Roman"/>
          <w:szCs w:val="24"/>
          <w:lang w:val="en-US"/>
        </w:rPr>
        <w:t>Technology</w:t>
      </w:r>
      <w:r>
        <w:rPr>
          <w:rFonts w:eastAsia="Times New Roman" w:cs="Times New Roman"/>
          <w:szCs w:val="24"/>
          <w:lang w:val="en-US"/>
        </w:rPr>
        <w:t xml:space="preserve">, </w:t>
      </w:r>
      <w:r w:rsidRPr="00B01A23">
        <w:rPr>
          <w:rFonts w:eastAsia="Times New Roman" w:cs="Times New Roman"/>
          <w:szCs w:val="24"/>
          <w:lang w:val="en-GB"/>
        </w:rPr>
        <w:t>Danvers, USA</w:t>
      </w:r>
      <w:r w:rsidRPr="0093027E">
        <w:rPr>
          <w:rFonts w:eastAsia="Times New Roman" w:cs="Times New Roman"/>
          <w:szCs w:val="24"/>
          <w:lang w:val="en-US"/>
        </w:rPr>
        <w:t>)</w:t>
      </w:r>
      <w:r w:rsidRPr="0093027E">
        <w:rPr>
          <w:lang w:val="en-GB"/>
        </w:rPr>
        <w:t xml:space="preserve">, </w:t>
      </w:r>
      <w:r>
        <w:rPr>
          <w:lang w:val="en-GB"/>
        </w:rPr>
        <w:t xml:space="preserve">diluted </w:t>
      </w:r>
      <w:r w:rsidRPr="0093027E">
        <w:rPr>
          <w:lang w:val="en-GB"/>
        </w:rPr>
        <w:t>in PBS/</w:t>
      </w:r>
      <w:proofErr w:type="gramStart"/>
      <w:r w:rsidRPr="0093027E">
        <w:rPr>
          <w:lang w:val="en-GB"/>
        </w:rPr>
        <w:t>1%</w:t>
      </w:r>
      <w:proofErr w:type="gramEnd"/>
      <w:r w:rsidRPr="0093027E">
        <w:rPr>
          <w:lang w:val="en-GB"/>
        </w:rPr>
        <w:t xml:space="preserve"> goat serum/1% donkey serum/1% BSA</w:t>
      </w:r>
      <w:r>
        <w:rPr>
          <w:lang w:val="en-GB"/>
        </w:rPr>
        <w:t xml:space="preserve">. </w:t>
      </w:r>
      <w:r w:rsidRPr="0093027E">
        <w:rPr>
          <w:lang w:val="en-GB"/>
        </w:rPr>
        <w:t>Secondary antibodies:</w:t>
      </w:r>
      <w:r>
        <w:rPr>
          <w:lang w:val="en-GB"/>
        </w:rPr>
        <w:t xml:space="preserve"> </w:t>
      </w:r>
      <w:r w:rsidRPr="0093027E">
        <w:rPr>
          <w:lang w:val="en-GB"/>
        </w:rPr>
        <w:t>donkey anti-mouse Alexa Fluor 594, 1:1000 (A21203, Invitrogen</w:t>
      </w:r>
      <w:r>
        <w:rPr>
          <w:lang w:val="en-GB"/>
        </w:rPr>
        <w:t xml:space="preserve"> via Life Technologies, </w:t>
      </w:r>
      <w:r w:rsidRPr="00112B05">
        <w:rPr>
          <w:lang w:val="en-GB"/>
        </w:rPr>
        <w:t>Darmstadt, Germany</w:t>
      </w:r>
      <w:r w:rsidRPr="0093027E">
        <w:rPr>
          <w:lang w:val="en-GB"/>
        </w:rPr>
        <w:t>)</w:t>
      </w:r>
      <w:r>
        <w:rPr>
          <w:lang w:val="en-GB"/>
        </w:rPr>
        <w:t xml:space="preserve">, </w:t>
      </w:r>
      <w:r w:rsidRPr="0093027E">
        <w:rPr>
          <w:lang w:val="en-GB"/>
        </w:rPr>
        <w:t>goat anti-rabbit Oregon Green 488, 1:1000 (O-6381, Invitrogen)</w:t>
      </w:r>
      <w:r>
        <w:rPr>
          <w:lang w:val="en-GB"/>
        </w:rPr>
        <w:t xml:space="preserve">, diluted </w:t>
      </w:r>
      <w:r w:rsidRPr="00C60171">
        <w:rPr>
          <w:lang w:val="en-GB"/>
        </w:rPr>
        <w:t>in PBS/1% goat serum/1% donkey serum/1% BSA</w:t>
      </w:r>
      <w:r>
        <w:rPr>
          <w:lang w:val="en-GB"/>
        </w:rPr>
        <w:t xml:space="preserve">. </w:t>
      </w:r>
    </w:p>
    <w:p w:rsidR="001928F5" w:rsidRDefault="000A1095" w:rsidP="00CB4C15">
      <w:pPr>
        <w:spacing w:after="0"/>
        <w:rPr>
          <w:b/>
          <w:lang w:val="en-GB"/>
        </w:rPr>
      </w:pPr>
      <w:r w:rsidRPr="00F1609E">
        <w:rPr>
          <w:lang w:val="en-GB"/>
        </w:rPr>
        <w:t xml:space="preserve">Solutions: 4 % paraformaldehyde: For 250 </w:t>
      </w:r>
      <w:proofErr w:type="gramStart"/>
      <w:r w:rsidRPr="00F1609E">
        <w:rPr>
          <w:lang w:val="en-GB"/>
        </w:rPr>
        <w:t>ml</w:t>
      </w:r>
      <w:proofErr w:type="gramEnd"/>
      <w:r w:rsidRPr="00F1609E">
        <w:rPr>
          <w:lang w:val="en-GB"/>
        </w:rPr>
        <w:t xml:space="preserve"> stock solution 10 g paraformaldehyde are</w:t>
      </w:r>
      <w:r w:rsidRPr="0093027E">
        <w:rPr>
          <w:lang w:val="en-GB"/>
        </w:rPr>
        <w:t xml:space="preserve"> dissolved in 250 ml 1x PBS and the pH is adjusted to 7.4</w:t>
      </w:r>
      <w:r>
        <w:rPr>
          <w:lang w:val="en-GB"/>
        </w:rPr>
        <w:t>.</w:t>
      </w:r>
      <w:r w:rsidRPr="0093027E">
        <w:rPr>
          <w:lang w:val="en-GB"/>
        </w:rPr>
        <w:t xml:space="preserve"> The solution is heated to 65°C and </w:t>
      </w:r>
      <w:proofErr w:type="spellStart"/>
      <w:r w:rsidRPr="0093027E">
        <w:rPr>
          <w:lang w:val="en-GB"/>
        </w:rPr>
        <w:t>NaOH</w:t>
      </w:r>
      <w:proofErr w:type="spellEnd"/>
      <w:r w:rsidRPr="0093027E">
        <w:rPr>
          <w:lang w:val="en-GB"/>
        </w:rPr>
        <w:t xml:space="preserve"> is added until</w:t>
      </w:r>
      <w:r>
        <w:rPr>
          <w:lang w:val="en-GB"/>
        </w:rPr>
        <w:t xml:space="preserve"> the paraformaldehyde is completely dissolved</w:t>
      </w:r>
      <w:r w:rsidRPr="0093027E">
        <w:rPr>
          <w:lang w:val="en-GB"/>
        </w:rPr>
        <w:t>.</w:t>
      </w:r>
      <w:r>
        <w:rPr>
          <w:lang w:val="en-GB"/>
        </w:rPr>
        <w:t xml:space="preserve"> </w:t>
      </w:r>
      <w:r w:rsidRPr="0093027E">
        <w:rPr>
          <w:lang w:val="en-GB"/>
        </w:rPr>
        <w:t>Glycine solution</w:t>
      </w:r>
      <w:r>
        <w:rPr>
          <w:lang w:val="en-GB"/>
        </w:rPr>
        <w:t xml:space="preserve">: </w:t>
      </w:r>
      <w:r w:rsidRPr="0093027E">
        <w:rPr>
          <w:lang w:val="en-GB"/>
        </w:rPr>
        <w:t xml:space="preserve">100 </w:t>
      </w:r>
      <w:proofErr w:type="spellStart"/>
      <w:r w:rsidRPr="0093027E">
        <w:rPr>
          <w:lang w:val="en-GB"/>
        </w:rPr>
        <w:t>mM</w:t>
      </w:r>
      <w:proofErr w:type="spellEnd"/>
      <w:r w:rsidRPr="0093027E">
        <w:rPr>
          <w:lang w:val="en-GB"/>
        </w:rPr>
        <w:t xml:space="preserve"> in 1xPBS; pH is adjusted to 7.4 Blocking solution</w:t>
      </w:r>
      <w:r>
        <w:rPr>
          <w:lang w:val="en-GB"/>
        </w:rPr>
        <w:t xml:space="preserve">: 10 % goat serum, 10% donkey serum, </w:t>
      </w:r>
      <w:r w:rsidRPr="0093027E">
        <w:rPr>
          <w:lang w:val="en-GB"/>
        </w:rPr>
        <w:t>1% BSA (Capricorn Scientific</w:t>
      </w:r>
      <w:r>
        <w:rPr>
          <w:lang w:val="en-GB"/>
        </w:rPr>
        <w:t xml:space="preserve">, </w:t>
      </w:r>
      <w:proofErr w:type="spellStart"/>
      <w:r w:rsidRPr="00B01A23">
        <w:rPr>
          <w:lang w:val="en-GB"/>
        </w:rPr>
        <w:t>Ebsdorfergrund</w:t>
      </w:r>
      <w:proofErr w:type="spellEnd"/>
      <w:r w:rsidRPr="00B01A23">
        <w:rPr>
          <w:lang w:val="en-GB"/>
        </w:rPr>
        <w:t>, Germany</w:t>
      </w:r>
      <w:r w:rsidRPr="0093027E">
        <w:rPr>
          <w:lang w:val="en-GB"/>
        </w:rPr>
        <w:t>)</w:t>
      </w:r>
      <w:r>
        <w:rPr>
          <w:lang w:val="en-GB"/>
        </w:rPr>
        <w:t xml:space="preserve"> i</w:t>
      </w:r>
      <w:r w:rsidRPr="0093027E">
        <w:rPr>
          <w:lang w:val="en-GB"/>
        </w:rPr>
        <w:t>n 1x PBS</w:t>
      </w:r>
      <w:r>
        <w:rPr>
          <w:lang w:val="en-GB"/>
        </w:rPr>
        <w:t xml:space="preserve">. </w:t>
      </w:r>
      <w:r w:rsidRPr="0093027E">
        <w:rPr>
          <w:lang w:val="en-GB"/>
        </w:rPr>
        <w:t>DAPI stock solution: 10 mg/ml in water</w:t>
      </w:r>
      <w:r>
        <w:rPr>
          <w:lang w:val="en-GB"/>
        </w:rPr>
        <w:t xml:space="preserve">, </w:t>
      </w:r>
      <w:r w:rsidRPr="0093027E">
        <w:rPr>
          <w:lang w:val="en-GB"/>
        </w:rPr>
        <w:t xml:space="preserve">DAPI working solution: </w:t>
      </w:r>
      <w:proofErr w:type="gramStart"/>
      <w:r w:rsidRPr="0093027E">
        <w:rPr>
          <w:lang w:val="en-GB"/>
        </w:rPr>
        <w:t>1</w:t>
      </w:r>
      <w:proofErr w:type="gramEnd"/>
      <w:r w:rsidRPr="0093027E">
        <w:rPr>
          <w:lang w:val="en-GB"/>
        </w:rPr>
        <w:t xml:space="preserve"> µg/ml (dilute 1 µl DAPI stock solution in 10 ml PBS)</w:t>
      </w:r>
      <w:r>
        <w:rPr>
          <w:lang w:val="en-GB"/>
        </w:rPr>
        <w:t>.</w:t>
      </w:r>
    </w:p>
    <w:p w:rsidR="00CB4C15" w:rsidRPr="00CB4C15" w:rsidRDefault="00CB4C15" w:rsidP="00CB4C15">
      <w:pPr>
        <w:spacing w:after="0"/>
        <w:rPr>
          <w:b/>
          <w:lang w:val="en-GB"/>
        </w:rPr>
      </w:pPr>
    </w:p>
    <w:p w:rsidR="002709DB" w:rsidRPr="002709DB" w:rsidRDefault="002709DB" w:rsidP="002709DB">
      <w:pPr>
        <w:rPr>
          <w:b/>
          <w:lang w:val="en-GB"/>
        </w:rPr>
      </w:pPr>
      <w:r w:rsidRPr="002709DB">
        <w:rPr>
          <w:b/>
          <w:lang w:val="en-GB"/>
        </w:rPr>
        <w:t>Calcium imaging in HL-1 cells</w:t>
      </w:r>
    </w:p>
    <w:p w:rsidR="002709DB" w:rsidRPr="006A308B" w:rsidRDefault="002709DB" w:rsidP="0040102A">
      <w:pPr>
        <w:rPr>
          <w:lang w:val="en-GB"/>
        </w:rPr>
      </w:pPr>
      <w:r w:rsidRPr="000D70E7">
        <w:rPr>
          <w:lang w:val="en-GB"/>
        </w:rPr>
        <w:t xml:space="preserve">Calcium homeostasis in HL-1 cells was measured by </w:t>
      </w:r>
      <w:proofErr w:type="spellStart"/>
      <w:r w:rsidRPr="000D70E7">
        <w:rPr>
          <w:lang w:val="en-GB"/>
        </w:rPr>
        <w:t>ratiometric</w:t>
      </w:r>
      <w:proofErr w:type="spellEnd"/>
      <w:r w:rsidRPr="000D70E7">
        <w:rPr>
          <w:lang w:val="en-GB"/>
        </w:rPr>
        <w:t xml:space="preserve"> fluorescence microscopy</w:t>
      </w:r>
      <w:r>
        <w:rPr>
          <w:lang w:val="en-GB"/>
        </w:rPr>
        <w:t xml:space="preserve"> using Fura-2 AM</w:t>
      </w:r>
      <w:r w:rsidRPr="000D70E7">
        <w:rPr>
          <w:lang w:val="en-GB"/>
        </w:rPr>
        <w:t xml:space="preserve">. </w:t>
      </w:r>
      <w:r>
        <w:rPr>
          <w:lang w:val="en-GB"/>
        </w:rPr>
        <w:t xml:space="preserve">Changes in intracellular (cytosolic) calcium were measured at single-cell level using the </w:t>
      </w:r>
      <w:proofErr w:type="spellStart"/>
      <w:r>
        <w:rPr>
          <w:lang w:val="en-GB"/>
        </w:rPr>
        <w:t>VisiChrome</w:t>
      </w:r>
      <w:proofErr w:type="spellEnd"/>
      <w:r>
        <w:rPr>
          <w:lang w:val="en-GB"/>
        </w:rPr>
        <w:t xml:space="preserve"> High Speed </w:t>
      </w:r>
      <w:proofErr w:type="spellStart"/>
      <w:r>
        <w:rPr>
          <w:lang w:val="en-GB"/>
        </w:rPr>
        <w:t>Polychromator</w:t>
      </w:r>
      <w:proofErr w:type="spellEnd"/>
      <w:r>
        <w:rPr>
          <w:lang w:val="en-GB"/>
        </w:rPr>
        <w:t xml:space="preserve"> System (with High Speed Random Access </w:t>
      </w:r>
      <w:proofErr w:type="spellStart"/>
      <w:r>
        <w:rPr>
          <w:lang w:val="en-GB"/>
        </w:rPr>
        <w:t>Monochromator</w:t>
      </w:r>
      <w:proofErr w:type="spellEnd"/>
      <w:r>
        <w:rPr>
          <w:lang w:val="en-GB"/>
        </w:rPr>
        <w:t xml:space="preserve">; </w:t>
      </w:r>
      <w:proofErr w:type="spellStart"/>
      <w:r>
        <w:rPr>
          <w:lang w:val="en-GB"/>
        </w:rPr>
        <w:t>Visitron</w:t>
      </w:r>
      <w:proofErr w:type="spellEnd"/>
      <w:r>
        <w:rPr>
          <w:lang w:val="en-GB"/>
        </w:rPr>
        <w:t xml:space="preserve"> Systems, </w:t>
      </w:r>
      <w:proofErr w:type="spellStart"/>
      <w:r w:rsidRPr="00E8203E">
        <w:rPr>
          <w:lang w:val="en-GB"/>
        </w:rPr>
        <w:t>Puchheim</w:t>
      </w:r>
      <w:proofErr w:type="spellEnd"/>
      <w:r w:rsidRPr="00E8203E">
        <w:rPr>
          <w:lang w:val="en-GB"/>
        </w:rPr>
        <w:t>, Germany</w:t>
      </w:r>
      <w:r>
        <w:rPr>
          <w:lang w:val="en-GB"/>
        </w:rPr>
        <w:t xml:space="preserve">) and the Observer A.1 </w:t>
      </w:r>
      <w:proofErr w:type="spellStart"/>
      <w:r>
        <w:rPr>
          <w:lang w:val="en-GB"/>
        </w:rPr>
        <w:t>Axio</w:t>
      </w:r>
      <w:proofErr w:type="spellEnd"/>
      <w:r>
        <w:rPr>
          <w:lang w:val="en-GB"/>
        </w:rPr>
        <w:t xml:space="preserve"> inverse fluorescence microscope </w:t>
      </w:r>
      <w:r>
        <w:rPr>
          <w:sz w:val="22"/>
          <w:lang w:val="en-GB"/>
        </w:rPr>
        <w:t>(</w:t>
      </w:r>
      <w:r>
        <w:rPr>
          <w:lang w:val="en-GB"/>
        </w:rPr>
        <w:t xml:space="preserve">Zeiss, </w:t>
      </w:r>
      <w:proofErr w:type="spellStart"/>
      <w:r>
        <w:rPr>
          <w:lang w:val="en-GB"/>
        </w:rPr>
        <w:t>Oberkochen</w:t>
      </w:r>
      <w:proofErr w:type="spellEnd"/>
      <w:r>
        <w:rPr>
          <w:lang w:val="en-GB"/>
        </w:rPr>
        <w:t xml:space="preserve">, Germany) connected to a </w:t>
      </w:r>
      <w:proofErr w:type="spellStart"/>
      <w:r>
        <w:rPr>
          <w:lang w:val="en-GB"/>
        </w:rPr>
        <w:t>CoolSNAP</w:t>
      </w:r>
      <w:proofErr w:type="spellEnd"/>
      <w:r>
        <w:rPr>
          <w:lang w:val="en-GB"/>
        </w:rPr>
        <w:t xml:space="preserve"> EZ</w:t>
      </w:r>
      <w:r w:rsidRPr="000D0360">
        <w:rPr>
          <w:lang w:val="en-GB"/>
        </w:rPr>
        <w:t xml:space="preserve"> </w:t>
      </w:r>
      <w:r>
        <w:rPr>
          <w:lang w:val="en-GB"/>
        </w:rPr>
        <w:t xml:space="preserve">CCD </w:t>
      </w:r>
      <w:r w:rsidRPr="000D0360">
        <w:rPr>
          <w:lang w:val="en-GB"/>
        </w:rPr>
        <w:t>camera (</w:t>
      </w:r>
      <w:proofErr w:type="spellStart"/>
      <w:r w:rsidRPr="000D0360">
        <w:rPr>
          <w:lang w:val="en-GB"/>
        </w:rPr>
        <w:t>Visitron</w:t>
      </w:r>
      <w:proofErr w:type="spellEnd"/>
      <w:r w:rsidRPr="000D0360">
        <w:rPr>
          <w:lang w:val="en-GB"/>
        </w:rPr>
        <w:t xml:space="preserve"> Systems</w:t>
      </w:r>
      <w:r>
        <w:rPr>
          <w:lang w:val="en-GB"/>
        </w:rPr>
        <w:t xml:space="preserve">). HL-1 cells were plated </w:t>
      </w:r>
      <w:proofErr w:type="gramStart"/>
      <w:r>
        <w:rPr>
          <w:lang w:val="en-GB"/>
        </w:rPr>
        <w:t xml:space="preserve">on FCS-coated custom-made glass coverslips for 24 h in </w:t>
      </w:r>
      <w:proofErr w:type="spellStart"/>
      <w:r>
        <w:rPr>
          <w:lang w:val="en-GB"/>
        </w:rPr>
        <w:t>Claycomb</w:t>
      </w:r>
      <w:proofErr w:type="spellEnd"/>
      <w:r>
        <w:rPr>
          <w:lang w:val="en-GB"/>
        </w:rPr>
        <w:t xml:space="preserve"> medium with supplements</w:t>
      </w:r>
      <w:proofErr w:type="gramEnd"/>
      <w:r>
        <w:rPr>
          <w:lang w:val="en-GB"/>
        </w:rPr>
        <w:t>. To enhance coating and adherence the glass coverslips were pre-</w:t>
      </w:r>
      <w:r w:rsidRPr="00810FBE">
        <w:rPr>
          <w:lang w:val="en-GB"/>
        </w:rPr>
        <w:t xml:space="preserve">treated with </w:t>
      </w:r>
      <w:r>
        <w:rPr>
          <w:lang w:val="en-GB"/>
        </w:rPr>
        <w:t>1 M</w:t>
      </w:r>
      <w:r w:rsidRPr="00810FBE">
        <w:rPr>
          <w:lang w:val="en-GB"/>
        </w:rPr>
        <w:t xml:space="preserve"> </w:t>
      </w:r>
      <w:proofErr w:type="spellStart"/>
      <w:r w:rsidRPr="00810FBE">
        <w:rPr>
          <w:lang w:val="en-GB"/>
        </w:rPr>
        <w:t>HCl</w:t>
      </w:r>
      <w:proofErr w:type="spellEnd"/>
      <w:r w:rsidRPr="00810FBE">
        <w:rPr>
          <w:lang w:val="en-GB"/>
        </w:rPr>
        <w:t xml:space="preserve">. The next day, the cells transfected with </w:t>
      </w:r>
      <w:proofErr w:type="spellStart"/>
      <w:r w:rsidRPr="00810FBE">
        <w:rPr>
          <w:rFonts w:cs="Times New Roman"/>
          <w:szCs w:val="24"/>
          <w:lang w:val="en-GB"/>
        </w:rPr>
        <w:t>miRCURY</w:t>
      </w:r>
      <w:proofErr w:type="spellEnd"/>
      <w:r w:rsidRPr="00810FBE">
        <w:rPr>
          <w:rFonts w:cs="Times New Roman"/>
          <w:szCs w:val="24"/>
          <w:lang w:val="en-GB"/>
        </w:rPr>
        <w:t xml:space="preserve"> LNA miR-221/222 </w:t>
      </w:r>
      <w:r w:rsidRPr="00FB4A68">
        <w:rPr>
          <w:rFonts w:cs="Times New Roman"/>
          <w:szCs w:val="24"/>
          <w:lang w:val="en-GB"/>
        </w:rPr>
        <w:t>mimics or mimic negative control</w:t>
      </w:r>
      <w:r>
        <w:rPr>
          <w:rFonts w:cs="Times New Roman"/>
          <w:szCs w:val="24"/>
          <w:lang w:val="en-GB"/>
        </w:rPr>
        <w:t xml:space="preserve"> in DMEM as </w:t>
      </w:r>
      <w:r w:rsidRPr="004B3E1E">
        <w:rPr>
          <w:lang w:val="en-GB"/>
        </w:rPr>
        <w:t xml:space="preserve">described above. After 24 h of transfection, cells were allowed to grow in </w:t>
      </w:r>
      <w:proofErr w:type="spellStart"/>
      <w:r w:rsidRPr="004B3E1E">
        <w:rPr>
          <w:lang w:val="en-GB"/>
        </w:rPr>
        <w:t>Claycomb</w:t>
      </w:r>
      <w:proofErr w:type="spellEnd"/>
      <w:r w:rsidRPr="004B3E1E">
        <w:rPr>
          <w:lang w:val="en-GB"/>
        </w:rPr>
        <w:t xml:space="preserve"> medium including supplements for further 24 </w:t>
      </w:r>
      <w:r>
        <w:rPr>
          <w:rFonts w:cs="Times New Roman"/>
          <w:szCs w:val="24"/>
          <w:lang w:val="en-GB"/>
        </w:rPr>
        <w:t xml:space="preserve">h. After that, they were serum-starved for 24 h prior to calcium measurement. </w:t>
      </w:r>
      <w:r>
        <w:rPr>
          <w:lang w:val="en-GB"/>
        </w:rPr>
        <w:t xml:space="preserve">HL-1 cells were loaded with </w:t>
      </w:r>
      <w:proofErr w:type="gramStart"/>
      <w:r>
        <w:rPr>
          <w:lang w:val="en-GB"/>
        </w:rPr>
        <w:t>4</w:t>
      </w:r>
      <w:proofErr w:type="gramEnd"/>
      <w:r>
        <w:rPr>
          <w:lang w:val="en-GB"/>
        </w:rPr>
        <w:t xml:space="preserve"> µM Fura-2 AM (stock solution: 1 </w:t>
      </w:r>
      <w:proofErr w:type="spellStart"/>
      <w:r>
        <w:rPr>
          <w:lang w:val="en-GB"/>
        </w:rPr>
        <w:t>mM</w:t>
      </w:r>
      <w:proofErr w:type="spellEnd"/>
      <w:r>
        <w:rPr>
          <w:lang w:val="en-GB"/>
        </w:rPr>
        <w:t xml:space="preserve"> in DMSO) at 37°C for 30 min. During the </w:t>
      </w:r>
      <w:proofErr w:type="gramStart"/>
      <w:r>
        <w:rPr>
          <w:lang w:val="en-GB"/>
        </w:rPr>
        <w:t>experiment</w:t>
      </w:r>
      <w:proofErr w:type="gramEnd"/>
      <w:r>
        <w:rPr>
          <w:lang w:val="en-GB"/>
        </w:rPr>
        <w:t xml:space="preserve"> cells were </w:t>
      </w:r>
      <w:proofErr w:type="spellStart"/>
      <w:r>
        <w:rPr>
          <w:lang w:val="en-GB"/>
        </w:rPr>
        <w:t>superfused</w:t>
      </w:r>
      <w:proofErr w:type="spellEnd"/>
      <w:r>
        <w:rPr>
          <w:lang w:val="en-GB"/>
        </w:rPr>
        <w:t xml:space="preserve"> with pre-warmed control and test solutions (temperature when reaching the cells: 37°C). Ringer buffer (control solution) contained in </w:t>
      </w:r>
      <w:proofErr w:type="spellStart"/>
      <w:r>
        <w:rPr>
          <w:lang w:val="en-GB"/>
        </w:rPr>
        <w:t>mM</w:t>
      </w:r>
      <w:proofErr w:type="spellEnd"/>
      <w:r>
        <w:rPr>
          <w:lang w:val="en-GB"/>
        </w:rPr>
        <w:t>:</w:t>
      </w:r>
      <w:r w:rsidRPr="00BE780F">
        <w:rPr>
          <w:lang w:val="en-GB"/>
        </w:rPr>
        <w:t xml:space="preserve"> </w:t>
      </w:r>
      <w:proofErr w:type="spellStart"/>
      <w:r>
        <w:rPr>
          <w:lang w:val="en-GB"/>
        </w:rPr>
        <w:t>NaCl</w:t>
      </w:r>
      <w:proofErr w:type="spellEnd"/>
      <w:r>
        <w:rPr>
          <w:lang w:val="en-GB"/>
        </w:rPr>
        <w:t xml:space="preserve"> </w:t>
      </w:r>
      <w:r w:rsidRPr="00E311FA">
        <w:rPr>
          <w:lang w:val="en-GB"/>
        </w:rPr>
        <w:t>122.5</w:t>
      </w:r>
      <w:r>
        <w:rPr>
          <w:lang w:val="en-GB"/>
        </w:rPr>
        <w:t xml:space="preserve">, </w:t>
      </w:r>
      <w:proofErr w:type="spellStart"/>
      <w:r>
        <w:rPr>
          <w:lang w:val="en-GB"/>
        </w:rPr>
        <w:t>KCl</w:t>
      </w:r>
      <w:proofErr w:type="spellEnd"/>
      <w:r>
        <w:rPr>
          <w:lang w:val="en-GB"/>
        </w:rPr>
        <w:t xml:space="preserve"> </w:t>
      </w:r>
      <w:r w:rsidRPr="00E311FA">
        <w:rPr>
          <w:lang w:val="en-GB"/>
        </w:rPr>
        <w:t>5.4</w:t>
      </w:r>
      <w:r>
        <w:rPr>
          <w:lang w:val="en-GB"/>
        </w:rPr>
        <w:t xml:space="preserve">, </w:t>
      </w:r>
      <w:r w:rsidRPr="00E311FA">
        <w:rPr>
          <w:lang w:val="en-GB"/>
        </w:rPr>
        <w:t>MgCl</w:t>
      </w:r>
      <w:r w:rsidRPr="006939B2">
        <w:rPr>
          <w:vertAlign w:val="subscript"/>
          <w:lang w:val="en-GB"/>
        </w:rPr>
        <w:t>2</w:t>
      </w:r>
      <w:r w:rsidRPr="00E311FA">
        <w:rPr>
          <w:lang w:val="en-GB"/>
        </w:rPr>
        <w:t xml:space="preserve"> x </w:t>
      </w:r>
      <w:proofErr w:type="gramStart"/>
      <w:r w:rsidRPr="00E311FA">
        <w:rPr>
          <w:lang w:val="en-GB"/>
        </w:rPr>
        <w:t>6</w:t>
      </w:r>
      <w:proofErr w:type="gramEnd"/>
      <w:r w:rsidRPr="00E311FA">
        <w:rPr>
          <w:lang w:val="en-GB"/>
        </w:rPr>
        <w:t xml:space="preserve"> H</w:t>
      </w:r>
      <w:r w:rsidRPr="006939B2">
        <w:rPr>
          <w:vertAlign w:val="subscript"/>
          <w:lang w:val="en-GB"/>
        </w:rPr>
        <w:t>2</w:t>
      </w:r>
      <w:r>
        <w:rPr>
          <w:lang w:val="en-GB"/>
        </w:rPr>
        <w:t xml:space="preserve">O </w:t>
      </w:r>
      <w:r w:rsidRPr="00E311FA">
        <w:rPr>
          <w:lang w:val="en-GB"/>
        </w:rPr>
        <w:t>0.8</w:t>
      </w:r>
      <w:r>
        <w:rPr>
          <w:lang w:val="en-GB"/>
        </w:rPr>
        <w:t xml:space="preserve">, </w:t>
      </w:r>
      <w:r w:rsidRPr="00E311FA">
        <w:rPr>
          <w:lang w:val="en-GB"/>
        </w:rPr>
        <w:t>CaCl</w:t>
      </w:r>
      <w:r w:rsidRPr="006939B2">
        <w:rPr>
          <w:vertAlign w:val="subscript"/>
          <w:lang w:val="en-GB"/>
        </w:rPr>
        <w:t>2</w:t>
      </w:r>
      <w:r w:rsidRPr="00E311FA">
        <w:rPr>
          <w:lang w:val="en-GB"/>
        </w:rPr>
        <w:t xml:space="preserve"> x 2 H</w:t>
      </w:r>
      <w:r w:rsidRPr="008F1EFA">
        <w:rPr>
          <w:vertAlign w:val="subscript"/>
          <w:lang w:val="en-GB"/>
        </w:rPr>
        <w:t>2</w:t>
      </w:r>
      <w:r>
        <w:rPr>
          <w:lang w:val="en-GB"/>
        </w:rPr>
        <w:t xml:space="preserve">O </w:t>
      </w:r>
      <w:r w:rsidRPr="00E311FA">
        <w:rPr>
          <w:lang w:val="en-GB"/>
        </w:rPr>
        <w:t>1.2</w:t>
      </w:r>
      <w:r>
        <w:rPr>
          <w:lang w:val="en-GB"/>
        </w:rPr>
        <w:t xml:space="preserve">, </w:t>
      </w:r>
      <w:r w:rsidRPr="00E311FA">
        <w:rPr>
          <w:lang w:val="en-GB"/>
        </w:rPr>
        <w:t>NaH</w:t>
      </w:r>
      <w:r w:rsidRPr="006939B2">
        <w:rPr>
          <w:vertAlign w:val="subscript"/>
          <w:lang w:val="en-GB"/>
        </w:rPr>
        <w:t>2</w:t>
      </w:r>
      <w:r w:rsidRPr="00E311FA">
        <w:rPr>
          <w:lang w:val="en-GB"/>
        </w:rPr>
        <w:t>PO</w:t>
      </w:r>
      <w:r w:rsidRPr="006939B2">
        <w:rPr>
          <w:vertAlign w:val="subscript"/>
          <w:lang w:val="en-GB"/>
        </w:rPr>
        <w:t>4</w:t>
      </w:r>
      <w:r w:rsidRPr="00E311FA">
        <w:rPr>
          <w:lang w:val="en-GB"/>
        </w:rPr>
        <w:t xml:space="preserve"> x H</w:t>
      </w:r>
      <w:r w:rsidRPr="006939B2">
        <w:rPr>
          <w:vertAlign w:val="subscript"/>
          <w:lang w:val="en-GB"/>
        </w:rPr>
        <w:t>2</w:t>
      </w:r>
      <w:r>
        <w:rPr>
          <w:lang w:val="en-GB"/>
        </w:rPr>
        <w:t xml:space="preserve">O </w:t>
      </w:r>
      <w:r w:rsidRPr="00E311FA">
        <w:rPr>
          <w:lang w:val="en-GB"/>
        </w:rPr>
        <w:t>1</w:t>
      </w:r>
      <w:r>
        <w:rPr>
          <w:lang w:val="en-GB"/>
        </w:rPr>
        <w:t xml:space="preserve">.0, glucose </w:t>
      </w:r>
      <w:r w:rsidRPr="00E311FA">
        <w:rPr>
          <w:lang w:val="en-GB"/>
        </w:rPr>
        <w:t>5.5</w:t>
      </w:r>
      <w:r>
        <w:rPr>
          <w:lang w:val="en-GB"/>
        </w:rPr>
        <w:t xml:space="preserve">, HEPES </w:t>
      </w:r>
      <w:r w:rsidRPr="00E311FA">
        <w:rPr>
          <w:lang w:val="en-GB"/>
        </w:rPr>
        <w:t>10</w:t>
      </w:r>
      <w:r>
        <w:rPr>
          <w:lang w:val="en-GB"/>
        </w:rPr>
        <w:t xml:space="preserve">; pH was adjusted to 7.4 at 37°C. Before beginning the measurement, cells were allowed to get accustomed to the </w:t>
      </w:r>
      <w:proofErr w:type="spellStart"/>
      <w:r>
        <w:rPr>
          <w:lang w:val="en-GB"/>
        </w:rPr>
        <w:t>superfusion</w:t>
      </w:r>
      <w:proofErr w:type="spellEnd"/>
      <w:r>
        <w:rPr>
          <w:lang w:val="en-GB"/>
        </w:rPr>
        <w:t xml:space="preserve"> with Ringer solution for 200 s. The measurement started with control solution for 200-300s to get a stable baseline signal, followed by </w:t>
      </w:r>
      <w:proofErr w:type="spellStart"/>
      <w:r>
        <w:rPr>
          <w:lang w:val="en-GB"/>
        </w:rPr>
        <w:t>superfusion</w:t>
      </w:r>
      <w:proofErr w:type="spellEnd"/>
      <w:r>
        <w:rPr>
          <w:lang w:val="en-GB"/>
        </w:rPr>
        <w:t xml:space="preserve"> with 100 </w:t>
      </w:r>
      <w:proofErr w:type="spellStart"/>
      <w:r>
        <w:rPr>
          <w:lang w:val="en-GB"/>
        </w:rPr>
        <w:t>nM</w:t>
      </w:r>
      <w:proofErr w:type="spellEnd"/>
      <w:r>
        <w:rPr>
          <w:lang w:val="en-GB"/>
        </w:rPr>
        <w:t xml:space="preserve"> </w:t>
      </w:r>
      <w:proofErr w:type="spellStart"/>
      <w:r>
        <w:rPr>
          <w:lang w:val="en-GB"/>
        </w:rPr>
        <w:t>AngII</w:t>
      </w:r>
      <w:proofErr w:type="spellEnd"/>
      <w:r>
        <w:rPr>
          <w:lang w:val="en-GB"/>
        </w:rPr>
        <w:t xml:space="preserve"> for 150 s to observe a transient [Ca</w:t>
      </w:r>
      <w:r w:rsidRPr="003B7EC5">
        <w:rPr>
          <w:vertAlign w:val="superscript"/>
          <w:lang w:val="en-GB"/>
        </w:rPr>
        <w:t>2+</w:t>
      </w:r>
      <w:proofErr w:type="gramStart"/>
      <w:r>
        <w:rPr>
          <w:lang w:val="en-GB"/>
        </w:rPr>
        <w:t>]</w:t>
      </w:r>
      <w:proofErr w:type="spellStart"/>
      <w:r w:rsidRPr="003B7EC5">
        <w:rPr>
          <w:vertAlign w:val="subscript"/>
          <w:lang w:val="en-GB"/>
        </w:rPr>
        <w:t>i</w:t>
      </w:r>
      <w:proofErr w:type="spellEnd"/>
      <w:proofErr w:type="gramEnd"/>
      <w:r>
        <w:rPr>
          <w:lang w:val="en-GB"/>
        </w:rPr>
        <w:t xml:space="preserve"> increase. After this, control Ringer solution was applied for 150 s to wash out </w:t>
      </w:r>
      <w:proofErr w:type="spellStart"/>
      <w:r>
        <w:rPr>
          <w:lang w:val="en-GB"/>
        </w:rPr>
        <w:t>AngII</w:t>
      </w:r>
      <w:proofErr w:type="spellEnd"/>
      <w:r>
        <w:rPr>
          <w:lang w:val="en-GB"/>
        </w:rPr>
        <w:t xml:space="preserve">. To depolarize the cell membrane and activate LTCCs, the next step included Ringer solution with 25 </w:t>
      </w:r>
      <w:proofErr w:type="spellStart"/>
      <w:r>
        <w:rPr>
          <w:lang w:val="en-GB"/>
        </w:rPr>
        <w:t>mM</w:t>
      </w:r>
      <w:proofErr w:type="spellEnd"/>
      <w:r>
        <w:rPr>
          <w:lang w:val="en-GB"/>
        </w:rPr>
        <w:t xml:space="preserve"> </w:t>
      </w:r>
      <w:proofErr w:type="spellStart"/>
      <w:r>
        <w:rPr>
          <w:lang w:val="en-GB"/>
        </w:rPr>
        <w:t>KCl</w:t>
      </w:r>
      <w:proofErr w:type="spellEnd"/>
      <w:r>
        <w:rPr>
          <w:lang w:val="en-GB"/>
        </w:rPr>
        <w:t xml:space="preserve"> (instead of 5 </w:t>
      </w:r>
      <w:proofErr w:type="spellStart"/>
      <w:r>
        <w:rPr>
          <w:lang w:val="en-GB"/>
        </w:rPr>
        <w:t>mM</w:t>
      </w:r>
      <w:proofErr w:type="spellEnd"/>
      <w:r>
        <w:rPr>
          <w:lang w:val="en-GB"/>
        </w:rPr>
        <w:t xml:space="preserve"> in control solution) for 300 s. In a last step, cells were </w:t>
      </w:r>
      <w:proofErr w:type="spellStart"/>
      <w:r>
        <w:rPr>
          <w:lang w:val="en-GB"/>
        </w:rPr>
        <w:t>superfused</w:t>
      </w:r>
      <w:proofErr w:type="spellEnd"/>
      <w:r>
        <w:rPr>
          <w:lang w:val="en-GB"/>
        </w:rPr>
        <w:t xml:space="preserve"> with </w:t>
      </w:r>
      <w:proofErr w:type="gramStart"/>
      <w:r>
        <w:rPr>
          <w:lang w:val="en-GB"/>
        </w:rPr>
        <w:t>1</w:t>
      </w:r>
      <w:proofErr w:type="gramEnd"/>
      <w:r>
        <w:rPr>
          <w:lang w:val="en-GB"/>
        </w:rPr>
        <w:t xml:space="preserve"> µM </w:t>
      </w:r>
      <w:proofErr w:type="spellStart"/>
      <w:r>
        <w:rPr>
          <w:lang w:val="en-GB"/>
        </w:rPr>
        <w:t>ionomycin</w:t>
      </w:r>
      <w:proofErr w:type="spellEnd"/>
      <w:r>
        <w:rPr>
          <w:lang w:val="en-GB"/>
        </w:rPr>
        <w:t xml:space="preserve"> which serves as a positive control to discriminate between non-responding and dead cells. Living cells that do not respond to </w:t>
      </w:r>
      <w:proofErr w:type="spellStart"/>
      <w:r>
        <w:rPr>
          <w:lang w:val="en-GB"/>
        </w:rPr>
        <w:t>AngII</w:t>
      </w:r>
      <w:proofErr w:type="spellEnd"/>
      <w:r>
        <w:rPr>
          <w:lang w:val="en-GB"/>
        </w:rPr>
        <w:t xml:space="preserve"> and/or </w:t>
      </w:r>
      <w:proofErr w:type="spellStart"/>
      <w:r>
        <w:rPr>
          <w:lang w:val="en-GB"/>
        </w:rPr>
        <w:t>KCl</w:t>
      </w:r>
      <w:proofErr w:type="spellEnd"/>
      <w:r>
        <w:rPr>
          <w:lang w:val="en-GB"/>
        </w:rPr>
        <w:t xml:space="preserve"> still react to </w:t>
      </w:r>
      <w:proofErr w:type="spellStart"/>
      <w:r>
        <w:rPr>
          <w:lang w:val="en-GB"/>
        </w:rPr>
        <w:t>ionomycin</w:t>
      </w:r>
      <w:proofErr w:type="spellEnd"/>
      <w:r>
        <w:rPr>
          <w:lang w:val="en-GB"/>
        </w:rPr>
        <w:t xml:space="preserve"> with an increase in cytosolic Ca</w:t>
      </w:r>
      <w:r w:rsidRPr="0090306E">
        <w:rPr>
          <w:vertAlign w:val="superscript"/>
          <w:lang w:val="en-GB"/>
        </w:rPr>
        <w:t>2+</w:t>
      </w:r>
      <w:r>
        <w:rPr>
          <w:lang w:val="en-GB"/>
        </w:rPr>
        <w:t xml:space="preserve"> concentrations. Dead cells on the other hand no longer have an intact plasma membrane, leadi</w:t>
      </w:r>
      <w:r w:rsidR="00F35B3F">
        <w:rPr>
          <w:lang w:val="en-GB"/>
        </w:rPr>
        <w:t>ng to an early accumulation of c</w:t>
      </w:r>
      <w:r>
        <w:rPr>
          <w:lang w:val="en-GB"/>
        </w:rPr>
        <w:t xml:space="preserve">alcium in the cytosol and therefore no pronounced response upon </w:t>
      </w:r>
      <w:proofErr w:type="spellStart"/>
      <w:r>
        <w:rPr>
          <w:lang w:val="en-GB"/>
        </w:rPr>
        <w:t>ionomycin</w:t>
      </w:r>
      <w:proofErr w:type="spellEnd"/>
      <w:r>
        <w:rPr>
          <w:lang w:val="en-GB"/>
        </w:rPr>
        <w:t xml:space="preserve"> application. To test whether </w:t>
      </w:r>
      <w:proofErr w:type="spellStart"/>
      <w:r>
        <w:rPr>
          <w:lang w:val="en-GB"/>
        </w:rPr>
        <w:t>AngII</w:t>
      </w:r>
      <w:proofErr w:type="spellEnd"/>
      <w:r>
        <w:rPr>
          <w:lang w:val="en-GB"/>
        </w:rPr>
        <w:t xml:space="preserve"> and 25 </w:t>
      </w:r>
      <w:proofErr w:type="spellStart"/>
      <w:r>
        <w:rPr>
          <w:lang w:val="en-GB"/>
        </w:rPr>
        <w:t>mM</w:t>
      </w:r>
      <w:proofErr w:type="spellEnd"/>
      <w:r>
        <w:rPr>
          <w:lang w:val="en-GB"/>
        </w:rPr>
        <w:t xml:space="preserve"> </w:t>
      </w:r>
      <w:proofErr w:type="spellStart"/>
      <w:r>
        <w:rPr>
          <w:lang w:val="en-GB"/>
        </w:rPr>
        <w:t>KCl</w:t>
      </w:r>
      <w:proofErr w:type="spellEnd"/>
      <w:r>
        <w:rPr>
          <w:lang w:val="en-GB"/>
        </w:rPr>
        <w:t xml:space="preserve"> elicit the expected specific effects, inhibitors of AT1R (losartan, 10 µM) and LTCC (verapamil, 20 µM) were applied in additional experiments. Images of Fura-2 fluorescence intensity at excitation wavelengths of 340 nm and 380 nm were obtained with </w:t>
      </w:r>
      <w:proofErr w:type="spellStart"/>
      <w:r>
        <w:rPr>
          <w:lang w:val="en-GB"/>
        </w:rPr>
        <w:t>VisiVIEW</w:t>
      </w:r>
      <w:proofErr w:type="spellEnd"/>
      <w:r>
        <w:rPr>
          <w:lang w:val="en-GB"/>
        </w:rPr>
        <w:t xml:space="preserve"> Imaging Software (</w:t>
      </w:r>
      <w:proofErr w:type="spellStart"/>
      <w:r w:rsidRPr="000D0360">
        <w:rPr>
          <w:lang w:val="en-GB"/>
        </w:rPr>
        <w:t>Visitron</w:t>
      </w:r>
      <w:proofErr w:type="spellEnd"/>
      <w:r w:rsidRPr="000D0360">
        <w:rPr>
          <w:lang w:val="en-GB"/>
        </w:rPr>
        <w:t xml:space="preserve"> Systems</w:t>
      </w:r>
      <w:r>
        <w:rPr>
          <w:lang w:val="en-GB"/>
        </w:rPr>
        <w:t xml:space="preserve">; exposure: 40 </w:t>
      </w:r>
      <w:proofErr w:type="spellStart"/>
      <w:r>
        <w:rPr>
          <w:lang w:val="en-GB"/>
        </w:rPr>
        <w:t>ms</w:t>
      </w:r>
      <w:proofErr w:type="spellEnd"/>
      <w:r>
        <w:rPr>
          <w:lang w:val="en-GB"/>
        </w:rPr>
        <w:t xml:space="preserve">, </w:t>
      </w:r>
      <w:proofErr w:type="gramStart"/>
      <w:r>
        <w:rPr>
          <w:lang w:val="en-GB"/>
        </w:rPr>
        <w:t>bin:</w:t>
      </w:r>
      <w:proofErr w:type="gramEnd"/>
      <w:r>
        <w:rPr>
          <w:lang w:val="en-GB"/>
        </w:rPr>
        <w:t xml:space="preserve"> 2, sampling interval: 2 s, emission: 510 nm). Analysis was performed on single cell level by defining one region of interest per cell. </w:t>
      </w:r>
      <w:proofErr w:type="gramStart"/>
      <w:r>
        <w:rPr>
          <w:lang w:val="en-GB"/>
        </w:rPr>
        <w:t>340/380</w:t>
      </w:r>
      <w:proofErr w:type="gramEnd"/>
      <w:r>
        <w:rPr>
          <w:lang w:val="en-GB"/>
        </w:rPr>
        <w:t xml:space="preserve"> ratios were exported to Excel. Background fluorescence was subtracted. The reaction of a cell to a substance was defined as a response if the maximum value was higher than </w:t>
      </w:r>
      <w:r>
        <w:rPr>
          <w:lang w:val="en-GB"/>
        </w:rPr>
        <w:lastRenderedPageBreak/>
        <w:t>the mean plus three times the standard deviation of the control solution before substance application (e.g. maximum value (</w:t>
      </w:r>
      <w:proofErr w:type="spellStart"/>
      <w:r>
        <w:rPr>
          <w:lang w:val="en-GB"/>
        </w:rPr>
        <w:t>AngII</w:t>
      </w:r>
      <w:proofErr w:type="spellEnd"/>
      <w:r>
        <w:rPr>
          <w:lang w:val="en-GB"/>
        </w:rPr>
        <w:t xml:space="preserve">) &gt; mean (Ringer) + 3x standard deviation (Ringer)). First, values from dead cells were eliminated due to lack of response to </w:t>
      </w:r>
      <w:proofErr w:type="spellStart"/>
      <w:r>
        <w:rPr>
          <w:lang w:val="en-GB"/>
        </w:rPr>
        <w:t>ionomycin</w:t>
      </w:r>
      <w:proofErr w:type="spellEnd"/>
      <w:r>
        <w:rPr>
          <w:lang w:val="en-GB"/>
        </w:rPr>
        <w:t>. Then, responding and non-responding cells were defined. Response parameters, e.g. baseline shift, peak height, AUC (</w:t>
      </w:r>
      <w:proofErr w:type="spellStart"/>
      <w:r>
        <w:rPr>
          <w:lang w:val="en-GB"/>
        </w:rPr>
        <w:t>AngII</w:t>
      </w:r>
      <w:proofErr w:type="spellEnd"/>
      <w:r>
        <w:rPr>
          <w:lang w:val="en-GB"/>
        </w:rPr>
        <w:t xml:space="preserve">: 150 s, </w:t>
      </w:r>
      <w:proofErr w:type="spellStart"/>
      <w:r>
        <w:rPr>
          <w:lang w:val="en-GB"/>
        </w:rPr>
        <w:t>KCl</w:t>
      </w:r>
      <w:proofErr w:type="spellEnd"/>
      <w:r>
        <w:rPr>
          <w:lang w:val="en-GB"/>
        </w:rPr>
        <w:t xml:space="preserve">: first 150 s), were only obtained from responding cells unless indicated otherwise. </w:t>
      </w:r>
      <w:r w:rsidR="0040102A" w:rsidRPr="0040102A">
        <w:rPr>
          <w:lang w:val="en-GB"/>
        </w:rPr>
        <w:t>The AUC was calculated using the trapezoid method: (x2-x1)*[((y1+y2)/2)-baseline]. The area was calculated for each time inter</w:t>
      </w:r>
      <w:r w:rsidR="0040102A">
        <w:rPr>
          <w:lang w:val="en-GB"/>
        </w:rPr>
        <w:t xml:space="preserve">val (2 s each) and then added. </w:t>
      </w:r>
      <w:r w:rsidR="0040102A" w:rsidRPr="0040102A">
        <w:rPr>
          <w:lang w:val="en-GB"/>
        </w:rPr>
        <w:t xml:space="preserve">The AUC was calculated for the first 150 s after start of 25 </w:t>
      </w:r>
      <w:proofErr w:type="spellStart"/>
      <w:r w:rsidR="0040102A" w:rsidRPr="0040102A">
        <w:rPr>
          <w:lang w:val="en-GB"/>
        </w:rPr>
        <w:t>mM</w:t>
      </w:r>
      <w:proofErr w:type="spellEnd"/>
      <w:r w:rsidR="0040102A" w:rsidRPr="0040102A">
        <w:rPr>
          <w:lang w:val="en-GB"/>
        </w:rPr>
        <w:t xml:space="preserve"> </w:t>
      </w:r>
      <w:proofErr w:type="spellStart"/>
      <w:r w:rsidR="0040102A" w:rsidRPr="0040102A">
        <w:rPr>
          <w:lang w:val="en-GB"/>
        </w:rPr>
        <w:t>KCl</w:t>
      </w:r>
      <w:proofErr w:type="spellEnd"/>
      <w:r w:rsidR="0040102A" w:rsidRPr="0040102A">
        <w:rPr>
          <w:lang w:val="en-GB"/>
        </w:rPr>
        <w:t xml:space="preserve"> </w:t>
      </w:r>
      <w:proofErr w:type="spellStart"/>
      <w:r w:rsidR="0040102A" w:rsidRPr="0040102A">
        <w:rPr>
          <w:lang w:val="en-GB"/>
        </w:rPr>
        <w:t>superfusion</w:t>
      </w:r>
      <w:proofErr w:type="spellEnd"/>
      <w:r w:rsidR="0040102A" w:rsidRPr="0040102A">
        <w:rPr>
          <w:lang w:val="en-GB"/>
        </w:rPr>
        <w:t>, not from the beginning of an individual response up to the corresponding maximum response.</w:t>
      </w:r>
    </w:p>
    <w:p w:rsidR="002709DB" w:rsidRPr="002709DB" w:rsidRDefault="002709DB" w:rsidP="002709DB">
      <w:pPr>
        <w:rPr>
          <w:b/>
          <w:lang w:val="en-GB"/>
        </w:rPr>
      </w:pPr>
      <w:r w:rsidRPr="002709DB">
        <w:rPr>
          <w:b/>
          <w:lang w:val="en-GB"/>
        </w:rPr>
        <w:t xml:space="preserve">Calcium measurement in </w:t>
      </w:r>
      <w:proofErr w:type="spellStart"/>
      <w:r w:rsidRPr="002709DB">
        <w:rPr>
          <w:b/>
          <w:lang w:val="en-GB"/>
        </w:rPr>
        <w:t>neoCM</w:t>
      </w:r>
      <w:proofErr w:type="spellEnd"/>
    </w:p>
    <w:p w:rsidR="002709DB" w:rsidRDefault="002709DB" w:rsidP="002709DB">
      <w:pPr>
        <w:rPr>
          <w:lang w:val="en-GB"/>
        </w:rPr>
      </w:pPr>
      <w:r>
        <w:rPr>
          <w:lang w:val="en-GB"/>
        </w:rPr>
        <w:t xml:space="preserve">Calcium transients from spontaneous or electrically evoked activity in </w:t>
      </w:r>
      <w:proofErr w:type="spellStart"/>
      <w:r>
        <w:rPr>
          <w:lang w:val="en-GB"/>
        </w:rPr>
        <w:t>neoCM</w:t>
      </w:r>
      <w:proofErr w:type="spellEnd"/>
      <w:r>
        <w:rPr>
          <w:lang w:val="en-GB"/>
        </w:rPr>
        <w:t xml:space="preserve"> were obtained with the Myocyte Calcium and Contractility System (</w:t>
      </w:r>
      <w:proofErr w:type="spellStart"/>
      <w:r>
        <w:rPr>
          <w:lang w:val="en-GB"/>
        </w:rPr>
        <w:t>IonOptix</w:t>
      </w:r>
      <w:proofErr w:type="spellEnd"/>
      <w:r>
        <w:rPr>
          <w:lang w:val="en-GB"/>
        </w:rPr>
        <w:t xml:space="preserve">, </w:t>
      </w:r>
      <w:r w:rsidRPr="00EC70E5">
        <w:rPr>
          <w:lang w:val="en-GB"/>
        </w:rPr>
        <w:t>Westwood, Massachusetts, USA</w:t>
      </w:r>
      <w:r>
        <w:rPr>
          <w:lang w:val="en-GB"/>
        </w:rPr>
        <w:t xml:space="preserve">). This system provides a Galvanometer-driven mirror to switch between two wavelengths (340 nm, 380 nm) at a frequency of up to 250 Hz, allowing for very high sampling rates up to 250 Hz. </w:t>
      </w:r>
      <w:proofErr w:type="spellStart"/>
      <w:r>
        <w:rPr>
          <w:lang w:val="en-GB"/>
        </w:rPr>
        <w:t>NeoCM</w:t>
      </w:r>
      <w:proofErr w:type="spellEnd"/>
      <w:r>
        <w:rPr>
          <w:lang w:val="en-GB"/>
        </w:rPr>
        <w:t xml:space="preserve"> were measured 6-9 days after isolation. </w:t>
      </w:r>
      <w:proofErr w:type="spellStart"/>
      <w:r>
        <w:rPr>
          <w:lang w:val="en-GB"/>
        </w:rPr>
        <w:t>NeoCM</w:t>
      </w:r>
      <w:proofErr w:type="spellEnd"/>
      <w:r>
        <w:rPr>
          <w:lang w:val="en-GB"/>
        </w:rPr>
        <w:t xml:space="preserve"> monolayers were transiently transfected with </w:t>
      </w:r>
      <w:proofErr w:type="spellStart"/>
      <w:r>
        <w:rPr>
          <w:lang w:val="en-GB"/>
        </w:rPr>
        <w:t>miR</w:t>
      </w:r>
      <w:proofErr w:type="spellEnd"/>
      <w:r>
        <w:rPr>
          <w:lang w:val="en-GB"/>
        </w:rPr>
        <w:t xml:space="preserve"> mimics for 24 h as described above. </w:t>
      </w:r>
      <w:proofErr w:type="spellStart"/>
      <w:r>
        <w:rPr>
          <w:lang w:val="en-GB"/>
        </w:rPr>
        <w:t>NeoCM</w:t>
      </w:r>
      <w:proofErr w:type="spellEnd"/>
      <w:r>
        <w:rPr>
          <w:lang w:val="en-GB"/>
        </w:rPr>
        <w:t xml:space="preserve"> were kept on 1% FCS for further 48 h until the measurement. Cells</w:t>
      </w:r>
      <w:r w:rsidRPr="00CD4B89">
        <w:rPr>
          <w:lang w:val="en-GB"/>
        </w:rPr>
        <w:t xml:space="preserve"> </w:t>
      </w:r>
      <w:r>
        <w:rPr>
          <w:lang w:val="en-GB"/>
        </w:rPr>
        <w:t xml:space="preserve">were loaded with </w:t>
      </w:r>
      <w:proofErr w:type="gramStart"/>
      <w:r>
        <w:rPr>
          <w:lang w:val="en-GB"/>
        </w:rPr>
        <w:t>4</w:t>
      </w:r>
      <w:proofErr w:type="gramEnd"/>
      <w:r>
        <w:rPr>
          <w:lang w:val="en-GB"/>
        </w:rPr>
        <w:t xml:space="preserve"> µM Fura-2 AM (stock solution: 1 </w:t>
      </w:r>
      <w:proofErr w:type="spellStart"/>
      <w:r>
        <w:rPr>
          <w:lang w:val="en-GB"/>
        </w:rPr>
        <w:t>mM</w:t>
      </w:r>
      <w:proofErr w:type="spellEnd"/>
      <w:r>
        <w:rPr>
          <w:lang w:val="en-GB"/>
        </w:rPr>
        <w:t xml:space="preserve"> in DMSO) at 37°C for 30 min. After washing the monolayers once with medium, they were incubated with medium for 15 min at 37°C to allow complete de-esterification of internalized Fura-2. Cells were washed in Ringer solution (pH 7.4 at room temperature; composition see above) and measured</w:t>
      </w:r>
      <w:r w:rsidR="005E2E3C">
        <w:rPr>
          <w:lang w:val="en-GB"/>
        </w:rPr>
        <w:t xml:space="preserve"> at room temperature</w:t>
      </w:r>
      <w:r>
        <w:rPr>
          <w:lang w:val="en-GB"/>
        </w:rPr>
        <w:t xml:space="preserve"> or stored at room temperature until the measurement. Each sample was measured three times: after recording control signals for 2 min the buffer was changed to </w:t>
      </w:r>
      <w:proofErr w:type="gramStart"/>
      <w:r>
        <w:rPr>
          <w:lang w:val="en-GB"/>
        </w:rPr>
        <w:t>10 µM</w:t>
      </w:r>
      <w:proofErr w:type="gramEnd"/>
      <w:r>
        <w:rPr>
          <w:lang w:val="en-GB"/>
        </w:rPr>
        <w:t xml:space="preserve"> </w:t>
      </w:r>
      <w:proofErr w:type="spellStart"/>
      <w:r>
        <w:rPr>
          <w:lang w:val="en-GB"/>
        </w:rPr>
        <w:t>isoprenaline</w:t>
      </w:r>
      <w:proofErr w:type="spellEnd"/>
      <w:r>
        <w:rPr>
          <w:lang w:val="en-GB"/>
        </w:rPr>
        <w:t xml:space="preserve"> (ISO) (2 min break) </w:t>
      </w:r>
      <w:r w:rsidRPr="000564E9">
        <w:rPr>
          <w:lang w:val="en-GB"/>
        </w:rPr>
        <w:t xml:space="preserve">and response to ISO was measured </w:t>
      </w:r>
      <w:r>
        <w:rPr>
          <w:lang w:val="en-GB"/>
        </w:rPr>
        <w:t>for 3</w:t>
      </w:r>
      <w:r w:rsidRPr="000564E9">
        <w:rPr>
          <w:lang w:val="en-GB"/>
        </w:rPr>
        <w:t xml:space="preserve"> min and </w:t>
      </w:r>
      <w:r>
        <w:rPr>
          <w:lang w:val="en-GB"/>
        </w:rPr>
        <w:t xml:space="preserve">after a 1 min break again for 3 min. </w:t>
      </w:r>
      <w:r w:rsidRPr="000564E9">
        <w:rPr>
          <w:lang w:val="en-GB"/>
        </w:rPr>
        <w:t>If</w:t>
      </w:r>
      <w:r>
        <w:rPr>
          <w:lang w:val="en-GB"/>
        </w:rPr>
        <w:t xml:space="preserve"> possible, spontaneous calcium transients were recorded. Otherwise, cells were paced at 1 Hz to evoke calcium transients (</w:t>
      </w:r>
      <w:proofErr w:type="spellStart"/>
      <w:r>
        <w:rPr>
          <w:lang w:val="en-GB"/>
        </w:rPr>
        <w:t>MyoPacer</w:t>
      </w:r>
      <w:proofErr w:type="spellEnd"/>
      <w:r>
        <w:rPr>
          <w:lang w:val="en-GB"/>
        </w:rPr>
        <w:t xml:space="preserve">, 5-10 V per pulse, pulse duration maximum 4 </w:t>
      </w:r>
      <w:proofErr w:type="spellStart"/>
      <w:r>
        <w:rPr>
          <w:lang w:val="en-GB"/>
        </w:rPr>
        <w:t>ms</w:t>
      </w:r>
      <w:proofErr w:type="spellEnd"/>
      <w:r>
        <w:rPr>
          <w:lang w:val="en-GB"/>
        </w:rPr>
        <w:t xml:space="preserve">). </w:t>
      </w:r>
      <w:proofErr w:type="spellStart"/>
      <w:r>
        <w:rPr>
          <w:lang w:val="en-GB"/>
        </w:rPr>
        <w:t>IonWizard</w:t>
      </w:r>
      <w:proofErr w:type="spellEnd"/>
      <w:r>
        <w:rPr>
          <w:lang w:val="en-GB"/>
        </w:rPr>
        <w:t xml:space="preserve"> 6.6 (</w:t>
      </w:r>
      <w:proofErr w:type="spellStart"/>
      <w:r>
        <w:rPr>
          <w:lang w:val="en-GB"/>
        </w:rPr>
        <w:t>IonOptix</w:t>
      </w:r>
      <w:proofErr w:type="spellEnd"/>
      <w:r>
        <w:rPr>
          <w:lang w:val="en-GB"/>
        </w:rPr>
        <w:t xml:space="preserve">) was used for data acquisition at sampling frequencies of 100 Hz (average 4: 4 collected data points are averaged into one raw data point) or 250 Hz (average 1). Monotonic transient analysis was performed using </w:t>
      </w:r>
      <w:proofErr w:type="spellStart"/>
      <w:r>
        <w:rPr>
          <w:lang w:val="en-GB"/>
        </w:rPr>
        <w:t>IonWizard</w:t>
      </w:r>
      <w:proofErr w:type="spellEnd"/>
      <w:r>
        <w:rPr>
          <w:lang w:val="en-GB"/>
        </w:rPr>
        <w:t xml:space="preserve"> 6.6. Prior to analysis, raw data were filtered with the </w:t>
      </w:r>
      <w:proofErr w:type="spellStart"/>
      <w:r>
        <w:rPr>
          <w:lang w:val="en-GB"/>
        </w:rPr>
        <w:t>lowpass</w:t>
      </w:r>
      <w:proofErr w:type="spellEnd"/>
      <w:r>
        <w:rPr>
          <w:lang w:val="en-GB"/>
        </w:rPr>
        <w:t xml:space="preserve"> Butterworth filter (</w:t>
      </w:r>
      <w:proofErr w:type="spellStart"/>
      <w:r>
        <w:rPr>
          <w:lang w:val="en-GB"/>
        </w:rPr>
        <w:t>cutoff</w:t>
      </w:r>
      <w:proofErr w:type="spellEnd"/>
      <w:r>
        <w:rPr>
          <w:lang w:val="en-GB"/>
        </w:rPr>
        <w:t xml:space="preserve"> frequency: 5 Hz, number of </w:t>
      </w:r>
      <w:r w:rsidRPr="001B5FF3">
        <w:rPr>
          <w:lang w:val="en-GB"/>
        </w:rPr>
        <w:t xml:space="preserve">poles: 2). </w:t>
      </w:r>
      <w:r w:rsidRPr="00745692">
        <w:rPr>
          <w:lang w:val="en-GB"/>
        </w:rPr>
        <w:t xml:space="preserve">Transient marks were converted from event marks of the </w:t>
      </w:r>
      <w:proofErr w:type="spellStart"/>
      <w:r w:rsidRPr="00745692">
        <w:rPr>
          <w:lang w:val="en-GB"/>
        </w:rPr>
        <w:t>MyoPacer</w:t>
      </w:r>
      <w:proofErr w:type="spellEnd"/>
      <w:r w:rsidRPr="00745692">
        <w:rPr>
          <w:lang w:val="en-GB"/>
        </w:rPr>
        <w:t xml:space="preserve"> (transient values:</w:t>
      </w:r>
      <w:r>
        <w:rPr>
          <w:lang w:val="en-GB"/>
        </w:rPr>
        <w:t xml:space="preserve"> offset: -0.05 s, duration: 0.9 s). T</w:t>
      </w:r>
      <w:r w:rsidRPr="00606926">
        <w:rPr>
          <w:vertAlign w:val="subscript"/>
          <w:lang w:val="en-GB"/>
        </w:rPr>
        <w:t>0</w:t>
      </w:r>
      <w:r>
        <w:rPr>
          <w:lang w:val="en-GB"/>
        </w:rPr>
        <w:t xml:space="preserve"> is defined as the time of the event mark for paced cells. For </w:t>
      </w:r>
      <w:r w:rsidRPr="00C0500C">
        <w:rPr>
          <w:lang w:val="en-GB"/>
        </w:rPr>
        <w:t xml:space="preserve">spontaneous transients </w:t>
      </w:r>
      <w:r>
        <w:rPr>
          <w:lang w:val="en-GB"/>
        </w:rPr>
        <w:t>transient marks were added manually</w:t>
      </w:r>
      <w:r w:rsidRPr="00C0500C">
        <w:rPr>
          <w:lang w:val="en-GB"/>
        </w:rPr>
        <w:t xml:space="preserve"> </w:t>
      </w:r>
      <w:r>
        <w:rPr>
          <w:lang w:val="en-GB"/>
        </w:rPr>
        <w:t xml:space="preserve">and </w:t>
      </w:r>
      <w:r w:rsidRPr="00C0500C">
        <w:rPr>
          <w:lang w:val="en-GB"/>
        </w:rPr>
        <w:t>the time of departure was chosen as T</w:t>
      </w:r>
      <w:r w:rsidRPr="00C0500C">
        <w:rPr>
          <w:vertAlign w:val="subscript"/>
          <w:lang w:val="en-GB"/>
        </w:rPr>
        <w:t>0</w:t>
      </w:r>
      <w:r w:rsidRPr="00C0500C">
        <w:rPr>
          <w:lang w:val="en-GB"/>
        </w:rPr>
        <w:t xml:space="preserve">. </w:t>
      </w:r>
      <w:r>
        <w:rPr>
          <w:lang w:val="en-GB"/>
        </w:rPr>
        <w:t xml:space="preserve">Every transient was manually checked to assure appropriate detection and recognition of peaks and fitting of transient parameter functions. An overview of the applied </w:t>
      </w:r>
      <w:r w:rsidRPr="000E02BD">
        <w:rPr>
          <w:lang w:val="en-GB"/>
        </w:rPr>
        <w:t xml:space="preserve">transient parameters is given in Fig. 3B. Average calcium transients were obtained with </w:t>
      </w:r>
      <w:proofErr w:type="spellStart"/>
      <w:r w:rsidRPr="00257737">
        <w:rPr>
          <w:lang w:val="en-GB"/>
        </w:rPr>
        <w:t>IonWizard</w:t>
      </w:r>
      <w:proofErr w:type="spellEnd"/>
      <w:r w:rsidRPr="00257737">
        <w:rPr>
          <w:lang w:val="en-GB"/>
        </w:rPr>
        <w:t xml:space="preserve"> to visualize differential effects of ISO on </w:t>
      </w:r>
      <w:proofErr w:type="spellStart"/>
      <w:r w:rsidRPr="00257737">
        <w:rPr>
          <w:lang w:val="en-GB"/>
        </w:rPr>
        <w:t>miR</w:t>
      </w:r>
      <w:proofErr w:type="spellEnd"/>
      <w:r w:rsidRPr="00257737">
        <w:rPr>
          <w:lang w:val="en-GB"/>
        </w:rPr>
        <w:t>-transfected monolayers.</w:t>
      </w:r>
      <w:r>
        <w:rPr>
          <w:lang w:val="en-GB"/>
        </w:rPr>
        <w:t xml:space="preserve"> </w:t>
      </w:r>
    </w:p>
    <w:p w:rsidR="002709DB" w:rsidRPr="002709DB" w:rsidRDefault="002709DB" w:rsidP="002709DB">
      <w:pPr>
        <w:rPr>
          <w:b/>
          <w:lang w:val="en-GB"/>
        </w:rPr>
      </w:pPr>
      <w:r w:rsidRPr="002709DB">
        <w:rPr>
          <w:b/>
          <w:lang w:val="en-GB"/>
        </w:rPr>
        <w:t xml:space="preserve">Contraction analysis in </w:t>
      </w:r>
      <w:proofErr w:type="spellStart"/>
      <w:r w:rsidRPr="002709DB">
        <w:rPr>
          <w:b/>
          <w:lang w:val="en-GB"/>
        </w:rPr>
        <w:t>neoCM</w:t>
      </w:r>
      <w:proofErr w:type="spellEnd"/>
    </w:p>
    <w:p w:rsidR="002709DB" w:rsidRDefault="002709DB" w:rsidP="002709DB">
      <w:pPr>
        <w:spacing w:after="0"/>
        <w:rPr>
          <w:lang w:val="en-GB"/>
        </w:rPr>
      </w:pPr>
      <w:proofErr w:type="spellStart"/>
      <w:r>
        <w:rPr>
          <w:lang w:val="en-GB"/>
        </w:rPr>
        <w:t>NeoCM</w:t>
      </w:r>
      <w:proofErr w:type="spellEnd"/>
      <w:r>
        <w:rPr>
          <w:lang w:val="en-GB"/>
        </w:rPr>
        <w:t xml:space="preserve"> were isolated as described above and cells from about one heart were plated onto one </w:t>
      </w:r>
      <w:r w:rsidRPr="00A11689">
        <w:rPr>
          <w:lang w:val="en-GB"/>
        </w:rPr>
        <w:t xml:space="preserve">35 mm petri dish. </w:t>
      </w:r>
      <w:r w:rsidRPr="00574EA9">
        <w:rPr>
          <w:lang w:val="en-GB"/>
        </w:rPr>
        <w:t xml:space="preserve">Monolayers were transfected </w:t>
      </w:r>
      <w:r>
        <w:rPr>
          <w:lang w:val="en-GB"/>
        </w:rPr>
        <w:t xml:space="preserve">with mimic control or miR-222 </w:t>
      </w:r>
      <w:r w:rsidRPr="00574EA9">
        <w:rPr>
          <w:lang w:val="en-GB"/>
        </w:rPr>
        <w:t xml:space="preserve">as described above and measured after about 7-8 days in culture. </w:t>
      </w:r>
      <w:r w:rsidRPr="00A11689">
        <w:rPr>
          <w:lang w:val="en-GB"/>
        </w:rPr>
        <w:t>Before the</w:t>
      </w:r>
      <w:r>
        <w:rPr>
          <w:lang w:val="en-GB"/>
        </w:rPr>
        <w:t xml:space="preserve"> recording cells were washed with Ringer buffer once. </w:t>
      </w:r>
      <w:proofErr w:type="gramStart"/>
      <w:r>
        <w:rPr>
          <w:lang w:val="en-GB"/>
        </w:rPr>
        <w:t xml:space="preserve">Cells were then placed into a pre-heated </w:t>
      </w:r>
      <w:proofErr w:type="spellStart"/>
      <w:r>
        <w:rPr>
          <w:lang w:val="en-GB"/>
        </w:rPr>
        <w:t>Ibidi</w:t>
      </w:r>
      <w:proofErr w:type="spellEnd"/>
      <w:r>
        <w:rPr>
          <w:lang w:val="en-GB"/>
        </w:rPr>
        <w:t xml:space="preserve"> chamber (</w:t>
      </w:r>
      <w:proofErr w:type="spellStart"/>
      <w:r>
        <w:rPr>
          <w:lang w:val="en-GB"/>
        </w:rPr>
        <w:t>Ibidi</w:t>
      </w:r>
      <w:proofErr w:type="spellEnd"/>
      <w:r>
        <w:rPr>
          <w:lang w:val="en-GB"/>
        </w:rPr>
        <w:t xml:space="preserve"> heating system 1; plate temperature: 38°C, lid: 42°C; </w:t>
      </w:r>
      <w:proofErr w:type="spellStart"/>
      <w:r>
        <w:rPr>
          <w:lang w:val="en-GB"/>
        </w:rPr>
        <w:t>Ibidi</w:t>
      </w:r>
      <w:proofErr w:type="spellEnd"/>
      <w:r>
        <w:rPr>
          <w:lang w:val="en-GB"/>
        </w:rPr>
        <w:t xml:space="preserve">, </w:t>
      </w:r>
      <w:proofErr w:type="spellStart"/>
      <w:r w:rsidRPr="00091F9C">
        <w:rPr>
          <w:lang w:val="en-GB"/>
        </w:rPr>
        <w:t>Gräfelfing</w:t>
      </w:r>
      <w:proofErr w:type="spellEnd"/>
      <w:r w:rsidRPr="00091F9C">
        <w:rPr>
          <w:lang w:val="en-GB"/>
        </w:rPr>
        <w:t>, Germany</w:t>
      </w:r>
      <w:r>
        <w:rPr>
          <w:lang w:val="en-GB"/>
        </w:rPr>
        <w:t>) and a</w:t>
      </w:r>
      <w:r w:rsidR="00CF3FF6">
        <w:rPr>
          <w:lang w:val="en-GB"/>
        </w:rPr>
        <w:t>llowed to acclimatize for 1 min.</w:t>
      </w:r>
      <w:r>
        <w:rPr>
          <w:lang w:val="en-GB"/>
        </w:rPr>
        <w:t xml:space="preserve"> Contraction recordings </w:t>
      </w:r>
      <w:r w:rsidRPr="000D0360">
        <w:rPr>
          <w:lang w:val="en-GB"/>
        </w:rPr>
        <w:t xml:space="preserve">were performed as </w:t>
      </w:r>
      <w:r>
        <w:rPr>
          <w:lang w:val="en-GB"/>
        </w:rPr>
        <w:t>follows: acclimatization of the cells in Ringer for 60 s, movie 1 (control) 30 s, buffer change to 10 µM ISO and acclimatization 150 s, movie 2 (ISO 1) 30 s, break 90 s, movie 3 (ISO 2) 30 s.</w:t>
      </w:r>
      <w:proofErr w:type="gramEnd"/>
      <w:r>
        <w:rPr>
          <w:lang w:val="en-GB"/>
        </w:rPr>
        <w:t xml:space="preserve"> The following recording parameters were applied: </w:t>
      </w:r>
      <w:proofErr w:type="gramStart"/>
      <w:r w:rsidRPr="002F0093">
        <w:rPr>
          <w:lang w:val="en-GB"/>
        </w:rPr>
        <w:t>10x</w:t>
      </w:r>
      <w:proofErr w:type="gramEnd"/>
      <w:r w:rsidRPr="002F0093">
        <w:rPr>
          <w:lang w:val="en-GB"/>
        </w:rPr>
        <w:t xml:space="preserve"> objective,</w:t>
      </w:r>
      <w:r w:rsidRPr="000D0360">
        <w:rPr>
          <w:lang w:val="en-GB"/>
        </w:rPr>
        <w:t xml:space="preserve"> </w:t>
      </w:r>
      <w:r w:rsidRPr="000D0360">
        <w:rPr>
          <w:lang w:val="en-GB"/>
        </w:rPr>
        <w:lastRenderedPageBreak/>
        <w:t xml:space="preserve">Observer A.1 </w:t>
      </w:r>
      <w:proofErr w:type="spellStart"/>
      <w:r w:rsidRPr="000D0360">
        <w:rPr>
          <w:lang w:val="en-GB"/>
        </w:rPr>
        <w:t>Axio</w:t>
      </w:r>
      <w:proofErr w:type="spellEnd"/>
      <w:r w:rsidRPr="000D0360">
        <w:rPr>
          <w:lang w:val="en-GB"/>
        </w:rPr>
        <w:t xml:space="preserve"> inverse fluorescence</w:t>
      </w:r>
      <w:r>
        <w:rPr>
          <w:lang w:val="en-GB"/>
        </w:rPr>
        <w:t xml:space="preserve"> </w:t>
      </w:r>
      <w:r w:rsidRPr="000D0360">
        <w:rPr>
          <w:lang w:val="en-GB"/>
        </w:rPr>
        <w:t>microscope (Zeiss)</w:t>
      </w:r>
      <w:r>
        <w:rPr>
          <w:lang w:val="en-GB"/>
        </w:rPr>
        <w:t xml:space="preserve"> connected to a </w:t>
      </w:r>
      <w:proofErr w:type="spellStart"/>
      <w:r>
        <w:rPr>
          <w:lang w:val="en-GB"/>
        </w:rPr>
        <w:t>CoolSNAP</w:t>
      </w:r>
      <w:proofErr w:type="spellEnd"/>
      <w:r>
        <w:rPr>
          <w:lang w:val="en-GB"/>
        </w:rPr>
        <w:t xml:space="preserve"> EZ</w:t>
      </w:r>
      <w:r w:rsidRPr="000D0360">
        <w:rPr>
          <w:lang w:val="en-GB"/>
        </w:rPr>
        <w:t xml:space="preserve"> </w:t>
      </w:r>
      <w:r>
        <w:rPr>
          <w:lang w:val="en-GB"/>
        </w:rPr>
        <w:t xml:space="preserve">CCD </w:t>
      </w:r>
      <w:r w:rsidRPr="000D0360">
        <w:rPr>
          <w:lang w:val="en-GB"/>
        </w:rPr>
        <w:t>camera (</w:t>
      </w:r>
      <w:proofErr w:type="spellStart"/>
      <w:r w:rsidRPr="000D0360">
        <w:rPr>
          <w:lang w:val="en-GB"/>
        </w:rPr>
        <w:t>Visitron</w:t>
      </w:r>
      <w:proofErr w:type="spellEnd"/>
      <w:r w:rsidRPr="000D0360">
        <w:rPr>
          <w:lang w:val="en-GB"/>
        </w:rPr>
        <w:t xml:space="preserve"> Systems)</w:t>
      </w:r>
      <w:r>
        <w:rPr>
          <w:lang w:val="en-GB"/>
        </w:rPr>
        <w:t>;</w:t>
      </w:r>
      <w:r w:rsidRPr="000D0360">
        <w:rPr>
          <w:lang w:val="en-GB"/>
        </w:rPr>
        <w:t xml:space="preserve"> sampling rate: 10 fps</w:t>
      </w:r>
      <w:r>
        <w:rPr>
          <w:lang w:val="en-GB"/>
        </w:rPr>
        <w:t xml:space="preserve">; </w:t>
      </w:r>
      <w:proofErr w:type="spellStart"/>
      <w:r>
        <w:rPr>
          <w:lang w:val="en-GB"/>
        </w:rPr>
        <w:t>VisiView</w:t>
      </w:r>
      <w:proofErr w:type="spellEnd"/>
      <w:r>
        <w:rPr>
          <w:lang w:val="en-GB"/>
        </w:rPr>
        <w:t xml:space="preserve"> Software</w:t>
      </w:r>
      <w:r w:rsidRPr="000D0360">
        <w:rPr>
          <w:lang w:val="en-GB"/>
        </w:rPr>
        <w:t xml:space="preserve">. </w:t>
      </w:r>
      <w:r w:rsidRPr="00A11689">
        <w:rPr>
          <w:lang w:val="en-GB"/>
        </w:rPr>
        <w:t>All</w:t>
      </w:r>
      <w:r>
        <w:rPr>
          <w:lang w:val="en-GB"/>
        </w:rPr>
        <w:t xml:space="preserve"> three movies from the same petri dish recorded the same section of cells.</w:t>
      </w:r>
      <w:r w:rsidRPr="006C3858">
        <w:rPr>
          <w:lang w:val="en-GB"/>
        </w:rPr>
        <w:t xml:space="preserve"> </w:t>
      </w:r>
      <w:r>
        <w:rPr>
          <w:lang w:val="en-GB"/>
        </w:rPr>
        <w:t>Movies (.</w:t>
      </w:r>
      <w:proofErr w:type="spellStart"/>
      <w:r>
        <w:rPr>
          <w:lang w:val="en-GB"/>
        </w:rPr>
        <w:t>avi</w:t>
      </w:r>
      <w:proofErr w:type="spellEnd"/>
      <w:r>
        <w:rPr>
          <w:lang w:val="en-GB"/>
        </w:rPr>
        <w:t xml:space="preserve">) were generated without compression and with a frame rate of 10 fps. </w:t>
      </w:r>
    </w:p>
    <w:p w:rsidR="002709DB" w:rsidRPr="00974987" w:rsidRDefault="002709DB" w:rsidP="002709DB">
      <w:pPr>
        <w:rPr>
          <w:lang w:val="en-GB"/>
        </w:rPr>
      </w:pPr>
      <w:r w:rsidRPr="00A11689">
        <w:rPr>
          <w:lang w:val="en-GB"/>
        </w:rPr>
        <w:t xml:space="preserve">Movies were </w:t>
      </w:r>
      <w:proofErr w:type="spellStart"/>
      <w:r w:rsidRPr="00A11689">
        <w:rPr>
          <w:lang w:val="en-GB"/>
        </w:rPr>
        <w:t>analyzed</w:t>
      </w:r>
      <w:proofErr w:type="spellEnd"/>
      <w:r w:rsidRPr="00A11689">
        <w:rPr>
          <w:lang w:val="en-GB"/>
        </w:rPr>
        <w:t xml:space="preserve"> using </w:t>
      </w:r>
      <w:proofErr w:type="spellStart"/>
      <w:r w:rsidRPr="00A11689">
        <w:rPr>
          <w:lang w:val="en-GB"/>
        </w:rPr>
        <w:t>Myocyter</w:t>
      </w:r>
      <w:proofErr w:type="spellEnd"/>
      <w:r w:rsidRPr="00A11689">
        <w:rPr>
          <w:lang w:val="en-GB"/>
        </w:rPr>
        <w:t xml:space="preserve"> </w:t>
      </w:r>
      <w:r>
        <w:rPr>
          <w:lang w:val="en-GB"/>
        </w:rPr>
        <w:fldChar w:fldCharType="begin" w:fldLock="1"/>
      </w:r>
      <w:r>
        <w:rPr>
          <w:lang w:val="en-GB"/>
        </w:rPr>
        <w:instrText>ADDIN CSL_CITATION {"citationItems":[{"id":"ITEM-1","itemData":{"DOI":"10.1038/s41598-019-51676-x","ISBN":"4159801951","ISSN":"20452322","PMID":"31641278","abstract":"Measurement and quantification of cardiomyocyte or cardiac contractions as important (patho) physiologic parameters require highly specialized and expensive setups of fully integrated hard- and software that may be very difficult to use and may also depend on highly sophisticated methods of further data evaluation. With MYOCYTER (MC) we present a complete and highly customizable open-source macro for ImageJ, enabling fast, reliable user-friendly large scale analysis extracting an extensive amount of parameters from (even multiple) video recorded contracting cells or whole hearts, gained from a very competitive experimental setup. The extracted parameters enable extensive further (statistical) analysis to identify and quantify the effects of pathologic changes or drugs. Using videos following known mathematical functions, we were able to demonstrate the accuracy of MYOCYTER’s data extraction, also successfully applied the software to both cellular and animal models, introducing innovations like dynamic thresholding, automatic multi-cell recognition, “masked” evaluation and change of applied parameters even after evaluation.","author":[{"dropping-particle":"","family":"Grune","given":"Tilman","non-dropping-particle":"","parse-names":false,"suffix":""},{"dropping-particle":"","family":"Ott","given":"Christiane","non-dropping-particle":"","parse-names":false,"suffix":""},{"dropping-particle":"","family":"Häseli","given":"Steffen","non-dropping-particle":"","parse-names":false,"suffix":""},{"dropping-particle":"","family":"Höhn","given":"Annika","non-dropping-particle":"","parse-names":false,"suffix":""},{"dropping-particle":"","family":"Jung","given":"Tobias","non-dropping-particle":"","parse-names":false,"suffix":""}],"container-title":"Scientific Reports","id":"ITEM-1","issue":"1","issued":{"date-parts":[["2019"]]},"page":"1-13","title":"The “MYOCYTER” – Convert cellular and cardiac contractions into numbers with ImageJ","type":"article-journal","volume":"9"},"uris":["http://www.mendeley.com/documents/?uuid=76df2c0e-57d5-44d0-b49c-43c8d0ee3ffe"]}],"mendeley":{"formattedCitation":"[25]","plainTextFormattedCitation":"[25]","previouslyFormattedCitation":"[25]"},"properties":{"noteIndex":0},"schema":"https://github.com/citation-style-language/schema/raw/master/csl-citation.json"}</w:instrText>
      </w:r>
      <w:r>
        <w:rPr>
          <w:lang w:val="en-GB"/>
        </w:rPr>
        <w:fldChar w:fldCharType="separate"/>
      </w:r>
      <w:r w:rsidRPr="006141C9">
        <w:rPr>
          <w:noProof/>
          <w:lang w:val="en-GB"/>
        </w:rPr>
        <w:t>[25]</w:t>
      </w:r>
      <w:r>
        <w:rPr>
          <w:lang w:val="en-GB"/>
        </w:rPr>
        <w:fldChar w:fldCharType="end"/>
      </w:r>
      <w:r>
        <w:rPr>
          <w:lang w:val="en-GB"/>
        </w:rPr>
        <w:t xml:space="preserve"> </w:t>
      </w:r>
      <w:r w:rsidRPr="00A11689">
        <w:rPr>
          <w:lang w:val="en-GB"/>
        </w:rPr>
        <w:t xml:space="preserve">with the following parameters: “detection”: 10, “% of max recognized as beat”: 20. </w:t>
      </w:r>
      <w:r w:rsidRPr="009127B0">
        <w:rPr>
          <w:lang w:val="en-GB"/>
        </w:rPr>
        <w:t xml:space="preserve">Manual ROIs were carefully placed to </w:t>
      </w:r>
      <w:proofErr w:type="spellStart"/>
      <w:r w:rsidRPr="009127B0">
        <w:rPr>
          <w:lang w:val="en-GB"/>
        </w:rPr>
        <w:t>analyze</w:t>
      </w:r>
      <w:proofErr w:type="spellEnd"/>
      <w:r w:rsidRPr="009127B0">
        <w:rPr>
          <w:lang w:val="en-GB"/>
        </w:rPr>
        <w:t xml:space="preserve"> the same regions</w:t>
      </w:r>
      <w:r w:rsidRPr="006D27AC">
        <w:rPr>
          <w:lang w:val="en-GB"/>
        </w:rPr>
        <w:t xml:space="preserve"> </w:t>
      </w:r>
      <w:r w:rsidRPr="00A1278E">
        <w:rPr>
          <w:lang w:val="en-GB"/>
        </w:rPr>
        <w:t>in all three movies from one petri dish</w:t>
      </w:r>
      <w:r>
        <w:rPr>
          <w:lang w:val="en-GB"/>
        </w:rPr>
        <w:t>. Number of ROIs varied between 8-37</w:t>
      </w:r>
      <w:r w:rsidRPr="00A1278E">
        <w:rPr>
          <w:lang w:val="en-GB"/>
        </w:rPr>
        <w:t xml:space="preserve"> </w:t>
      </w:r>
      <w:r>
        <w:rPr>
          <w:lang w:val="en-GB"/>
        </w:rPr>
        <w:t xml:space="preserve">depending on </w:t>
      </w:r>
      <w:proofErr w:type="spellStart"/>
      <w:r>
        <w:rPr>
          <w:lang w:val="en-GB"/>
        </w:rPr>
        <w:t>confluency</w:t>
      </w:r>
      <w:proofErr w:type="spellEnd"/>
      <w:r>
        <w:rPr>
          <w:lang w:val="en-GB"/>
        </w:rPr>
        <w:t xml:space="preserve"> and synchronicity of the monolayer</w:t>
      </w:r>
      <w:r w:rsidRPr="00A1278E">
        <w:rPr>
          <w:lang w:val="en-GB"/>
        </w:rPr>
        <w:t xml:space="preserve"> </w:t>
      </w:r>
      <w:r>
        <w:rPr>
          <w:lang w:val="en-GB"/>
        </w:rPr>
        <w:t xml:space="preserve">and cluster size within the monolayer. </w:t>
      </w:r>
      <w:r w:rsidRPr="00974987">
        <w:rPr>
          <w:lang w:val="en-GB"/>
        </w:rPr>
        <w:t xml:space="preserve">The number of spontaneous contractions for </w:t>
      </w:r>
      <w:r>
        <w:rPr>
          <w:lang w:val="en-GB"/>
        </w:rPr>
        <w:t>each ROI within each 30 s movie was</w:t>
      </w:r>
      <w:r w:rsidRPr="00974987">
        <w:rPr>
          <w:lang w:val="en-GB"/>
        </w:rPr>
        <w:t xml:space="preserve"> extracted using the parameter “beats counted”</w:t>
      </w:r>
      <w:r>
        <w:rPr>
          <w:lang w:val="en-GB"/>
        </w:rPr>
        <w:t>, always excluding the first and last event</w:t>
      </w:r>
      <w:r w:rsidRPr="00974987">
        <w:rPr>
          <w:lang w:val="en-GB"/>
        </w:rPr>
        <w:t xml:space="preserve">. </w:t>
      </w:r>
    </w:p>
    <w:p w:rsidR="002709DB" w:rsidRPr="000A1095" w:rsidRDefault="002709DB">
      <w:pPr>
        <w:rPr>
          <w:lang w:val="en-GB"/>
        </w:rPr>
      </w:pPr>
    </w:p>
    <w:sectPr w:rsidR="002709DB" w:rsidRPr="000A109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5D09" w:rsidRDefault="00155D09" w:rsidP="00155D09">
      <w:pPr>
        <w:spacing w:after="0"/>
      </w:pPr>
      <w:r>
        <w:separator/>
      </w:r>
    </w:p>
  </w:endnote>
  <w:endnote w:type="continuationSeparator" w:id="0">
    <w:p w:rsidR="00155D09" w:rsidRDefault="00155D09" w:rsidP="00155D0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335540"/>
      <w:docPartObj>
        <w:docPartGallery w:val="Page Numbers (Bottom of Page)"/>
        <w:docPartUnique/>
      </w:docPartObj>
    </w:sdtPr>
    <w:sdtEndPr/>
    <w:sdtContent>
      <w:p w:rsidR="00155D09" w:rsidRDefault="00155D09">
        <w:pPr>
          <w:pStyle w:val="Fuzeile"/>
          <w:jc w:val="center"/>
        </w:pPr>
        <w:r>
          <w:fldChar w:fldCharType="begin"/>
        </w:r>
        <w:r>
          <w:instrText>PAGE   \* MERGEFORMAT</w:instrText>
        </w:r>
        <w:r>
          <w:fldChar w:fldCharType="separate"/>
        </w:r>
        <w:r w:rsidR="00472C71">
          <w:rPr>
            <w:noProof/>
          </w:rPr>
          <w:t>2</w:t>
        </w:r>
        <w:r>
          <w:fldChar w:fldCharType="end"/>
        </w:r>
      </w:p>
    </w:sdtContent>
  </w:sdt>
  <w:p w:rsidR="00155D09" w:rsidRDefault="00155D0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5D09" w:rsidRDefault="00155D09" w:rsidP="00155D09">
      <w:pPr>
        <w:spacing w:after="0"/>
      </w:pPr>
      <w:r>
        <w:separator/>
      </w:r>
    </w:p>
  </w:footnote>
  <w:footnote w:type="continuationSeparator" w:id="0">
    <w:p w:rsidR="00155D09" w:rsidRDefault="00155D09" w:rsidP="00155D0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095"/>
    <w:rsid w:val="00090641"/>
    <w:rsid w:val="000A1095"/>
    <w:rsid w:val="000B63C6"/>
    <w:rsid w:val="00155D09"/>
    <w:rsid w:val="001637C3"/>
    <w:rsid w:val="00185EE7"/>
    <w:rsid w:val="001928F5"/>
    <w:rsid w:val="001C5FC2"/>
    <w:rsid w:val="002709DB"/>
    <w:rsid w:val="0040102A"/>
    <w:rsid w:val="00455D85"/>
    <w:rsid w:val="00472C71"/>
    <w:rsid w:val="00552C7C"/>
    <w:rsid w:val="005B1360"/>
    <w:rsid w:val="005E2E3C"/>
    <w:rsid w:val="006610E4"/>
    <w:rsid w:val="006713D1"/>
    <w:rsid w:val="006E186C"/>
    <w:rsid w:val="006E34C4"/>
    <w:rsid w:val="00777913"/>
    <w:rsid w:val="00797858"/>
    <w:rsid w:val="008219EC"/>
    <w:rsid w:val="008701ED"/>
    <w:rsid w:val="008E03C4"/>
    <w:rsid w:val="009A43EB"/>
    <w:rsid w:val="00A14C2E"/>
    <w:rsid w:val="00AA49AD"/>
    <w:rsid w:val="00AA5890"/>
    <w:rsid w:val="00AB7F03"/>
    <w:rsid w:val="00B03068"/>
    <w:rsid w:val="00B70151"/>
    <w:rsid w:val="00B8209F"/>
    <w:rsid w:val="00B83C6B"/>
    <w:rsid w:val="00C73B05"/>
    <w:rsid w:val="00C90253"/>
    <w:rsid w:val="00CB4C15"/>
    <w:rsid w:val="00CF3FF6"/>
    <w:rsid w:val="00D829FD"/>
    <w:rsid w:val="00DA5ADC"/>
    <w:rsid w:val="00E27C10"/>
    <w:rsid w:val="00ED6289"/>
    <w:rsid w:val="00EE2EAD"/>
    <w:rsid w:val="00F35B3F"/>
    <w:rsid w:val="00F9070A"/>
    <w:rsid w:val="00FC52AF"/>
    <w:rsid w:val="00FE09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93F10"/>
  <w15:chartTrackingRefBased/>
  <w15:docId w15:val="{C6717314-ECA0-4721-AA1D-332C29485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9070A"/>
    <w:pPr>
      <w:spacing w:line="360" w:lineRule="auto"/>
      <w:jc w:val="both"/>
    </w:pPr>
    <w:rPr>
      <w:rFonts w:ascii="Times New Roman" w:hAnsi="Times New Roman"/>
      <w:sz w:val="20"/>
    </w:rPr>
  </w:style>
  <w:style w:type="paragraph" w:styleId="berschrift1">
    <w:name w:val="heading 1"/>
    <w:basedOn w:val="Standard"/>
    <w:next w:val="Standard"/>
    <w:link w:val="berschrift1Zchn"/>
    <w:uiPriority w:val="9"/>
    <w:qFormat/>
    <w:rsid w:val="000A1095"/>
    <w:pPr>
      <w:keepNext/>
      <w:keepLines/>
      <w:spacing w:before="240" w:after="0"/>
      <w:outlineLvl w:val="0"/>
    </w:pPr>
    <w:rPr>
      <w:rFonts w:eastAsiaTheme="majorEastAsia" w:cstheme="majorBidi"/>
      <w:color w:val="1F4E79" w:themeColor="accent1" w:themeShade="80"/>
      <w:sz w:val="28"/>
      <w:szCs w:val="32"/>
    </w:rPr>
  </w:style>
  <w:style w:type="paragraph" w:styleId="berschrift2">
    <w:name w:val="heading 2"/>
    <w:basedOn w:val="Standard"/>
    <w:next w:val="Standard"/>
    <w:link w:val="berschrift2Zchn"/>
    <w:uiPriority w:val="9"/>
    <w:unhideWhenUsed/>
    <w:qFormat/>
    <w:rsid w:val="000A1095"/>
    <w:pPr>
      <w:keepNext/>
      <w:keepLines/>
      <w:spacing w:before="40" w:after="0"/>
      <w:outlineLvl w:val="1"/>
    </w:pPr>
    <w:rPr>
      <w:rFonts w:eastAsiaTheme="majorEastAsia" w:cstheme="majorBidi"/>
      <w:color w:val="2E74B5" w:themeColor="accent1" w:themeShade="BF"/>
      <w:sz w:val="24"/>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A1095"/>
    <w:rPr>
      <w:rFonts w:ascii="Times New Roman" w:eastAsiaTheme="majorEastAsia" w:hAnsi="Times New Roman" w:cstheme="majorBidi"/>
      <w:color w:val="1F4E79" w:themeColor="accent1" w:themeShade="80"/>
      <w:sz w:val="28"/>
      <w:szCs w:val="32"/>
    </w:rPr>
  </w:style>
  <w:style w:type="character" w:customStyle="1" w:styleId="berschrift2Zchn">
    <w:name w:val="Überschrift 2 Zchn"/>
    <w:basedOn w:val="Absatz-Standardschriftart"/>
    <w:link w:val="berschrift2"/>
    <w:uiPriority w:val="9"/>
    <w:rsid w:val="000A1095"/>
    <w:rPr>
      <w:rFonts w:ascii="Times New Roman" w:eastAsiaTheme="majorEastAsia" w:hAnsi="Times New Roman" w:cstheme="majorBidi"/>
      <w:color w:val="2E74B5" w:themeColor="accent1" w:themeShade="BF"/>
      <w:sz w:val="24"/>
      <w:szCs w:val="26"/>
    </w:rPr>
  </w:style>
  <w:style w:type="character" w:customStyle="1" w:styleId="orcid-id-https">
    <w:name w:val="orcid-id-https"/>
    <w:rsid w:val="000A1095"/>
  </w:style>
  <w:style w:type="paragraph" w:styleId="Kopfzeile">
    <w:name w:val="header"/>
    <w:basedOn w:val="Standard"/>
    <w:link w:val="KopfzeileZchn"/>
    <w:uiPriority w:val="99"/>
    <w:unhideWhenUsed/>
    <w:rsid w:val="00155D09"/>
    <w:pPr>
      <w:tabs>
        <w:tab w:val="center" w:pos="4536"/>
        <w:tab w:val="right" w:pos="9072"/>
      </w:tabs>
      <w:spacing w:after="0"/>
    </w:pPr>
  </w:style>
  <w:style w:type="character" w:customStyle="1" w:styleId="KopfzeileZchn">
    <w:name w:val="Kopfzeile Zchn"/>
    <w:basedOn w:val="Absatz-Standardschriftart"/>
    <w:link w:val="Kopfzeile"/>
    <w:uiPriority w:val="99"/>
    <w:rsid w:val="00155D09"/>
    <w:rPr>
      <w:rFonts w:ascii="Times New Roman" w:hAnsi="Times New Roman"/>
      <w:sz w:val="20"/>
    </w:rPr>
  </w:style>
  <w:style w:type="paragraph" w:styleId="Fuzeile">
    <w:name w:val="footer"/>
    <w:basedOn w:val="Standard"/>
    <w:link w:val="FuzeileZchn"/>
    <w:uiPriority w:val="99"/>
    <w:unhideWhenUsed/>
    <w:rsid w:val="00155D09"/>
    <w:pPr>
      <w:tabs>
        <w:tab w:val="center" w:pos="4536"/>
        <w:tab w:val="right" w:pos="9072"/>
      </w:tabs>
      <w:spacing w:after="0"/>
    </w:pPr>
  </w:style>
  <w:style w:type="character" w:customStyle="1" w:styleId="FuzeileZchn">
    <w:name w:val="Fußzeile Zchn"/>
    <w:basedOn w:val="Absatz-Standardschriftart"/>
    <w:link w:val="Fuzeile"/>
    <w:uiPriority w:val="99"/>
    <w:rsid w:val="00155D09"/>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2649</Words>
  <Characters>15104</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
    </vt:vector>
  </TitlesOfParts>
  <Company>Universitätsklinikum Halle (Saale)</Company>
  <LinksUpToDate>false</LinksUpToDate>
  <CharactersWithSpaces>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Knyrim, Maria</dc:creator>
  <cp:keywords/>
  <dc:description/>
  <cp:lastModifiedBy>Knyrim, Maria</cp:lastModifiedBy>
  <cp:revision>50</cp:revision>
  <cp:lastPrinted>2021-07-23T12:03:00Z</cp:lastPrinted>
  <dcterms:created xsi:type="dcterms:W3CDTF">2021-04-13T09:54:00Z</dcterms:created>
  <dcterms:modified xsi:type="dcterms:W3CDTF">2021-08-10T10:57:00Z</dcterms:modified>
</cp:coreProperties>
</file>