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24D6A" w14:textId="77777777" w:rsidR="003B48C3" w:rsidRPr="00060232" w:rsidRDefault="003B48C3" w:rsidP="003B48C3">
      <w:pPr>
        <w:spacing w:line="480" w:lineRule="auto"/>
        <w:jc w:val="center"/>
        <w:rPr>
          <w:rFonts w:ascii="Times New Roman" w:hAnsi="Times New Roman" w:cs="Times New Roman"/>
          <w:b/>
          <w:spacing w:val="2"/>
          <w:sz w:val="30"/>
          <w:szCs w:val="30"/>
        </w:rPr>
      </w:pPr>
      <w:r w:rsidRPr="00A2123A">
        <w:rPr>
          <w:rFonts w:ascii="Times New Roman" w:hAnsi="Times New Roman" w:cs="Times New Roman"/>
          <w:b/>
          <w:spacing w:val="2"/>
          <w:sz w:val="24"/>
          <w:szCs w:val="24"/>
        </w:rPr>
        <w:t>Supplementary Fig</w:t>
      </w:r>
      <w:r>
        <w:rPr>
          <w:rFonts w:ascii="Times New Roman" w:hAnsi="Times New Roman" w:cs="Times New Roman"/>
          <w:b/>
          <w:spacing w:val="2"/>
          <w:sz w:val="24"/>
          <w:szCs w:val="24"/>
        </w:rPr>
        <w:t>ure</w:t>
      </w:r>
      <w:r w:rsidRPr="00A2123A">
        <w:rPr>
          <w:rFonts w:ascii="Times New Roman" w:hAnsi="Times New Roman" w:cs="Times New Roman"/>
          <w:b/>
          <w:spacing w:val="2"/>
          <w:sz w:val="24"/>
          <w:szCs w:val="24"/>
        </w:rPr>
        <w:t xml:space="preserve"> 1</w:t>
      </w:r>
    </w:p>
    <w:p w14:paraId="1524909F" w14:textId="1412396F" w:rsidR="00704D9F" w:rsidRDefault="000A0CF0">
      <w:r>
        <w:rPr>
          <w:noProof/>
        </w:rPr>
        <w:drawing>
          <wp:inline distT="0" distB="0" distL="0" distR="0" wp14:anchorId="1A32112C" wp14:editId="0CE53AD8">
            <wp:extent cx="5943600" cy="27279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8F670" w14:textId="52D2CDA6" w:rsidR="003B48C3" w:rsidRDefault="003B48C3"/>
    <w:p w14:paraId="74BDF2CD" w14:textId="6885093E" w:rsidR="003B48C3" w:rsidRPr="00557E95" w:rsidRDefault="003B48C3" w:rsidP="003B48C3">
      <w:pPr>
        <w:jc w:val="left"/>
        <w:rPr>
          <w:rFonts w:ascii="Times New Roman" w:hAnsi="Times New Roman" w:cs="Times New Roman"/>
          <w:bCs/>
          <w:spacing w:val="2"/>
          <w:sz w:val="24"/>
          <w:szCs w:val="24"/>
        </w:rPr>
      </w:pPr>
      <w:r w:rsidRPr="00A2123A">
        <w:rPr>
          <w:rFonts w:ascii="Times New Roman" w:hAnsi="Times New Roman" w:cs="Times New Roman"/>
          <w:b/>
          <w:spacing w:val="2"/>
          <w:sz w:val="24"/>
          <w:szCs w:val="24"/>
        </w:rPr>
        <w:t xml:space="preserve">Supplementary Fig. 1 </w:t>
      </w:r>
      <w:r w:rsidR="00EC2657">
        <w:rPr>
          <w:rFonts w:ascii="Times New Roman" w:hAnsi="Times New Roman" w:cs="Times New Roman"/>
          <w:b/>
          <w:spacing w:val="2"/>
          <w:sz w:val="24"/>
          <w:szCs w:val="24"/>
        </w:rPr>
        <w:t>E</w:t>
      </w:r>
      <w:r w:rsidR="00EC2657">
        <w:rPr>
          <w:rFonts w:ascii="Times New Roman" w:hAnsi="Times New Roman" w:cs="Times New Roman" w:hint="eastAsia"/>
          <w:b/>
          <w:spacing w:val="2"/>
          <w:sz w:val="24"/>
          <w:szCs w:val="24"/>
        </w:rPr>
        <w:t>f</w:t>
      </w:r>
      <w:r w:rsidR="00EC2657">
        <w:rPr>
          <w:rFonts w:ascii="Times New Roman" w:hAnsi="Times New Roman" w:cs="Times New Roman"/>
          <w:b/>
          <w:spacing w:val="2"/>
          <w:sz w:val="24"/>
          <w:szCs w:val="24"/>
        </w:rPr>
        <w:t xml:space="preserve">fect of METH on the cell viability of human monocytes. </w:t>
      </w:r>
      <w:r w:rsidRPr="00557E95">
        <w:rPr>
          <w:rFonts w:ascii="Times New Roman" w:hAnsi="Times New Roman" w:cs="Times New Roman"/>
          <w:bCs/>
          <w:spacing w:val="2"/>
          <w:sz w:val="24"/>
          <w:szCs w:val="24"/>
        </w:rPr>
        <w:t>Freshly isolated human monocytes were treated with METH at the indicated concentrations for 96 hours. The cell viability was assessed by MTS assay.</w:t>
      </w:r>
      <w:r>
        <w:rPr>
          <w:rFonts w:ascii="Times New Roman" w:hAnsi="Times New Roman" w:cs="Times New Roman"/>
          <w:bCs/>
          <w:spacing w:val="2"/>
          <w:sz w:val="24"/>
          <w:szCs w:val="24"/>
        </w:rPr>
        <w:t xml:space="preserve">  </w:t>
      </w:r>
      <w:r w:rsidRPr="00557E95">
        <w:rPr>
          <w:rFonts w:ascii="Times New Roman" w:hAnsi="Times New Roman" w:cs="Times New Roman"/>
          <w:bCs/>
          <w:spacing w:val="2"/>
          <w:sz w:val="24"/>
          <w:szCs w:val="24"/>
        </w:rPr>
        <w:t>Data are showed as the absorbance (490 nm) relative to untreated control, which is defined</w:t>
      </w:r>
      <w:r>
        <w:rPr>
          <w:rFonts w:ascii="Times New Roman" w:hAnsi="Times New Roman" w:cs="Times New Roman"/>
          <w:bCs/>
          <w:spacing w:val="2"/>
          <w:sz w:val="24"/>
          <w:szCs w:val="24"/>
        </w:rPr>
        <w:t xml:space="preserve"> </w:t>
      </w:r>
      <w:r w:rsidRPr="00557E95">
        <w:rPr>
          <w:rFonts w:ascii="Times New Roman" w:hAnsi="Times New Roman" w:cs="Times New Roman"/>
          <w:bCs/>
          <w:spacing w:val="2"/>
          <w:sz w:val="24"/>
          <w:szCs w:val="24"/>
        </w:rPr>
        <w:t>as 1.0. The results shown were obtained as mean ± SD from three independent experiments with triplicate</w:t>
      </w:r>
      <w:r>
        <w:rPr>
          <w:rFonts w:ascii="Times New Roman" w:hAnsi="Times New Roman" w:cs="Times New Roman"/>
          <w:bCs/>
          <w:spacing w:val="2"/>
          <w:sz w:val="24"/>
          <w:szCs w:val="24"/>
        </w:rPr>
        <w:t xml:space="preserve"> </w:t>
      </w:r>
      <w:r w:rsidRPr="00557E95">
        <w:rPr>
          <w:rFonts w:ascii="Times New Roman" w:hAnsi="Times New Roman" w:cs="Times New Roman"/>
          <w:bCs/>
          <w:spacing w:val="2"/>
          <w:sz w:val="24"/>
          <w:szCs w:val="24"/>
        </w:rPr>
        <w:t>well</w:t>
      </w:r>
      <w:r>
        <w:rPr>
          <w:rFonts w:ascii="Times New Roman" w:hAnsi="Times New Roman" w:cs="Times New Roman"/>
          <w:bCs/>
          <w:spacing w:val="2"/>
          <w:sz w:val="24"/>
          <w:szCs w:val="24"/>
        </w:rPr>
        <w:t xml:space="preserve">s. </w:t>
      </w:r>
    </w:p>
    <w:p w14:paraId="7C284486" w14:textId="77777777" w:rsidR="003B48C3" w:rsidRDefault="003B48C3"/>
    <w:sectPr w:rsidR="003B48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F3DAA" w14:textId="77777777" w:rsidR="004D3668" w:rsidRDefault="004D3668" w:rsidP="000A0CF0">
      <w:r>
        <w:separator/>
      </w:r>
    </w:p>
  </w:endnote>
  <w:endnote w:type="continuationSeparator" w:id="0">
    <w:p w14:paraId="4C22D8E4" w14:textId="77777777" w:rsidR="004D3668" w:rsidRDefault="004D3668" w:rsidP="000A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4AEA0" w14:textId="77777777" w:rsidR="004D3668" w:rsidRDefault="004D3668" w:rsidP="000A0CF0">
      <w:r>
        <w:separator/>
      </w:r>
    </w:p>
  </w:footnote>
  <w:footnote w:type="continuationSeparator" w:id="0">
    <w:p w14:paraId="398BF031" w14:textId="77777777" w:rsidR="004D3668" w:rsidRDefault="004D3668" w:rsidP="000A0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C3"/>
    <w:rsid w:val="000A0CF0"/>
    <w:rsid w:val="003B48C3"/>
    <w:rsid w:val="004D3668"/>
    <w:rsid w:val="00672BE1"/>
    <w:rsid w:val="00704D9F"/>
    <w:rsid w:val="00B9459E"/>
    <w:rsid w:val="00BD4C80"/>
    <w:rsid w:val="00EC2657"/>
    <w:rsid w:val="00FC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2C0FF"/>
  <w15:chartTrackingRefBased/>
  <w15:docId w15:val="{0AA6524D-A9F8-4636-B8A9-23BB14968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8C3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C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0CF0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0C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0CF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Wang</dc:creator>
  <cp:keywords/>
  <dc:description/>
  <cp:lastModifiedBy>凤珍 孟</cp:lastModifiedBy>
  <cp:revision>2</cp:revision>
  <dcterms:created xsi:type="dcterms:W3CDTF">2021-11-03T13:47:00Z</dcterms:created>
  <dcterms:modified xsi:type="dcterms:W3CDTF">2021-11-03T13:47:00Z</dcterms:modified>
</cp:coreProperties>
</file>