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30"/>
          <w:szCs w:val="30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>Supplementary Figure 2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szCs w:val="21"/>
        </w:rPr>
        <w:drawing>
          <wp:inline distT="0" distB="0" distL="0" distR="0">
            <wp:extent cx="3780155" cy="472440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5150" cy="474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left"/>
        <w:rPr>
          <w:rFonts w:ascii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Supplementary Fig. 2 Effect of METH on CD4 and CCR5. (A-B) 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Freshly isolated human monocytes were treated with METH (150 </w:t>
      </w:r>
      <w:r>
        <w:rPr>
          <w:rFonts w:ascii="Times New Roman" w:hAnsi="Times New Roman" w:eastAsia="宋体" w:cs="Times New Roman"/>
          <w:bCs/>
          <w:spacing w:val="2"/>
          <w:sz w:val="24"/>
          <w:szCs w:val="24"/>
        </w:rPr>
        <w:t>μ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M) at the indicated time points. The cellular RNA was subjected to the RT-qPCR for CD4 and CCR5 expression. 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>(C-D)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 Freshly isolated monocytes were treated with METH (150 μM) for 24 h and then collected for the flow cytometry analysis of CD4 and CCR5 protein expression. Data are shown in A and B as mean ± SD from three independent experiments with triplicate wells. Flow cytometry data shown in C and D are the representative pictures of three independent experiments.</w:t>
      </w:r>
    </w:p>
    <w:p>
      <w:pPr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C3"/>
    <w:rsid w:val="000A0CF0"/>
    <w:rsid w:val="003B48C3"/>
    <w:rsid w:val="00464402"/>
    <w:rsid w:val="00556D03"/>
    <w:rsid w:val="00646B62"/>
    <w:rsid w:val="00672BE1"/>
    <w:rsid w:val="00696BF2"/>
    <w:rsid w:val="00704D9F"/>
    <w:rsid w:val="00B9459E"/>
    <w:rsid w:val="00BD4C80"/>
    <w:rsid w:val="00EE2599"/>
    <w:rsid w:val="00F826D6"/>
    <w:rsid w:val="00FC12F5"/>
    <w:rsid w:val="5B93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525</Characters>
  <Lines>4</Lines>
  <Paragraphs>1</Paragraphs>
  <TotalTime>0</TotalTime>
  <ScaleCrop>false</ScaleCrop>
  <LinksUpToDate>false</LinksUpToDate>
  <CharactersWithSpaces>616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2021-08-21T06:46:00Z</dcterms:created>
  <dc:creator>Xu Wang</dc:creator>
  <cp:lastModifiedBy>seagull</cp:lastModifiedBy>
  <dcterms:modified xsi:type="dcterms:W3CDTF">2021-09-11T09:05:27Z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