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141" w:rsidRDefault="00D10141" w:rsidP="00D10141"/>
    <w:p w:rsidR="00D10141" w:rsidRPr="00D10141" w:rsidRDefault="00D10141" w:rsidP="00D10141">
      <w:pPr>
        <w:spacing w:line="360" w:lineRule="auto"/>
        <w:jc w:val="both"/>
        <w:rPr>
          <w:b/>
          <w:sz w:val="28"/>
        </w:rPr>
      </w:pPr>
      <w:r w:rsidRPr="00D10141">
        <w:rPr>
          <w:b/>
          <w:sz w:val="28"/>
        </w:rPr>
        <w:t>Additional File 1</w:t>
      </w:r>
    </w:p>
    <w:p w:rsidR="00D10141" w:rsidRDefault="00D10141" w:rsidP="00D10141">
      <w:pPr>
        <w:spacing w:line="360" w:lineRule="auto"/>
        <w:jc w:val="both"/>
        <w:rPr>
          <w:b/>
        </w:rPr>
      </w:pPr>
      <w:r>
        <w:rPr>
          <w:b/>
        </w:rPr>
        <w:t>Supplementary</w:t>
      </w:r>
      <w:r w:rsidRPr="00D10141">
        <w:rPr>
          <w:b/>
        </w:rPr>
        <w:t xml:space="preserve"> methods</w:t>
      </w:r>
    </w:p>
    <w:p w:rsidR="00D10141" w:rsidRPr="00001DC1" w:rsidRDefault="00D10141" w:rsidP="00D10141">
      <w:pPr>
        <w:spacing w:line="360" w:lineRule="auto"/>
        <w:jc w:val="both"/>
        <w:rPr>
          <w:b/>
        </w:rPr>
      </w:pPr>
      <w:r w:rsidRPr="00001DC1">
        <w:rPr>
          <w:b/>
        </w:rPr>
        <w:t xml:space="preserve">Proteome </w:t>
      </w:r>
      <w:r>
        <w:rPr>
          <w:b/>
        </w:rPr>
        <w:t>array</w:t>
      </w:r>
    </w:p>
    <w:p w:rsidR="00D10141" w:rsidRPr="00920062" w:rsidRDefault="00D10141" w:rsidP="00D10141">
      <w:pPr>
        <w:spacing w:line="360" w:lineRule="auto"/>
        <w:jc w:val="both"/>
      </w:pPr>
      <w:r w:rsidRPr="00920062">
        <w:t>Protein extracts were performed on SW620 cells untreated or treated with oxaliplatin</w:t>
      </w:r>
      <w:r>
        <w:t xml:space="preserve"> </w:t>
      </w:r>
      <w:r w:rsidRPr="00920062">
        <w:t>at 1.2µM for 18h. Detection of activated kinases was performed using the Proteome Profiler Human Phospho-MAPK array kit (R&amp;D systems) according to the supplier's instructions.</w:t>
      </w:r>
    </w:p>
    <w:p w:rsidR="00D10141" w:rsidRDefault="00D10141" w:rsidP="00D10141">
      <w:pPr>
        <w:spacing w:line="360" w:lineRule="auto"/>
        <w:jc w:val="both"/>
        <w:rPr>
          <w:b/>
        </w:rPr>
      </w:pPr>
    </w:p>
    <w:p w:rsidR="00D10141" w:rsidRDefault="00D10141" w:rsidP="00D10141">
      <w:pPr>
        <w:spacing w:line="360" w:lineRule="auto"/>
        <w:jc w:val="both"/>
        <w:rPr>
          <w:b/>
        </w:rPr>
      </w:pPr>
      <w:r>
        <w:rPr>
          <w:b/>
        </w:rPr>
        <w:t>Generation of ADC</w:t>
      </w:r>
    </w:p>
    <w:p w:rsidR="00D10141" w:rsidRPr="00920062" w:rsidRDefault="00D10141" w:rsidP="00D10141">
      <w:pPr>
        <w:spacing w:line="360" w:lineRule="auto"/>
        <w:ind w:firstLine="708"/>
        <w:jc w:val="both"/>
        <w:rPr>
          <w:i/>
        </w:rPr>
      </w:pPr>
      <w:r w:rsidRPr="00920062">
        <w:rPr>
          <w:i/>
        </w:rPr>
        <w:t>ADC construction</w:t>
      </w:r>
      <w:r>
        <w:rPr>
          <w:i/>
        </w:rPr>
        <w:t xml:space="preserve"> </w:t>
      </w:r>
      <w:r w:rsidRPr="00121008">
        <w:rPr>
          <w:iCs/>
          <w:szCs w:val="24"/>
        </w:rPr>
        <w:t xml:space="preserve">All solvents were anhydrous reagents from commercial sources. Unless otherwise noted, all chemicals and reagents were obtained commercially and used without purification. </w:t>
      </w:r>
      <w:r w:rsidRPr="00E47B92">
        <w:rPr>
          <w:iCs/>
          <w:szCs w:val="24"/>
        </w:rPr>
        <w:t xml:space="preserve">TFA salt of </w:t>
      </w:r>
      <w:r w:rsidRPr="00E47B92">
        <w:rPr>
          <w:rFonts w:cs="Calibri"/>
          <w:szCs w:val="24"/>
          <w:lang w:val="en-GB"/>
        </w:rPr>
        <w:t xml:space="preserve">MMAE was purchased from </w:t>
      </w:r>
      <w:proofErr w:type="spellStart"/>
      <w:r w:rsidRPr="00E47B92">
        <w:rPr>
          <w:rFonts w:cs="Calibri"/>
          <w:szCs w:val="24"/>
          <w:lang w:val="en-GB"/>
        </w:rPr>
        <w:t>Levena</w:t>
      </w:r>
      <w:proofErr w:type="spellEnd"/>
      <w:r w:rsidRPr="00E47B92">
        <w:rPr>
          <w:rFonts w:cs="Calibri"/>
          <w:szCs w:val="24"/>
          <w:lang w:val="en-GB"/>
        </w:rPr>
        <w:t xml:space="preserve"> Biopharma (#</w:t>
      </w:r>
      <w:r w:rsidRPr="00E47B92">
        <w:t>T1004).</w:t>
      </w:r>
      <w:r>
        <w:t xml:space="preserve"> </w:t>
      </w:r>
      <w:r w:rsidRPr="004118D2">
        <w:rPr>
          <w:iCs/>
          <w:szCs w:val="24"/>
          <w:lang w:val="en-GB"/>
        </w:rPr>
        <w:t xml:space="preserve">Thin layer chromatography (TLC) was performed using commercial pre-coated aluminium sheets silica gel (60 Å, F254; </w:t>
      </w:r>
      <w:proofErr w:type="spellStart"/>
      <w:r w:rsidRPr="004118D2">
        <w:rPr>
          <w:iCs/>
          <w:szCs w:val="24"/>
          <w:lang w:val="en-GB"/>
        </w:rPr>
        <w:t>Merk</w:t>
      </w:r>
      <w:proofErr w:type="spellEnd"/>
      <w:r w:rsidRPr="004118D2">
        <w:rPr>
          <w:iCs/>
          <w:szCs w:val="24"/>
          <w:lang w:val="en-GB"/>
        </w:rPr>
        <w:t xml:space="preserve">) and revealed under UV 254 lighting. Column chromatography was carried out on an ISCO purification unit, Combi Flash RF 75 PSI, with </w:t>
      </w:r>
      <w:proofErr w:type="spellStart"/>
      <w:r w:rsidRPr="004118D2">
        <w:rPr>
          <w:iCs/>
          <w:szCs w:val="24"/>
          <w:lang w:val="en-GB"/>
        </w:rPr>
        <w:t>Redisep</w:t>
      </w:r>
      <w:proofErr w:type="spellEnd"/>
      <w:r w:rsidRPr="004118D2">
        <w:rPr>
          <w:iCs/>
          <w:szCs w:val="24"/>
          <w:lang w:val="en-GB"/>
        </w:rPr>
        <w:t xml:space="preserve"> flash silica gel columns (60 Å, 230–400 mesh, grade 9385). NMR spectra were measured on a Bruker </w:t>
      </w:r>
      <w:proofErr w:type="spellStart"/>
      <w:r w:rsidRPr="004118D2">
        <w:rPr>
          <w:iCs/>
          <w:szCs w:val="24"/>
          <w:lang w:val="en-GB"/>
        </w:rPr>
        <w:t>Ultrashield</w:t>
      </w:r>
      <w:proofErr w:type="spellEnd"/>
      <w:r w:rsidRPr="004118D2">
        <w:rPr>
          <w:iCs/>
          <w:szCs w:val="24"/>
          <w:lang w:val="en-GB"/>
        </w:rPr>
        <w:t xml:space="preserve"> 300 spectrometer, 300 MHz (1H) and 75 MHz (13C). Chemical shifts are reported in parts per million (ppm, δ), and are referenced to the residual solvent. Coupling constants are reported in hertz (Hz). The following abbreviations are used singularly or in combination to indicate the multiplicity of signals: s singlet, d doublet, t triplet, q quartet, m </w:t>
      </w:r>
      <w:proofErr w:type="spellStart"/>
      <w:r w:rsidRPr="004118D2">
        <w:rPr>
          <w:iCs/>
          <w:szCs w:val="24"/>
          <w:lang w:val="en-GB"/>
        </w:rPr>
        <w:t>multiplet</w:t>
      </w:r>
      <w:proofErr w:type="spellEnd"/>
      <w:r w:rsidRPr="004118D2">
        <w:rPr>
          <w:iCs/>
          <w:szCs w:val="24"/>
          <w:lang w:val="en-GB"/>
        </w:rPr>
        <w:t xml:space="preserve">. The purity was determined by high performance liquid chromatography (HPLC). Purity of all final compounds was 95% or higher. HPLC analyses were carried out with a </w:t>
      </w:r>
      <w:proofErr w:type="spellStart"/>
      <w:r w:rsidRPr="004118D2">
        <w:rPr>
          <w:iCs/>
          <w:szCs w:val="24"/>
          <w:lang w:val="en-GB"/>
        </w:rPr>
        <w:t>LaChrom</w:t>
      </w:r>
      <w:proofErr w:type="spellEnd"/>
      <w:r w:rsidRPr="004118D2">
        <w:rPr>
          <w:iCs/>
          <w:szCs w:val="24"/>
          <w:lang w:val="en-GB"/>
        </w:rPr>
        <w:t xml:space="preserve"> Elite system [Hitachi L-2130 (pump), L-2200 (autosampler) and L-2400 (UV-detector)] using 254 nm UV for detection. The column was a </w:t>
      </w:r>
      <w:proofErr w:type="spellStart"/>
      <w:r w:rsidRPr="004118D2">
        <w:rPr>
          <w:iCs/>
          <w:szCs w:val="24"/>
          <w:lang w:val="en-GB"/>
        </w:rPr>
        <w:t>XBridge</w:t>
      </w:r>
      <w:proofErr w:type="spellEnd"/>
      <w:r w:rsidRPr="004118D2">
        <w:rPr>
          <w:iCs/>
          <w:szCs w:val="24"/>
          <w:lang w:val="en-GB"/>
        </w:rPr>
        <w:t xml:space="preserve"> C-18 (250 × 10 mm, 4μ, 135A); elution was performed with 0.1% (by volume) of TFA in water (solvent A), and 0.1% of TFA in acetonitrile (solvent B); gradient 20-100% of B over 35 minutes with a flow rate of 1 mL.min-1; column temperature of 25 °C; injection of 10 µL in DMSO. </w:t>
      </w:r>
      <w:r w:rsidRPr="004118D2">
        <w:rPr>
          <w:iCs/>
          <w:szCs w:val="24"/>
        </w:rPr>
        <w:t xml:space="preserve">Semi-preparative HPLC was carried out on a </w:t>
      </w:r>
      <w:r w:rsidRPr="004118D2">
        <w:rPr>
          <w:iCs/>
          <w:szCs w:val="24"/>
          <w:lang w:val="en-GB"/>
        </w:rPr>
        <w:t xml:space="preserve">Gilson PLC 2050 system ARMEN V2 (pump) equipped with ECOM TOYDAD600 (UV) for UV detection at 254 nm at 25 °C; a Waters </w:t>
      </w:r>
      <w:proofErr w:type="spellStart"/>
      <w:r w:rsidRPr="004118D2">
        <w:rPr>
          <w:iCs/>
          <w:szCs w:val="24"/>
          <w:lang w:val="en-GB"/>
        </w:rPr>
        <w:t>XBridge</w:t>
      </w:r>
      <w:proofErr w:type="spellEnd"/>
      <w:r w:rsidRPr="004118D2">
        <w:rPr>
          <w:iCs/>
          <w:szCs w:val="24"/>
          <w:lang w:val="en-GB"/>
        </w:rPr>
        <w:t xml:space="preserve">™ C-18; 5 µm (250 mm x 19.00 mm) column was used; compounds were eluted with 0.1 % trifluoroacetic acid in water (solvent A), and acetonitrile (solvent B); as a gradient from 20 to 100% B over 32 min then 100% B for 6 min at 17.1 mL/min. High-resolution accurate mass measurements (HRAM) were performed in positive mode with an ESI source on a Q-TOF mass spectrometer with an accuracy tolerance of 2 ppm by the “Fédération de Recherche” ICOA/ CBM (FR2708) </w:t>
      </w:r>
      <w:r w:rsidRPr="004118D2">
        <w:rPr>
          <w:iCs/>
          <w:szCs w:val="24"/>
          <w:lang w:val="en-GB"/>
        </w:rPr>
        <w:lastRenderedPageBreak/>
        <w:t xml:space="preserve">platform. Mass spectrometric analyses of ADCs were performed on a Bruker </w:t>
      </w:r>
      <w:proofErr w:type="spellStart"/>
      <w:r w:rsidRPr="004118D2">
        <w:rPr>
          <w:iCs/>
          <w:szCs w:val="24"/>
          <w:lang w:val="en-GB"/>
        </w:rPr>
        <w:t>maXis</w:t>
      </w:r>
      <w:proofErr w:type="spellEnd"/>
      <w:r w:rsidRPr="004118D2">
        <w:rPr>
          <w:iCs/>
          <w:szCs w:val="24"/>
          <w:lang w:val="en-GB"/>
        </w:rPr>
        <w:t xml:space="preserve"> mass spectrometer coupled to a </w:t>
      </w:r>
      <w:proofErr w:type="spellStart"/>
      <w:r w:rsidRPr="004118D2">
        <w:rPr>
          <w:iCs/>
          <w:szCs w:val="24"/>
          <w:lang w:val="en-GB"/>
        </w:rPr>
        <w:t>Dionex</w:t>
      </w:r>
      <w:proofErr w:type="spellEnd"/>
      <w:r w:rsidRPr="004118D2">
        <w:rPr>
          <w:iCs/>
          <w:szCs w:val="24"/>
          <w:lang w:val="en-GB"/>
        </w:rPr>
        <w:t xml:space="preserve"> Ultimate 3000 RSLC system. Prior to MS analysis, samples (ca. 5 </w:t>
      </w:r>
      <w:proofErr w:type="spellStart"/>
      <w:r w:rsidRPr="004118D2">
        <w:rPr>
          <w:iCs/>
          <w:szCs w:val="24"/>
          <w:lang w:val="en-GB"/>
        </w:rPr>
        <w:t>μg</w:t>
      </w:r>
      <w:proofErr w:type="spellEnd"/>
      <w:r w:rsidRPr="004118D2">
        <w:rPr>
          <w:iCs/>
          <w:szCs w:val="24"/>
          <w:lang w:val="en-GB"/>
        </w:rPr>
        <w:t xml:space="preserve">) were desalted on a </w:t>
      </w:r>
      <w:proofErr w:type="spellStart"/>
      <w:r w:rsidRPr="004118D2">
        <w:rPr>
          <w:iCs/>
          <w:szCs w:val="24"/>
          <w:lang w:val="en-GB"/>
        </w:rPr>
        <w:t>MassPREP</w:t>
      </w:r>
      <w:proofErr w:type="spellEnd"/>
      <w:r w:rsidRPr="004118D2">
        <w:rPr>
          <w:iCs/>
          <w:szCs w:val="24"/>
          <w:lang w:val="en-GB"/>
        </w:rPr>
        <w:t xml:space="preserve"> desalting cartridge (2.1 × 10 mm, Waters) heated at 80 °C using 0.1% formic acid as solvent A and 0.1% formic acid in acetonitrile as solvent B at 500 </w:t>
      </w:r>
      <w:proofErr w:type="spellStart"/>
      <w:r w:rsidRPr="004118D2">
        <w:rPr>
          <w:iCs/>
          <w:szCs w:val="24"/>
          <w:lang w:val="en-GB"/>
        </w:rPr>
        <w:t>μL</w:t>
      </w:r>
      <w:proofErr w:type="spellEnd"/>
      <w:r w:rsidRPr="004118D2">
        <w:rPr>
          <w:iCs/>
          <w:szCs w:val="24"/>
          <w:lang w:val="en-GB"/>
        </w:rPr>
        <w:t xml:space="preserve"> min−1. After 1 min, a linear gradient from 5 to 90% B in 1.5 min was applied; the first 1.5 min were diverted to waste. HRMS data were acquired in positive mode with ESI source over the m/z range from 900 up to 5000 at 1 Hz and processed using </w:t>
      </w:r>
      <w:proofErr w:type="spellStart"/>
      <w:r w:rsidRPr="004118D2">
        <w:rPr>
          <w:iCs/>
          <w:szCs w:val="24"/>
          <w:lang w:val="en-GB"/>
        </w:rPr>
        <w:t>DataAnalysis</w:t>
      </w:r>
      <w:proofErr w:type="spellEnd"/>
      <w:r w:rsidRPr="004118D2">
        <w:rPr>
          <w:iCs/>
          <w:szCs w:val="24"/>
          <w:lang w:val="en-GB"/>
        </w:rPr>
        <w:t xml:space="preserve"> 4.4 software (Bruker) and </w:t>
      </w:r>
      <w:proofErr w:type="spellStart"/>
      <w:r w:rsidRPr="004118D2">
        <w:rPr>
          <w:iCs/>
          <w:szCs w:val="24"/>
          <w:lang w:val="en-GB"/>
        </w:rPr>
        <w:t>MaxEnt</w:t>
      </w:r>
      <w:proofErr w:type="spellEnd"/>
      <w:r w:rsidRPr="004118D2">
        <w:rPr>
          <w:iCs/>
          <w:szCs w:val="24"/>
          <w:lang w:val="en-GB"/>
        </w:rPr>
        <w:t xml:space="preserve"> algorithm for spectral deconvolution.</w:t>
      </w:r>
      <w:r>
        <w:rPr>
          <w:iCs/>
          <w:szCs w:val="24"/>
          <w:lang w:val="en-GB"/>
        </w:rPr>
        <w:t xml:space="preserve"> </w:t>
      </w:r>
    </w:p>
    <w:p w:rsidR="00D10141" w:rsidRPr="00920062" w:rsidRDefault="00D10141" w:rsidP="00D10141">
      <w:pPr>
        <w:spacing w:line="360" w:lineRule="auto"/>
        <w:jc w:val="both"/>
        <w:rPr>
          <w:bCs/>
          <w:i/>
          <w:iCs/>
          <w:szCs w:val="24"/>
          <w:lang w:val="en-GB"/>
        </w:rPr>
      </w:pPr>
      <w:r w:rsidRPr="00920062">
        <w:rPr>
          <w:bCs/>
          <w:i/>
          <w:iCs/>
          <w:szCs w:val="24"/>
          <w:lang w:val="en-GB"/>
        </w:rPr>
        <w:t>Synthesis of linkers</w:t>
      </w:r>
      <w:r>
        <w:rPr>
          <w:bCs/>
          <w:i/>
          <w:iCs/>
          <w:szCs w:val="24"/>
          <w:lang w:val="en-GB"/>
        </w:rPr>
        <w:t xml:space="preserve"> </w:t>
      </w:r>
      <w:r w:rsidRPr="004118D2">
        <w:rPr>
          <w:iCs/>
          <w:szCs w:val="24"/>
          <w:lang w:val="en-GB"/>
        </w:rPr>
        <w:t xml:space="preserve">Syntheses of both intermediates and final </w:t>
      </w:r>
      <w:r>
        <w:rPr>
          <w:iCs/>
          <w:szCs w:val="24"/>
          <w:lang w:val="en-GB"/>
        </w:rPr>
        <w:t>linker-drugs</w:t>
      </w:r>
      <w:r w:rsidRPr="004118D2">
        <w:rPr>
          <w:b/>
          <w:bCs/>
          <w:iCs/>
          <w:szCs w:val="24"/>
          <w:lang w:val="en-GB"/>
        </w:rPr>
        <w:t xml:space="preserve"> diSPh-PEG</w:t>
      </w:r>
      <w:r w:rsidRPr="004118D2">
        <w:rPr>
          <w:b/>
          <w:bCs/>
          <w:iCs/>
          <w:szCs w:val="24"/>
          <w:vertAlign w:val="subscript"/>
          <w:lang w:val="en-GB"/>
        </w:rPr>
        <w:t>12</w:t>
      </w:r>
      <w:r w:rsidRPr="004118D2">
        <w:rPr>
          <w:b/>
          <w:bCs/>
          <w:iCs/>
          <w:szCs w:val="24"/>
          <w:lang w:val="en-GB"/>
        </w:rPr>
        <w:t xml:space="preserve">-VC-MMAE </w:t>
      </w:r>
      <w:r w:rsidRPr="004118D2">
        <w:rPr>
          <w:iCs/>
          <w:szCs w:val="24"/>
          <w:lang w:val="en-GB"/>
        </w:rPr>
        <w:t xml:space="preserve">were carried out according to </w:t>
      </w:r>
      <w:r>
        <w:rPr>
          <w:iCs/>
          <w:szCs w:val="24"/>
          <w:lang w:val="en-GB"/>
        </w:rPr>
        <w:t xml:space="preserve">previously described </w:t>
      </w:r>
      <w:proofErr w:type="spellStart"/>
      <w:r>
        <w:rPr>
          <w:iCs/>
          <w:szCs w:val="24"/>
          <w:lang w:val="en-GB"/>
        </w:rPr>
        <w:t>method</w:t>
      </w:r>
      <w:r w:rsidRPr="004118D2">
        <w:rPr>
          <w:iCs/>
          <w:szCs w:val="24"/>
          <w:lang w:val="en-GB"/>
        </w:rPr>
        <w:t>es</w:t>
      </w:r>
      <w:proofErr w:type="spellEnd"/>
      <w:r w:rsidRPr="004118D2">
        <w:rPr>
          <w:iCs/>
          <w:szCs w:val="24"/>
          <w:lang w:val="en-GB"/>
        </w:rPr>
        <w:t xml:space="preserve"> </w:t>
      </w:r>
      <w:r w:rsidRPr="00176B72">
        <w:rPr>
          <w:iCs/>
          <w:szCs w:val="24"/>
          <w:lang w:val="en-GB"/>
        </w:rPr>
        <w:fldChar w:fldCharType="begin" w:fldLock="1"/>
      </w:r>
      <w:r w:rsidRPr="00176B72">
        <w:rPr>
          <w:iCs/>
          <w:szCs w:val="24"/>
          <w:lang w:val="en-GB"/>
        </w:rPr>
        <w:instrText>ADDIN CSL_CITATION {"citationItems":[{"id":"ITEM-1","itemData":{"DOI":"10.1039/c7ob02780j","ISSN":"14770520","abstract":"Herein we describe the synthesis and evaluation of four novel HER2-targeting, cathepsin B-sensitive antibody-drug conjugates bearing a monomethylauristatin E (MMAE) cytotoxic payload, constructed via the conjugation of cleavable linkers to...","author":[{"dropping-particle":"","family":"Bryden","given":"Francesca","non-dropping-particle":"","parse-names":false,"suffix":""},{"dropping-particle":"","family":"Martin","given":"Camille","non-dropping-particle":"","parse-names":false,"suffix":""},{"dropping-particle":"","family":"Letast","given":"Stéphanie","non-dropping-particle":"","parse-names":false,"suffix":""},{"dropping-particle":"","family":"Lles","given":"Eva","non-dropping-particle":"","parse-names":false,"suffix":""},{"dropping-particle":"","family":"Viéitez-Villemin","given":"Inmaculada","non-dropping-particle":"","parse-names":false,"suffix":""},{"dropping-particle":"","family":"Rousseau","given":"Anaïs","non-dropping-particle":"","parse-names":false,"suffix":""},{"dropping-particle":"","family":"Colas","given":"Cyril","non-dropping-particle":"","parse-names":false,"suffix":""},{"dropping-particle":"","family":"Brachet-Botineau","given":"Marie","non-dropping-particle":"","parse-names":false,"suffix":""},{"dropping-particle":"","family":"Allard-Vannier","given":"Emilie","non-dropping-particle":"","parse-names":false,"suffix":""},{"dropping-particle":"","family":"Larbouret","given":"Christel","non-dropping-particle":"","parse-names":false,"suffix":""},{"dropping-particle":"","family":"Viaud-Massuard","given":"Marie Claude","non-dropping-particle":"","parse-names":false,"suffix":""},{"dropping-particle":"","family":"Joubert","given":"Nicolas","non-dropping-particle":"","parse-names":false,"suffix":""}],"container-title":"Organic and Biomolecular Chemistry","id":"ITEM-1","issue":"11","issued":{"date-parts":[["2018"]]},"page":"1882-1889","publisher":"Royal Society of Chemistry","title":"Impact of cathepsin B-sensitive triggers and hydrophilic linkers on in vitro efficacy of novel site-specific antibody-drug conjugates","type":"article-journal","volume":"16"},"uris":["http://www.mendeley.com/documents/?uuid=e81e8beb-956a-44f0-a6f2-745cc0c42072"]}],"mendeley":{"formattedCitation":"[1]","plainTextFormattedCitation":"[1]"},"properties":{"noteIndex":0},"schema":"https://github.com/citation-style-language/schema/raw/master/csl-citation.json"}</w:instrText>
      </w:r>
      <w:r w:rsidRPr="00176B72">
        <w:rPr>
          <w:iCs/>
          <w:szCs w:val="24"/>
          <w:lang w:val="en-GB"/>
        </w:rPr>
        <w:fldChar w:fldCharType="separate"/>
      </w:r>
      <w:r w:rsidRPr="00176B72">
        <w:rPr>
          <w:iCs/>
          <w:noProof/>
          <w:szCs w:val="24"/>
          <w:lang w:val="en-GB"/>
        </w:rPr>
        <w:t>[1]</w:t>
      </w:r>
      <w:r w:rsidRPr="00176B72">
        <w:rPr>
          <w:iCs/>
          <w:szCs w:val="24"/>
          <w:lang w:val="en-GB"/>
        </w:rPr>
        <w:fldChar w:fldCharType="end"/>
      </w:r>
      <w:r w:rsidRPr="00176B72">
        <w:rPr>
          <w:iCs/>
          <w:szCs w:val="24"/>
          <w:lang w:val="en-GB"/>
        </w:rPr>
        <w:t>.</w:t>
      </w:r>
    </w:p>
    <w:p w:rsidR="00D10141" w:rsidRPr="00920062" w:rsidRDefault="00D10141" w:rsidP="00D10141">
      <w:pPr>
        <w:spacing w:line="360" w:lineRule="auto"/>
        <w:jc w:val="both"/>
        <w:rPr>
          <w:bCs/>
          <w:i/>
          <w:iCs/>
          <w:szCs w:val="24"/>
          <w:lang w:val="en-GB"/>
        </w:rPr>
      </w:pPr>
      <w:r w:rsidRPr="00920062">
        <w:rPr>
          <w:bCs/>
          <w:i/>
          <w:iCs/>
          <w:szCs w:val="24"/>
          <w:lang w:val="en-GB"/>
        </w:rPr>
        <w:t>General bioconjugation procedure</w:t>
      </w:r>
      <w:r>
        <w:rPr>
          <w:bCs/>
          <w:i/>
          <w:iCs/>
          <w:szCs w:val="24"/>
          <w:lang w:val="en-GB"/>
        </w:rPr>
        <w:t xml:space="preserve"> </w:t>
      </w:r>
      <w:r w:rsidRPr="004118D2">
        <w:rPr>
          <w:iCs/>
          <w:szCs w:val="24"/>
          <w:lang w:val="en-GB"/>
        </w:rPr>
        <w:t>BBS buffer preparation (25 mM NaCl, 1mM EDTA, pH 8.0)</w:t>
      </w:r>
      <w:r>
        <w:rPr>
          <w:iCs/>
          <w:szCs w:val="24"/>
          <w:lang w:val="en-GB"/>
        </w:rPr>
        <w:t xml:space="preserve">: </w:t>
      </w:r>
      <w:r w:rsidRPr="004118D2">
        <w:rPr>
          <w:iCs/>
          <w:szCs w:val="24"/>
          <w:lang w:val="en-GB"/>
        </w:rPr>
        <w:t>27.7 mL of a 19.07 g/L concentrated solution of Borax (Na</w:t>
      </w:r>
      <w:r w:rsidRPr="004118D2">
        <w:rPr>
          <w:iCs/>
          <w:szCs w:val="24"/>
          <w:vertAlign w:val="subscript"/>
          <w:lang w:val="en-GB"/>
        </w:rPr>
        <w:t>2</w:t>
      </w:r>
      <w:r w:rsidRPr="004118D2">
        <w:rPr>
          <w:iCs/>
          <w:szCs w:val="24"/>
          <w:lang w:val="en-GB"/>
        </w:rPr>
        <w:t>B</w:t>
      </w:r>
      <w:r w:rsidRPr="004118D2">
        <w:rPr>
          <w:iCs/>
          <w:szCs w:val="24"/>
          <w:vertAlign w:val="subscript"/>
          <w:lang w:val="en-GB"/>
        </w:rPr>
        <w:t>4</w:t>
      </w:r>
      <w:r w:rsidRPr="004118D2">
        <w:rPr>
          <w:iCs/>
          <w:szCs w:val="24"/>
          <w:lang w:val="en-GB"/>
        </w:rPr>
        <w:t>O</w:t>
      </w:r>
      <w:r w:rsidRPr="004118D2">
        <w:rPr>
          <w:iCs/>
          <w:szCs w:val="24"/>
          <w:vertAlign w:val="subscript"/>
          <w:lang w:val="en-GB"/>
        </w:rPr>
        <w:t>7</w:t>
      </w:r>
      <w:r w:rsidRPr="004118D2">
        <w:rPr>
          <w:iCs/>
          <w:szCs w:val="24"/>
          <w:lang w:val="en-GB"/>
        </w:rPr>
        <w:t>.10H</w:t>
      </w:r>
      <w:r w:rsidRPr="004118D2">
        <w:rPr>
          <w:iCs/>
          <w:szCs w:val="24"/>
          <w:vertAlign w:val="subscript"/>
          <w:lang w:val="en-GB"/>
        </w:rPr>
        <w:t>2</w:t>
      </w:r>
      <w:r w:rsidRPr="004118D2">
        <w:rPr>
          <w:iCs/>
          <w:szCs w:val="24"/>
          <w:lang w:val="en-GB"/>
        </w:rPr>
        <w:t>O) in deionised water were mixed to 22.3 mL of 0.1 M HCl. Then, 73.15 mg NaCl and 18.6 mg EDTA were added. pH was adjusted to 8.0 using 0.1 M HCl. Finally, BBS buffer was conserved at 4°C.</w:t>
      </w:r>
      <w:r>
        <w:rPr>
          <w:bCs/>
          <w:i/>
          <w:iCs/>
          <w:szCs w:val="24"/>
          <w:lang w:val="en-GB"/>
        </w:rPr>
        <w:t xml:space="preserve"> </w:t>
      </w:r>
      <w:r>
        <w:rPr>
          <w:iCs/>
          <w:szCs w:val="24"/>
          <w:lang w:val="en-GB"/>
        </w:rPr>
        <w:t xml:space="preserve">General bioconjugation protocol: </w:t>
      </w:r>
      <w:r w:rsidRPr="004118D2">
        <w:rPr>
          <w:iCs/>
          <w:szCs w:val="24"/>
          <w:lang w:val="en-GB"/>
        </w:rPr>
        <w:t>TCEP (tris(2-carboxyethyl)</w:t>
      </w:r>
      <w:r>
        <w:rPr>
          <w:iCs/>
          <w:szCs w:val="24"/>
          <w:lang w:val="en-GB"/>
        </w:rPr>
        <w:t xml:space="preserve"> </w:t>
      </w:r>
      <w:r w:rsidRPr="004118D2">
        <w:rPr>
          <w:iCs/>
          <w:szCs w:val="24"/>
          <w:lang w:val="en-GB"/>
        </w:rPr>
        <w:t xml:space="preserve">phosphine) was dissolved in BBS buffer until 1mM concentration was reached. Antibody solutions were </w:t>
      </w:r>
      <w:r>
        <w:rPr>
          <w:iCs/>
          <w:szCs w:val="24"/>
          <w:lang w:val="en-GB"/>
        </w:rPr>
        <w:t>prepared</w:t>
      </w:r>
      <w:r w:rsidRPr="004118D2">
        <w:rPr>
          <w:iCs/>
          <w:szCs w:val="24"/>
          <w:lang w:val="en-GB"/>
        </w:rPr>
        <w:t xml:space="preserve"> in BBS buffer at 4.5-5.5 mg/mL</w:t>
      </w:r>
      <w:r>
        <w:rPr>
          <w:iCs/>
          <w:szCs w:val="24"/>
          <w:lang w:val="en-GB"/>
        </w:rPr>
        <w:t xml:space="preserve"> concentration</w:t>
      </w:r>
      <w:r w:rsidRPr="004118D2">
        <w:rPr>
          <w:iCs/>
          <w:szCs w:val="24"/>
          <w:lang w:val="en-GB"/>
        </w:rPr>
        <w:t>. Linkers were solubilised in DM</w:t>
      </w:r>
      <w:r>
        <w:rPr>
          <w:iCs/>
          <w:szCs w:val="24"/>
          <w:lang w:val="en-GB"/>
        </w:rPr>
        <w:t xml:space="preserve">SO at </w:t>
      </w:r>
      <w:r w:rsidRPr="004118D2">
        <w:rPr>
          <w:iCs/>
          <w:szCs w:val="24"/>
          <w:lang w:val="en-GB"/>
        </w:rPr>
        <w:t>1 mM concentration and conserved at 4°C.</w:t>
      </w:r>
    </w:p>
    <w:p w:rsidR="00D10141" w:rsidRPr="004118D2" w:rsidRDefault="00D10141" w:rsidP="00D10141">
      <w:pPr>
        <w:numPr>
          <w:ilvl w:val="0"/>
          <w:numId w:val="1"/>
        </w:numPr>
        <w:spacing w:line="360" w:lineRule="auto"/>
        <w:jc w:val="both"/>
        <w:rPr>
          <w:iCs/>
          <w:szCs w:val="24"/>
          <w:lang w:val="en-GB"/>
        </w:rPr>
      </w:pPr>
      <w:r w:rsidRPr="004118D2">
        <w:rPr>
          <w:iCs/>
          <w:szCs w:val="24"/>
          <w:lang w:val="en-GB"/>
        </w:rPr>
        <w:t xml:space="preserve">Bioconjugation of </w:t>
      </w:r>
      <w:r w:rsidRPr="004118D2">
        <w:rPr>
          <w:b/>
          <w:bCs/>
          <w:iCs/>
          <w:szCs w:val="24"/>
          <w:lang w:val="en-GB"/>
        </w:rPr>
        <w:t>diSPh-PEG</w:t>
      </w:r>
      <w:r w:rsidRPr="004118D2">
        <w:rPr>
          <w:b/>
          <w:bCs/>
          <w:iCs/>
          <w:szCs w:val="24"/>
          <w:vertAlign w:val="subscript"/>
          <w:lang w:val="en-GB"/>
        </w:rPr>
        <w:t>12</w:t>
      </w:r>
      <w:r w:rsidRPr="004118D2">
        <w:rPr>
          <w:b/>
          <w:bCs/>
          <w:iCs/>
          <w:szCs w:val="24"/>
          <w:lang w:val="en-GB"/>
        </w:rPr>
        <w:t xml:space="preserve">-VC-MMAE </w:t>
      </w:r>
      <w:r w:rsidRPr="004118D2">
        <w:rPr>
          <w:iCs/>
          <w:szCs w:val="24"/>
          <w:lang w:val="en-GB"/>
        </w:rPr>
        <w:t>linker</w:t>
      </w:r>
    </w:p>
    <w:p w:rsidR="00D10141" w:rsidRPr="004118D2" w:rsidRDefault="00D10141" w:rsidP="00D10141">
      <w:pPr>
        <w:spacing w:line="360" w:lineRule="auto"/>
        <w:jc w:val="both"/>
        <w:rPr>
          <w:iCs/>
          <w:szCs w:val="24"/>
          <w:lang w:val="en-GB"/>
        </w:rPr>
      </w:pPr>
      <w:r w:rsidRPr="004118D2">
        <w:rPr>
          <w:iCs/>
          <w:szCs w:val="24"/>
          <w:lang w:val="en-GB"/>
        </w:rPr>
        <w:t xml:space="preserve">In 200 µL of antibody solution were added 6 eq. of TCEP (1 mM), placed at 37 °C with no stirring. Then, 6 eq. of </w:t>
      </w:r>
      <w:r w:rsidRPr="004118D2">
        <w:rPr>
          <w:b/>
          <w:bCs/>
          <w:iCs/>
          <w:szCs w:val="24"/>
          <w:lang w:val="en-GB"/>
        </w:rPr>
        <w:t>diSPh-PEG</w:t>
      </w:r>
      <w:r w:rsidRPr="004118D2">
        <w:rPr>
          <w:b/>
          <w:bCs/>
          <w:iCs/>
          <w:szCs w:val="24"/>
          <w:vertAlign w:val="subscript"/>
          <w:lang w:val="en-GB"/>
        </w:rPr>
        <w:t>12</w:t>
      </w:r>
      <w:r w:rsidRPr="004118D2">
        <w:rPr>
          <w:b/>
          <w:bCs/>
          <w:iCs/>
          <w:szCs w:val="24"/>
          <w:lang w:val="en-GB"/>
        </w:rPr>
        <w:t>-VC-MMAE</w:t>
      </w:r>
      <w:r w:rsidRPr="004118D2">
        <w:rPr>
          <w:iCs/>
          <w:szCs w:val="24"/>
          <w:lang w:val="en-GB"/>
        </w:rPr>
        <w:t xml:space="preserve"> linker were added and the resulting s</w:t>
      </w:r>
      <w:r>
        <w:rPr>
          <w:iCs/>
          <w:szCs w:val="24"/>
          <w:lang w:val="en-GB"/>
        </w:rPr>
        <w:t>olution was stirred 16h at 4°C.</w:t>
      </w:r>
    </w:p>
    <w:p w:rsidR="00D10141" w:rsidRPr="00920062" w:rsidRDefault="00D10141" w:rsidP="00D10141">
      <w:pPr>
        <w:spacing w:line="360" w:lineRule="auto"/>
        <w:ind w:firstLine="708"/>
        <w:jc w:val="both"/>
        <w:rPr>
          <w:i/>
          <w:iCs/>
          <w:szCs w:val="24"/>
          <w:lang w:val="en-GB"/>
        </w:rPr>
      </w:pPr>
      <w:r w:rsidRPr="00920062">
        <w:rPr>
          <w:i/>
          <w:iCs/>
          <w:szCs w:val="24"/>
          <w:lang w:val="en-GB"/>
        </w:rPr>
        <w:t>ADC purifications and sterilisations</w:t>
      </w:r>
      <w:r>
        <w:rPr>
          <w:i/>
          <w:iCs/>
          <w:szCs w:val="24"/>
          <w:lang w:val="en-GB"/>
        </w:rPr>
        <w:t xml:space="preserve"> </w:t>
      </w:r>
      <w:r w:rsidRPr="004118D2">
        <w:rPr>
          <w:iCs/>
          <w:szCs w:val="24"/>
          <w:lang w:val="en-GB"/>
        </w:rPr>
        <w:t xml:space="preserve">Crude ADC solutions were </w:t>
      </w:r>
      <w:r>
        <w:rPr>
          <w:iCs/>
          <w:szCs w:val="24"/>
          <w:lang w:val="en-GB"/>
        </w:rPr>
        <w:t>purified by</w:t>
      </w:r>
      <w:r w:rsidRPr="004118D2">
        <w:rPr>
          <w:iCs/>
          <w:szCs w:val="24"/>
          <w:lang w:val="en-GB"/>
        </w:rPr>
        <w:t xml:space="preserve"> </w:t>
      </w:r>
      <w:proofErr w:type="spellStart"/>
      <w:r w:rsidRPr="004118D2">
        <w:rPr>
          <w:iCs/>
          <w:szCs w:val="24"/>
          <w:lang w:val="en-GB"/>
        </w:rPr>
        <w:t>vivaspin</w:t>
      </w:r>
      <w:proofErr w:type="spellEnd"/>
      <w:r w:rsidRPr="004118D2">
        <w:rPr>
          <w:iCs/>
          <w:szCs w:val="24"/>
          <w:lang w:val="en-GB"/>
        </w:rPr>
        <w:t xml:space="preserve"> (Sartorius </w:t>
      </w:r>
      <w:proofErr w:type="spellStart"/>
      <w:r w:rsidRPr="004118D2">
        <w:rPr>
          <w:iCs/>
          <w:szCs w:val="24"/>
          <w:lang w:val="en-GB"/>
        </w:rPr>
        <w:t>Vivaspin</w:t>
      </w:r>
      <w:proofErr w:type="spellEnd"/>
      <w:r w:rsidRPr="004118D2">
        <w:rPr>
          <w:iCs/>
          <w:szCs w:val="24"/>
          <w:lang w:val="en-GB"/>
        </w:rPr>
        <w:t xml:space="preserve"> 500, 10,000 MWCO, PES, 100pc) </w:t>
      </w:r>
      <w:r>
        <w:rPr>
          <w:iCs/>
          <w:szCs w:val="24"/>
          <w:lang w:val="en-GB"/>
        </w:rPr>
        <w:t>through</w:t>
      </w:r>
      <w:r w:rsidRPr="004118D2">
        <w:rPr>
          <w:iCs/>
          <w:szCs w:val="24"/>
          <w:lang w:val="en-GB"/>
        </w:rPr>
        <w:t xml:space="preserve"> centrifugat</w:t>
      </w:r>
      <w:r>
        <w:rPr>
          <w:iCs/>
          <w:szCs w:val="24"/>
          <w:lang w:val="en-GB"/>
        </w:rPr>
        <w:t>ion</w:t>
      </w:r>
      <w:r w:rsidRPr="004118D2">
        <w:rPr>
          <w:iCs/>
          <w:szCs w:val="24"/>
          <w:lang w:val="en-GB"/>
        </w:rPr>
        <w:t xml:space="preserve"> (5.000 G, 10 min/cycle, repeated 4 times). BBS buffer was replaced by PBS 7.2 buffer (</w:t>
      </w:r>
      <w:proofErr w:type="spellStart"/>
      <w:r w:rsidRPr="004118D2">
        <w:rPr>
          <w:iCs/>
          <w:szCs w:val="24"/>
          <w:lang w:val="en-GB"/>
        </w:rPr>
        <w:t>Thermofisher</w:t>
      </w:r>
      <w:proofErr w:type="spellEnd"/>
      <w:r w:rsidRPr="004118D2">
        <w:rPr>
          <w:iCs/>
          <w:szCs w:val="24"/>
          <w:lang w:val="en-GB"/>
        </w:rPr>
        <w:t xml:space="preserve"> Gibco™). Obtained solutions were filtrated under sterile atmosphere through a 0.22 µm filter. Then, sterile ADC solutions were freeze using liqu</w:t>
      </w:r>
      <w:r>
        <w:rPr>
          <w:iCs/>
          <w:szCs w:val="24"/>
          <w:lang w:val="en-GB"/>
        </w:rPr>
        <w:t>id nitrogen and store at -80°C.</w:t>
      </w:r>
    </w:p>
    <w:p w:rsidR="00D10141" w:rsidRPr="00920062" w:rsidRDefault="00D10141" w:rsidP="00D10141">
      <w:pPr>
        <w:spacing w:line="360" w:lineRule="auto"/>
        <w:jc w:val="both"/>
        <w:rPr>
          <w:bCs/>
          <w:i/>
          <w:iCs/>
          <w:szCs w:val="24"/>
          <w:lang w:val="en-GB"/>
        </w:rPr>
      </w:pPr>
      <w:r w:rsidRPr="00920062">
        <w:rPr>
          <w:bCs/>
          <w:i/>
          <w:iCs/>
          <w:szCs w:val="24"/>
          <w:lang w:val="en-GB"/>
        </w:rPr>
        <w:t>Deconvoluted mass spectrometry of ADCs (RTX/6F6)</w:t>
      </w:r>
      <w:r>
        <w:rPr>
          <w:bCs/>
          <w:i/>
          <w:iCs/>
          <w:szCs w:val="24"/>
          <w:lang w:val="en-GB"/>
        </w:rPr>
        <w:t xml:space="preserve">; </w:t>
      </w:r>
      <w:r w:rsidRPr="004118D2">
        <w:rPr>
          <w:iCs/>
          <w:szCs w:val="24"/>
          <w:lang w:val="en-GB"/>
        </w:rPr>
        <w:t xml:space="preserve">Mass spectrometric analyses of ADCs were performed on a Bruker </w:t>
      </w:r>
      <w:proofErr w:type="spellStart"/>
      <w:r w:rsidRPr="004118D2">
        <w:rPr>
          <w:iCs/>
          <w:szCs w:val="24"/>
          <w:lang w:val="en-GB"/>
        </w:rPr>
        <w:t>maXis</w:t>
      </w:r>
      <w:proofErr w:type="spellEnd"/>
      <w:r w:rsidRPr="004118D2">
        <w:rPr>
          <w:iCs/>
          <w:szCs w:val="24"/>
          <w:lang w:val="en-GB"/>
        </w:rPr>
        <w:t xml:space="preserve"> mass spectrometer coupled to a </w:t>
      </w:r>
      <w:proofErr w:type="spellStart"/>
      <w:r w:rsidRPr="004118D2">
        <w:rPr>
          <w:iCs/>
          <w:szCs w:val="24"/>
          <w:lang w:val="en-GB"/>
        </w:rPr>
        <w:t>Dionex</w:t>
      </w:r>
      <w:proofErr w:type="spellEnd"/>
      <w:r w:rsidRPr="004118D2">
        <w:rPr>
          <w:iCs/>
          <w:szCs w:val="24"/>
          <w:lang w:val="en-GB"/>
        </w:rPr>
        <w:t xml:space="preserve"> Ultimate 3000 RSLC system. Prior to MS analysis, samples (ca. 5 </w:t>
      </w:r>
      <w:proofErr w:type="spellStart"/>
      <w:r w:rsidRPr="004118D2">
        <w:rPr>
          <w:iCs/>
          <w:szCs w:val="24"/>
          <w:lang w:val="en-GB"/>
        </w:rPr>
        <w:t>μg</w:t>
      </w:r>
      <w:proofErr w:type="spellEnd"/>
      <w:r w:rsidRPr="004118D2">
        <w:rPr>
          <w:iCs/>
          <w:szCs w:val="24"/>
          <w:lang w:val="en-GB"/>
        </w:rPr>
        <w:t xml:space="preserve">) were desalted on a </w:t>
      </w:r>
      <w:proofErr w:type="spellStart"/>
      <w:r w:rsidRPr="004118D2">
        <w:rPr>
          <w:iCs/>
          <w:szCs w:val="24"/>
          <w:lang w:val="en-GB"/>
        </w:rPr>
        <w:t>MassPREP</w:t>
      </w:r>
      <w:proofErr w:type="spellEnd"/>
      <w:r w:rsidRPr="004118D2">
        <w:rPr>
          <w:iCs/>
          <w:szCs w:val="24"/>
          <w:lang w:val="en-GB"/>
        </w:rPr>
        <w:t xml:space="preserve"> desalting cartridge (2.1 x 10 mm, Waters) heated at 80 °C using 0.1</w:t>
      </w:r>
      <w:proofErr w:type="gramStart"/>
      <w:r w:rsidRPr="004118D2">
        <w:rPr>
          <w:iCs/>
          <w:szCs w:val="24"/>
          <w:lang w:val="en-GB"/>
        </w:rPr>
        <w:t>%  formic</w:t>
      </w:r>
      <w:proofErr w:type="gramEnd"/>
      <w:r w:rsidRPr="004118D2">
        <w:rPr>
          <w:iCs/>
          <w:szCs w:val="24"/>
          <w:lang w:val="en-GB"/>
        </w:rPr>
        <w:t xml:space="preserve"> acid as solvent A and 0.1% formic acid in acetonitrile as solvent B at 500 </w:t>
      </w:r>
      <w:proofErr w:type="spellStart"/>
      <w:r w:rsidRPr="004118D2">
        <w:rPr>
          <w:iCs/>
          <w:szCs w:val="24"/>
          <w:lang w:val="en-GB"/>
        </w:rPr>
        <w:t>μL</w:t>
      </w:r>
      <w:proofErr w:type="spellEnd"/>
      <w:r w:rsidRPr="004118D2">
        <w:rPr>
          <w:iCs/>
          <w:szCs w:val="24"/>
          <w:lang w:val="en-GB"/>
        </w:rPr>
        <w:t xml:space="preserve">/min. After 1 min, a linear gradient from 5 to 90% B in 1.5 min was applied; the first 1.5 min were diverted to waste. MS data were acquired in positive mode with ESI source over the m/z range from 900 up to 5000 at 1 Hz. Data were </w:t>
      </w:r>
      <w:r w:rsidRPr="004118D2">
        <w:rPr>
          <w:iCs/>
          <w:szCs w:val="24"/>
          <w:lang w:val="en-GB"/>
        </w:rPr>
        <w:lastRenderedPageBreak/>
        <w:t xml:space="preserve">processed using </w:t>
      </w:r>
      <w:proofErr w:type="spellStart"/>
      <w:r w:rsidRPr="004118D2">
        <w:rPr>
          <w:iCs/>
          <w:szCs w:val="24"/>
          <w:lang w:val="en-GB"/>
        </w:rPr>
        <w:t>DataAnalysis</w:t>
      </w:r>
      <w:proofErr w:type="spellEnd"/>
      <w:r w:rsidRPr="004118D2">
        <w:rPr>
          <w:iCs/>
          <w:szCs w:val="24"/>
          <w:lang w:val="en-GB"/>
        </w:rPr>
        <w:t xml:space="preserve"> 4.4 software (Bruker) and </w:t>
      </w:r>
      <w:proofErr w:type="spellStart"/>
      <w:r w:rsidRPr="004118D2">
        <w:rPr>
          <w:iCs/>
          <w:szCs w:val="24"/>
          <w:lang w:val="en-GB"/>
        </w:rPr>
        <w:t>MaxEnt</w:t>
      </w:r>
      <w:proofErr w:type="spellEnd"/>
      <w:r w:rsidRPr="004118D2">
        <w:rPr>
          <w:iCs/>
          <w:szCs w:val="24"/>
          <w:lang w:val="en-GB"/>
        </w:rPr>
        <w:t xml:space="preserve"> algorithm for spectral deconvolution. Deconvolution was carried out in the range 20-180 </w:t>
      </w:r>
      <w:proofErr w:type="spellStart"/>
      <w:r w:rsidRPr="004118D2">
        <w:rPr>
          <w:iCs/>
          <w:szCs w:val="24"/>
          <w:lang w:val="en-GB"/>
        </w:rPr>
        <w:t>kDa</w:t>
      </w:r>
      <w:proofErr w:type="spellEnd"/>
      <w:r w:rsidRPr="004118D2">
        <w:rPr>
          <w:iCs/>
          <w:szCs w:val="24"/>
          <w:lang w:val="en-GB"/>
        </w:rPr>
        <w:t>, with results recorded for full antibody as well as fragments comprising L, LH, HH, LHH as a result of antibody dissociation within the MS. Not all species were observed for all ADCs. DAR was approximated for each species as an average of the percentage abundance of each DAR species present, with the quantities calculated by peak integration of the first glycosylation peak, following the formula:</w:t>
      </w:r>
    </w:p>
    <w:p w:rsidR="00D10141" w:rsidRDefault="00D10141" w:rsidP="00D10141">
      <w:pPr>
        <w:spacing w:line="360" w:lineRule="auto"/>
        <w:jc w:val="both"/>
        <w:rPr>
          <w:iCs/>
          <w:szCs w:val="24"/>
          <w:lang w:val="en-GB"/>
        </w:rPr>
      </w:pPr>
    </w:p>
    <w:p w:rsidR="00D10141" w:rsidRPr="007F2F54" w:rsidRDefault="00D10141" w:rsidP="00D10141">
      <w:pPr>
        <w:pStyle w:val="P1"/>
        <w:spacing w:line="360" w:lineRule="auto"/>
        <w:ind w:left="142" w:firstLine="567"/>
        <w:rPr>
          <w:rFonts w:ascii="Times New Roman" w:hAnsi="Times New Roman"/>
          <w:sz w:val="22"/>
          <w:szCs w:val="22"/>
          <w:lang w:val="en-GB"/>
        </w:rPr>
      </w:pPr>
      <m:oMathPara>
        <m:oMathParaPr>
          <m:jc m:val="center"/>
        </m:oMathParaPr>
        <m:oMath>
          <m:sSub>
            <m:sSubPr>
              <m:ctrlPr>
                <w:rPr>
                  <w:rFonts w:ascii="Cambria Math" w:hAnsi="Cambria Math"/>
                  <w:sz w:val="22"/>
                  <w:szCs w:val="22"/>
                </w:rPr>
              </m:ctrlPr>
            </m:sSubPr>
            <m:e>
              <m:r>
                <w:rPr>
                  <w:rFonts w:ascii="Cambria Math" w:hAnsi="Cambria Math"/>
                  <w:sz w:val="22"/>
                  <w:szCs w:val="22"/>
                </w:rPr>
                <m:t>DAR</m:t>
              </m:r>
            </m:e>
            <m:sub>
              <m:r>
                <w:rPr>
                  <w:rFonts w:ascii="Cambria Math" w:hAnsi="Cambria Math"/>
                  <w:sz w:val="22"/>
                  <w:szCs w:val="22"/>
                </w:rPr>
                <m:t>average</m:t>
              </m:r>
            </m:sub>
          </m:sSub>
          <m:r>
            <w:rPr>
              <w:rFonts w:ascii="Cambria Math" w:hAnsi="Cambria Math"/>
              <w:sz w:val="22"/>
              <w:szCs w:val="22"/>
            </w:rPr>
            <m:t xml:space="preserve">= </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DAR</m:t>
                  </m:r>
                </m:e>
                <m:sub>
                  <m:r>
                    <w:rPr>
                      <w:rFonts w:ascii="Cambria Math" w:hAnsi="Cambria Math"/>
                      <w:sz w:val="22"/>
                      <w:szCs w:val="22"/>
                    </w:rPr>
                    <m:t>LHHL</m:t>
                  </m:r>
                </m:sub>
              </m:sSub>
              <m:r>
                <w:rPr>
                  <w:rFonts w:ascii="Cambria Math" w:hAnsi="Cambria Math"/>
                  <w:sz w:val="22"/>
                  <w:szCs w:val="22"/>
                </w:rPr>
                <m:t>+</m:t>
              </m:r>
              <m:d>
                <m:dPr>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DAR</m:t>
                      </m:r>
                    </m:e>
                    <m:sub>
                      <m:r>
                        <w:rPr>
                          <w:rFonts w:ascii="Cambria Math" w:hAnsi="Cambria Math"/>
                          <w:sz w:val="22"/>
                          <w:szCs w:val="22"/>
                        </w:rPr>
                        <m:t>LHH</m:t>
                      </m:r>
                    </m:sub>
                  </m:sSub>
                  <m:r>
                    <w:rPr>
                      <w:rFonts w:ascii="Cambria Math" w:hAnsi="Cambria Math"/>
                      <w:sz w:val="22"/>
                      <w:szCs w:val="22"/>
                    </w:rPr>
                    <m:t xml:space="preserve">+ </m:t>
                  </m:r>
                  <m:sSub>
                    <m:sSubPr>
                      <m:ctrlPr>
                        <w:rPr>
                          <w:rFonts w:ascii="Cambria Math" w:hAnsi="Cambria Math"/>
                          <w:sz w:val="22"/>
                          <w:szCs w:val="22"/>
                        </w:rPr>
                      </m:ctrlPr>
                    </m:sSubPr>
                    <m:e>
                      <m:r>
                        <w:rPr>
                          <w:rFonts w:ascii="Cambria Math" w:hAnsi="Cambria Math"/>
                          <w:sz w:val="22"/>
                          <w:szCs w:val="22"/>
                        </w:rPr>
                        <m:t>DAR</m:t>
                      </m:r>
                    </m:e>
                    <m:sub>
                      <m:r>
                        <w:rPr>
                          <w:rFonts w:ascii="Cambria Math" w:hAnsi="Cambria Math"/>
                          <w:sz w:val="22"/>
                          <w:szCs w:val="22"/>
                        </w:rPr>
                        <m:t>L</m:t>
                      </m:r>
                    </m:sub>
                  </m:sSub>
                </m:e>
              </m:d>
              <m:r>
                <w:rPr>
                  <w:rFonts w:ascii="Cambria Math" w:hAnsi="Cambria Math"/>
                  <w:sz w:val="22"/>
                  <w:szCs w:val="22"/>
                </w:rPr>
                <m:t>+2*</m:t>
              </m:r>
              <m:sSub>
                <m:sSubPr>
                  <m:ctrlPr>
                    <w:rPr>
                      <w:rFonts w:ascii="Cambria Math" w:hAnsi="Cambria Math"/>
                      <w:sz w:val="22"/>
                      <w:szCs w:val="22"/>
                    </w:rPr>
                  </m:ctrlPr>
                </m:sSubPr>
                <m:e>
                  <m:r>
                    <w:rPr>
                      <w:rFonts w:ascii="Cambria Math" w:hAnsi="Cambria Math"/>
                      <w:sz w:val="22"/>
                      <w:szCs w:val="22"/>
                    </w:rPr>
                    <m:t>DAR</m:t>
                  </m:r>
                </m:e>
                <m:sub>
                  <m:r>
                    <w:rPr>
                      <w:rFonts w:ascii="Cambria Math" w:hAnsi="Cambria Math"/>
                      <w:sz w:val="22"/>
                      <w:szCs w:val="22"/>
                    </w:rPr>
                    <m:t>LH</m:t>
                  </m:r>
                </m:sub>
              </m:sSub>
            </m:num>
            <m:den>
              <m:r>
                <w:rPr>
                  <w:rFonts w:ascii="Cambria Math" w:hAnsi="Cambria Math"/>
                  <w:sz w:val="22"/>
                  <w:szCs w:val="22"/>
                </w:rPr>
                <m:t>3</m:t>
              </m:r>
            </m:den>
          </m:f>
        </m:oMath>
      </m:oMathPara>
    </w:p>
    <w:p w:rsidR="00D10141" w:rsidRDefault="00D10141" w:rsidP="00D10141">
      <w:pPr>
        <w:spacing w:line="360" w:lineRule="auto"/>
        <w:jc w:val="center"/>
        <w:rPr>
          <w:b/>
          <w:iCs/>
          <w:szCs w:val="24"/>
          <w:lang w:val="en-GB"/>
        </w:rPr>
      </w:pPr>
    </w:p>
    <w:p w:rsidR="00D10141" w:rsidRDefault="00D10141" w:rsidP="00D10141">
      <w:pPr>
        <w:spacing w:line="360" w:lineRule="auto"/>
        <w:jc w:val="center"/>
        <w:rPr>
          <w:b/>
          <w:iCs/>
          <w:szCs w:val="24"/>
          <w:lang w:val="en-GB"/>
        </w:rPr>
      </w:pPr>
    </w:p>
    <w:p w:rsidR="00D10141" w:rsidRPr="00AD0727" w:rsidRDefault="00D10141" w:rsidP="00D10141">
      <w:pPr>
        <w:widowControl w:val="0"/>
        <w:autoSpaceDE w:val="0"/>
        <w:autoSpaceDN w:val="0"/>
        <w:adjustRightInd w:val="0"/>
        <w:spacing w:line="360" w:lineRule="auto"/>
        <w:ind w:left="640" w:hanging="640"/>
        <w:jc w:val="both"/>
        <w:rPr>
          <w:noProof/>
          <w:sz w:val="22"/>
          <w:szCs w:val="24"/>
        </w:rPr>
      </w:pPr>
      <w:r w:rsidRPr="00AD0727">
        <w:rPr>
          <w:noProof/>
          <w:sz w:val="22"/>
          <w:szCs w:val="24"/>
        </w:rPr>
        <w:t>[1]</w:t>
      </w:r>
      <w:r w:rsidRPr="00AD0727">
        <w:rPr>
          <w:noProof/>
          <w:sz w:val="22"/>
          <w:szCs w:val="24"/>
        </w:rPr>
        <w:tab/>
        <w:t>F. Bryden, C. Martin, S. Letast, E. Lles, I. Viéitez-Villemin, A. Rousseau, C. Colas, M. Brachet-Botineau, E. Allard-Vannier, C. Larbouret, M.C. Viaud-Massuard, N. Joubert, Impact of cathepsin B-sensitive triggers and hydrophilic linkers on in vitro efficacy of novel site-specific antibody-drug conjugates, Org. Biomol. Chem. 16 (2018) 1882–1889. doi:10.1039/c7ob02780j.</w:t>
      </w:r>
    </w:p>
    <w:p w:rsidR="00D10141" w:rsidRDefault="00D10141" w:rsidP="00D10141">
      <w:pPr>
        <w:spacing w:after="200" w:line="276" w:lineRule="auto"/>
        <w:rPr>
          <w:iCs/>
          <w:szCs w:val="24"/>
          <w:lang w:val="en-GB"/>
        </w:rPr>
      </w:pPr>
      <w:r>
        <w:rPr>
          <w:iCs/>
          <w:szCs w:val="24"/>
          <w:lang w:val="en-GB"/>
        </w:rPr>
        <w:br w:type="page"/>
      </w:r>
    </w:p>
    <w:p w:rsidR="00D10141" w:rsidRPr="004118D2" w:rsidRDefault="00D10141" w:rsidP="00D10141">
      <w:pPr>
        <w:spacing w:line="360" w:lineRule="auto"/>
        <w:jc w:val="both"/>
        <w:rPr>
          <w:iCs/>
          <w:szCs w:val="24"/>
          <w:lang w:val="en-GB"/>
        </w:rPr>
      </w:pPr>
      <w:r w:rsidRPr="007F2F54">
        <w:rPr>
          <w:b/>
          <w:iCs/>
          <w:szCs w:val="24"/>
          <w:lang w:val="en-GB"/>
        </w:rPr>
        <w:lastRenderedPageBreak/>
        <w:t>ADC 6F6 PEG</w:t>
      </w:r>
      <w:r w:rsidRPr="007F2F54">
        <w:rPr>
          <w:b/>
          <w:iCs/>
          <w:szCs w:val="24"/>
          <w:vertAlign w:val="subscript"/>
          <w:lang w:val="en-GB"/>
        </w:rPr>
        <w:t>12</w:t>
      </w:r>
      <w:r w:rsidRPr="007F2F54">
        <w:rPr>
          <w:b/>
          <w:iCs/>
          <w:szCs w:val="24"/>
          <w:lang w:val="en-GB"/>
        </w:rPr>
        <w:t xml:space="preserve"> VC MMAE</w:t>
      </w:r>
      <w:r w:rsidRPr="009529FA">
        <w:rPr>
          <w:b/>
          <w:iCs/>
          <w:szCs w:val="24"/>
          <w:lang w:val="en-GB"/>
        </w:rPr>
        <w:t xml:space="preserve"> </w:t>
      </w:r>
      <w:r w:rsidRPr="007F2F54">
        <w:rPr>
          <w:iCs/>
          <w:szCs w:val="24"/>
          <w:lang w:val="en-GB"/>
        </w:rPr>
        <w:t xml:space="preserve">with </w:t>
      </w:r>
      <w:proofErr w:type="spellStart"/>
      <w:r w:rsidRPr="007F2F54">
        <w:rPr>
          <w:iCs/>
          <w:szCs w:val="24"/>
          <w:lang w:val="en-GB"/>
        </w:rPr>
        <w:t>DAR</w:t>
      </w:r>
      <w:r w:rsidRPr="007F2F54">
        <w:rPr>
          <w:iCs/>
          <w:szCs w:val="24"/>
          <w:vertAlign w:val="subscript"/>
          <w:lang w:val="en-GB"/>
        </w:rPr>
        <w:t>average</w:t>
      </w:r>
      <w:proofErr w:type="spellEnd"/>
      <w:r w:rsidRPr="007F2F54">
        <w:rPr>
          <w:iCs/>
          <w:szCs w:val="24"/>
          <w:lang w:val="en-GB"/>
        </w:rPr>
        <w:t>= 3.49</w:t>
      </w:r>
    </w:p>
    <w:p w:rsidR="00D10141" w:rsidRDefault="00D10141" w:rsidP="00D10141">
      <w:pPr>
        <w:spacing w:line="360" w:lineRule="auto"/>
        <w:jc w:val="center"/>
        <w:rPr>
          <w:iCs/>
          <w:szCs w:val="24"/>
          <w:lang w:val="en-GB"/>
        </w:rPr>
      </w:pPr>
      <w:r>
        <w:rPr>
          <w:noProof/>
          <w:lang w:val="fr-FR" w:eastAsia="fr-FR"/>
        </w:rPr>
        <mc:AlternateContent>
          <mc:Choice Requires="wps">
            <w:drawing>
              <wp:anchor distT="0" distB="0" distL="114300" distR="114300" simplePos="0" relativeHeight="251666432" behindDoc="0" locked="0" layoutInCell="1" allowOverlap="1" wp14:anchorId="788B00B8" wp14:editId="07A78BDB">
                <wp:simplePos x="0" y="0"/>
                <wp:positionH relativeFrom="column">
                  <wp:posOffset>1612127</wp:posOffset>
                </wp:positionH>
                <wp:positionV relativeFrom="paragraph">
                  <wp:posOffset>57150</wp:posOffset>
                </wp:positionV>
                <wp:extent cx="3252083" cy="79513"/>
                <wp:effectExtent l="0" t="0" r="5715" b="0"/>
                <wp:wrapNone/>
                <wp:docPr id="39" name="Rectangle 39"/>
                <wp:cNvGraphicFramePr/>
                <a:graphic xmlns:a="http://schemas.openxmlformats.org/drawingml/2006/main">
                  <a:graphicData uri="http://schemas.microsoft.com/office/word/2010/wordprocessingShape">
                    <wps:wsp>
                      <wps:cNvSpPr/>
                      <wps:spPr>
                        <a:xfrm>
                          <a:off x="0" y="0"/>
                          <a:ext cx="3252083" cy="795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FD06B" id="Rectangle 39" o:spid="_x0000_s1026" style="position:absolute;margin-left:126.95pt;margin-top:4.5pt;width:256.05pt;height: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" fillcolor="white [3212]" stroked="f" strokeweight="1pt"/>
            </w:pict>
          </mc:Fallback>
        </mc:AlternateContent>
      </w:r>
      <w:r>
        <w:rPr>
          <w:noProof/>
          <w:lang w:val="fr-FR" w:eastAsia="fr-FR"/>
        </w:rPr>
        <mc:AlternateContent>
          <mc:Choice Requires="wps">
            <w:drawing>
              <wp:anchor distT="0" distB="0" distL="114300" distR="114300" simplePos="0" relativeHeight="251665408" behindDoc="0" locked="0" layoutInCell="1" allowOverlap="1" wp14:anchorId="41AD1186" wp14:editId="278607AA">
                <wp:simplePos x="0" y="0"/>
                <wp:positionH relativeFrom="column">
                  <wp:posOffset>1600670</wp:posOffset>
                </wp:positionH>
                <wp:positionV relativeFrom="paragraph">
                  <wp:posOffset>1798540</wp:posOffset>
                </wp:positionV>
                <wp:extent cx="3252083" cy="79513"/>
                <wp:effectExtent l="0" t="0" r="5715" b="0"/>
                <wp:wrapNone/>
                <wp:docPr id="38" name="Rectangle 38"/>
                <wp:cNvGraphicFramePr/>
                <a:graphic xmlns:a="http://schemas.openxmlformats.org/drawingml/2006/main">
                  <a:graphicData uri="http://schemas.microsoft.com/office/word/2010/wordprocessingShape">
                    <wps:wsp>
                      <wps:cNvSpPr/>
                      <wps:spPr>
                        <a:xfrm>
                          <a:off x="0" y="0"/>
                          <a:ext cx="3252083" cy="795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6068E" id="Rectangle 38" o:spid="_x0000_s1026" style="position:absolute;margin-left:126.05pt;margin-top:141.6pt;width:256.05pt;height: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" fillcolor="white [3212]" stroked="f" strokeweight="1pt"/>
            </w:pict>
          </mc:Fallback>
        </mc:AlternateContent>
      </w:r>
      <w:r>
        <w:rPr>
          <w:noProof/>
          <w:lang w:val="fr-FR" w:eastAsia="fr-FR"/>
        </w:rPr>
        <w:drawing>
          <wp:inline distT="0" distB="0" distL="0" distR="0" wp14:anchorId="5BE0D142" wp14:editId="5AC8BC46">
            <wp:extent cx="4417620" cy="3464382"/>
            <wp:effectExtent l="0" t="0" r="2540" b="317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49549" cy="3489421"/>
                    </a:xfrm>
                    <a:prstGeom prst="rect">
                      <a:avLst/>
                    </a:prstGeom>
                  </pic:spPr>
                </pic:pic>
              </a:graphicData>
            </a:graphic>
          </wp:inline>
        </w:drawing>
      </w:r>
    </w:p>
    <w:p w:rsidR="00D10141" w:rsidRDefault="00D10141" w:rsidP="00D10141">
      <w:pPr>
        <w:spacing w:line="360" w:lineRule="auto"/>
        <w:jc w:val="center"/>
        <w:rPr>
          <w:iCs/>
          <w:szCs w:val="24"/>
          <w:lang w:val="en-GB"/>
        </w:rPr>
      </w:pPr>
      <w:r>
        <w:rPr>
          <w:noProof/>
          <w:lang w:val="fr-FR" w:eastAsia="fr-FR"/>
        </w:rPr>
        <mc:AlternateContent>
          <mc:Choice Requires="wps">
            <w:drawing>
              <wp:anchor distT="0" distB="0" distL="114300" distR="114300" simplePos="0" relativeHeight="251663360" behindDoc="0" locked="0" layoutInCell="1" allowOverlap="1" wp14:anchorId="61EBA777" wp14:editId="2884587F">
                <wp:simplePos x="0" y="0"/>
                <wp:positionH relativeFrom="column">
                  <wp:posOffset>1634490</wp:posOffset>
                </wp:positionH>
                <wp:positionV relativeFrom="paragraph">
                  <wp:posOffset>67310</wp:posOffset>
                </wp:positionV>
                <wp:extent cx="3251835" cy="79375"/>
                <wp:effectExtent l="0" t="0" r="5715" b="0"/>
                <wp:wrapNone/>
                <wp:docPr id="36" name="Rectangle 36"/>
                <wp:cNvGraphicFramePr/>
                <a:graphic xmlns:a="http://schemas.openxmlformats.org/drawingml/2006/main">
                  <a:graphicData uri="http://schemas.microsoft.com/office/word/2010/wordprocessingShape">
                    <wps:wsp>
                      <wps:cNvSpPr/>
                      <wps:spPr>
                        <a:xfrm>
                          <a:off x="0" y="0"/>
                          <a:ext cx="3251835" cy="79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77AD1" id="Rectangle 36" o:spid="_x0000_s1026" style="position:absolute;margin-left:128.7pt;margin-top:5.3pt;width:256.05pt;height: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" fillcolor="white [3212]" stroked="f" strokeweight="1pt"/>
            </w:pict>
          </mc:Fallback>
        </mc:AlternateContent>
      </w:r>
      <w:r>
        <w:rPr>
          <w:noProof/>
          <w:lang w:val="fr-FR" w:eastAsia="fr-FR"/>
        </w:rPr>
        <mc:AlternateContent>
          <mc:Choice Requires="wps">
            <w:drawing>
              <wp:anchor distT="0" distB="0" distL="114300" distR="114300" simplePos="0" relativeHeight="251664384" behindDoc="0" locked="0" layoutInCell="1" allowOverlap="1" wp14:anchorId="7843D8EC" wp14:editId="5DE5DF4D">
                <wp:simplePos x="0" y="0"/>
                <wp:positionH relativeFrom="column">
                  <wp:posOffset>1631122</wp:posOffset>
                </wp:positionH>
                <wp:positionV relativeFrom="paragraph">
                  <wp:posOffset>1832775</wp:posOffset>
                </wp:positionV>
                <wp:extent cx="3252083" cy="79513"/>
                <wp:effectExtent l="0" t="0" r="5715" b="0"/>
                <wp:wrapNone/>
                <wp:docPr id="37" name="Rectangle 37"/>
                <wp:cNvGraphicFramePr/>
                <a:graphic xmlns:a="http://schemas.openxmlformats.org/drawingml/2006/main">
                  <a:graphicData uri="http://schemas.microsoft.com/office/word/2010/wordprocessingShape">
                    <wps:wsp>
                      <wps:cNvSpPr/>
                      <wps:spPr>
                        <a:xfrm>
                          <a:off x="0" y="0"/>
                          <a:ext cx="3252083" cy="795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DCC18" id="Rectangle 37" o:spid="_x0000_s1026" style="position:absolute;margin-left:128.45pt;margin-top:144.3pt;width:256.05pt;height: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" fillcolor="white [3212]" stroked="f" strokeweight="1pt"/>
            </w:pict>
          </mc:Fallback>
        </mc:AlternateContent>
      </w:r>
      <w:r>
        <w:rPr>
          <w:noProof/>
          <w:lang w:val="fr-FR" w:eastAsia="fr-FR"/>
        </w:rPr>
        <w:drawing>
          <wp:inline distT="0" distB="0" distL="0" distR="0" wp14:anchorId="56B479B1" wp14:editId="64AD6AA4">
            <wp:extent cx="4473223" cy="3517455"/>
            <wp:effectExtent l="0" t="0" r="3810" b="698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24501" cy="3557777"/>
                    </a:xfrm>
                    <a:prstGeom prst="rect">
                      <a:avLst/>
                    </a:prstGeom>
                  </pic:spPr>
                </pic:pic>
              </a:graphicData>
            </a:graphic>
          </wp:inline>
        </w:drawing>
      </w:r>
    </w:p>
    <w:p w:rsidR="00D10141" w:rsidRPr="004118D2" w:rsidRDefault="00D10141" w:rsidP="00D10141">
      <w:pPr>
        <w:spacing w:line="360" w:lineRule="auto"/>
        <w:jc w:val="both"/>
        <w:rPr>
          <w:iCs/>
          <w:szCs w:val="24"/>
          <w:lang w:val="en-GB"/>
        </w:rPr>
      </w:pPr>
      <w:r w:rsidRPr="009529FA">
        <w:rPr>
          <w:noProof/>
          <w:lang w:val="fr-FR" w:eastAsia="fr-FR"/>
        </w:rPr>
        <w:drawing>
          <wp:inline distT="0" distB="0" distL="0" distR="0" wp14:anchorId="6BE112A2" wp14:editId="3494B0C3">
            <wp:extent cx="5400040" cy="692166"/>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692166"/>
                    </a:xfrm>
                    <a:prstGeom prst="rect">
                      <a:avLst/>
                    </a:prstGeom>
                    <a:noFill/>
                    <a:ln>
                      <a:noFill/>
                    </a:ln>
                  </pic:spPr>
                </pic:pic>
              </a:graphicData>
            </a:graphic>
          </wp:inline>
        </w:drawing>
      </w:r>
    </w:p>
    <w:p w:rsidR="00D10141" w:rsidRDefault="00D10141" w:rsidP="00D10141">
      <w:pPr>
        <w:spacing w:after="200" w:line="276" w:lineRule="auto"/>
        <w:rPr>
          <w:iCs/>
          <w:szCs w:val="24"/>
          <w:lang w:val="en-GB"/>
        </w:rPr>
      </w:pPr>
      <w:r>
        <w:rPr>
          <w:iCs/>
          <w:szCs w:val="24"/>
          <w:lang w:val="en-GB"/>
        </w:rPr>
        <w:br w:type="page"/>
      </w:r>
    </w:p>
    <w:p w:rsidR="00D10141" w:rsidRPr="009529FA" w:rsidRDefault="00D10141" w:rsidP="00D10141">
      <w:pPr>
        <w:spacing w:line="360" w:lineRule="auto"/>
        <w:jc w:val="both"/>
        <w:rPr>
          <w:b/>
          <w:iCs/>
          <w:szCs w:val="24"/>
          <w:lang w:val="en-GB"/>
        </w:rPr>
      </w:pPr>
      <w:r w:rsidRPr="007F2F54">
        <w:rPr>
          <w:b/>
          <w:iCs/>
          <w:szCs w:val="24"/>
          <w:lang w:val="en-GB"/>
        </w:rPr>
        <w:lastRenderedPageBreak/>
        <w:t xml:space="preserve">ADC </w:t>
      </w:r>
      <w:r>
        <w:rPr>
          <w:b/>
          <w:iCs/>
          <w:szCs w:val="24"/>
          <w:lang w:val="en-GB"/>
        </w:rPr>
        <w:t>CTRL</w:t>
      </w:r>
      <w:r w:rsidRPr="007F2F54">
        <w:rPr>
          <w:b/>
          <w:iCs/>
          <w:szCs w:val="24"/>
          <w:lang w:val="en-GB"/>
        </w:rPr>
        <w:t xml:space="preserve"> PEG</w:t>
      </w:r>
      <w:r w:rsidRPr="007F2F54">
        <w:rPr>
          <w:b/>
          <w:iCs/>
          <w:szCs w:val="24"/>
          <w:vertAlign w:val="subscript"/>
          <w:lang w:val="en-GB"/>
        </w:rPr>
        <w:t>12</w:t>
      </w:r>
      <w:r w:rsidRPr="007F2F54">
        <w:rPr>
          <w:b/>
          <w:iCs/>
          <w:szCs w:val="24"/>
          <w:lang w:val="en-GB"/>
        </w:rPr>
        <w:t xml:space="preserve"> VC MMAE</w:t>
      </w:r>
      <w:r w:rsidRPr="009529FA">
        <w:rPr>
          <w:b/>
          <w:iCs/>
          <w:szCs w:val="24"/>
          <w:lang w:val="en-GB"/>
        </w:rPr>
        <w:t xml:space="preserve"> </w:t>
      </w:r>
      <w:r w:rsidRPr="007F2F54">
        <w:rPr>
          <w:iCs/>
          <w:szCs w:val="24"/>
          <w:lang w:val="en-GB"/>
        </w:rPr>
        <w:t xml:space="preserve">with </w:t>
      </w:r>
      <w:proofErr w:type="spellStart"/>
      <w:r w:rsidRPr="007F2F54">
        <w:rPr>
          <w:iCs/>
          <w:szCs w:val="24"/>
          <w:lang w:val="en-GB"/>
        </w:rPr>
        <w:t>DAR</w:t>
      </w:r>
      <w:r w:rsidRPr="007F2F54">
        <w:rPr>
          <w:iCs/>
          <w:szCs w:val="24"/>
          <w:vertAlign w:val="subscript"/>
          <w:lang w:val="en-GB"/>
        </w:rPr>
        <w:t>average</w:t>
      </w:r>
      <w:proofErr w:type="spellEnd"/>
      <w:r w:rsidRPr="007F2F54">
        <w:rPr>
          <w:iCs/>
          <w:szCs w:val="24"/>
          <w:lang w:val="en-GB"/>
        </w:rPr>
        <w:t>= 3.70</w:t>
      </w:r>
    </w:p>
    <w:p w:rsidR="00D10141" w:rsidRDefault="00D10141" w:rsidP="00D10141">
      <w:pPr>
        <w:spacing w:line="360" w:lineRule="auto"/>
        <w:jc w:val="center"/>
        <w:rPr>
          <w:iCs/>
          <w:szCs w:val="24"/>
          <w:lang w:val="en-GB"/>
        </w:rPr>
      </w:pPr>
      <w:r>
        <w:rPr>
          <w:noProof/>
          <w:lang w:val="fr-FR" w:eastAsia="fr-FR"/>
        </w:rPr>
        <mc:AlternateContent>
          <mc:Choice Requires="wps">
            <w:drawing>
              <wp:anchor distT="0" distB="0" distL="114300" distR="114300" simplePos="0" relativeHeight="251660288" behindDoc="0" locked="0" layoutInCell="1" allowOverlap="1" wp14:anchorId="474DEF7F" wp14:editId="13E9BFFE">
                <wp:simplePos x="0" y="0"/>
                <wp:positionH relativeFrom="column">
                  <wp:posOffset>1728359</wp:posOffset>
                </wp:positionH>
                <wp:positionV relativeFrom="paragraph">
                  <wp:posOffset>1829435</wp:posOffset>
                </wp:positionV>
                <wp:extent cx="3098559" cy="78006"/>
                <wp:effectExtent l="0" t="0" r="6985" b="0"/>
                <wp:wrapNone/>
                <wp:docPr id="32" name="Rectangle 32"/>
                <wp:cNvGraphicFramePr/>
                <a:graphic xmlns:a="http://schemas.openxmlformats.org/drawingml/2006/main">
                  <a:graphicData uri="http://schemas.microsoft.com/office/word/2010/wordprocessingShape">
                    <wps:wsp>
                      <wps:cNvSpPr/>
                      <wps:spPr>
                        <a:xfrm>
                          <a:off x="0" y="0"/>
                          <a:ext cx="3098559" cy="780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B9E8D3" id="Rectangle 32" o:spid="_x0000_s1026" style="position:absolute;margin-left:136.1pt;margin-top:144.05pt;width:244pt;height: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" fillcolor="white [3212]" stroked="f" strokeweight="1pt"/>
            </w:pict>
          </mc:Fallback>
        </mc:AlternateContent>
      </w:r>
      <w:r>
        <w:rPr>
          <w:noProof/>
          <w:lang w:val="fr-FR" w:eastAsia="fr-FR"/>
        </w:rPr>
        <mc:AlternateContent>
          <mc:Choice Requires="wps">
            <w:drawing>
              <wp:anchor distT="0" distB="0" distL="114300" distR="114300" simplePos="0" relativeHeight="251659264" behindDoc="0" locked="0" layoutInCell="1" allowOverlap="1" wp14:anchorId="0977397C" wp14:editId="3DE50517">
                <wp:simplePos x="0" y="0"/>
                <wp:positionH relativeFrom="column">
                  <wp:posOffset>1728070</wp:posOffset>
                </wp:positionH>
                <wp:positionV relativeFrom="paragraph">
                  <wp:posOffset>61077</wp:posOffset>
                </wp:positionV>
                <wp:extent cx="3098559" cy="78006"/>
                <wp:effectExtent l="0" t="0" r="6985" b="0"/>
                <wp:wrapNone/>
                <wp:docPr id="31" name="Rectangle 31"/>
                <wp:cNvGraphicFramePr/>
                <a:graphic xmlns:a="http://schemas.openxmlformats.org/drawingml/2006/main">
                  <a:graphicData uri="http://schemas.microsoft.com/office/word/2010/wordprocessingShape">
                    <wps:wsp>
                      <wps:cNvSpPr/>
                      <wps:spPr>
                        <a:xfrm>
                          <a:off x="0" y="0"/>
                          <a:ext cx="3098559" cy="780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01E98F" id="Rectangle 31" o:spid="_x0000_s1026" style="position:absolute;margin-left:136.05pt;margin-top:4.8pt;width:244pt;height:6.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" fillcolor="white [3212]" stroked="f" strokeweight="1pt"/>
            </w:pict>
          </mc:Fallback>
        </mc:AlternateContent>
      </w:r>
      <w:r>
        <w:rPr>
          <w:noProof/>
          <w:lang w:val="fr-FR" w:eastAsia="fr-FR"/>
        </w:rPr>
        <w:drawing>
          <wp:inline distT="0" distB="0" distL="0" distR="0" wp14:anchorId="1601224B" wp14:editId="448D500B">
            <wp:extent cx="4405745" cy="3481491"/>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6746" cy="3498086"/>
                    </a:xfrm>
                    <a:prstGeom prst="rect">
                      <a:avLst/>
                    </a:prstGeom>
                  </pic:spPr>
                </pic:pic>
              </a:graphicData>
            </a:graphic>
          </wp:inline>
        </w:drawing>
      </w:r>
    </w:p>
    <w:p w:rsidR="00D10141" w:rsidRDefault="00D10141" w:rsidP="00D10141">
      <w:pPr>
        <w:spacing w:line="360" w:lineRule="auto"/>
        <w:jc w:val="center"/>
        <w:rPr>
          <w:iCs/>
          <w:szCs w:val="24"/>
          <w:lang w:val="en-GB"/>
        </w:rPr>
      </w:pPr>
      <w:r>
        <w:rPr>
          <w:noProof/>
          <w:lang w:val="fr-FR" w:eastAsia="fr-FR"/>
        </w:rPr>
        <mc:AlternateContent>
          <mc:Choice Requires="wps">
            <w:drawing>
              <wp:anchor distT="0" distB="0" distL="114300" distR="114300" simplePos="0" relativeHeight="251662336" behindDoc="0" locked="0" layoutInCell="1" allowOverlap="1" wp14:anchorId="7C4483B2" wp14:editId="6B7D2B5D">
                <wp:simplePos x="0" y="0"/>
                <wp:positionH relativeFrom="column">
                  <wp:posOffset>1669639</wp:posOffset>
                </wp:positionH>
                <wp:positionV relativeFrom="paragraph">
                  <wp:posOffset>1828800</wp:posOffset>
                </wp:positionV>
                <wp:extent cx="3171837" cy="69338"/>
                <wp:effectExtent l="0" t="0" r="9525" b="6985"/>
                <wp:wrapNone/>
                <wp:docPr id="34" name="Rectangle 34"/>
                <wp:cNvGraphicFramePr/>
                <a:graphic xmlns:a="http://schemas.openxmlformats.org/drawingml/2006/main">
                  <a:graphicData uri="http://schemas.microsoft.com/office/word/2010/wordprocessingShape">
                    <wps:wsp>
                      <wps:cNvSpPr/>
                      <wps:spPr>
                        <a:xfrm>
                          <a:off x="0" y="0"/>
                          <a:ext cx="3171837" cy="693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F297D" id="Rectangle 34" o:spid="_x0000_s1026" style="position:absolute;margin-left:131.45pt;margin-top:2in;width:249.75pt;height: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" fillcolor="white [3212]" stroked="f" strokeweight="1pt"/>
            </w:pict>
          </mc:Fallback>
        </mc:AlternateContent>
      </w:r>
      <w:r>
        <w:rPr>
          <w:noProof/>
          <w:lang w:val="fr-FR" w:eastAsia="fr-FR"/>
        </w:rPr>
        <mc:AlternateContent>
          <mc:Choice Requires="wps">
            <w:drawing>
              <wp:anchor distT="0" distB="0" distL="114300" distR="114300" simplePos="0" relativeHeight="251661312" behindDoc="0" locked="0" layoutInCell="1" allowOverlap="1" wp14:anchorId="3BF5779C" wp14:editId="52FA7A01">
                <wp:simplePos x="0" y="0"/>
                <wp:positionH relativeFrom="column">
                  <wp:posOffset>1667399</wp:posOffset>
                </wp:positionH>
                <wp:positionV relativeFrom="paragraph">
                  <wp:posOffset>49557</wp:posOffset>
                </wp:positionV>
                <wp:extent cx="3171837" cy="69338"/>
                <wp:effectExtent l="0" t="0" r="9525" b="6985"/>
                <wp:wrapNone/>
                <wp:docPr id="33" name="Rectangle 33"/>
                <wp:cNvGraphicFramePr/>
                <a:graphic xmlns:a="http://schemas.openxmlformats.org/drawingml/2006/main">
                  <a:graphicData uri="http://schemas.microsoft.com/office/word/2010/wordprocessingShape">
                    <wps:wsp>
                      <wps:cNvSpPr/>
                      <wps:spPr>
                        <a:xfrm>
                          <a:off x="0" y="0"/>
                          <a:ext cx="3171837" cy="693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81236" id="Rectangle 33" o:spid="_x0000_s1026" style="position:absolute;margin-left:131.3pt;margin-top:3.9pt;width:249.75pt;height: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" fillcolor="white [3212]" stroked="f" strokeweight="1pt"/>
            </w:pict>
          </mc:Fallback>
        </mc:AlternateContent>
      </w:r>
      <w:r>
        <w:rPr>
          <w:noProof/>
          <w:lang w:val="fr-FR" w:eastAsia="fr-FR"/>
        </w:rPr>
        <w:drawing>
          <wp:inline distT="0" distB="0" distL="0" distR="0" wp14:anchorId="6E276C80" wp14:editId="797A592A">
            <wp:extent cx="4373839" cy="3467595"/>
            <wp:effectExtent l="0" t="0" r="825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95946" cy="3485122"/>
                    </a:xfrm>
                    <a:prstGeom prst="rect">
                      <a:avLst/>
                    </a:prstGeom>
                  </pic:spPr>
                </pic:pic>
              </a:graphicData>
            </a:graphic>
          </wp:inline>
        </w:drawing>
      </w:r>
    </w:p>
    <w:p w:rsidR="00D10141" w:rsidRDefault="00D10141" w:rsidP="00D10141">
      <w:pPr>
        <w:spacing w:line="360" w:lineRule="auto"/>
        <w:jc w:val="both"/>
        <w:rPr>
          <w:iCs/>
          <w:szCs w:val="24"/>
          <w:lang w:val="en-GB"/>
        </w:rPr>
      </w:pPr>
      <w:r w:rsidRPr="009529FA">
        <w:rPr>
          <w:noProof/>
          <w:lang w:val="fr-FR" w:eastAsia="fr-FR"/>
        </w:rPr>
        <w:drawing>
          <wp:inline distT="0" distB="0" distL="0" distR="0" wp14:anchorId="65BBAB66" wp14:editId="6BAB4DBB">
            <wp:extent cx="5400040" cy="811683"/>
            <wp:effectExtent l="0" t="0" r="0" b="762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811683"/>
                    </a:xfrm>
                    <a:prstGeom prst="rect">
                      <a:avLst/>
                    </a:prstGeom>
                    <a:noFill/>
                    <a:ln>
                      <a:noFill/>
                    </a:ln>
                  </pic:spPr>
                </pic:pic>
              </a:graphicData>
            </a:graphic>
          </wp:inline>
        </w:drawing>
      </w:r>
    </w:p>
    <w:p w:rsidR="00537755" w:rsidRPr="00D10141" w:rsidRDefault="00D10141" w:rsidP="00D10141">
      <w:pPr>
        <w:spacing w:after="200" w:line="276" w:lineRule="auto"/>
        <w:rPr>
          <w:i/>
          <w:iCs/>
          <w:szCs w:val="24"/>
        </w:rPr>
      </w:pPr>
      <w:bookmarkStart w:id="0" w:name="_GoBack"/>
      <w:bookmarkEnd w:id="0"/>
    </w:p>
    <w:sectPr w:rsidR="00537755" w:rsidRPr="00D101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22F3A"/>
    <w:multiLevelType w:val="hybridMultilevel"/>
    <w:tmpl w:val="0BFAC500"/>
    <w:lvl w:ilvl="0" w:tplc="08090001">
      <w:start w:val="1"/>
      <w:numFmt w:val="bullet"/>
      <w:lvlText w:val=""/>
      <w:lvlJc w:val="left"/>
      <w:pPr>
        <w:ind w:left="888" w:hanging="360"/>
      </w:pPr>
      <w:rPr>
        <w:rFonts w:ascii="Symbol" w:hAnsi="Symbol" w:hint="default"/>
      </w:rPr>
    </w:lvl>
    <w:lvl w:ilvl="1" w:tplc="08090003" w:tentative="1">
      <w:start w:val="1"/>
      <w:numFmt w:val="bullet"/>
      <w:lvlText w:val="o"/>
      <w:lvlJc w:val="left"/>
      <w:pPr>
        <w:ind w:left="1608" w:hanging="360"/>
      </w:pPr>
      <w:rPr>
        <w:rFonts w:ascii="Courier New" w:hAnsi="Courier New" w:cs="Courier New" w:hint="default"/>
      </w:rPr>
    </w:lvl>
    <w:lvl w:ilvl="2" w:tplc="08090005" w:tentative="1">
      <w:start w:val="1"/>
      <w:numFmt w:val="bullet"/>
      <w:lvlText w:val=""/>
      <w:lvlJc w:val="left"/>
      <w:pPr>
        <w:ind w:left="2328" w:hanging="360"/>
      </w:pPr>
      <w:rPr>
        <w:rFonts w:ascii="Wingdings" w:hAnsi="Wingdings" w:hint="default"/>
      </w:rPr>
    </w:lvl>
    <w:lvl w:ilvl="3" w:tplc="08090001" w:tentative="1">
      <w:start w:val="1"/>
      <w:numFmt w:val="bullet"/>
      <w:lvlText w:val=""/>
      <w:lvlJc w:val="left"/>
      <w:pPr>
        <w:ind w:left="3048" w:hanging="360"/>
      </w:pPr>
      <w:rPr>
        <w:rFonts w:ascii="Symbol" w:hAnsi="Symbol" w:hint="default"/>
      </w:rPr>
    </w:lvl>
    <w:lvl w:ilvl="4" w:tplc="08090003" w:tentative="1">
      <w:start w:val="1"/>
      <w:numFmt w:val="bullet"/>
      <w:lvlText w:val="o"/>
      <w:lvlJc w:val="left"/>
      <w:pPr>
        <w:ind w:left="3768" w:hanging="360"/>
      </w:pPr>
      <w:rPr>
        <w:rFonts w:ascii="Courier New" w:hAnsi="Courier New" w:cs="Courier New" w:hint="default"/>
      </w:rPr>
    </w:lvl>
    <w:lvl w:ilvl="5" w:tplc="08090005" w:tentative="1">
      <w:start w:val="1"/>
      <w:numFmt w:val="bullet"/>
      <w:lvlText w:val=""/>
      <w:lvlJc w:val="left"/>
      <w:pPr>
        <w:ind w:left="4488" w:hanging="360"/>
      </w:pPr>
      <w:rPr>
        <w:rFonts w:ascii="Wingdings" w:hAnsi="Wingdings" w:hint="default"/>
      </w:rPr>
    </w:lvl>
    <w:lvl w:ilvl="6" w:tplc="08090001" w:tentative="1">
      <w:start w:val="1"/>
      <w:numFmt w:val="bullet"/>
      <w:lvlText w:val=""/>
      <w:lvlJc w:val="left"/>
      <w:pPr>
        <w:ind w:left="5208" w:hanging="360"/>
      </w:pPr>
      <w:rPr>
        <w:rFonts w:ascii="Symbol" w:hAnsi="Symbol" w:hint="default"/>
      </w:rPr>
    </w:lvl>
    <w:lvl w:ilvl="7" w:tplc="08090003" w:tentative="1">
      <w:start w:val="1"/>
      <w:numFmt w:val="bullet"/>
      <w:lvlText w:val="o"/>
      <w:lvlJc w:val="left"/>
      <w:pPr>
        <w:ind w:left="5928" w:hanging="360"/>
      </w:pPr>
      <w:rPr>
        <w:rFonts w:ascii="Courier New" w:hAnsi="Courier New" w:cs="Courier New" w:hint="default"/>
      </w:rPr>
    </w:lvl>
    <w:lvl w:ilvl="8" w:tplc="08090005" w:tentative="1">
      <w:start w:val="1"/>
      <w:numFmt w:val="bullet"/>
      <w:lvlText w:val=""/>
      <w:lvlJc w:val="left"/>
      <w:pPr>
        <w:ind w:left="664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141"/>
    <w:rsid w:val="006A58D7"/>
    <w:rsid w:val="00BD21A1"/>
    <w:rsid w:val="00D101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9F0A"/>
  <w15:chartTrackingRefBased/>
  <w15:docId w15:val="{72AC9487-3C5B-4EEA-8F41-5FC99CFD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141"/>
    <w:pPr>
      <w:spacing w:after="0" w:line="240" w:lineRule="auto"/>
    </w:pPr>
    <w:rPr>
      <w:rFonts w:ascii="Times New Roman" w:hAnsi="Times New Roman" w:cs="Times New Roman"/>
      <w:sz w:val="24"/>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1">
    <w:name w:val="P1"/>
    <w:basedOn w:val="Normal"/>
    <w:link w:val="P1Char"/>
    <w:qFormat/>
    <w:rsid w:val="00D10141"/>
    <w:pPr>
      <w:spacing w:line="225" w:lineRule="exact"/>
    </w:pPr>
    <w:rPr>
      <w:rFonts w:ascii="Arial" w:eastAsia="MS Mincho" w:hAnsi="Arial"/>
      <w:sz w:val="17"/>
      <w:szCs w:val="24"/>
      <w:lang w:eastAsia="ja-JP"/>
    </w:rPr>
  </w:style>
  <w:style w:type="character" w:customStyle="1" w:styleId="P1Char">
    <w:name w:val="P1 Char"/>
    <w:link w:val="P1"/>
    <w:rsid w:val="00D10141"/>
    <w:rPr>
      <w:rFonts w:ascii="Arial" w:eastAsia="MS Mincho" w:hAnsi="Arial" w:cs="Times New Roman"/>
      <w:sz w:val="17"/>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1382</Words>
  <Characters>7605</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Delrio Maguy</dc:creator>
  <cp:keywords/>
  <dc:description/>
  <cp:lastModifiedBy>Delrio Maguy</cp:lastModifiedBy>
  <cp:revision>1</cp:revision>
  <dcterms:created xsi:type="dcterms:W3CDTF">2022-09-23T19:04:00Z</dcterms:created>
  <dcterms:modified xsi:type="dcterms:W3CDTF">2022-09-23T19:06:00Z</dcterms:modified>
</cp:coreProperties>
</file>