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D0E" w:rsidRDefault="00B21176">
      <w:pPr>
        <w:rPr>
          <w:rFonts w:ascii="Times New Roman" w:hAnsi="Times New Roman" w:cs="Times New Roman"/>
          <w:b/>
          <w:bCs/>
        </w:rPr>
      </w:pPr>
      <w:r>
        <w:rPr>
          <w:rFonts w:ascii="Times New Roman" w:hAnsi="Times New Roman" w:cs="Times New Roman"/>
          <w:b/>
          <w:bCs/>
        </w:rPr>
        <w:t>Additional</w:t>
      </w:r>
      <w:r w:rsidR="004B157A">
        <w:rPr>
          <w:rFonts w:ascii="Times New Roman" w:hAnsi="Times New Roman" w:cs="Times New Roman"/>
          <w:b/>
          <w:bCs/>
        </w:rPr>
        <w:t xml:space="preserve"> Figures</w:t>
      </w:r>
    </w:p>
    <w:p w:rsidR="00511D0E" w:rsidRDefault="004B157A">
      <w:pPr>
        <w:rPr>
          <w:rFonts w:ascii="Times New Roman" w:hAnsi="Times New Roman" w:cs="Times New Roman"/>
          <w:b/>
          <w:bCs/>
        </w:rPr>
      </w:pPr>
      <w:r>
        <w:rPr>
          <w:rFonts w:ascii="Times New Roman" w:hAnsi="Times New Roman" w:cs="Times New Roman"/>
          <w:b/>
          <w:bCs/>
          <w:noProof/>
          <w:lang w:eastAsia="en-US"/>
        </w:rPr>
        <w:drawing>
          <wp:inline distT="0" distB="0" distL="114300" distR="114300">
            <wp:extent cx="5269230" cy="4367530"/>
            <wp:effectExtent l="0" t="0" r="1270" b="127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69230" cy="4367530"/>
                    </a:xfrm>
                    <a:prstGeom prst="rect">
                      <a:avLst/>
                    </a:prstGeom>
                  </pic:spPr>
                </pic:pic>
              </a:graphicData>
            </a:graphic>
          </wp:inline>
        </w:drawing>
      </w:r>
    </w:p>
    <w:p w:rsidR="00511D0E" w:rsidRDefault="004B157A">
      <w:pPr>
        <w:rPr>
          <w:rFonts w:ascii="Times New Roman" w:hAnsi="Times New Roman" w:cs="Times New Roman"/>
        </w:rPr>
      </w:pPr>
      <w:r>
        <w:rPr>
          <w:rFonts w:ascii="Times New Roman" w:hAnsi="Times New Roman" w:cs="Times New Roman"/>
          <w:b/>
          <w:bCs/>
        </w:rPr>
        <w:t>Figure S1</w:t>
      </w:r>
      <w:r>
        <w:rPr>
          <w:rFonts w:ascii="Times New Roman" w:hAnsi="Times New Roman" w:cs="Times New Roman" w:hint="eastAsia"/>
          <w:b/>
          <w:bCs/>
        </w:rPr>
        <w:t>.</w:t>
      </w:r>
      <w:r>
        <w:rPr>
          <w:rFonts w:ascii="Times New Roman" w:hAnsi="Times New Roman" w:cs="Times New Roman"/>
          <w:b/>
          <w:bCs/>
        </w:rPr>
        <w:t xml:space="preserve"> </w:t>
      </w:r>
      <w:r>
        <w:rPr>
          <w:rFonts w:ascii="Times New Roman" w:hAnsi="Times New Roman" w:cs="Times New Roman"/>
        </w:rPr>
        <w:t>The analysis workflow of the study.</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b/>
          <w:bCs/>
          <w:szCs w:val="21"/>
        </w:rPr>
      </w:pPr>
      <w:r>
        <w:rPr>
          <w:rFonts w:ascii="Times New Roman" w:eastAsia="DengXian" w:hAnsi="Times New Roman" w:cs="Times New Roman"/>
          <w:b/>
          <w:bCs/>
          <w:noProof/>
          <w:szCs w:val="22"/>
          <w:lang w:eastAsia="en-US"/>
        </w:rPr>
        <w:drawing>
          <wp:inline distT="0" distB="0" distL="114300" distR="114300">
            <wp:extent cx="5269230" cy="6989445"/>
            <wp:effectExtent l="0" t="0" r="1270" b="8255"/>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5"/>
                    <a:stretch>
                      <a:fillRect/>
                    </a:stretch>
                  </pic:blipFill>
                  <pic:spPr>
                    <a:xfrm>
                      <a:off x="0" y="0"/>
                      <a:ext cx="5269230" cy="6989445"/>
                    </a:xfrm>
                    <a:prstGeom prst="rect">
                      <a:avLst/>
                    </a:prstGeom>
                  </pic:spPr>
                </pic:pic>
              </a:graphicData>
            </a:graphic>
          </wp:inline>
        </w:drawing>
      </w:r>
      <w:r>
        <w:rPr>
          <w:rFonts w:ascii="Times New Roman" w:eastAsia="DengXian" w:hAnsi="Times New Roman" w:cs="Times New Roman"/>
          <w:b/>
          <w:bCs/>
          <w:szCs w:val="22"/>
          <w:lang w:bidi="ar"/>
        </w:rPr>
        <w:t xml:space="preserve">Figure S2. Characters of the seven cell types (The supplement to </w:t>
      </w:r>
      <w:bookmarkStart w:id="0" w:name="_GoBack"/>
      <w:r>
        <w:rPr>
          <w:rFonts w:ascii="Times New Roman" w:eastAsia="DengXian" w:hAnsi="Times New Roman" w:cs="Times New Roman"/>
          <w:b/>
          <w:bCs/>
          <w:szCs w:val="22"/>
          <w:lang w:bidi="ar"/>
        </w:rPr>
        <w:t>Fig</w:t>
      </w:r>
      <w:bookmarkEnd w:id="0"/>
      <w:r>
        <w:rPr>
          <w:rFonts w:ascii="Times New Roman" w:eastAsia="DengXian" w:hAnsi="Times New Roman" w:cs="Times New Roman"/>
          <w:b/>
          <w:bCs/>
          <w:szCs w:val="22"/>
          <w:lang w:bidi="ar"/>
        </w:rPr>
        <w:t>ure 1).</w:t>
      </w:r>
    </w:p>
    <w:p w:rsidR="00511D0E" w:rsidRDefault="004B157A">
      <w:pPr>
        <w:rPr>
          <w:rFonts w:ascii="Times New Roman" w:hAnsi="Times New Roman" w:cs="Times New Roman"/>
        </w:rPr>
      </w:pPr>
      <w:r>
        <w:rPr>
          <w:rFonts w:ascii="Times New Roman" w:eastAsia="DengXian" w:hAnsi="Times New Roman" w:cs="Times New Roman"/>
          <w:b/>
          <w:bCs/>
          <w:szCs w:val="21"/>
          <w:lang w:bidi="ar"/>
        </w:rPr>
        <w:t>(A)</w:t>
      </w:r>
      <w:r>
        <w:rPr>
          <w:rFonts w:ascii="Times New Roman" w:eastAsia="DengXian" w:hAnsi="Times New Roman" w:cs="Times New Roman"/>
          <w:szCs w:val="22"/>
          <w:lang w:bidi="ar"/>
        </w:rPr>
        <w:t xml:space="preserve"> The Cleveland's dot plot of the expression of four classic cell markers (CD3D, LYZ, CD79A, and VWF) in each cell type, combined with the histogram which shows the proportions of the three samples in each cell type.</w:t>
      </w:r>
    </w:p>
    <w:p w:rsidR="00511D0E" w:rsidRDefault="004B157A">
      <w:pPr>
        <w:rPr>
          <w:rFonts w:ascii="Times New Roman" w:hAnsi="Times New Roman" w:cs="Times New Roman"/>
        </w:rPr>
      </w:pPr>
      <w:r>
        <w:rPr>
          <w:rFonts w:ascii="Times New Roman" w:eastAsia="DengXian" w:hAnsi="Times New Roman" w:cs="Times New Roman"/>
          <w:szCs w:val="22"/>
          <w:lang w:bidi="ar"/>
        </w:rPr>
        <w:t>(B) The top five differential expressed genes in each cell type.</w:t>
      </w:r>
    </w:p>
    <w:p w:rsidR="00511D0E" w:rsidRDefault="004B157A">
      <w:pPr>
        <w:rPr>
          <w:rFonts w:ascii="Times New Roman" w:hAnsi="Times New Roman" w:cs="Times New Roman"/>
        </w:rPr>
      </w:pPr>
      <w:r>
        <w:rPr>
          <w:rFonts w:ascii="Times New Roman" w:eastAsia="DengXian" w:hAnsi="Times New Roman" w:cs="Times New Roman"/>
          <w:b/>
          <w:bCs/>
          <w:szCs w:val="21"/>
          <w:lang w:bidi="ar"/>
        </w:rPr>
        <w:t xml:space="preserve">(C) </w:t>
      </w:r>
      <w:r>
        <w:rPr>
          <w:rFonts w:ascii="Times New Roman" w:eastAsia="DengXian" w:hAnsi="Times New Roman" w:cs="Times New Roman"/>
          <w:szCs w:val="22"/>
          <w:lang w:bidi="ar"/>
        </w:rPr>
        <w:t xml:space="preserve">The cell communication network, visualizing the connections between each cell type. The circles with different colors referred to different cell subtypes and the width of lines between cells </w:t>
      </w:r>
      <w:r>
        <w:rPr>
          <w:rFonts w:ascii="Times New Roman" w:eastAsia="DengXian" w:hAnsi="Times New Roman" w:cs="Times New Roman"/>
          <w:szCs w:val="22"/>
          <w:lang w:bidi="ar"/>
        </w:rPr>
        <w:lastRenderedPageBreak/>
        <w:t>represents the intensity of communication.</w:t>
      </w:r>
    </w:p>
    <w:p w:rsidR="00511D0E" w:rsidRDefault="004B157A">
      <w:pPr>
        <w:rPr>
          <w:rFonts w:ascii="Times New Roman" w:hAnsi="Times New Roman" w:cs="Times New Roman"/>
        </w:rPr>
      </w:pPr>
      <w:r>
        <w:rPr>
          <w:rFonts w:ascii="Times New Roman" w:eastAsia="DengXian" w:hAnsi="Times New Roman" w:cs="Times New Roman"/>
          <w:b/>
          <w:bCs/>
          <w:szCs w:val="21"/>
          <w:lang w:bidi="ar"/>
        </w:rPr>
        <w:t>(D)</w:t>
      </w:r>
      <w:r>
        <w:rPr>
          <w:rFonts w:ascii="Times New Roman" w:eastAsia="DengXian" w:hAnsi="Times New Roman" w:cs="Times New Roman"/>
          <w:szCs w:val="22"/>
          <w:lang w:bidi="ar"/>
        </w:rPr>
        <w:t xml:space="preserve"> The ligand-receptor interactions, predicting the possible interactions between each cell type.  The ligands lie at the beginnings of the lines and the arrows point to the receptors.</w:t>
      </w:r>
    </w:p>
    <w:p w:rsidR="00511D0E" w:rsidRDefault="004B157A">
      <w:pPr>
        <w:rPr>
          <w:rFonts w:ascii="Times New Roman" w:hAnsi="Times New Roman" w:cs="Times New Roman"/>
        </w:rPr>
      </w:pPr>
      <w:r>
        <w:rPr>
          <w:rFonts w:ascii="Times New Roman" w:eastAsia="DengXian" w:hAnsi="Times New Roman" w:cs="Times New Roman"/>
          <w:b/>
          <w:bCs/>
          <w:szCs w:val="21"/>
          <w:lang w:bidi="ar"/>
        </w:rPr>
        <w:t xml:space="preserve">(E-F) </w:t>
      </w:r>
      <w:r>
        <w:rPr>
          <w:rFonts w:ascii="Times New Roman" w:eastAsia="DengXian" w:hAnsi="Times New Roman" w:cs="Times New Roman"/>
          <w:szCs w:val="22"/>
          <w:lang w:bidi="ar"/>
        </w:rPr>
        <w:t xml:space="preserve">The cell cycle scores (G2M. score and S.S score) and cell cycle distribution of cells in the  </w:t>
      </w:r>
      <w:proofErr w:type="spellStart"/>
      <w:r>
        <w:rPr>
          <w:rFonts w:ascii="Times New Roman" w:eastAsia="DengXian" w:hAnsi="Times New Roman" w:cs="Times New Roman" w:hint="eastAsia"/>
          <w:szCs w:val="22"/>
          <w:lang w:bidi="ar"/>
        </w:rPr>
        <w:t>tSNE</w:t>
      </w:r>
      <w:proofErr w:type="spellEnd"/>
      <w:r>
        <w:rPr>
          <w:rFonts w:ascii="Times New Roman" w:eastAsia="DengXian" w:hAnsi="Times New Roman" w:cs="Times New Roman"/>
          <w:szCs w:val="22"/>
          <w:lang w:bidi="ar"/>
        </w:rPr>
        <w:t xml:space="preserve"> plot.</w:t>
      </w:r>
    </w:p>
    <w:p w:rsidR="00511D0E" w:rsidRDefault="00511D0E"/>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b/>
          <w:bCs/>
        </w:rPr>
      </w:pPr>
      <w:r>
        <w:rPr>
          <w:rFonts w:ascii="Times New Roman" w:hAnsi="Times New Roman" w:cs="Times New Roman"/>
          <w:b/>
          <w:bCs/>
          <w:noProof/>
          <w:lang w:eastAsia="en-US"/>
        </w:rPr>
        <w:drawing>
          <wp:inline distT="0" distB="0" distL="114300" distR="114300">
            <wp:extent cx="5248275" cy="2475865"/>
            <wp:effectExtent l="0" t="0" r="9525" b="635"/>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6"/>
                    <a:stretch>
                      <a:fillRect/>
                    </a:stretch>
                  </pic:blipFill>
                  <pic:spPr>
                    <a:xfrm>
                      <a:off x="0" y="0"/>
                      <a:ext cx="5248275" cy="2475865"/>
                    </a:xfrm>
                    <a:prstGeom prst="rect">
                      <a:avLst/>
                    </a:prstGeom>
                  </pic:spPr>
                </pic:pic>
              </a:graphicData>
            </a:graphic>
          </wp:inline>
        </w:drawing>
      </w:r>
      <w:r>
        <w:rPr>
          <w:rFonts w:ascii="Times New Roman" w:hAnsi="Times New Roman" w:cs="Times New Roman"/>
          <w:b/>
          <w:bCs/>
        </w:rPr>
        <w:t>Figure S3</w:t>
      </w:r>
      <w:r>
        <w:rPr>
          <w:rFonts w:ascii="Times New Roman" w:hAnsi="Times New Roman" w:cs="Times New Roman" w:hint="eastAsia"/>
          <w:b/>
          <w:bCs/>
        </w:rPr>
        <w:t>.</w:t>
      </w:r>
      <w:r>
        <w:rPr>
          <w:rFonts w:ascii="Times New Roman" w:hAnsi="Times New Roman" w:cs="Times New Roman"/>
          <w:b/>
          <w:bCs/>
        </w:rPr>
        <w:t xml:space="preserve"> Supplementary materials for Figure 3</w:t>
      </w:r>
      <w:r>
        <w:rPr>
          <w:rFonts w:ascii="Times New Roman" w:hAnsi="Times New Roman" w:cs="Times New Roman" w:hint="eastAsia"/>
          <w:b/>
          <w:bCs/>
        </w:rPr>
        <w:t>.</w:t>
      </w:r>
    </w:p>
    <w:p w:rsidR="00511D0E" w:rsidRDefault="004B157A">
      <w:pPr>
        <w:rPr>
          <w:rFonts w:ascii="Times New Roman" w:hAnsi="Times New Roman" w:cs="Times New Roman"/>
        </w:rPr>
      </w:pPr>
      <w:r>
        <w:rPr>
          <w:rFonts w:ascii="Times New Roman" w:hAnsi="Times New Roman" w:cs="Times New Roman"/>
        </w:rPr>
        <w:t xml:space="preserve">(A) The </w:t>
      </w:r>
      <w:proofErr w:type="spellStart"/>
      <w:r>
        <w:rPr>
          <w:rFonts w:ascii="Times New Roman" w:hAnsi="Times New Roman" w:cs="Times New Roman" w:hint="eastAsia"/>
        </w:rPr>
        <w:t>tSNE</w:t>
      </w:r>
      <w:proofErr w:type="spellEnd"/>
      <w:r>
        <w:rPr>
          <w:rFonts w:ascii="Times New Roman" w:hAnsi="Times New Roman" w:cs="Times New Roman"/>
        </w:rPr>
        <w:t xml:space="preserve"> plot of fibroblasts, labeling cells according to the maturation in Monocle-derived </w:t>
      </w:r>
      <w:proofErr w:type="spellStart"/>
      <w:r>
        <w:rPr>
          <w:rFonts w:ascii="Times New Roman" w:hAnsi="Times New Roman" w:cs="Times New Roman"/>
        </w:rPr>
        <w:t>pseudotime</w:t>
      </w:r>
      <w:proofErr w:type="spellEnd"/>
      <w:r>
        <w:rPr>
          <w:rFonts w:ascii="Times New Roman" w:hAnsi="Times New Roman" w:cs="Times New Roman"/>
        </w:rPr>
        <w:t>.</w:t>
      </w:r>
    </w:p>
    <w:p w:rsidR="00511D0E" w:rsidRDefault="004B157A">
      <w:pPr>
        <w:rPr>
          <w:rFonts w:ascii="Times New Roman" w:hAnsi="Times New Roman" w:cs="Times New Roman"/>
        </w:rPr>
      </w:pPr>
      <w:r>
        <w:rPr>
          <w:rFonts w:ascii="Times New Roman" w:hAnsi="Times New Roman" w:cs="Times New Roman"/>
        </w:rPr>
        <w:t xml:space="preserve">(B) The dynamic expression level of the six representative differentially expressed genes over </w:t>
      </w:r>
      <w:proofErr w:type="spellStart"/>
      <w:r>
        <w:rPr>
          <w:rFonts w:ascii="Times New Roman" w:hAnsi="Times New Roman" w:cs="Times New Roman"/>
        </w:rPr>
        <w:t>pseudotime</w:t>
      </w:r>
      <w:proofErr w:type="spellEnd"/>
      <w:r>
        <w:rPr>
          <w:rFonts w:ascii="Times New Roman" w:hAnsi="Times New Roman" w:cs="Times New Roman"/>
        </w:rPr>
        <w:t>. The differentiation states are marked with different colors.</w:t>
      </w:r>
    </w:p>
    <w:p w:rsidR="00511D0E" w:rsidRDefault="004B157A">
      <w:pPr>
        <w:rPr>
          <w:rFonts w:ascii="Times New Roman" w:hAnsi="Times New Roman" w:cs="Times New Roman"/>
        </w:rPr>
      </w:pPr>
      <w:r>
        <w:rPr>
          <w:rFonts w:ascii="Times New Roman" w:hAnsi="Times New Roman" w:cs="Times New Roman"/>
        </w:rPr>
        <w:t xml:space="preserve">(C) The dynamic expression level of the six representative differentially expressed genes in the six fibroblast subtypes over </w:t>
      </w:r>
      <w:proofErr w:type="spellStart"/>
      <w:r>
        <w:rPr>
          <w:rFonts w:ascii="Times New Roman" w:hAnsi="Times New Roman" w:cs="Times New Roman"/>
        </w:rPr>
        <w:t>pseudotime</w:t>
      </w:r>
      <w:proofErr w:type="spellEnd"/>
      <w:r>
        <w:rPr>
          <w:rFonts w:ascii="Times New Roman" w:hAnsi="Times New Roman" w:cs="Times New Roman"/>
        </w:rPr>
        <w:t>.</w:t>
      </w:r>
    </w:p>
    <w:p w:rsidR="00511D0E" w:rsidRDefault="004B157A">
      <w:pPr>
        <w:rPr>
          <w:rFonts w:ascii="Times New Roman" w:hAnsi="Times New Roman" w:cs="Times New Roman"/>
        </w:rPr>
      </w:pPr>
      <w:r>
        <w:rPr>
          <w:rFonts w:ascii="Times New Roman" w:hAnsi="Times New Roman" w:cs="Times New Roman"/>
        </w:rPr>
        <w:t xml:space="preserve">(D) The dynamic expression level of the six representative differentially expressed genes in the three MESO samples over </w:t>
      </w:r>
      <w:proofErr w:type="spellStart"/>
      <w:r>
        <w:rPr>
          <w:rFonts w:ascii="Times New Roman" w:hAnsi="Times New Roman" w:cs="Times New Roman"/>
        </w:rPr>
        <w:t>pseudotime</w:t>
      </w:r>
      <w:proofErr w:type="spellEnd"/>
      <w:r>
        <w:rPr>
          <w:rFonts w:ascii="Times New Roman" w:hAnsi="Times New Roman" w:cs="Times New Roman"/>
        </w:rPr>
        <w:t>.</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rPr>
      </w:pPr>
      <w:r>
        <w:rPr>
          <w:rFonts w:ascii="Times New Roman" w:hAnsi="Times New Roman" w:cs="Times New Roman"/>
          <w:noProof/>
          <w:lang w:eastAsia="en-US"/>
        </w:rPr>
        <w:drawing>
          <wp:inline distT="0" distB="0" distL="114300" distR="114300">
            <wp:extent cx="5269230" cy="7379970"/>
            <wp:effectExtent l="0" t="0" r="1270" b="11430"/>
            <wp:docPr id="4" name="图片 4"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4"/>
                    <pic:cNvPicPr>
                      <a:picLocks noChangeAspect="1"/>
                    </pic:cNvPicPr>
                  </pic:nvPicPr>
                  <pic:blipFill>
                    <a:blip r:embed="rId7"/>
                    <a:stretch>
                      <a:fillRect/>
                    </a:stretch>
                  </pic:blipFill>
                  <pic:spPr>
                    <a:xfrm>
                      <a:off x="0" y="0"/>
                      <a:ext cx="5269230" cy="7379970"/>
                    </a:xfrm>
                    <a:prstGeom prst="rect">
                      <a:avLst/>
                    </a:prstGeom>
                  </pic:spPr>
                </pic:pic>
              </a:graphicData>
            </a:graphic>
          </wp:inline>
        </w:drawing>
      </w:r>
    </w:p>
    <w:p w:rsidR="00511D0E" w:rsidRDefault="004B157A">
      <w:pPr>
        <w:rPr>
          <w:rFonts w:ascii="Times New Roman" w:hAnsi="Times New Roman" w:cs="Times New Roman"/>
        </w:rPr>
      </w:pPr>
      <w:r>
        <w:rPr>
          <w:rFonts w:ascii="Times New Roman" w:hAnsi="Times New Roman" w:cs="Times New Roman"/>
          <w:b/>
          <w:bCs/>
        </w:rPr>
        <w:t>Figure S4</w:t>
      </w:r>
      <w:r>
        <w:rPr>
          <w:rFonts w:ascii="Times New Roman" w:hAnsi="Times New Roman" w:cs="Times New Roman" w:hint="eastAsia"/>
          <w:b/>
          <w:bCs/>
        </w:rPr>
        <w:t>.</w:t>
      </w:r>
      <w:r>
        <w:rPr>
          <w:rFonts w:ascii="Times New Roman" w:hAnsi="Times New Roman" w:cs="Times New Roman"/>
        </w:rPr>
        <w:t xml:space="preserve"> The Kaplan-Meier curves of the 39 FDGs.</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rPr>
      </w:pPr>
      <w:r>
        <w:rPr>
          <w:rFonts w:ascii="Times New Roman" w:hAnsi="Times New Roman" w:cs="Times New Roman"/>
          <w:noProof/>
          <w:lang w:eastAsia="en-US"/>
        </w:rPr>
        <w:drawing>
          <wp:inline distT="0" distB="0" distL="114300" distR="114300">
            <wp:extent cx="5269230" cy="4182110"/>
            <wp:effectExtent l="0" t="0" r="1270" b="8890"/>
            <wp:docPr id="5" name="图片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5"/>
                    <pic:cNvPicPr>
                      <a:picLocks noChangeAspect="1"/>
                    </pic:cNvPicPr>
                  </pic:nvPicPr>
                  <pic:blipFill>
                    <a:blip r:embed="rId8"/>
                    <a:stretch>
                      <a:fillRect/>
                    </a:stretch>
                  </pic:blipFill>
                  <pic:spPr>
                    <a:xfrm>
                      <a:off x="0" y="0"/>
                      <a:ext cx="5269230" cy="4182110"/>
                    </a:xfrm>
                    <a:prstGeom prst="rect">
                      <a:avLst/>
                    </a:prstGeom>
                  </pic:spPr>
                </pic:pic>
              </a:graphicData>
            </a:graphic>
          </wp:inline>
        </w:drawing>
      </w:r>
    </w:p>
    <w:p w:rsidR="00511D0E" w:rsidRDefault="004B157A">
      <w:pPr>
        <w:rPr>
          <w:rFonts w:ascii="Times New Roman" w:hAnsi="Times New Roman" w:cs="Times New Roman"/>
          <w:b/>
          <w:bCs/>
          <w:szCs w:val="21"/>
        </w:rPr>
      </w:pPr>
      <w:r>
        <w:rPr>
          <w:rFonts w:ascii="Times New Roman" w:eastAsia="DengXian" w:hAnsi="Times New Roman" w:cs="Times New Roman"/>
          <w:b/>
          <w:bCs/>
          <w:szCs w:val="22"/>
          <w:lang w:bidi="ar"/>
        </w:rPr>
        <w:t>Figure S5. Supplementary materials for Figure 4.</w:t>
      </w:r>
    </w:p>
    <w:p w:rsidR="00511D0E" w:rsidRDefault="004B157A">
      <w:pPr>
        <w:rPr>
          <w:rFonts w:ascii="Times New Roman" w:hAnsi="Times New Roman" w:cs="Times New Roman"/>
        </w:rPr>
      </w:pPr>
      <w:r>
        <w:rPr>
          <w:rFonts w:ascii="Times New Roman" w:eastAsia="DengXian" w:hAnsi="Times New Roman" w:cs="Times New Roman"/>
          <w:szCs w:val="22"/>
          <w:lang w:bidi="ar"/>
        </w:rPr>
        <w:t xml:space="preserve">(A) The scatter plot of the PCA score of each patient in the three clusters. Colors are utilized to </w:t>
      </w:r>
      <w:r>
        <w:rPr>
          <w:rFonts w:ascii="Times New Roman" w:eastAsia="DengXian" w:hAnsi="Times New Roman" w:cs="Times New Roman" w:hint="eastAsia"/>
          <w:szCs w:val="22"/>
          <w:lang w:bidi="ar"/>
        </w:rPr>
        <w:t>distinguish</w:t>
      </w:r>
      <w:r>
        <w:rPr>
          <w:rFonts w:ascii="Times New Roman" w:eastAsia="DengXian" w:hAnsi="Times New Roman" w:cs="Times New Roman"/>
          <w:szCs w:val="22"/>
          <w:lang w:bidi="ar"/>
        </w:rPr>
        <w:t xml:space="preserve"> patients from different clusters.</w:t>
      </w:r>
    </w:p>
    <w:p w:rsidR="00511D0E" w:rsidRDefault="004B157A">
      <w:pPr>
        <w:rPr>
          <w:rFonts w:ascii="Times New Roman" w:hAnsi="Times New Roman" w:cs="Times New Roman"/>
        </w:rPr>
      </w:pPr>
      <w:r>
        <w:rPr>
          <w:rFonts w:ascii="Times New Roman" w:eastAsia="DengXian" w:hAnsi="Times New Roman" w:cs="Times New Roman"/>
          <w:szCs w:val="22"/>
          <w:lang w:bidi="ar"/>
        </w:rPr>
        <w:t>(B) The Sankey diagram depicts the relationship between clusters, PCA score and survival outcomes.</w:t>
      </w:r>
    </w:p>
    <w:p w:rsidR="00511D0E" w:rsidRDefault="004B157A">
      <w:pPr>
        <w:rPr>
          <w:rFonts w:ascii="Times New Roman" w:hAnsi="Times New Roman" w:cs="Times New Roman"/>
        </w:rPr>
      </w:pPr>
      <w:r>
        <w:rPr>
          <w:rFonts w:ascii="Times New Roman" w:eastAsia="DengXian" w:hAnsi="Times New Roman" w:cs="Times New Roman"/>
          <w:szCs w:val="22"/>
          <w:lang w:bidi="ar"/>
        </w:rPr>
        <w:t>(C) The expression level comparison of the 39FDGs in the three clusters. “*”: p &lt;0.05, “**”: p&lt; 0.01; “***”: p &lt; 0.001</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rPr>
      </w:pPr>
      <w:r>
        <w:rPr>
          <w:rFonts w:ascii="Times New Roman" w:hAnsi="Times New Roman" w:cs="Times New Roman"/>
          <w:noProof/>
          <w:lang w:eastAsia="en-US"/>
        </w:rPr>
        <w:drawing>
          <wp:inline distT="0" distB="0" distL="114300" distR="114300">
            <wp:extent cx="5269230" cy="7566025"/>
            <wp:effectExtent l="0" t="0" r="1270" b="3175"/>
            <wp:docPr id="6" name="图片 6"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6"/>
                    <pic:cNvPicPr>
                      <a:picLocks noChangeAspect="1"/>
                    </pic:cNvPicPr>
                  </pic:nvPicPr>
                  <pic:blipFill>
                    <a:blip r:embed="rId9"/>
                    <a:stretch>
                      <a:fillRect/>
                    </a:stretch>
                  </pic:blipFill>
                  <pic:spPr>
                    <a:xfrm>
                      <a:off x="0" y="0"/>
                      <a:ext cx="5269230" cy="7566025"/>
                    </a:xfrm>
                    <a:prstGeom prst="rect">
                      <a:avLst/>
                    </a:prstGeom>
                  </pic:spPr>
                </pic:pic>
              </a:graphicData>
            </a:graphic>
          </wp:inline>
        </w:drawing>
      </w:r>
    </w:p>
    <w:p w:rsidR="00511D0E" w:rsidRDefault="004B157A">
      <w:pPr>
        <w:rPr>
          <w:rFonts w:ascii="Times New Roman" w:hAnsi="Times New Roman" w:cs="Times New Roman"/>
          <w:b/>
          <w:bCs/>
          <w:szCs w:val="21"/>
        </w:rPr>
      </w:pPr>
      <w:r>
        <w:rPr>
          <w:rFonts w:ascii="Times New Roman" w:eastAsia="DengXian" w:hAnsi="Times New Roman" w:cs="Times New Roman"/>
          <w:b/>
          <w:bCs/>
          <w:szCs w:val="22"/>
          <w:lang w:bidi="ar"/>
        </w:rPr>
        <w:t xml:space="preserve">Figure S6. </w:t>
      </w:r>
      <w:proofErr w:type="spellStart"/>
      <w:r>
        <w:rPr>
          <w:rFonts w:ascii="Times New Roman" w:eastAsia="DengXian" w:hAnsi="Times New Roman" w:cs="Times New Roman"/>
          <w:b/>
          <w:bCs/>
          <w:szCs w:val="22"/>
          <w:lang w:bidi="ar"/>
        </w:rPr>
        <w:t>Muti</w:t>
      </w:r>
      <w:proofErr w:type="spellEnd"/>
      <w:r>
        <w:rPr>
          <w:rFonts w:ascii="Times New Roman" w:eastAsia="DengXian" w:hAnsi="Times New Roman" w:cs="Times New Roman"/>
          <w:b/>
          <w:bCs/>
          <w:szCs w:val="22"/>
          <w:lang w:bidi="ar"/>
        </w:rPr>
        <w:t>-omics analysis based on the bulk RNA-</w:t>
      </w:r>
      <w:proofErr w:type="spellStart"/>
      <w:r>
        <w:rPr>
          <w:rFonts w:ascii="Times New Roman" w:eastAsia="DengXian" w:hAnsi="Times New Roman" w:cs="Times New Roman"/>
          <w:b/>
          <w:bCs/>
          <w:szCs w:val="22"/>
          <w:lang w:bidi="ar"/>
        </w:rPr>
        <w:t>seq</w:t>
      </w:r>
      <w:proofErr w:type="spellEnd"/>
      <w:r>
        <w:rPr>
          <w:rFonts w:ascii="Times New Roman" w:eastAsia="DengXian" w:hAnsi="Times New Roman" w:cs="Times New Roman"/>
          <w:b/>
          <w:bCs/>
          <w:szCs w:val="22"/>
          <w:lang w:bidi="ar"/>
        </w:rPr>
        <w:t xml:space="preserve"> profiles in TCGA database in association with the PCA score.</w:t>
      </w:r>
    </w:p>
    <w:p w:rsidR="00511D0E" w:rsidRDefault="004B157A">
      <w:pPr>
        <w:rPr>
          <w:rFonts w:ascii="Times New Roman" w:hAnsi="Times New Roman" w:cs="Times New Roman"/>
        </w:rPr>
      </w:pPr>
      <w:r>
        <w:rPr>
          <w:rFonts w:ascii="Times New Roman" w:eastAsia="DengXian" w:hAnsi="Times New Roman" w:cs="Times New Roman"/>
          <w:szCs w:val="22"/>
          <w:lang w:bidi="ar"/>
        </w:rPr>
        <w:t>(A) The waterfall plots illustrate the gene mutation landscapes in the high PCA score and low PCA score, providing the prime mutant genes’ types and frequency.</w:t>
      </w:r>
    </w:p>
    <w:p w:rsidR="00511D0E" w:rsidRDefault="004B157A">
      <w:pPr>
        <w:rPr>
          <w:rFonts w:ascii="Times New Roman" w:hAnsi="Times New Roman" w:cs="Times New Roman"/>
        </w:rPr>
      </w:pPr>
      <w:r>
        <w:rPr>
          <w:rFonts w:ascii="Times New Roman" w:eastAsia="DengXian" w:hAnsi="Times New Roman" w:cs="Times New Roman"/>
          <w:szCs w:val="22"/>
          <w:lang w:bidi="ar"/>
        </w:rPr>
        <w:lastRenderedPageBreak/>
        <w:t>(B) The association between tumor mutation burden (TMB) and PCA score. (r = -0.15, p = 0.18)</w:t>
      </w:r>
    </w:p>
    <w:p w:rsidR="00511D0E" w:rsidRDefault="004B157A">
      <w:pPr>
        <w:rPr>
          <w:rFonts w:ascii="Times New Roman" w:hAnsi="Times New Roman" w:cs="Times New Roman"/>
        </w:rPr>
      </w:pPr>
      <w:r>
        <w:rPr>
          <w:rFonts w:ascii="Times New Roman" w:eastAsia="DengXian" w:hAnsi="Times New Roman" w:cs="Times New Roman"/>
          <w:szCs w:val="22"/>
          <w:lang w:bidi="ar"/>
        </w:rPr>
        <w:t>(C) The Kaplan-Meier analysis based on the combination of tumor mutation burden and PCA score. H-TMB: high tumor mutation burden; L-TMB: low tumor mutation burden; H-</w:t>
      </w:r>
      <w:proofErr w:type="spellStart"/>
      <w:r>
        <w:rPr>
          <w:rFonts w:ascii="Times New Roman" w:eastAsia="DengXian" w:hAnsi="Times New Roman" w:cs="Times New Roman"/>
          <w:szCs w:val="22"/>
          <w:lang w:bidi="ar"/>
        </w:rPr>
        <w:t>BC_TM_score</w:t>
      </w:r>
      <w:proofErr w:type="spellEnd"/>
      <w:r>
        <w:rPr>
          <w:rFonts w:ascii="Times New Roman" w:eastAsia="DengXian" w:hAnsi="Times New Roman" w:cs="Times New Roman"/>
          <w:szCs w:val="22"/>
          <w:lang w:bidi="ar"/>
        </w:rPr>
        <w:t>: high PCA score; L-</w:t>
      </w:r>
      <w:proofErr w:type="spellStart"/>
      <w:r>
        <w:rPr>
          <w:rFonts w:ascii="Times New Roman" w:eastAsia="DengXian" w:hAnsi="Times New Roman" w:cs="Times New Roman"/>
          <w:szCs w:val="22"/>
          <w:lang w:bidi="ar"/>
        </w:rPr>
        <w:t>BC_TM_score</w:t>
      </w:r>
      <w:proofErr w:type="spellEnd"/>
      <w:r>
        <w:rPr>
          <w:rFonts w:ascii="Times New Roman" w:eastAsia="DengXian" w:hAnsi="Times New Roman" w:cs="Times New Roman"/>
          <w:szCs w:val="22"/>
          <w:lang w:bidi="ar"/>
        </w:rPr>
        <w:t xml:space="preserve">: low PCA score. </w:t>
      </w:r>
    </w:p>
    <w:p w:rsidR="00511D0E" w:rsidRDefault="004B157A">
      <w:pPr>
        <w:rPr>
          <w:rFonts w:ascii="Times New Roman" w:hAnsi="Times New Roman" w:cs="Times New Roman"/>
        </w:rPr>
      </w:pPr>
      <w:r>
        <w:rPr>
          <w:rFonts w:ascii="Times New Roman" w:eastAsia="DengXian" w:hAnsi="Times New Roman" w:cs="Times New Roman"/>
          <w:szCs w:val="22"/>
          <w:lang w:bidi="ar"/>
        </w:rPr>
        <w:t xml:space="preserve">(D) The </w:t>
      </w:r>
      <w:proofErr w:type="spellStart"/>
      <w:r>
        <w:rPr>
          <w:rFonts w:ascii="Times New Roman" w:eastAsia="DengXian" w:hAnsi="Times New Roman" w:cs="Times New Roman"/>
          <w:szCs w:val="22"/>
          <w:lang w:bidi="ar"/>
        </w:rPr>
        <w:t>Cleverland</w:t>
      </w:r>
      <w:proofErr w:type="spellEnd"/>
      <w:r>
        <w:rPr>
          <w:rFonts w:ascii="Times New Roman" w:eastAsia="DengXian" w:hAnsi="Times New Roman" w:cs="Times New Roman"/>
          <w:szCs w:val="22"/>
          <w:lang w:bidi="ar"/>
        </w:rPr>
        <w:t xml:space="preserve"> dot plot of copy number variation (CNV) frequency of FDGs, with CNV increase in red and CNV deletion in green. </w:t>
      </w:r>
    </w:p>
    <w:p w:rsidR="00511D0E" w:rsidRDefault="004B157A">
      <w:pPr>
        <w:rPr>
          <w:rFonts w:ascii="Times New Roman" w:hAnsi="Times New Roman" w:cs="Times New Roman"/>
        </w:rPr>
      </w:pPr>
      <w:r>
        <w:rPr>
          <w:rFonts w:ascii="Times New Roman" w:eastAsia="DengXian" w:hAnsi="Times New Roman" w:cs="Times New Roman"/>
          <w:szCs w:val="22"/>
          <w:lang w:bidi="ar"/>
        </w:rPr>
        <w:t xml:space="preserve">(E) The </w:t>
      </w:r>
      <w:proofErr w:type="spellStart"/>
      <w:r>
        <w:rPr>
          <w:rFonts w:ascii="Times New Roman" w:eastAsia="DengXian" w:hAnsi="Times New Roman" w:cs="Times New Roman"/>
          <w:szCs w:val="22"/>
          <w:lang w:bidi="ar"/>
        </w:rPr>
        <w:t>circos</w:t>
      </w:r>
      <w:proofErr w:type="spellEnd"/>
      <w:r>
        <w:rPr>
          <w:rFonts w:ascii="Times New Roman" w:eastAsia="DengXian" w:hAnsi="Times New Roman" w:cs="Times New Roman"/>
          <w:szCs w:val="22"/>
          <w:lang w:bidi="ar"/>
        </w:rPr>
        <w:t xml:space="preserve"> plot delineates the location of the FDGs with CNV alternations in the chromosomes.</w:t>
      </w:r>
    </w:p>
    <w:p w:rsidR="00511D0E" w:rsidRDefault="004B157A">
      <w:pPr>
        <w:rPr>
          <w:rFonts w:ascii="Times New Roman" w:hAnsi="Times New Roman" w:cs="Times New Roman"/>
        </w:rPr>
      </w:pPr>
      <w:r>
        <w:rPr>
          <w:rFonts w:ascii="Times New Roman" w:eastAsia="DengXian" w:hAnsi="Times New Roman" w:cs="Times New Roman"/>
          <w:szCs w:val="22"/>
          <w:lang w:bidi="ar"/>
        </w:rPr>
        <w:t>(F)The association between microsatellite instability and PCA score. (r = -0.19, p = 0.084)</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rPr>
      </w:pPr>
      <w:r>
        <w:rPr>
          <w:rFonts w:ascii="Times New Roman" w:hAnsi="Times New Roman" w:cs="Times New Roman"/>
          <w:noProof/>
          <w:lang w:eastAsia="en-US"/>
        </w:rPr>
        <w:drawing>
          <wp:inline distT="0" distB="0" distL="114300" distR="114300">
            <wp:extent cx="5269230" cy="6951980"/>
            <wp:effectExtent l="0" t="0" r="1270" b="7620"/>
            <wp:docPr id="7" name="图片 7"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7"/>
                    <pic:cNvPicPr>
                      <a:picLocks noChangeAspect="1"/>
                    </pic:cNvPicPr>
                  </pic:nvPicPr>
                  <pic:blipFill>
                    <a:blip r:embed="rId10"/>
                    <a:stretch>
                      <a:fillRect/>
                    </a:stretch>
                  </pic:blipFill>
                  <pic:spPr>
                    <a:xfrm>
                      <a:off x="0" y="0"/>
                      <a:ext cx="5269230" cy="6951980"/>
                    </a:xfrm>
                    <a:prstGeom prst="rect">
                      <a:avLst/>
                    </a:prstGeom>
                  </pic:spPr>
                </pic:pic>
              </a:graphicData>
            </a:graphic>
          </wp:inline>
        </w:drawing>
      </w:r>
    </w:p>
    <w:p w:rsidR="00511D0E" w:rsidRDefault="004B157A">
      <w:pPr>
        <w:rPr>
          <w:rFonts w:ascii="Times New Roman" w:hAnsi="Times New Roman" w:cs="Times New Roman"/>
          <w:b/>
          <w:bCs/>
          <w:szCs w:val="21"/>
        </w:rPr>
      </w:pPr>
      <w:r>
        <w:rPr>
          <w:rFonts w:ascii="Times New Roman" w:eastAsia="DengXian" w:hAnsi="Times New Roman" w:cs="Times New Roman"/>
          <w:b/>
          <w:bCs/>
          <w:szCs w:val="22"/>
          <w:lang w:bidi="ar"/>
        </w:rPr>
        <w:t xml:space="preserve">Figure S7. </w:t>
      </w:r>
      <w:proofErr w:type="spellStart"/>
      <w:r>
        <w:rPr>
          <w:rFonts w:ascii="Times New Roman" w:eastAsia="DengXian" w:hAnsi="Times New Roman" w:cs="Times New Roman"/>
          <w:b/>
          <w:bCs/>
          <w:szCs w:val="22"/>
          <w:lang w:bidi="ar"/>
        </w:rPr>
        <w:t>Muti</w:t>
      </w:r>
      <w:proofErr w:type="spellEnd"/>
      <w:r>
        <w:rPr>
          <w:rFonts w:ascii="Times New Roman" w:eastAsia="DengXian" w:hAnsi="Times New Roman" w:cs="Times New Roman"/>
          <w:b/>
          <w:bCs/>
          <w:szCs w:val="22"/>
          <w:lang w:bidi="ar"/>
        </w:rPr>
        <w:t>-omics analysis based on the bulk RNA-</w:t>
      </w:r>
      <w:proofErr w:type="spellStart"/>
      <w:r>
        <w:rPr>
          <w:rFonts w:ascii="Times New Roman" w:eastAsia="DengXian" w:hAnsi="Times New Roman" w:cs="Times New Roman"/>
          <w:b/>
          <w:bCs/>
          <w:szCs w:val="22"/>
          <w:lang w:bidi="ar"/>
        </w:rPr>
        <w:t>seq</w:t>
      </w:r>
      <w:proofErr w:type="spellEnd"/>
      <w:r>
        <w:rPr>
          <w:rFonts w:ascii="Times New Roman" w:eastAsia="DengXian" w:hAnsi="Times New Roman" w:cs="Times New Roman"/>
          <w:b/>
          <w:bCs/>
          <w:szCs w:val="22"/>
          <w:lang w:bidi="ar"/>
        </w:rPr>
        <w:t xml:space="preserve"> profiles in TCGA database in association with the PCA score.</w:t>
      </w:r>
    </w:p>
    <w:p w:rsidR="00511D0E" w:rsidRDefault="004B157A">
      <w:pPr>
        <w:rPr>
          <w:rFonts w:ascii="Times New Roman" w:hAnsi="Times New Roman" w:cs="Times New Roman"/>
        </w:rPr>
      </w:pPr>
      <w:r>
        <w:rPr>
          <w:rFonts w:ascii="Times New Roman" w:eastAsia="DengXian" w:hAnsi="Times New Roman" w:cs="Times New Roman"/>
          <w:szCs w:val="22"/>
          <w:lang w:bidi="ar"/>
        </w:rPr>
        <w:t>(A) The comparison of 23 immune cell infiltration in LDFM</w:t>
      </w:r>
      <w:r>
        <w:rPr>
          <w:rFonts w:ascii="SimSun" w:eastAsia="DengXian" w:hAnsi="SimSun" w:cs="Times New Roman" w:hint="eastAsia"/>
          <w:szCs w:val="22"/>
          <w:lang w:bidi="ar"/>
        </w:rPr>
        <w:t>，</w:t>
      </w:r>
      <w:r>
        <w:rPr>
          <w:rFonts w:ascii="Times New Roman" w:eastAsia="DengXian" w:hAnsi="Times New Roman" w:cs="Times New Roman"/>
          <w:szCs w:val="22"/>
          <w:lang w:bidi="ar"/>
        </w:rPr>
        <w:t>HDFM and MDFM.  ns: no statistical significance; “*”: p &lt;0.05, “**”: p&lt; 0.01; “***”: p &lt; 0.001</w:t>
      </w:r>
    </w:p>
    <w:p w:rsidR="00511D0E" w:rsidRDefault="004B157A">
      <w:pPr>
        <w:rPr>
          <w:rFonts w:ascii="Times New Roman" w:hAnsi="Times New Roman" w:cs="Times New Roman"/>
        </w:rPr>
      </w:pPr>
      <w:r>
        <w:rPr>
          <w:rFonts w:ascii="Times New Roman" w:eastAsia="DengXian" w:hAnsi="Times New Roman" w:cs="Times New Roman"/>
          <w:szCs w:val="22"/>
          <w:lang w:bidi="ar"/>
        </w:rPr>
        <w:t>(B) The comparison of PD-L1 expression level between the low-PCA score group and the high PCA score group.</w:t>
      </w:r>
    </w:p>
    <w:p w:rsidR="00511D0E" w:rsidRDefault="004B157A">
      <w:pPr>
        <w:rPr>
          <w:rFonts w:ascii="Times New Roman" w:hAnsi="Times New Roman" w:cs="Times New Roman"/>
        </w:rPr>
      </w:pPr>
      <w:r>
        <w:rPr>
          <w:rFonts w:ascii="Times New Roman" w:eastAsia="DengXian" w:hAnsi="Times New Roman" w:cs="Times New Roman"/>
          <w:szCs w:val="22"/>
          <w:lang w:bidi="ar"/>
        </w:rPr>
        <w:lastRenderedPageBreak/>
        <w:t>(C) The co-expression matrix of the PCA score and the 23 immune cells.</w:t>
      </w:r>
    </w:p>
    <w:p w:rsidR="00511D0E" w:rsidRDefault="00511D0E">
      <w:pPr>
        <w:rPr>
          <w:rFonts w:ascii="Times New Roman" w:hAnsi="Times New Roman" w:cs="Times New Roman"/>
        </w:rPr>
      </w:pPr>
    </w:p>
    <w:p w:rsidR="00511D0E" w:rsidRDefault="004B157A">
      <w:pP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4729480" cy="8843010"/>
            <wp:effectExtent l="0" t="0" r="7620" b="8890"/>
            <wp:docPr id="8" name="图片 8"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8"/>
                    <pic:cNvPicPr>
                      <a:picLocks noChangeAspect="1"/>
                    </pic:cNvPicPr>
                  </pic:nvPicPr>
                  <pic:blipFill>
                    <a:blip r:embed="rId11"/>
                    <a:stretch>
                      <a:fillRect/>
                    </a:stretch>
                  </pic:blipFill>
                  <pic:spPr>
                    <a:xfrm>
                      <a:off x="0" y="0"/>
                      <a:ext cx="4729480" cy="8843010"/>
                    </a:xfrm>
                    <a:prstGeom prst="rect">
                      <a:avLst/>
                    </a:prstGeom>
                  </pic:spPr>
                </pic:pic>
              </a:graphicData>
            </a:graphic>
          </wp:inline>
        </w:drawing>
      </w:r>
    </w:p>
    <w:p w:rsidR="00511D0E" w:rsidRDefault="004B157A">
      <w:pPr>
        <w:rPr>
          <w:rFonts w:ascii="Times New Roman" w:hAnsi="Times New Roman" w:cs="Times New Roman"/>
          <w:b/>
          <w:bCs/>
          <w:szCs w:val="21"/>
        </w:rPr>
      </w:pPr>
      <w:r>
        <w:rPr>
          <w:rFonts w:ascii="Times New Roman" w:eastAsia="DengXian" w:hAnsi="Times New Roman" w:cs="Times New Roman"/>
          <w:b/>
          <w:bCs/>
          <w:szCs w:val="22"/>
          <w:lang w:bidi="ar"/>
        </w:rPr>
        <w:lastRenderedPageBreak/>
        <w:t>Figure S8. Differential expression analysis of genes, transcription factors (TFs) and pathways between the primary MESO and bone metastatic tumor.</w:t>
      </w:r>
    </w:p>
    <w:p w:rsidR="00511D0E" w:rsidRDefault="004B157A">
      <w:pPr>
        <w:rPr>
          <w:rFonts w:ascii="Times New Roman" w:hAnsi="Times New Roman" w:cs="Times New Roman"/>
        </w:rPr>
      </w:pPr>
      <w:r>
        <w:rPr>
          <w:rFonts w:ascii="Times New Roman" w:eastAsia="DengXian" w:hAnsi="Times New Roman" w:cs="Times New Roman"/>
          <w:szCs w:val="22"/>
          <w:lang w:bidi="ar"/>
        </w:rPr>
        <w:t xml:space="preserve">(A) The </w:t>
      </w:r>
      <w:proofErr w:type="spellStart"/>
      <w:r>
        <w:rPr>
          <w:rFonts w:ascii="Times New Roman" w:eastAsia="DengXian" w:hAnsi="Times New Roman" w:cs="Times New Roman"/>
          <w:szCs w:val="22"/>
          <w:lang w:bidi="ar"/>
        </w:rPr>
        <w:t>heatmap</w:t>
      </w:r>
      <w:proofErr w:type="spellEnd"/>
      <w:r>
        <w:rPr>
          <w:rFonts w:ascii="Times New Roman" w:eastAsia="DengXian" w:hAnsi="Times New Roman" w:cs="Times New Roman"/>
          <w:szCs w:val="22"/>
          <w:lang w:bidi="ar"/>
        </w:rPr>
        <w:t xml:space="preserve"> and volcanic plots of differential expressed genes between the primary MESO and bone metastatic tumors. The red and orange dots in the volcanic plots reveal the up-regulated gens while green and cyan dots indicate the down-regulated genes.</w:t>
      </w:r>
    </w:p>
    <w:p w:rsidR="00511D0E" w:rsidRDefault="004B157A">
      <w:pPr>
        <w:rPr>
          <w:rFonts w:ascii="Times New Roman" w:hAnsi="Times New Roman" w:cs="Times New Roman"/>
        </w:rPr>
      </w:pPr>
      <w:r>
        <w:rPr>
          <w:rFonts w:ascii="Times New Roman" w:eastAsia="DengXian" w:hAnsi="Times New Roman" w:cs="Times New Roman"/>
          <w:szCs w:val="22"/>
          <w:lang w:bidi="ar"/>
        </w:rPr>
        <w:t>(B) The differential expression analysis of FDGs between the primary MESO and bone metastatic tumors, offering 10 differentially expressed FDGs with statistical significance.</w:t>
      </w:r>
    </w:p>
    <w:p w:rsidR="00511D0E" w:rsidRDefault="004B157A">
      <w:pPr>
        <w:rPr>
          <w:rFonts w:ascii="Times New Roman" w:hAnsi="Times New Roman" w:cs="Times New Roman"/>
        </w:rPr>
      </w:pPr>
      <w:r>
        <w:rPr>
          <w:rFonts w:ascii="Times New Roman" w:eastAsia="DengXian" w:hAnsi="Times New Roman" w:cs="Times New Roman"/>
          <w:szCs w:val="22"/>
          <w:lang w:bidi="ar"/>
        </w:rPr>
        <w:t xml:space="preserve">(C) The </w:t>
      </w:r>
      <w:proofErr w:type="spellStart"/>
      <w:r>
        <w:rPr>
          <w:rFonts w:ascii="Times New Roman" w:eastAsia="DengXian" w:hAnsi="Times New Roman" w:cs="Times New Roman"/>
          <w:szCs w:val="22"/>
          <w:lang w:bidi="ar"/>
        </w:rPr>
        <w:t>heatmap</w:t>
      </w:r>
      <w:proofErr w:type="spellEnd"/>
      <w:r>
        <w:rPr>
          <w:rFonts w:ascii="Times New Roman" w:eastAsia="DengXian" w:hAnsi="Times New Roman" w:cs="Times New Roman"/>
          <w:szCs w:val="22"/>
          <w:lang w:bidi="ar"/>
        </w:rPr>
        <w:t xml:space="preserve"> and volcanic plots of differential expressed TFs between the primary MESO and bone metastatic tumors.</w:t>
      </w:r>
    </w:p>
    <w:p w:rsidR="00511D0E" w:rsidRDefault="004B157A">
      <w:pPr>
        <w:rPr>
          <w:rFonts w:ascii="Times New Roman" w:hAnsi="Times New Roman" w:cs="Times New Roman"/>
        </w:rPr>
      </w:pPr>
      <w:r>
        <w:rPr>
          <w:rFonts w:ascii="Times New Roman" w:eastAsia="DengXian" w:hAnsi="Times New Roman" w:cs="Times New Roman"/>
          <w:szCs w:val="22"/>
          <w:lang w:bidi="ar"/>
        </w:rPr>
        <w:t>(D) The contrast of hallmark pathway activities between the primary MESO and bone metastatic tumors with GSVA analysis.</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5053330" cy="8860155"/>
            <wp:effectExtent l="0" t="0" r="1270" b="4445"/>
            <wp:docPr id="9" name="图片 9"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9"/>
                    <pic:cNvPicPr>
                      <a:picLocks noChangeAspect="1"/>
                    </pic:cNvPicPr>
                  </pic:nvPicPr>
                  <pic:blipFill>
                    <a:blip r:embed="rId12"/>
                    <a:stretch>
                      <a:fillRect/>
                    </a:stretch>
                  </pic:blipFill>
                  <pic:spPr>
                    <a:xfrm>
                      <a:off x="0" y="0"/>
                      <a:ext cx="5053330" cy="8860155"/>
                    </a:xfrm>
                    <a:prstGeom prst="rect">
                      <a:avLst/>
                    </a:prstGeom>
                  </pic:spPr>
                </pic:pic>
              </a:graphicData>
            </a:graphic>
          </wp:inline>
        </w:drawing>
      </w:r>
    </w:p>
    <w:p w:rsidR="00511D0E" w:rsidRDefault="004B157A">
      <w:pPr>
        <w:rPr>
          <w:rFonts w:ascii="Times New Roman" w:hAnsi="Times New Roman" w:cs="Times New Roman"/>
          <w:b/>
          <w:bCs/>
          <w:szCs w:val="21"/>
        </w:rPr>
      </w:pPr>
      <w:r>
        <w:rPr>
          <w:rFonts w:ascii="Times New Roman" w:eastAsia="DengXian" w:hAnsi="Times New Roman" w:cs="Times New Roman"/>
          <w:b/>
          <w:bCs/>
          <w:szCs w:val="22"/>
          <w:lang w:bidi="ar"/>
        </w:rPr>
        <w:lastRenderedPageBreak/>
        <w:t>Figure S9. Supplementary materials for Figure 5.</w:t>
      </w:r>
    </w:p>
    <w:p w:rsidR="00511D0E" w:rsidRDefault="004B157A">
      <w:pPr>
        <w:rPr>
          <w:rFonts w:ascii="Times New Roman" w:hAnsi="Times New Roman" w:cs="Times New Roman"/>
        </w:rPr>
      </w:pPr>
      <w:r>
        <w:rPr>
          <w:rFonts w:ascii="Times New Roman" w:eastAsia="DengXian" w:hAnsi="Times New Roman" w:cs="Times New Roman"/>
          <w:szCs w:val="22"/>
          <w:lang w:bidi="ar"/>
        </w:rPr>
        <w:t>(A) The Lasso coefficient profile of the FDGs.</w:t>
      </w:r>
    </w:p>
    <w:p w:rsidR="00511D0E" w:rsidRDefault="004B157A">
      <w:pPr>
        <w:rPr>
          <w:rFonts w:ascii="Times New Roman" w:hAnsi="Times New Roman" w:cs="Times New Roman"/>
        </w:rPr>
      </w:pPr>
      <w:r>
        <w:rPr>
          <w:rFonts w:ascii="Times New Roman" w:eastAsia="DengXian" w:hAnsi="Times New Roman" w:cs="Times New Roman"/>
          <w:szCs w:val="22"/>
          <w:lang w:bidi="ar"/>
        </w:rPr>
        <w:t>(B) Plot of the ten-fold cross-validation decides the number of key FDGs to create the model and the position of the dotted line figures out the optimal number with the minimum cross-validation error.</w:t>
      </w:r>
    </w:p>
    <w:p w:rsidR="00511D0E" w:rsidRDefault="004B157A">
      <w:pPr>
        <w:rPr>
          <w:rFonts w:ascii="Times New Roman" w:hAnsi="Times New Roman" w:cs="Times New Roman"/>
        </w:rPr>
      </w:pPr>
      <w:r>
        <w:rPr>
          <w:rFonts w:ascii="Times New Roman" w:eastAsia="DengXian" w:hAnsi="Times New Roman" w:cs="Times New Roman"/>
          <w:szCs w:val="22"/>
          <w:lang w:bidi="ar"/>
        </w:rPr>
        <w:t>(C) The distribution of risk score in the all, train and test cohorts.</w:t>
      </w:r>
    </w:p>
    <w:p w:rsidR="00511D0E" w:rsidRDefault="004B157A">
      <w:pPr>
        <w:rPr>
          <w:rFonts w:ascii="Times New Roman" w:hAnsi="Times New Roman" w:cs="Times New Roman"/>
        </w:rPr>
      </w:pPr>
      <w:r>
        <w:rPr>
          <w:rFonts w:ascii="Times New Roman" w:eastAsia="DengXian" w:hAnsi="Times New Roman" w:cs="Times New Roman"/>
          <w:szCs w:val="22"/>
          <w:lang w:bidi="ar"/>
        </w:rPr>
        <w:t xml:space="preserve">(D) The expression </w:t>
      </w:r>
      <w:proofErr w:type="spellStart"/>
      <w:r>
        <w:rPr>
          <w:rFonts w:ascii="Times New Roman" w:eastAsia="DengXian" w:hAnsi="Times New Roman" w:cs="Times New Roman"/>
          <w:szCs w:val="22"/>
          <w:lang w:bidi="ar"/>
        </w:rPr>
        <w:t>heatmaps</w:t>
      </w:r>
      <w:proofErr w:type="spellEnd"/>
      <w:r>
        <w:rPr>
          <w:rFonts w:ascii="Times New Roman" w:eastAsia="DengXian" w:hAnsi="Times New Roman" w:cs="Times New Roman"/>
          <w:szCs w:val="22"/>
          <w:lang w:bidi="ar"/>
        </w:rPr>
        <w:t xml:space="preserve"> of the six FDGs which are screened out to construct the prognostic prediction model, illustrate the gene expression discrepancies between the low-risk group and high-risk group.</w:t>
      </w:r>
    </w:p>
    <w:p w:rsidR="00511D0E" w:rsidRDefault="004B157A">
      <w:pPr>
        <w:rPr>
          <w:rFonts w:ascii="Times New Roman" w:hAnsi="Times New Roman" w:cs="Times New Roman"/>
        </w:rPr>
      </w:pPr>
      <w:r>
        <w:rPr>
          <w:rFonts w:ascii="Times New Roman" w:eastAsia="DengXian" w:hAnsi="Times New Roman" w:cs="Times New Roman"/>
          <w:szCs w:val="22"/>
          <w:lang w:bidi="ar"/>
        </w:rPr>
        <w:t>(E) The Kaplan–Meier survival analysis between the low-risk group and high-risk group in the all, train and test cohorts.</w:t>
      </w:r>
    </w:p>
    <w:p w:rsidR="00511D0E" w:rsidRDefault="004B157A">
      <w:pPr>
        <w:rPr>
          <w:rFonts w:ascii="Times New Roman" w:hAnsi="Times New Roman" w:cs="Times New Roman"/>
        </w:rPr>
      </w:pPr>
      <w:r>
        <w:rPr>
          <w:rFonts w:ascii="Times New Roman" w:eastAsia="DengXian" w:hAnsi="Times New Roman" w:cs="Times New Roman"/>
          <w:szCs w:val="22"/>
          <w:lang w:bidi="ar"/>
        </w:rPr>
        <w:t>(F) The survival time distribution in the all, train and test cohorts. The red spots represent the dead patient as the blue spots refers to the alive patients.</w:t>
      </w:r>
    </w:p>
    <w:p w:rsidR="00511D0E" w:rsidRDefault="004B157A">
      <w:pPr>
        <w:rPr>
          <w:rFonts w:ascii="Times New Roman" w:hAnsi="Times New Roman" w:cs="Times New Roman"/>
        </w:rPr>
      </w:pPr>
      <w:r>
        <w:rPr>
          <w:rFonts w:ascii="Times New Roman" w:eastAsia="DengXian" w:hAnsi="Times New Roman" w:cs="Times New Roman"/>
          <w:szCs w:val="22"/>
          <w:lang w:bidi="ar"/>
        </w:rPr>
        <w:t>(G) The ROC curves for FDGs to assess the prognostic prediction model.</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4B157A">
      <w:pP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5269230" cy="7082155"/>
            <wp:effectExtent l="0" t="0" r="1270" b="4445"/>
            <wp:docPr id="10" name="图片 10"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10"/>
                    <pic:cNvPicPr>
                      <a:picLocks noChangeAspect="1"/>
                    </pic:cNvPicPr>
                  </pic:nvPicPr>
                  <pic:blipFill>
                    <a:blip r:embed="rId13"/>
                    <a:stretch>
                      <a:fillRect/>
                    </a:stretch>
                  </pic:blipFill>
                  <pic:spPr>
                    <a:xfrm>
                      <a:off x="0" y="0"/>
                      <a:ext cx="5269230" cy="7082155"/>
                    </a:xfrm>
                    <a:prstGeom prst="rect">
                      <a:avLst/>
                    </a:prstGeom>
                  </pic:spPr>
                </pic:pic>
              </a:graphicData>
            </a:graphic>
          </wp:inline>
        </w:drawing>
      </w:r>
    </w:p>
    <w:p w:rsidR="00511D0E" w:rsidRDefault="004B157A">
      <w:pPr>
        <w:rPr>
          <w:rFonts w:ascii="Times New Roman" w:hAnsi="Times New Roman" w:cs="Times New Roman"/>
          <w:b/>
          <w:bCs/>
          <w:szCs w:val="21"/>
        </w:rPr>
      </w:pPr>
      <w:r>
        <w:rPr>
          <w:rFonts w:ascii="Times New Roman" w:eastAsia="DengXian" w:hAnsi="Times New Roman" w:cs="Times New Roman"/>
          <w:b/>
          <w:bCs/>
          <w:szCs w:val="22"/>
          <w:lang w:bidi="ar"/>
        </w:rPr>
        <w:t>Figure S10. Immune infiltration analysis in the high-risk group and low-risk group.</w:t>
      </w:r>
    </w:p>
    <w:p w:rsidR="00511D0E" w:rsidRDefault="004B157A">
      <w:pPr>
        <w:rPr>
          <w:rFonts w:ascii="Times New Roman" w:hAnsi="Times New Roman" w:cs="Times New Roman"/>
        </w:rPr>
      </w:pPr>
      <w:r>
        <w:rPr>
          <w:rFonts w:ascii="Times New Roman" w:eastAsia="DengXian" w:hAnsi="Times New Roman" w:cs="Times New Roman"/>
          <w:szCs w:val="22"/>
          <w:lang w:bidi="ar"/>
        </w:rPr>
        <w:t>(A) The stacked histogram portrays the composition and proportion of 22 types of immune cells in the low-risk group and high-risk group with CIBERSORT.</w:t>
      </w:r>
    </w:p>
    <w:p w:rsidR="00511D0E" w:rsidRDefault="004B157A">
      <w:pPr>
        <w:rPr>
          <w:rFonts w:ascii="Times New Roman" w:hAnsi="Times New Roman" w:cs="Times New Roman"/>
        </w:rPr>
      </w:pPr>
      <w:r>
        <w:rPr>
          <w:rFonts w:ascii="Times New Roman" w:eastAsia="DengXian" w:hAnsi="Times New Roman" w:cs="Times New Roman"/>
          <w:szCs w:val="22"/>
          <w:lang w:bidi="ar"/>
        </w:rPr>
        <w:t>(B) Comparison of the immune cell fractions in the high and low groups. “*”: p &lt;0.05, “**”: p&lt; 0.01; “***”: p &lt; 0.001.</w:t>
      </w:r>
    </w:p>
    <w:p w:rsidR="00511D0E" w:rsidRDefault="004B157A">
      <w:pPr>
        <w:rPr>
          <w:rFonts w:ascii="Times New Roman" w:hAnsi="Times New Roman" w:cs="Times New Roman"/>
        </w:rPr>
      </w:pPr>
      <w:r>
        <w:rPr>
          <w:rFonts w:ascii="Times New Roman" w:eastAsia="DengXian" w:hAnsi="Times New Roman" w:cs="Times New Roman"/>
          <w:szCs w:val="22"/>
          <w:lang w:bidi="ar"/>
        </w:rPr>
        <w:t>(C) Comparison of the immune components in the high and low groups.</w:t>
      </w:r>
    </w:p>
    <w:p w:rsidR="00511D0E" w:rsidRDefault="004B157A">
      <w:pPr>
        <w:rPr>
          <w:rFonts w:ascii="Times New Roman" w:hAnsi="Times New Roman" w:cs="Times New Roman"/>
        </w:rPr>
      </w:pPr>
      <w:r>
        <w:rPr>
          <w:rFonts w:ascii="Times New Roman" w:eastAsia="DengXian" w:hAnsi="Times New Roman" w:cs="Times New Roman"/>
          <w:szCs w:val="22"/>
          <w:lang w:bidi="ar"/>
        </w:rPr>
        <w:t>(D) The Kaplan–Meier survival analysis of some important immune cells and components.</w:t>
      </w:r>
    </w:p>
    <w:p w:rsidR="00511D0E" w:rsidRDefault="004B157A">
      <w:pPr>
        <w:rPr>
          <w:rFonts w:ascii="Times New Roman" w:hAnsi="Times New Roman" w:cs="Times New Roman"/>
        </w:rPr>
      </w:pPr>
      <w:r>
        <w:rPr>
          <w:rFonts w:ascii="Times New Roman" w:hAnsi="Times New Roman" w:cs="Times New Roman"/>
          <w:noProof/>
          <w:lang w:eastAsia="en-US"/>
        </w:rPr>
        <w:lastRenderedPageBreak/>
        <w:drawing>
          <wp:inline distT="0" distB="0" distL="114300" distR="114300">
            <wp:extent cx="5269230" cy="2750185"/>
            <wp:effectExtent l="0" t="0" r="1270" b="5715"/>
            <wp:docPr id="11" name="图片 11" descr="Figure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11"/>
                    <pic:cNvPicPr>
                      <a:picLocks noChangeAspect="1"/>
                    </pic:cNvPicPr>
                  </pic:nvPicPr>
                  <pic:blipFill>
                    <a:blip r:embed="rId14"/>
                    <a:stretch>
                      <a:fillRect/>
                    </a:stretch>
                  </pic:blipFill>
                  <pic:spPr>
                    <a:xfrm>
                      <a:off x="0" y="0"/>
                      <a:ext cx="5269230" cy="2750185"/>
                    </a:xfrm>
                    <a:prstGeom prst="rect">
                      <a:avLst/>
                    </a:prstGeom>
                  </pic:spPr>
                </pic:pic>
              </a:graphicData>
            </a:graphic>
          </wp:inline>
        </w:drawing>
      </w:r>
    </w:p>
    <w:p w:rsidR="00511D0E" w:rsidRDefault="004B157A">
      <w:pPr>
        <w:rPr>
          <w:rFonts w:ascii="Times New Roman" w:hAnsi="Times New Roman" w:cs="Times New Roman"/>
          <w:b/>
          <w:bCs/>
        </w:rPr>
      </w:pPr>
      <w:r>
        <w:rPr>
          <w:rFonts w:ascii="Times New Roman" w:hAnsi="Times New Roman" w:cs="Times New Roman"/>
          <w:b/>
          <w:bCs/>
        </w:rPr>
        <w:t>Figure S11</w:t>
      </w:r>
      <w:r>
        <w:rPr>
          <w:rFonts w:ascii="Times New Roman" w:hAnsi="Times New Roman" w:cs="Times New Roman" w:hint="eastAsia"/>
          <w:b/>
          <w:bCs/>
        </w:rPr>
        <w:t>.</w:t>
      </w:r>
      <w:r>
        <w:rPr>
          <w:rFonts w:ascii="Times New Roman" w:hAnsi="Times New Roman" w:cs="Times New Roman"/>
          <w:b/>
          <w:bCs/>
        </w:rPr>
        <w:t xml:space="preserve"> Supplementary materials for Figure 6</w:t>
      </w:r>
      <w:r>
        <w:rPr>
          <w:rFonts w:ascii="Times New Roman" w:hAnsi="Times New Roman" w:cs="Times New Roman" w:hint="eastAsia"/>
          <w:b/>
          <w:bCs/>
        </w:rPr>
        <w:t>.</w:t>
      </w:r>
    </w:p>
    <w:p w:rsidR="00511D0E" w:rsidRDefault="004B157A">
      <w:pPr>
        <w:rPr>
          <w:rFonts w:ascii="Times New Roman" w:hAnsi="Times New Roman" w:cs="Times New Roman"/>
        </w:rPr>
      </w:pPr>
      <w:r>
        <w:rPr>
          <w:rFonts w:ascii="Times New Roman" w:hAnsi="Times New Roman" w:cs="Times New Roman"/>
        </w:rPr>
        <w:t xml:space="preserve">(A) The </w:t>
      </w:r>
      <w:proofErr w:type="spellStart"/>
      <w:r>
        <w:rPr>
          <w:rFonts w:ascii="Times New Roman" w:hAnsi="Times New Roman" w:cs="Times New Roman"/>
        </w:rPr>
        <w:t>heatmaps</w:t>
      </w:r>
      <w:proofErr w:type="spellEnd"/>
      <w:r>
        <w:rPr>
          <w:rFonts w:ascii="Times New Roman" w:hAnsi="Times New Roman" w:cs="Times New Roman"/>
        </w:rPr>
        <w:t xml:space="preserve"> compare the expression level of FDGs and TFs in Figure 6A between the primary MESO and bone metastatic tumor.</w:t>
      </w:r>
    </w:p>
    <w:p w:rsidR="00511D0E" w:rsidRDefault="004B157A">
      <w:pPr>
        <w:rPr>
          <w:rFonts w:ascii="Times New Roman" w:hAnsi="Times New Roman" w:cs="Times New Roman"/>
        </w:rPr>
      </w:pPr>
      <w:r>
        <w:rPr>
          <w:rFonts w:ascii="Times New Roman" w:hAnsi="Times New Roman" w:cs="Times New Roman"/>
        </w:rPr>
        <w:t>(B) Bubble maps of the pathway enrichment analysis of each subtype. The circle size denotes the number of enriched genes.</w:t>
      </w: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511D0E" w:rsidRDefault="00511D0E">
      <w:pPr>
        <w:rPr>
          <w:rFonts w:ascii="Times New Roman" w:hAnsi="Times New Roman" w:cs="Times New Roman"/>
        </w:rPr>
      </w:pPr>
    </w:p>
    <w:p w:rsidR="004B157A" w:rsidRDefault="004B157A">
      <w:pPr>
        <w:rPr>
          <w:rFonts w:ascii="Times New Roman" w:hAnsi="Times New Roman" w:cs="Times New Roman"/>
          <w:b/>
          <w:bCs/>
        </w:rPr>
      </w:pPr>
      <w:r>
        <w:rPr>
          <w:rFonts w:ascii="Times New Roman" w:hAnsi="Times New Roman" w:cs="Times New Roman"/>
          <w:b/>
          <w:bCs/>
        </w:rPr>
        <w:br w:type="page"/>
      </w:r>
    </w:p>
    <w:p w:rsidR="004B157A" w:rsidRDefault="004B157A" w:rsidP="004B157A">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hint="eastAsia"/>
          <w:b/>
          <w:bCs/>
          <w:color w:val="000000"/>
          <w:sz w:val="22"/>
          <w:szCs w:val="22"/>
        </w:rPr>
        <w:lastRenderedPageBreak/>
        <w:t>Table S1. The results of Cox regression analysis and Kaplan-Meier survival analysis of the 39 FDGs.</w:t>
      </w:r>
    </w:p>
    <w:p w:rsidR="004B157A" w:rsidRDefault="004B157A" w:rsidP="004B157A">
      <w:pPr>
        <w:widowControl/>
        <w:jc w:val="left"/>
        <w:textAlignment w:val="center"/>
        <w:rPr>
          <w:rFonts w:ascii="Times New Roman" w:eastAsia="SimSun" w:hAnsi="Times New Roman" w:cs="Times New Roman"/>
          <w:b/>
          <w:bCs/>
          <w:color w:val="000000"/>
          <w:sz w:val="22"/>
          <w:szCs w:val="22"/>
        </w:rPr>
      </w:pPr>
    </w:p>
    <w:tbl>
      <w:tblPr>
        <w:tblW w:w="8117" w:type="dxa"/>
        <w:tblInd w:w="98" w:type="dxa"/>
        <w:tblLook w:val="04A0" w:firstRow="1" w:lastRow="0" w:firstColumn="1" w:lastColumn="0" w:noHBand="0" w:noVBand="1"/>
      </w:tblPr>
      <w:tblGrid>
        <w:gridCol w:w="1304"/>
        <w:gridCol w:w="1371"/>
        <w:gridCol w:w="1371"/>
        <w:gridCol w:w="1371"/>
        <w:gridCol w:w="1371"/>
        <w:gridCol w:w="1329"/>
      </w:tblGrid>
      <w:tr w:rsidR="004B157A" w:rsidTr="00E511FE">
        <w:trPr>
          <w:trHeight w:val="280"/>
        </w:trPr>
        <w:tc>
          <w:tcPr>
            <w:tcW w:w="1304" w:type="dxa"/>
            <w:tcBorders>
              <w:top w:val="single" w:sz="4" w:space="0" w:color="auto"/>
              <w:left w:val="nil"/>
              <w:bottom w:val="single" w:sz="4" w:space="0" w:color="auto"/>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proofErr w:type="spellStart"/>
            <w:r>
              <w:rPr>
                <w:rFonts w:ascii="Times New Roman" w:eastAsia="SimSun" w:hAnsi="Times New Roman" w:cs="Times New Roman" w:hint="eastAsia"/>
                <w:b/>
                <w:bCs/>
                <w:color w:val="000000"/>
                <w:sz w:val="22"/>
                <w:szCs w:val="22"/>
              </w:rPr>
              <w:t>Gene_id</w:t>
            </w:r>
            <w:proofErr w:type="spellEnd"/>
          </w:p>
        </w:tc>
        <w:tc>
          <w:tcPr>
            <w:tcW w:w="1371" w:type="dxa"/>
            <w:tcBorders>
              <w:top w:val="single" w:sz="4" w:space="0" w:color="auto"/>
              <w:left w:val="nil"/>
              <w:bottom w:val="single" w:sz="4" w:space="0" w:color="auto"/>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HR</w:t>
            </w:r>
          </w:p>
        </w:tc>
        <w:tc>
          <w:tcPr>
            <w:tcW w:w="1371" w:type="dxa"/>
            <w:tcBorders>
              <w:top w:val="single" w:sz="4" w:space="0" w:color="auto"/>
              <w:left w:val="nil"/>
              <w:bottom w:val="single" w:sz="4" w:space="0" w:color="auto"/>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HR.95L</w:t>
            </w:r>
          </w:p>
        </w:tc>
        <w:tc>
          <w:tcPr>
            <w:tcW w:w="1371" w:type="dxa"/>
            <w:tcBorders>
              <w:top w:val="single" w:sz="4" w:space="0" w:color="auto"/>
              <w:left w:val="nil"/>
              <w:bottom w:val="single" w:sz="4" w:space="0" w:color="auto"/>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HR.95H</w:t>
            </w:r>
          </w:p>
        </w:tc>
        <w:tc>
          <w:tcPr>
            <w:tcW w:w="1371" w:type="dxa"/>
            <w:tcBorders>
              <w:top w:val="single" w:sz="4" w:space="0" w:color="auto"/>
              <w:left w:val="nil"/>
              <w:bottom w:val="single" w:sz="4" w:space="0" w:color="auto"/>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proofErr w:type="spellStart"/>
            <w:r>
              <w:rPr>
                <w:rFonts w:ascii="Times New Roman" w:eastAsia="SimSun" w:hAnsi="Times New Roman" w:cs="Times New Roman"/>
                <w:b/>
                <w:bCs/>
                <w:color w:val="000000"/>
                <w:kern w:val="0"/>
                <w:sz w:val="22"/>
                <w:szCs w:val="22"/>
                <w:lang w:bidi="ar"/>
              </w:rPr>
              <w:t>Cox_pvalue</w:t>
            </w:r>
            <w:proofErr w:type="spellEnd"/>
          </w:p>
        </w:tc>
        <w:tc>
          <w:tcPr>
            <w:tcW w:w="1329" w:type="dxa"/>
            <w:tcBorders>
              <w:top w:val="single" w:sz="4" w:space="0" w:color="auto"/>
              <w:left w:val="nil"/>
              <w:bottom w:val="single" w:sz="4" w:space="0" w:color="auto"/>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proofErr w:type="spellStart"/>
            <w:r>
              <w:rPr>
                <w:rFonts w:ascii="Times New Roman" w:eastAsia="SimSun" w:hAnsi="Times New Roman" w:cs="Times New Roman"/>
                <w:b/>
                <w:bCs/>
                <w:color w:val="000000"/>
                <w:kern w:val="0"/>
                <w:sz w:val="22"/>
                <w:szCs w:val="22"/>
                <w:lang w:bidi="ar"/>
              </w:rPr>
              <w:t>KM_pvalue</w:t>
            </w:r>
            <w:proofErr w:type="spellEnd"/>
          </w:p>
        </w:tc>
      </w:tr>
      <w:tr w:rsidR="004B157A" w:rsidTr="00E511FE">
        <w:trPr>
          <w:trHeight w:val="280"/>
        </w:trPr>
        <w:tc>
          <w:tcPr>
            <w:tcW w:w="1304" w:type="dxa"/>
            <w:tcBorders>
              <w:top w:val="single" w:sz="4" w:space="0" w:color="auto"/>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UCHL1</w:t>
            </w:r>
          </w:p>
        </w:tc>
        <w:tc>
          <w:tcPr>
            <w:tcW w:w="1371" w:type="dxa"/>
            <w:tcBorders>
              <w:top w:val="single" w:sz="4" w:space="0" w:color="auto"/>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1.372003264</w:t>
            </w:r>
          </w:p>
        </w:tc>
        <w:tc>
          <w:tcPr>
            <w:tcW w:w="1371" w:type="dxa"/>
            <w:tcBorders>
              <w:top w:val="single" w:sz="4" w:space="0" w:color="auto"/>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1.150851633</w:t>
            </w:r>
          </w:p>
        </w:tc>
        <w:tc>
          <w:tcPr>
            <w:tcW w:w="1371" w:type="dxa"/>
            <w:tcBorders>
              <w:top w:val="single" w:sz="4" w:space="0" w:color="auto"/>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1.635652158</w:t>
            </w:r>
          </w:p>
        </w:tc>
        <w:tc>
          <w:tcPr>
            <w:tcW w:w="1371" w:type="dxa"/>
            <w:tcBorders>
              <w:top w:val="single" w:sz="4" w:space="0" w:color="auto"/>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0.000420822</w:t>
            </w:r>
          </w:p>
        </w:tc>
        <w:tc>
          <w:tcPr>
            <w:tcW w:w="1329" w:type="dxa"/>
            <w:tcBorders>
              <w:top w:val="single" w:sz="4" w:space="0" w:color="auto"/>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2.29E-05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TMEM158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1.393556522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1.159191757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1.675305029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0.000411895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5.17E-05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INHBA</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1.488844172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1.24131975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1.785726014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1.79E-05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3.39E-05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SLC16A3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1.576603818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1.217184693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2.04215483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0.000563066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1.12E-07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PSAT1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1.813740863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1.381808905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2.38068803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1.78E-05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4.11E-07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MLLT11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1.487256678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1.219948103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1.813136495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8.61E-05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1.07E-06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MDK</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1.429195452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1.183713314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1.725586437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0.000203996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2.16E-05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SERPINH1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2.068405859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1.498039211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2.855935123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1.01E-05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1.40E-05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SLC1A5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1.761170211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1.302646204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2.381092043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0.000234815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6.20E-05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FADS1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1.738638505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1.319295474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2.291271297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8.58E-05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4.20E-05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SERPINE1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1.254099613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1.116468492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1.408697021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0.000134826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2.72E-05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LDLR</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1.370336672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1.178957458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1.592782319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4.04E-05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9.76E-07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COL7A1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1.583736083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1.320842941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1.898953997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6.88E-07</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4.70E-05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COL3A1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1.305471331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1.117564587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1.524972618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0.000774524</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8.85E-07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MFAP5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1.317203335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1.166867214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1.486908368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8.36E-06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4.96E-06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ARSI</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1.646396417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1.322347181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2.049855892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8.25E-06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3.39E-06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FN1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1.353598765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1.184176324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1.547260808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9.09E-06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1.74E-05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KRT14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1.212785563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1.110595128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1.324378962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1.74E-05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5.38E-05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MCAM</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1.603201317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1.288072973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1.995426125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2.37E-05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6.47E-07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COL4A2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1.394439313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1.190595095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1.633184117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3.73E-05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2.91E-07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COL4A1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1.334956835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1.160695448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1.53538101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5.17E-05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2.97E-06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PTTG1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1.921736998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1.488313702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2.48138083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5.46E-07</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1.05E-05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CKS2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2.483136733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1.713036128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3.599438411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1.57E-06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8.41E-07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ECE1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1.817731588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1.3775084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2.398641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2.40E-05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2.04E-06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CDC20</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1.873738149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1.525436463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2.30156728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2.17E-09</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8.99E-09</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LTBP1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1.31416627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1.124494723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1.535830225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0.000591739</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3.58E-05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ADH1B</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0.742875399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0.660254896</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0.835834556</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7.77E-07</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1.85E-05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GATA2</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1.642585308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1.280693899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2.106737994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9.29E-05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1.02E-05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COL5A1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1.485721057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1.266623321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1.742717841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1.15E-06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9.71E-06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UBE2C</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1.814697271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1.473884709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2.234317357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1.97E-08</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1.66E-08</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STMN1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1.753380225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1.318821269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2.331128778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0.000111362</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9.04E-07</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CFB</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0.784354691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0.688309391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0.893801957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0.000267846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2.53E-06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PRG4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0.856034704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0.790740179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0.926720854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0.000123072</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6.94E-05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ACTB</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4.092395495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2.16546165</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7.734009459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1.43E-05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4.83E-06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PLAAT4</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0.661523997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0.550613373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0.794775463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1.02E-05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1.23E-05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JPT1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2.503938123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1.788448508</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3.505667676</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9.00E-08</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5.92E-06</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HP</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0.805537876</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0.725845659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0.893979679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4.73E-05</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2.13E-05</w:t>
            </w:r>
          </w:p>
        </w:tc>
      </w:tr>
      <w:tr w:rsidR="004B157A" w:rsidTr="00E511FE">
        <w:trPr>
          <w:trHeight w:val="280"/>
        </w:trPr>
        <w:tc>
          <w:tcPr>
            <w:tcW w:w="1304" w:type="dxa"/>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FSCN1</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2.277013977</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1.623568013</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3.193455779</w:t>
            </w:r>
          </w:p>
        </w:tc>
        <w:tc>
          <w:tcPr>
            <w:tcW w:w="1371"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1.86E-06</w:t>
            </w:r>
          </w:p>
        </w:tc>
        <w:tc>
          <w:tcPr>
            <w:tcW w:w="1329" w:type="dxa"/>
            <w:tcBorders>
              <w:top w:val="nil"/>
              <w:left w:val="nil"/>
              <w:bottom w:val="nil"/>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5.61E-07</w:t>
            </w:r>
          </w:p>
        </w:tc>
      </w:tr>
      <w:tr w:rsidR="004B157A" w:rsidTr="00E511FE">
        <w:trPr>
          <w:trHeight w:val="280"/>
        </w:trPr>
        <w:tc>
          <w:tcPr>
            <w:tcW w:w="1304" w:type="dxa"/>
            <w:tcBorders>
              <w:top w:val="nil"/>
              <w:left w:val="nil"/>
              <w:bottom w:val="single" w:sz="4" w:space="0" w:color="auto"/>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color w:val="000000"/>
                <w:sz w:val="22"/>
                <w:szCs w:val="22"/>
              </w:rPr>
            </w:pPr>
            <w:r>
              <w:rPr>
                <w:rFonts w:ascii="Times New Roman" w:eastAsia="SimSun" w:hAnsi="Times New Roman" w:cs="Times New Roman"/>
                <w:b/>
                <w:bCs/>
                <w:color w:val="000000"/>
                <w:kern w:val="0"/>
                <w:sz w:val="22"/>
                <w:szCs w:val="22"/>
                <w:lang w:bidi="ar"/>
              </w:rPr>
              <w:t>IFIT3</w:t>
            </w:r>
          </w:p>
        </w:tc>
        <w:tc>
          <w:tcPr>
            <w:tcW w:w="1371" w:type="dxa"/>
            <w:tcBorders>
              <w:top w:val="nil"/>
              <w:left w:val="nil"/>
              <w:bottom w:val="single" w:sz="4" w:space="0" w:color="auto"/>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0.752091287</w:t>
            </w:r>
          </w:p>
        </w:tc>
        <w:tc>
          <w:tcPr>
            <w:tcW w:w="1371" w:type="dxa"/>
            <w:tcBorders>
              <w:top w:val="nil"/>
              <w:left w:val="nil"/>
              <w:bottom w:val="single" w:sz="4" w:space="0" w:color="auto"/>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0.636513101</w:t>
            </w:r>
          </w:p>
        </w:tc>
        <w:tc>
          <w:tcPr>
            <w:tcW w:w="1371" w:type="dxa"/>
            <w:tcBorders>
              <w:top w:val="nil"/>
              <w:left w:val="nil"/>
              <w:bottom w:val="single" w:sz="4" w:space="0" w:color="auto"/>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0.888656185</w:t>
            </w:r>
          </w:p>
        </w:tc>
        <w:tc>
          <w:tcPr>
            <w:tcW w:w="1371" w:type="dxa"/>
            <w:tcBorders>
              <w:top w:val="nil"/>
              <w:left w:val="nil"/>
              <w:bottom w:val="single" w:sz="4" w:space="0" w:color="auto"/>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0.000818097</w:t>
            </w:r>
          </w:p>
        </w:tc>
        <w:tc>
          <w:tcPr>
            <w:tcW w:w="1329" w:type="dxa"/>
            <w:tcBorders>
              <w:top w:val="nil"/>
              <w:left w:val="nil"/>
              <w:bottom w:val="single" w:sz="4" w:space="0" w:color="auto"/>
              <w:right w:val="nil"/>
            </w:tcBorders>
            <w:shd w:val="clear" w:color="auto" w:fill="auto"/>
            <w:noWrap/>
            <w:vAlign w:val="center"/>
          </w:tcPr>
          <w:p w:rsidR="004B157A" w:rsidRDefault="004B157A" w:rsidP="00E511FE">
            <w:pPr>
              <w:widowControl/>
              <w:jc w:val="right"/>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2.34E-05</w:t>
            </w:r>
          </w:p>
        </w:tc>
      </w:tr>
    </w:tbl>
    <w:p w:rsidR="004B157A" w:rsidRDefault="004B157A" w:rsidP="004B157A"/>
    <w:p w:rsidR="004B157A" w:rsidRDefault="004B157A" w:rsidP="004B157A">
      <w:pPr>
        <w:widowControl/>
        <w:jc w:val="left"/>
        <w:textAlignment w:val="center"/>
        <w:rPr>
          <w:rFonts w:ascii="Times New Roman" w:eastAsia="SimSun" w:hAnsi="Times New Roman" w:cs="Times New Roman"/>
          <w:b/>
          <w:bCs/>
          <w:color w:val="000000"/>
          <w:sz w:val="22"/>
        </w:rPr>
      </w:pPr>
      <w:r>
        <w:rPr>
          <w:rFonts w:ascii="Times New Roman" w:eastAsia="SimSun" w:hAnsi="Times New Roman" w:cs="Times New Roman" w:hint="eastAsia"/>
          <w:b/>
          <w:bCs/>
          <w:color w:val="000000"/>
          <w:sz w:val="22"/>
          <w:szCs w:val="22"/>
        </w:rPr>
        <w:lastRenderedPageBreak/>
        <w:t>Table S2. Clinical and pathological information of validation samples.</w:t>
      </w:r>
    </w:p>
    <w:p w:rsidR="004B157A" w:rsidRDefault="004B157A" w:rsidP="004B157A">
      <w:pPr>
        <w:widowControl/>
        <w:jc w:val="left"/>
        <w:textAlignment w:val="center"/>
        <w:rPr>
          <w:rFonts w:ascii="Times New Roman" w:eastAsia="SimSun" w:hAnsi="Times New Roman" w:cs="Times New Roman"/>
          <w:b/>
          <w:bCs/>
          <w:kern w:val="0"/>
          <w:sz w:val="22"/>
          <w:lang w:bidi="ar"/>
        </w:rPr>
      </w:pPr>
    </w:p>
    <w:tbl>
      <w:tblPr>
        <w:tblW w:w="8218" w:type="dxa"/>
        <w:tblInd w:w="98" w:type="dxa"/>
        <w:tblLook w:val="04A0" w:firstRow="1" w:lastRow="0" w:firstColumn="1" w:lastColumn="0" w:noHBand="0" w:noVBand="1"/>
      </w:tblPr>
      <w:tblGrid>
        <w:gridCol w:w="4027"/>
        <w:gridCol w:w="1566"/>
        <w:gridCol w:w="1434"/>
        <w:gridCol w:w="1191"/>
      </w:tblGrid>
      <w:tr w:rsidR="004B157A" w:rsidTr="00E511FE">
        <w:trPr>
          <w:trHeight w:val="345"/>
        </w:trPr>
        <w:tc>
          <w:tcPr>
            <w:tcW w:w="4027" w:type="dxa"/>
            <w:tcBorders>
              <w:top w:val="single" w:sz="4" w:space="0" w:color="000000"/>
              <w:left w:val="nil"/>
              <w:bottom w:val="single" w:sz="4" w:space="0" w:color="000000"/>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Subtype</w:t>
            </w:r>
          </w:p>
        </w:tc>
        <w:tc>
          <w:tcPr>
            <w:tcW w:w="1566" w:type="dxa"/>
            <w:tcBorders>
              <w:top w:val="single" w:sz="4" w:space="0" w:color="000000"/>
              <w:left w:val="nil"/>
              <w:bottom w:val="single" w:sz="4" w:space="0" w:color="000000"/>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LDFM</w:t>
            </w:r>
          </w:p>
        </w:tc>
        <w:tc>
          <w:tcPr>
            <w:tcW w:w="1434" w:type="dxa"/>
            <w:tcBorders>
              <w:top w:val="single" w:sz="4" w:space="0" w:color="000000"/>
              <w:left w:val="nil"/>
              <w:bottom w:val="single" w:sz="4" w:space="0" w:color="000000"/>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MDFM</w:t>
            </w:r>
          </w:p>
        </w:tc>
        <w:tc>
          <w:tcPr>
            <w:tcW w:w="1191" w:type="dxa"/>
            <w:tcBorders>
              <w:top w:val="single" w:sz="4" w:space="0" w:color="000000"/>
              <w:left w:val="nil"/>
              <w:bottom w:val="single" w:sz="4" w:space="0" w:color="000000"/>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HDFM</w:t>
            </w:r>
          </w:p>
        </w:tc>
      </w:tr>
      <w:tr w:rsidR="004B157A" w:rsidTr="00E511FE">
        <w:trPr>
          <w:trHeight w:val="345"/>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Number of patients</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4</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3</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4</w:t>
            </w: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Gender</w:t>
            </w: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 xml:space="preserve">  Male, n</w:t>
            </w:r>
            <w:r>
              <w:rPr>
                <w:rFonts w:ascii="Times New Roman" w:eastAsia="SimSun" w:hAnsi="Times New Roman" w:cs="Times New Roman"/>
                <w:b/>
                <w:bCs/>
                <w:kern w:val="0"/>
                <w:sz w:val="22"/>
                <w:szCs w:val="22"/>
                <w:lang w:bidi="ar"/>
              </w:rPr>
              <w:t>（</w:t>
            </w:r>
            <w:r>
              <w:rPr>
                <w:rFonts w:ascii="Times New Roman" w:eastAsia="SimSun" w:hAnsi="Times New Roman" w:cs="Times New Roman"/>
                <w:b/>
                <w:bCs/>
                <w:kern w:val="0"/>
                <w:sz w:val="22"/>
                <w:szCs w:val="22"/>
                <w:lang w:bidi="ar"/>
              </w:rPr>
              <w:t>%</w:t>
            </w:r>
            <w:r>
              <w:rPr>
                <w:rFonts w:ascii="Times New Roman" w:eastAsia="SimSun" w:hAnsi="Times New Roman" w:cs="Times New Roman"/>
                <w:b/>
                <w:bCs/>
                <w:kern w:val="0"/>
                <w:sz w:val="22"/>
                <w:szCs w:val="22"/>
                <w:lang w:bidi="ar"/>
              </w:rPr>
              <w:t>）</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2 (50%)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3 (100%)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2 (50%)</w:t>
            </w: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 xml:space="preserve">  Female, n</w:t>
            </w:r>
            <w:r>
              <w:rPr>
                <w:rFonts w:ascii="Times New Roman" w:eastAsia="SimSun" w:hAnsi="Times New Roman" w:cs="Times New Roman"/>
                <w:b/>
                <w:bCs/>
                <w:kern w:val="0"/>
                <w:sz w:val="22"/>
                <w:szCs w:val="22"/>
                <w:lang w:bidi="ar"/>
              </w:rPr>
              <w:t>（</w:t>
            </w:r>
            <w:r>
              <w:rPr>
                <w:rFonts w:ascii="Times New Roman" w:eastAsia="SimSun" w:hAnsi="Times New Roman" w:cs="Times New Roman"/>
                <w:b/>
                <w:bCs/>
                <w:kern w:val="0"/>
                <w:sz w:val="22"/>
                <w:szCs w:val="22"/>
                <w:lang w:bidi="ar"/>
              </w:rPr>
              <w:t>%</w:t>
            </w:r>
            <w:r>
              <w:rPr>
                <w:rFonts w:ascii="Times New Roman" w:eastAsia="SimSun" w:hAnsi="Times New Roman" w:cs="Times New Roman"/>
                <w:b/>
                <w:bCs/>
                <w:kern w:val="0"/>
                <w:sz w:val="22"/>
                <w:szCs w:val="22"/>
                <w:lang w:bidi="ar"/>
              </w:rPr>
              <w:t>）</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2 (50%)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0 (0%)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2 (50%)</w:t>
            </w: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Age</w:t>
            </w:r>
            <w:r>
              <w:rPr>
                <w:rFonts w:ascii="Times New Roman" w:eastAsia="SimSun" w:hAnsi="Times New Roman" w:cs="Times New Roman" w:hint="eastAsia"/>
                <w:b/>
                <w:bCs/>
                <w:kern w:val="0"/>
                <w:sz w:val="22"/>
                <w:szCs w:val="22"/>
                <w:lang w:bidi="ar"/>
              </w:rPr>
              <w:t>（</w:t>
            </w:r>
            <w:r>
              <w:rPr>
                <w:rFonts w:ascii="Times New Roman" w:eastAsia="SimSun" w:hAnsi="Times New Roman" w:cs="Times New Roman" w:hint="eastAsia"/>
                <w:b/>
                <w:bCs/>
                <w:kern w:val="0"/>
                <w:sz w:val="22"/>
                <w:szCs w:val="22"/>
                <w:lang w:bidi="ar"/>
              </w:rPr>
              <w:t>years</w:t>
            </w:r>
            <w:r>
              <w:rPr>
                <w:rFonts w:ascii="Times New Roman" w:eastAsia="SimSun" w:hAnsi="Times New Roman" w:cs="Times New Roman" w:hint="eastAsia"/>
                <w:b/>
                <w:bCs/>
                <w:kern w:val="0"/>
                <w:sz w:val="22"/>
                <w:szCs w:val="22"/>
                <w:lang w:bidi="ar"/>
              </w:rPr>
              <w:t>）</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63.25</w:t>
            </w:r>
            <w:r>
              <w:rPr>
                <w:rFonts w:ascii="Times New Roman" w:eastAsia="SimSun" w:hAnsi="Times New Roman" w:cs="Times New Roman" w:hint="eastAsia"/>
                <w:kern w:val="0"/>
                <w:sz w:val="22"/>
                <w:szCs w:val="22"/>
                <w:lang w:bidi="ar"/>
              </w:rPr>
              <w:t xml:space="preserve"> </w:t>
            </w:r>
            <w:r>
              <w:rPr>
                <w:rFonts w:ascii="Times New Roman" w:eastAsia="SimSun" w:hAnsi="Times New Roman" w:cs="Times New Roman"/>
                <w:kern w:val="0"/>
                <w:sz w:val="22"/>
                <w:szCs w:val="22"/>
                <w:lang w:bidi="ar"/>
              </w:rPr>
              <w:t>±</w:t>
            </w:r>
            <w:r>
              <w:rPr>
                <w:rFonts w:ascii="Times New Roman" w:eastAsia="SimSun" w:hAnsi="Times New Roman" w:cs="Times New Roman" w:hint="eastAsia"/>
                <w:kern w:val="0"/>
                <w:sz w:val="22"/>
                <w:szCs w:val="22"/>
                <w:lang w:bidi="ar"/>
              </w:rPr>
              <w:t xml:space="preserve"> </w:t>
            </w:r>
            <w:r>
              <w:rPr>
                <w:rFonts w:ascii="Times New Roman" w:eastAsia="SimSun" w:hAnsi="Times New Roman" w:cs="Times New Roman"/>
                <w:kern w:val="0"/>
                <w:sz w:val="22"/>
                <w:szCs w:val="22"/>
                <w:lang w:bidi="ar"/>
              </w:rPr>
              <w:t>6.18</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64</w:t>
            </w:r>
            <w:r>
              <w:rPr>
                <w:rFonts w:ascii="Times New Roman" w:eastAsia="SimSun" w:hAnsi="Times New Roman" w:cs="Times New Roman" w:hint="eastAsia"/>
                <w:kern w:val="0"/>
                <w:sz w:val="22"/>
                <w:szCs w:val="22"/>
                <w:lang w:bidi="ar"/>
              </w:rPr>
              <w:t xml:space="preserve"> </w:t>
            </w:r>
            <w:r>
              <w:rPr>
                <w:rFonts w:ascii="Times New Roman" w:eastAsia="SimSun" w:hAnsi="Times New Roman" w:cs="Times New Roman"/>
                <w:kern w:val="0"/>
                <w:sz w:val="22"/>
                <w:szCs w:val="22"/>
                <w:lang w:bidi="ar"/>
              </w:rPr>
              <w:t>±</w:t>
            </w:r>
            <w:r>
              <w:rPr>
                <w:rFonts w:ascii="Times New Roman" w:eastAsia="SimSun" w:hAnsi="Times New Roman" w:cs="Times New Roman" w:hint="eastAsia"/>
                <w:kern w:val="0"/>
                <w:sz w:val="22"/>
                <w:szCs w:val="22"/>
                <w:lang w:bidi="ar"/>
              </w:rPr>
              <w:t xml:space="preserve"> </w:t>
            </w:r>
            <w:r>
              <w:rPr>
                <w:rFonts w:ascii="Times New Roman" w:eastAsia="SimSun" w:hAnsi="Times New Roman" w:cs="Times New Roman"/>
                <w:kern w:val="0"/>
                <w:sz w:val="22"/>
                <w:szCs w:val="22"/>
                <w:lang w:bidi="ar"/>
              </w:rPr>
              <w:t>2.65</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54</w:t>
            </w:r>
            <w:r>
              <w:rPr>
                <w:rFonts w:ascii="Times New Roman" w:eastAsia="SimSun" w:hAnsi="Times New Roman" w:cs="Times New Roman" w:hint="eastAsia"/>
                <w:kern w:val="0"/>
                <w:sz w:val="22"/>
                <w:szCs w:val="22"/>
                <w:lang w:bidi="ar"/>
              </w:rPr>
              <w:t xml:space="preserve"> </w:t>
            </w:r>
            <w:r>
              <w:rPr>
                <w:rFonts w:ascii="Times New Roman" w:eastAsia="SimSun" w:hAnsi="Times New Roman" w:cs="Times New Roman"/>
                <w:kern w:val="0"/>
                <w:sz w:val="22"/>
                <w:szCs w:val="22"/>
                <w:lang w:bidi="ar"/>
              </w:rPr>
              <w:t>±</w:t>
            </w:r>
            <w:r>
              <w:rPr>
                <w:rFonts w:ascii="Times New Roman" w:eastAsia="SimSun" w:hAnsi="Times New Roman" w:cs="Times New Roman" w:hint="eastAsia"/>
                <w:kern w:val="0"/>
                <w:sz w:val="22"/>
                <w:szCs w:val="22"/>
                <w:lang w:bidi="ar"/>
              </w:rPr>
              <w:t xml:space="preserve"> </w:t>
            </w:r>
            <w:r>
              <w:rPr>
                <w:rFonts w:ascii="Times New Roman" w:eastAsia="SimSun" w:hAnsi="Times New Roman" w:cs="Times New Roman"/>
                <w:kern w:val="0"/>
                <w:sz w:val="22"/>
                <w:szCs w:val="22"/>
                <w:lang w:bidi="ar"/>
              </w:rPr>
              <w:t>19.3</w:t>
            </w: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Differentiation</w:t>
            </w: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 xml:space="preserve">  Poorly differentiated, n (%)</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4 (100%)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2 (66.67%)</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0 (0%)</w:t>
            </w: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 xml:space="preserve">  Well differentiated, n (%)</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0 (0%)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1 (33.33%)</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4(100%)</w:t>
            </w: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proofErr w:type="spellStart"/>
            <w:r>
              <w:rPr>
                <w:rFonts w:ascii="Times New Roman" w:eastAsia="SimSun" w:hAnsi="Times New Roman" w:cs="Times New Roman"/>
                <w:b/>
                <w:bCs/>
                <w:kern w:val="0"/>
                <w:sz w:val="22"/>
                <w:szCs w:val="22"/>
                <w:lang w:bidi="ar"/>
              </w:rPr>
              <w:t>Immune_infiltration</w:t>
            </w:r>
            <w:proofErr w:type="spellEnd"/>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c>
          <w:tcPr>
            <w:tcW w:w="0" w:type="auto"/>
            <w:tcBorders>
              <w:top w:val="nil"/>
              <w:left w:val="nil"/>
              <w:bottom w:val="nil"/>
              <w:right w:val="nil"/>
            </w:tcBorders>
            <w:shd w:val="clear" w:color="auto" w:fill="auto"/>
            <w:noWrap/>
            <w:vAlign w:val="center"/>
          </w:tcPr>
          <w:p w:rsidR="004B157A" w:rsidRDefault="004B157A" w:rsidP="00E511FE">
            <w:pPr>
              <w:jc w:val="center"/>
              <w:rPr>
                <w:rFonts w:ascii="Times New Roman" w:eastAsia="SimSun" w:hAnsi="Times New Roman" w:cs="Times New Roman"/>
                <w:sz w:val="22"/>
              </w:rPr>
            </w:pP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 xml:space="preserve">  Low</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4 (100%)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2 (66.67%)</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0 (0%)</w:t>
            </w:r>
          </w:p>
        </w:tc>
      </w:tr>
      <w:tr w:rsidR="004B157A" w:rsidTr="00E511FE">
        <w:trPr>
          <w:trHeight w:val="334"/>
        </w:trPr>
        <w:tc>
          <w:tcPr>
            <w:tcW w:w="0" w:type="auto"/>
            <w:tcBorders>
              <w:top w:val="nil"/>
              <w:left w:val="nil"/>
              <w:bottom w:val="nil"/>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 xml:space="preserve">  High</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0 (0%)</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1 (33.33%)</w:t>
            </w:r>
          </w:p>
        </w:tc>
        <w:tc>
          <w:tcPr>
            <w:tcW w:w="0" w:type="auto"/>
            <w:tcBorders>
              <w:top w:val="nil"/>
              <w:left w:val="nil"/>
              <w:bottom w:val="nil"/>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4 (100%)</w:t>
            </w:r>
          </w:p>
        </w:tc>
      </w:tr>
      <w:tr w:rsidR="004B157A" w:rsidTr="00E511FE">
        <w:trPr>
          <w:trHeight w:val="345"/>
        </w:trPr>
        <w:tc>
          <w:tcPr>
            <w:tcW w:w="0" w:type="auto"/>
            <w:tcBorders>
              <w:top w:val="nil"/>
              <w:left w:val="nil"/>
              <w:bottom w:val="single" w:sz="4" w:space="0" w:color="000000"/>
              <w:right w:val="nil"/>
            </w:tcBorders>
            <w:shd w:val="clear" w:color="auto" w:fill="auto"/>
            <w:noWrap/>
            <w:vAlign w:val="center"/>
          </w:tcPr>
          <w:p w:rsidR="004B157A" w:rsidRDefault="004B157A" w:rsidP="00E511FE">
            <w:pPr>
              <w:widowControl/>
              <w:jc w:val="left"/>
              <w:textAlignment w:val="center"/>
              <w:rPr>
                <w:rFonts w:ascii="Times New Roman" w:eastAsia="SimSun" w:hAnsi="Times New Roman" w:cs="Times New Roman"/>
                <w:b/>
                <w:bCs/>
                <w:sz w:val="22"/>
              </w:rPr>
            </w:pPr>
            <w:r>
              <w:rPr>
                <w:rFonts w:ascii="Times New Roman" w:eastAsia="SimSun" w:hAnsi="Times New Roman" w:cs="Times New Roman"/>
                <w:b/>
                <w:bCs/>
                <w:kern w:val="0"/>
                <w:sz w:val="22"/>
                <w:szCs w:val="22"/>
                <w:lang w:bidi="ar"/>
              </w:rPr>
              <w:t>Metastasis, n (%)</w:t>
            </w:r>
          </w:p>
        </w:tc>
        <w:tc>
          <w:tcPr>
            <w:tcW w:w="0" w:type="auto"/>
            <w:tcBorders>
              <w:top w:val="nil"/>
              <w:left w:val="nil"/>
              <w:bottom w:val="single" w:sz="4" w:space="0" w:color="000000"/>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4 (100%)</w:t>
            </w:r>
          </w:p>
        </w:tc>
        <w:tc>
          <w:tcPr>
            <w:tcW w:w="0" w:type="auto"/>
            <w:tcBorders>
              <w:top w:val="nil"/>
              <w:left w:val="nil"/>
              <w:bottom w:val="single" w:sz="4" w:space="0" w:color="000000"/>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2 (66.67%)</w:t>
            </w:r>
          </w:p>
        </w:tc>
        <w:tc>
          <w:tcPr>
            <w:tcW w:w="0" w:type="auto"/>
            <w:tcBorders>
              <w:top w:val="nil"/>
              <w:left w:val="nil"/>
              <w:bottom w:val="single" w:sz="4" w:space="0" w:color="000000"/>
              <w:right w:val="nil"/>
            </w:tcBorders>
            <w:shd w:val="clear" w:color="auto" w:fill="auto"/>
            <w:noWrap/>
            <w:vAlign w:val="center"/>
          </w:tcPr>
          <w:p w:rsidR="004B157A" w:rsidRDefault="004B157A" w:rsidP="00E511FE">
            <w:pPr>
              <w:widowControl/>
              <w:jc w:val="center"/>
              <w:textAlignment w:val="center"/>
              <w:rPr>
                <w:rFonts w:ascii="Times New Roman" w:eastAsia="SimSun" w:hAnsi="Times New Roman" w:cs="Times New Roman"/>
                <w:sz w:val="22"/>
              </w:rPr>
            </w:pPr>
            <w:r>
              <w:rPr>
                <w:rFonts w:ascii="Times New Roman" w:eastAsia="SimSun" w:hAnsi="Times New Roman" w:cs="Times New Roman"/>
                <w:kern w:val="0"/>
                <w:sz w:val="22"/>
                <w:szCs w:val="22"/>
                <w:lang w:bidi="ar"/>
              </w:rPr>
              <w:t>0 (0%)</w:t>
            </w:r>
          </w:p>
        </w:tc>
      </w:tr>
    </w:tbl>
    <w:p w:rsidR="004B157A" w:rsidRDefault="004B157A" w:rsidP="004B157A"/>
    <w:p w:rsidR="00511D0E" w:rsidRDefault="00511D0E">
      <w:pPr>
        <w:rPr>
          <w:rFonts w:ascii="Times New Roman" w:hAnsi="Times New Roman" w:cs="Times New Roman"/>
          <w:b/>
          <w:bCs/>
        </w:rPr>
      </w:pPr>
    </w:p>
    <w:sectPr w:rsidR="00511D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4CA37F06"/>
    <w:rsid w:val="004B157A"/>
    <w:rsid w:val="00511D0E"/>
    <w:rsid w:val="00B21176"/>
    <w:rsid w:val="180479C2"/>
    <w:rsid w:val="2035721F"/>
    <w:rsid w:val="4CA37F06"/>
    <w:rsid w:val="722117D1"/>
    <w:rsid w:val="758F6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378038-7C27-4AAB-B990-A7DE62EF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engXian" w:eastAsia="DengXian" w:hAnsi="DengXi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B157A"/>
    <w:rPr>
      <w:sz w:val="18"/>
      <w:szCs w:val="18"/>
    </w:rPr>
  </w:style>
  <w:style w:type="character" w:customStyle="1" w:styleId="BalloonTextChar">
    <w:name w:val="Balloon Text Char"/>
    <w:basedOn w:val="DefaultParagraphFont"/>
    <w:link w:val="BalloonText"/>
    <w:rsid w:val="004B157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fontTable" Target="fontTable.xml"/><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18</Pages>
  <Words>1381</Words>
  <Characters>7874</Characters>
  <Application>Microsoft Office Word</Application>
  <DocSecurity>0</DocSecurity>
  <Lines>65</Lines>
  <Paragraphs>18</Paragraphs>
  <ScaleCrop>false</ScaleCrop>
  <Company/>
  <LinksUpToDate>false</LinksUpToDate>
  <CharactersWithSpaces>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陆钰唯</dc:creator>
  <cp:lastModifiedBy>Jini Mol</cp:lastModifiedBy>
  <cp:revision>3</cp:revision>
  <dcterms:created xsi:type="dcterms:W3CDTF">2023-02-26T14:09:00Z</dcterms:created>
  <dcterms:modified xsi:type="dcterms:W3CDTF">2023-12-12T07:12:00Z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C15AA716AB6A46D0B34037C03B27E846</vt:lpwstr>
  </property>
</Properties>
</file>