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0DE4F" w14:textId="270E28C6" w:rsidR="002B574F" w:rsidRPr="00494A21" w:rsidRDefault="002B574F" w:rsidP="002B574F">
      <w:pPr>
        <w:rPr>
          <w:rFonts w:ascii="Arial" w:hAnsi="Arial" w:cs="Arial"/>
          <w:sz w:val="24"/>
          <w:szCs w:val="24"/>
        </w:rPr>
      </w:pPr>
      <w:r w:rsidRPr="00494A21">
        <w:rPr>
          <w:rFonts w:ascii="Arial" w:hAnsi="Arial" w:cs="Arial"/>
          <w:sz w:val="24"/>
          <w:szCs w:val="24"/>
        </w:rPr>
        <w:t xml:space="preserve">The inactivation of </w:t>
      </w:r>
      <w:r w:rsidRPr="00494A21">
        <w:rPr>
          <w:rFonts w:ascii="Arial" w:eastAsia="Aptos" w:hAnsi="Arial" w:cs="Arial"/>
          <w:sz w:val="24"/>
          <w:szCs w:val="24"/>
        </w:rPr>
        <w:t xml:space="preserve">the </w:t>
      </w:r>
      <w:r w:rsidRPr="00494A21">
        <w:rPr>
          <w:rFonts w:ascii="Arial" w:hAnsi="Arial" w:cs="Arial"/>
          <w:sz w:val="24"/>
          <w:szCs w:val="24"/>
        </w:rPr>
        <w:t xml:space="preserve">Niemann Pick C1 cholesterol transporter restricts SARS-CoV-2 entry into host cells by </w:t>
      </w:r>
      <w:r w:rsidR="00356960" w:rsidRPr="00494A21">
        <w:rPr>
          <w:rFonts w:ascii="Arial" w:hAnsi="Arial" w:cs="Arial"/>
          <w:sz w:val="24"/>
          <w:szCs w:val="24"/>
        </w:rPr>
        <w:t>decreasing the abundance of</w:t>
      </w:r>
      <w:r w:rsidRPr="00494A21">
        <w:rPr>
          <w:rFonts w:ascii="Arial" w:hAnsi="Arial" w:cs="Arial"/>
          <w:sz w:val="24"/>
          <w:szCs w:val="24"/>
        </w:rPr>
        <w:t xml:space="preserve"> ACE</w:t>
      </w:r>
      <w:r w:rsidR="00125CD5" w:rsidRPr="00494A21">
        <w:rPr>
          <w:rFonts w:ascii="Arial" w:hAnsi="Arial" w:cs="Arial"/>
          <w:sz w:val="24"/>
          <w:szCs w:val="24"/>
        </w:rPr>
        <w:t>2</w:t>
      </w:r>
      <w:r w:rsidRPr="00494A21">
        <w:rPr>
          <w:rFonts w:ascii="Arial" w:hAnsi="Arial" w:cs="Arial"/>
          <w:sz w:val="24"/>
          <w:szCs w:val="24"/>
        </w:rPr>
        <w:t xml:space="preserve"> at the plasma membrane. </w:t>
      </w:r>
    </w:p>
    <w:p w14:paraId="03ED5AE3" w14:textId="2720A55B" w:rsidR="002B574F" w:rsidRPr="00494A21" w:rsidRDefault="002B574F" w:rsidP="002B574F">
      <w:pPr>
        <w:rPr>
          <w:rFonts w:ascii="Arial" w:hAnsi="Arial" w:cs="Arial"/>
          <w:sz w:val="20"/>
          <w:szCs w:val="20"/>
          <w:lang w:val="it-IT"/>
        </w:rPr>
      </w:pPr>
      <w:r w:rsidRPr="00494A21">
        <w:rPr>
          <w:rFonts w:ascii="Arial" w:hAnsi="Arial" w:cs="Arial"/>
          <w:sz w:val="20"/>
          <w:szCs w:val="20"/>
          <w:lang w:val="it-IT"/>
        </w:rPr>
        <w:t>Piergiorgio La Rosa1,2,§, Jessica Tiberi1,3,§, Enrico Palermo4,§, Roberta Stefanelli1,2, Sofia</w:t>
      </w:r>
      <w:r w:rsidR="00125CD5" w:rsidRPr="00494A21">
        <w:rPr>
          <w:rFonts w:ascii="Arial" w:hAnsi="Arial" w:cs="Arial"/>
          <w:sz w:val="20"/>
          <w:szCs w:val="20"/>
          <w:lang w:val="it-IT"/>
        </w:rPr>
        <w:t xml:space="preserve"> Matia Luigia</w:t>
      </w:r>
      <w:r w:rsidRPr="00494A21">
        <w:rPr>
          <w:rFonts w:ascii="Arial" w:hAnsi="Arial" w:cs="Arial"/>
          <w:sz w:val="20"/>
          <w:szCs w:val="20"/>
          <w:lang w:val="it-IT"/>
        </w:rPr>
        <w:t xml:space="preserve"> Tiano5, Sonia Canterini1,2, Mirko Cortese5,6, John Hiscott4, Maria Teresa Fiorenza1,2,*</w:t>
      </w:r>
    </w:p>
    <w:p w14:paraId="15955B3C" w14:textId="77777777" w:rsidR="00AF712E" w:rsidRPr="00494A21" w:rsidRDefault="00AF712E" w:rsidP="003E46DD">
      <w:pPr>
        <w:rPr>
          <w:rFonts w:ascii="Arial" w:hAnsi="Arial" w:cs="Arial"/>
          <w:sz w:val="20"/>
          <w:szCs w:val="20"/>
          <w:lang w:val="it-IT"/>
        </w:rPr>
      </w:pPr>
    </w:p>
    <w:p w14:paraId="7C9DD755" w14:textId="77777777" w:rsidR="00AF712E" w:rsidRPr="00494A21" w:rsidRDefault="00AF712E" w:rsidP="00AF712E">
      <w:pPr>
        <w:spacing w:after="120" w:line="360" w:lineRule="auto"/>
        <w:ind w:left="-142"/>
        <w:rPr>
          <w:rFonts w:ascii="Arial" w:hAnsi="Arial" w:cs="Arial"/>
          <w:i/>
          <w:sz w:val="20"/>
          <w:szCs w:val="20"/>
        </w:rPr>
      </w:pPr>
      <w:r w:rsidRPr="00494A21">
        <w:rPr>
          <w:rFonts w:ascii="Arial" w:hAnsi="Arial" w:cs="Arial"/>
          <w:i/>
          <w:sz w:val="20"/>
          <w:szCs w:val="20"/>
        </w:rPr>
        <w:t>§ Equal contribution</w:t>
      </w:r>
    </w:p>
    <w:p w14:paraId="4E5ADBC1" w14:textId="77777777" w:rsidR="00AF712E" w:rsidRPr="00494A21" w:rsidRDefault="00AF712E" w:rsidP="00AF712E">
      <w:pPr>
        <w:spacing w:after="120"/>
        <w:rPr>
          <w:rFonts w:ascii="Arial" w:hAnsi="Arial" w:cs="Arial"/>
          <w:sz w:val="20"/>
          <w:szCs w:val="20"/>
        </w:rPr>
      </w:pPr>
      <w:r w:rsidRPr="00494A21">
        <w:rPr>
          <w:rFonts w:ascii="Arial" w:hAnsi="Arial" w:cs="Arial"/>
          <w:sz w:val="20"/>
          <w:szCs w:val="20"/>
        </w:rPr>
        <w:t>*Corresponding.</w:t>
      </w:r>
    </w:p>
    <w:p w14:paraId="0EAD48F8" w14:textId="77777777" w:rsidR="00AF712E" w:rsidRPr="00494A21" w:rsidRDefault="00AF712E" w:rsidP="00AF712E">
      <w:pPr>
        <w:spacing w:after="120"/>
        <w:rPr>
          <w:rFonts w:ascii="Arial" w:hAnsi="Arial" w:cs="Arial"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t xml:space="preserve">Email: </w:t>
      </w:r>
      <w:r w:rsidRPr="00494A21">
        <w:rPr>
          <w:rFonts w:ascii="Arial" w:hAnsi="Arial" w:cs="Arial"/>
          <w:sz w:val="20"/>
          <w:szCs w:val="20"/>
        </w:rPr>
        <w:t xml:space="preserve"> </w:t>
      </w:r>
      <w:hyperlink r:id="rId4" w:history="1">
        <w:r w:rsidRPr="00494A21">
          <w:rPr>
            <w:rStyle w:val="Hyperlink"/>
            <w:rFonts w:ascii="Arial" w:hAnsi="Arial" w:cs="Arial"/>
            <w:color w:val="auto"/>
            <w:sz w:val="20"/>
            <w:szCs w:val="20"/>
          </w:rPr>
          <w:t>mariateresa.fiorenza@uniroma1.it</w:t>
        </w:r>
      </w:hyperlink>
    </w:p>
    <w:p w14:paraId="381AF10A" w14:textId="77777777" w:rsidR="00AF712E" w:rsidRPr="00494A21" w:rsidRDefault="00AF712E"/>
    <w:p w14:paraId="46CBC26D" w14:textId="77777777" w:rsidR="00AF712E" w:rsidRPr="00494A21" w:rsidRDefault="00AF712E"/>
    <w:p w14:paraId="2C1034BC" w14:textId="71D90CB0" w:rsidR="001F2A37" w:rsidRPr="00494A21" w:rsidRDefault="001F2A37">
      <w:pPr>
        <w:rPr>
          <w:b/>
          <w:bCs/>
        </w:rPr>
      </w:pPr>
      <w:r w:rsidRPr="00494A21">
        <w:rPr>
          <w:b/>
          <w:bCs/>
        </w:rPr>
        <w:t>SUPPLEMENTARY MATERIALS</w:t>
      </w:r>
    </w:p>
    <w:p w14:paraId="07D50736" w14:textId="77777777" w:rsidR="001F2A37" w:rsidRPr="00494A21" w:rsidRDefault="001F2A37">
      <w:pPr>
        <w:rPr>
          <w:b/>
          <w:bCs/>
        </w:rPr>
      </w:pPr>
    </w:p>
    <w:p w14:paraId="64D95978" w14:textId="77777777" w:rsidR="004B3A81" w:rsidRPr="00494A21" w:rsidRDefault="004B3A81" w:rsidP="004B3A8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t>Supplementary figure legends</w:t>
      </w:r>
    </w:p>
    <w:p w14:paraId="0DD09D76" w14:textId="112A229E" w:rsidR="00356960" w:rsidRPr="00494A21" w:rsidRDefault="00356960" w:rsidP="004B3A8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t xml:space="preserve">Figure 1S. </w:t>
      </w:r>
      <w:r w:rsidRPr="00494A21">
        <w:rPr>
          <w:rFonts w:ascii="Arial" w:hAnsi="Arial" w:cs="Arial"/>
          <w:bCs/>
          <w:sz w:val="20"/>
          <w:szCs w:val="20"/>
        </w:rPr>
        <w:t>Validation of the</w:t>
      </w:r>
      <w:r w:rsidRPr="00494A21">
        <w:rPr>
          <w:rFonts w:ascii="Arial" w:hAnsi="Arial" w:cs="Arial"/>
          <w:b/>
          <w:sz w:val="20"/>
          <w:szCs w:val="20"/>
        </w:rPr>
        <w:t xml:space="preserve"> </w:t>
      </w:r>
      <w:r w:rsidRPr="00494A21">
        <w:rPr>
          <w:rFonts w:ascii="Arial" w:hAnsi="Arial" w:cs="Arial"/>
          <w:bCs/>
          <w:sz w:val="20"/>
          <w:szCs w:val="20"/>
        </w:rPr>
        <w:t>experimental approach used to isolate plasma membrane proteins. 40-50</w:t>
      </w:r>
      <w:r w:rsidRPr="00494A21">
        <w:rPr>
          <w:rFonts w:ascii="Arial" w:hAnsi="Arial" w:cs="Arial"/>
          <w:bCs/>
          <w:sz w:val="20"/>
          <w:szCs w:val="20"/>
          <w:vertAlign w:val="superscript"/>
        </w:rPr>
        <w:t>x</w:t>
      </w:r>
      <w:r w:rsidRPr="00494A21">
        <w:rPr>
          <w:rFonts w:ascii="Arial" w:hAnsi="Arial" w:cs="Arial"/>
          <w:bCs/>
          <w:sz w:val="20"/>
          <w:szCs w:val="20"/>
        </w:rPr>
        <w:t>10</w:t>
      </w:r>
      <w:r w:rsidRPr="00494A21">
        <w:rPr>
          <w:rFonts w:ascii="Arial" w:hAnsi="Arial" w:cs="Arial"/>
          <w:bCs/>
          <w:sz w:val="20"/>
          <w:szCs w:val="20"/>
          <w:vertAlign w:val="superscript"/>
        </w:rPr>
        <w:t xml:space="preserve">6 </w:t>
      </w:r>
      <w:r w:rsidRPr="00494A21">
        <w:rPr>
          <w:rFonts w:ascii="Arial" w:hAnsi="Arial" w:cs="Arial"/>
          <w:bCs/>
          <w:sz w:val="20"/>
          <w:szCs w:val="20"/>
        </w:rPr>
        <w:t>cells, either untreated or U18666A</w:t>
      </w:r>
      <w:r w:rsidR="001258E2" w:rsidRPr="00494A21">
        <w:rPr>
          <w:rFonts w:ascii="Arial" w:hAnsi="Arial" w:cs="Arial"/>
          <w:bCs/>
          <w:sz w:val="20"/>
          <w:szCs w:val="20"/>
        </w:rPr>
        <w:t>-</w:t>
      </w:r>
      <w:r w:rsidRPr="00494A21">
        <w:rPr>
          <w:rFonts w:ascii="Arial" w:hAnsi="Arial" w:cs="Arial"/>
          <w:bCs/>
          <w:sz w:val="20"/>
          <w:szCs w:val="20"/>
        </w:rPr>
        <w:t xml:space="preserve">treated were processed </w:t>
      </w:r>
      <w:r w:rsidR="001258E2" w:rsidRPr="00494A21">
        <w:rPr>
          <w:rFonts w:ascii="Arial" w:hAnsi="Arial" w:cs="Arial"/>
          <w:sz w:val="20"/>
          <w:szCs w:val="20"/>
        </w:rPr>
        <w:t>as described under materials and methods</w:t>
      </w:r>
      <w:r w:rsidRPr="00494A21">
        <w:rPr>
          <w:rFonts w:ascii="Arial" w:hAnsi="Arial" w:cs="Arial"/>
          <w:sz w:val="20"/>
          <w:szCs w:val="20"/>
        </w:rPr>
        <w:t>. The panel shows the Western blot analysis of the plasma membrane</w:t>
      </w:r>
      <w:r w:rsidR="001258E2" w:rsidRPr="00494A21">
        <w:rPr>
          <w:rFonts w:ascii="Arial" w:hAnsi="Arial" w:cs="Arial"/>
          <w:sz w:val="20"/>
          <w:szCs w:val="20"/>
        </w:rPr>
        <w:t xml:space="preserve"> fractions as compared to total lysate</w:t>
      </w:r>
      <w:r w:rsidR="00C606BE" w:rsidRPr="00494A21">
        <w:rPr>
          <w:rFonts w:ascii="Arial" w:hAnsi="Arial" w:cs="Arial"/>
          <w:sz w:val="20"/>
          <w:szCs w:val="20"/>
        </w:rPr>
        <w:t>s</w:t>
      </w:r>
      <w:r w:rsidR="001258E2" w:rsidRPr="00494A21">
        <w:rPr>
          <w:rFonts w:ascii="Arial" w:hAnsi="Arial" w:cs="Arial"/>
          <w:sz w:val="20"/>
          <w:szCs w:val="20"/>
        </w:rPr>
        <w:t>. ACE2, Na+/K+ ATPase and Caveolin-1 were detected in the membrane fraction and were barely detected</w:t>
      </w:r>
      <w:r w:rsidR="007031F8" w:rsidRPr="00494A21">
        <w:rPr>
          <w:rFonts w:ascii="Arial" w:hAnsi="Arial" w:cs="Arial"/>
          <w:sz w:val="20"/>
          <w:szCs w:val="20"/>
        </w:rPr>
        <w:t>/below detection</w:t>
      </w:r>
      <w:r w:rsidR="001258E2" w:rsidRPr="00494A21">
        <w:rPr>
          <w:rFonts w:ascii="Arial" w:hAnsi="Arial" w:cs="Arial"/>
          <w:sz w:val="20"/>
          <w:szCs w:val="20"/>
        </w:rPr>
        <w:t xml:space="preserve"> in the total lysates. By contrast, the presence of GAPDH landmarked the total lysate fraction, while it was slightly detected in the membrane fraction. Ponceau staining was used as loading control. </w:t>
      </w:r>
    </w:p>
    <w:p w14:paraId="4DC605B3" w14:textId="187EBEC6" w:rsidR="004B3A81" w:rsidRPr="00494A21" w:rsidRDefault="004B3A81" w:rsidP="004B3A8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t xml:space="preserve">Figure </w:t>
      </w:r>
      <w:r w:rsidR="00356960" w:rsidRPr="00494A21">
        <w:rPr>
          <w:rFonts w:ascii="Arial" w:hAnsi="Arial" w:cs="Arial"/>
          <w:b/>
          <w:sz w:val="20"/>
          <w:szCs w:val="20"/>
        </w:rPr>
        <w:t>2</w:t>
      </w:r>
      <w:r w:rsidRPr="00494A21">
        <w:rPr>
          <w:rFonts w:ascii="Arial" w:hAnsi="Arial" w:cs="Arial"/>
          <w:b/>
          <w:sz w:val="20"/>
          <w:szCs w:val="20"/>
        </w:rPr>
        <w:t>S</w:t>
      </w:r>
      <w:r w:rsidRPr="00494A21">
        <w:rPr>
          <w:rFonts w:ascii="Arial" w:hAnsi="Arial" w:cs="Arial"/>
          <w:sz w:val="20"/>
          <w:szCs w:val="20"/>
        </w:rPr>
        <w:t>. Validation of NPC1 phenotype obtained by U18666A drug administration in cell lines originating from various tissues. (</w:t>
      </w:r>
      <w:r w:rsidR="006C4B7B" w:rsidRPr="00494A21">
        <w:rPr>
          <w:rFonts w:ascii="Arial" w:hAnsi="Arial" w:cs="Arial"/>
          <w:sz w:val="20"/>
          <w:szCs w:val="20"/>
        </w:rPr>
        <w:t>a</w:t>
      </w:r>
      <w:r w:rsidRPr="00494A21">
        <w:rPr>
          <w:rFonts w:ascii="Arial" w:hAnsi="Arial" w:cs="Arial"/>
          <w:sz w:val="20"/>
          <w:szCs w:val="20"/>
        </w:rPr>
        <w:t>) Vero E6-TMPRSS2, Caco-2 and Calu-3 cells were treated with increasing concentration of U18666A (0.02 µm-20 µm) for 24 h and stained with filipin; control cells were treated with 0.2% DMSO (vehicle, Ctrl). Cell growth analysis at 24, 48, and 72 h following treatment initiation with increasing U18666A concentrations (0.02 µM-200 µM). (</w:t>
      </w:r>
      <w:r w:rsidR="006C4B7B" w:rsidRPr="00494A21">
        <w:rPr>
          <w:rFonts w:ascii="Arial" w:hAnsi="Arial" w:cs="Arial"/>
          <w:sz w:val="20"/>
          <w:szCs w:val="20"/>
        </w:rPr>
        <w:t>b</w:t>
      </w:r>
      <w:r w:rsidRPr="00494A21">
        <w:rPr>
          <w:rFonts w:ascii="Arial" w:hAnsi="Arial" w:cs="Arial"/>
          <w:sz w:val="20"/>
          <w:szCs w:val="20"/>
        </w:rPr>
        <w:t xml:space="preserve">) Vero E6-TMPRSS2, Caco-2 and Calu-3 cells were treated either with 0.2 µM or 2 µM U18666A for 24, 48, and 72 h and imaged following filipin staining. Representative images of three independent experiments are shown in A and B. Scale bar: 50 µM. **p &lt; 0.01, ****p &lt; 0.0001 </w:t>
      </w:r>
      <w:r w:rsidRPr="00494A21">
        <w:rPr>
          <w:rFonts w:ascii="Arial" w:hAnsi="Arial" w:cs="Arial"/>
          <w:i/>
          <w:sz w:val="20"/>
          <w:szCs w:val="20"/>
        </w:rPr>
        <w:t>vs</w:t>
      </w:r>
      <w:r w:rsidRPr="00494A21">
        <w:rPr>
          <w:rFonts w:ascii="Arial" w:hAnsi="Arial" w:cs="Arial"/>
          <w:sz w:val="20"/>
          <w:szCs w:val="20"/>
        </w:rPr>
        <w:t xml:space="preserve"> Ctrl, calculated by TWO WAY ANOVA.</w:t>
      </w:r>
    </w:p>
    <w:p w14:paraId="0D9BFAE8" w14:textId="54BA2910" w:rsidR="004B3A81" w:rsidRPr="00494A21" w:rsidRDefault="004B3A81" w:rsidP="004B3A8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t xml:space="preserve">Figure </w:t>
      </w:r>
      <w:r w:rsidR="00356960" w:rsidRPr="00494A21">
        <w:rPr>
          <w:rFonts w:ascii="Arial" w:hAnsi="Arial" w:cs="Arial"/>
          <w:b/>
          <w:sz w:val="20"/>
          <w:szCs w:val="20"/>
        </w:rPr>
        <w:t>3</w:t>
      </w:r>
      <w:r w:rsidRPr="00494A21">
        <w:rPr>
          <w:rFonts w:ascii="Arial" w:hAnsi="Arial" w:cs="Arial"/>
          <w:b/>
          <w:sz w:val="20"/>
          <w:szCs w:val="20"/>
        </w:rPr>
        <w:t>S.</w:t>
      </w:r>
      <w:r w:rsidRPr="00494A21">
        <w:rPr>
          <w:rFonts w:ascii="Arial" w:hAnsi="Arial" w:cs="Arial"/>
          <w:sz w:val="20"/>
          <w:szCs w:val="20"/>
        </w:rPr>
        <w:t xml:space="preserve"> </w:t>
      </w:r>
      <w:r w:rsidR="008C6289" w:rsidRPr="00494A21">
        <w:rPr>
          <w:rFonts w:ascii="Arial" w:hAnsi="Arial" w:cs="Arial"/>
          <w:sz w:val="20"/>
          <w:szCs w:val="20"/>
        </w:rPr>
        <w:t xml:space="preserve">Characterizing how treatment with </w:t>
      </w:r>
      <w:r w:rsidR="008C6289" w:rsidRPr="00494A21">
        <w:rPr>
          <w:rFonts w:ascii="Arial" w:eastAsia="Aptos" w:hAnsi="Arial" w:cs="Arial"/>
          <w:sz w:val="20"/>
          <w:szCs w:val="20"/>
        </w:rPr>
        <w:t xml:space="preserve">U18666A </w:t>
      </w:r>
      <w:r w:rsidR="007031F8" w:rsidRPr="00494A21">
        <w:rPr>
          <w:rFonts w:ascii="Arial" w:hAnsi="Arial" w:cs="Arial"/>
          <w:sz w:val="20"/>
          <w:szCs w:val="20"/>
        </w:rPr>
        <w:t>influences</w:t>
      </w:r>
      <w:r w:rsidR="008C6289" w:rsidRPr="00494A21">
        <w:rPr>
          <w:rFonts w:ascii="Arial" w:hAnsi="Arial" w:cs="Arial"/>
          <w:sz w:val="20"/>
          <w:szCs w:val="20"/>
        </w:rPr>
        <w:t xml:space="preserve"> the intracellular localization of NPC1 and ACE2</w:t>
      </w:r>
      <w:r w:rsidR="00E75E30" w:rsidRPr="00494A21">
        <w:rPr>
          <w:rFonts w:ascii="Arial" w:hAnsi="Arial" w:cs="Arial"/>
          <w:sz w:val="20"/>
          <w:szCs w:val="20"/>
        </w:rPr>
        <w:t>.</w:t>
      </w:r>
      <w:r w:rsidR="008C6289" w:rsidRPr="00494A21">
        <w:rPr>
          <w:rFonts w:ascii="Arial" w:hAnsi="Arial" w:cs="Arial"/>
          <w:sz w:val="20"/>
          <w:szCs w:val="20"/>
        </w:rPr>
        <w:t xml:space="preserve"> (a) </w:t>
      </w:r>
      <w:r w:rsidR="00E75E30" w:rsidRPr="00494A21">
        <w:rPr>
          <w:rFonts w:ascii="Arial" w:hAnsi="Arial" w:cs="Arial"/>
          <w:sz w:val="20"/>
          <w:szCs w:val="20"/>
        </w:rPr>
        <w:t xml:space="preserve">Representative images of immunofluorescence analysis of </w:t>
      </w:r>
      <w:r w:rsidR="008C6289" w:rsidRPr="00494A21">
        <w:rPr>
          <w:rFonts w:ascii="Arial" w:hAnsi="Arial" w:cs="Arial"/>
          <w:sz w:val="20"/>
          <w:szCs w:val="20"/>
        </w:rPr>
        <w:t>Caco-2 cells treated with 2 µM U18666A or DMSO (Ctrl) for 24 h and then subjected to double immunofluorescence using α-NPC1 (green) and α-ACE2 (red) antibodies. (</w:t>
      </w:r>
      <w:r w:rsidR="00C606BE" w:rsidRPr="00494A21">
        <w:rPr>
          <w:rFonts w:ascii="Arial" w:hAnsi="Arial" w:cs="Arial"/>
          <w:sz w:val="20"/>
          <w:szCs w:val="20"/>
        </w:rPr>
        <w:t>b</w:t>
      </w:r>
      <w:r w:rsidR="008C6289" w:rsidRPr="00494A21">
        <w:rPr>
          <w:rFonts w:ascii="Arial" w:hAnsi="Arial" w:cs="Arial"/>
          <w:sz w:val="20"/>
          <w:szCs w:val="20"/>
        </w:rPr>
        <w:t xml:space="preserve">-e) Representative images of immunofluorescence analysis of </w:t>
      </w:r>
      <w:r w:rsidRPr="00494A21">
        <w:rPr>
          <w:rFonts w:ascii="Arial" w:hAnsi="Arial" w:cs="Arial"/>
          <w:sz w:val="20"/>
          <w:szCs w:val="20"/>
        </w:rPr>
        <w:t xml:space="preserve">VERO-76 </w:t>
      </w:r>
      <w:r w:rsidR="00E75E30" w:rsidRPr="00494A21">
        <w:rPr>
          <w:rFonts w:ascii="Arial" w:hAnsi="Arial" w:cs="Arial"/>
          <w:sz w:val="20"/>
          <w:szCs w:val="20"/>
        </w:rPr>
        <w:t xml:space="preserve">cells </w:t>
      </w:r>
      <w:r w:rsidRPr="00494A21">
        <w:rPr>
          <w:rFonts w:ascii="Arial" w:hAnsi="Arial" w:cs="Arial"/>
          <w:sz w:val="20"/>
          <w:szCs w:val="20"/>
        </w:rPr>
        <w:t>treated with 2 µM U18666A or DMSO (vehicle, Ctrl) for 24 h and then subjected to double immunofluorescence by the incubation with the following pairs of antibodies: α-NPC1 (green), α-LC3B (red) (</w:t>
      </w:r>
      <w:r w:rsidR="006C4B7B" w:rsidRPr="00494A21">
        <w:rPr>
          <w:rFonts w:ascii="Arial" w:hAnsi="Arial" w:cs="Arial"/>
          <w:sz w:val="20"/>
          <w:szCs w:val="20"/>
        </w:rPr>
        <w:t>a</w:t>
      </w:r>
      <w:r w:rsidRPr="00494A21">
        <w:rPr>
          <w:rFonts w:ascii="Arial" w:hAnsi="Arial" w:cs="Arial"/>
          <w:sz w:val="20"/>
          <w:szCs w:val="20"/>
        </w:rPr>
        <w:t>), α-NPC1 (green), α-LAMP2 (red) (</w:t>
      </w:r>
      <w:r w:rsidR="006C4B7B" w:rsidRPr="00494A21">
        <w:rPr>
          <w:rFonts w:ascii="Arial" w:hAnsi="Arial" w:cs="Arial"/>
          <w:sz w:val="20"/>
          <w:szCs w:val="20"/>
        </w:rPr>
        <w:t>b</w:t>
      </w:r>
      <w:r w:rsidRPr="00494A21">
        <w:rPr>
          <w:rFonts w:ascii="Arial" w:hAnsi="Arial" w:cs="Arial"/>
          <w:sz w:val="20"/>
          <w:szCs w:val="20"/>
        </w:rPr>
        <w:t>); α-ACE2 (red), α-LC3B (green) (</w:t>
      </w:r>
      <w:r w:rsidR="006C4B7B" w:rsidRPr="00494A21">
        <w:rPr>
          <w:rFonts w:ascii="Arial" w:hAnsi="Arial" w:cs="Arial"/>
          <w:sz w:val="20"/>
          <w:szCs w:val="20"/>
        </w:rPr>
        <w:t>c</w:t>
      </w:r>
      <w:r w:rsidRPr="00494A21">
        <w:rPr>
          <w:rFonts w:ascii="Arial" w:hAnsi="Arial" w:cs="Arial"/>
          <w:sz w:val="20"/>
          <w:szCs w:val="20"/>
        </w:rPr>
        <w:t>), α-ACE2 (green), α-LC3B (red) (</w:t>
      </w:r>
      <w:r w:rsidR="006C4B7B" w:rsidRPr="00494A21">
        <w:rPr>
          <w:rFonts w:ascii="Arial" w:hAnsi="Arial" w:cs="Arial"/>
          <w:sz w:val="20"/>
          <w:szCs w:val="20"/>
        </w:rPr>
        <w:t>d</w:t>
      </w:r>
      <w:r w:rsidRPr="00494A21">
        <w:rPr>
          <w:rFonts w:ascii="Arial" w:hAnsi="Arial" w:cs="Arial"/>
          <w:sz w:val="20"/>
          <w:szCs w:val="20"/>
        </w:rPr>
        <w:t>). Nuclei were stained with Hoechst 33342. Images are representative of at least three independent experiments Scale bar: 50 µM.</w:t>
      </w:r>
    </w:p>
    <w:p w14:paraId="33F55EA0" w14:textId="77777777" w:rsidR="004B3A81" w:rsidRPr="00494A21" w:rsidRDefault="004B3A81" w:rsidP="004B3A8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3BF521" w14:textId="40922C60" w:rsidR="004B3A81" w:rsidRPr="00494A21" w:rsidRDefault="004B3A81" w:rsidP="004B3A8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lastRenderedPageBreak/>
        <w:t xml:space="preserve">Figure </w:t>
      </w:r>
      <w:r w:rsidR="00356960" w:rsidRPr="00494A21">
        <w:rPr>
          <w:rFonts w:ascii="Arial" w:hAnsi="Arial" w:cs="Arial"/>
          <w:b/>
          <w:sz w:val="20"/>
          <w:szCs w:val="20"/>
        </w:rPr>
        <w:t>4</w:t>
      </w:r>
      <w:r w:rsidRPr="00494A21">
        <w:rPr>
          <w:rFonts w:ascii="Arial" w:hAnsi="Arial" w:cs="Arial"/>
          <w:b/>
          <w:sz w:val="20"/>
          <w:szCs w:val="20"/>
        </w:rPr>
        <w:t xml:space="preserve">S. </w:t>
      </w:r>
      <w:r w:rsidRPr="00494A21">
        <w:rPr>
          <w:rFonts w:ascii="Arial" w:hAnsi="Arial" w:cs="Arial"/>
          <w:sz w:val="20"/>
          <w:szCs w:val="20"/>
        </w:rPr>
        <w:t>The inactivation of NPC1 in Calu-3 and VERO-76 cells counteracts VSV-Spike entry. (</w:t>
      </w:r>
      <w:r w:rsidR="006C4B7B" w:rsidRPr="00494A21">
        <w:rPr>
          <w:rFonts w:ascii="Arial" w:hAnsi="Arial" w:cs="Arial"/>
          <w:sz w:val="20"/>
          <w:szCs w:val="20"/>
        </w:rPr>
        <w:t>a</w:t>
      </w:r>
      <w:r w:rsidRPr="00494A21">
        <w:rPr>
          <w:rFonts w:ascii="Arial" w:hAnsi="Arial" w:cs="Arial"/>
          <w:sz w:val="20"/>
          <w:szCs w:val="20"/>
        </w:rPr>
        <w:t xml:space="preserve">) Calu-3 cells were treated with U1866A (2 </w:t>
      </w:r>
      <w:proofErr w:type="spellStart"/>
      <w:r w:rsidRPr="00494A21">
        <w:rPr>
          <w:rFonts w:ascii="Arial" w:hAnsi="Arial" w:cs="Arial"/>
          <w:sz w:val="20"/>
          <w:szCs w:val="20"/>
        </w:rPr>
        <w:t>uM</w:t>
      </w:r>
      <w:proofErr w:type="spellEnd"/>
      <w:r w:rsidRPr="00494A21">
        <w:rPr>
          <w:rFonts w:ascii="Arial" w:hAnsi="Arial" w:cs="Arial"/>
          <w:sz w:val="20"/>
          <w:szCs w:val="20"/>
        </w:rPr>
        <w:t>) or DMSO (vehicle, Ctrl) for 24 hr. Cells were then infected with VSV-Spike-GFP (MOI 0.1), harvested 24 h after infection and analyzed for GFP expression. A representative output of FACS analysis displaying the fraction of infected, GFP-positive cells/experimental group (</w:t>
      </w:r>
      <w:r w:rsidR="006C4B7B" w:rsidRPr="00494A21">
        <w:rPr>
          <w:rFonts w:ascii="Arial" w:hAnsi="Arial" w:cs="Arial"/>
          <w:sz w:val="20"/>
          <w:szCs w:val="20"/>
        </w:rPr>
        <w:t>a,</w:t>
      </w:r>
      <w:r w:rsidRPr="00494A21">
        <w:rPr>
          <w:rFonts w:ascii="Arial" w:hAnsi="Arial" w:cs="Arial"/>
          <w:sz w:val="20"/>
          <w:szCs w:val="20"/>
        </w:rPr>
        <w:t xml:space="preserve"> left). Representative images of fluorescence microscopy analysis of VSV-Spike-GFP infected cells and quantitative analysis of GFP-positive cells (bars). ***p &lt; 0.0001. (</w:t>
      </w:r>
      <w:r w:rsidR="006C4B7B" w:rsidRPr="00494A21">
        <w:rPr>
          <w:rFonts w:ascii="Arial" w:hAnsi="Arial" w:cs="Arial"/>
          <w:sz w:val="20"/>
          <w:szCs w:val="20"/>
        </w:rPr>
        <w:t>b</w:t>
      </w:r>
      <w:r w:rsidRPr="00494A21">
        <w:rPr>
          <w:rFonts w:ascii="Arial" w:hAnsi="Arial" w:cs="Arial"/>
          <w:sz w:val="20"/>
          <w:szCs w:val="20"/>
        </w:rPr>
        <w:t>) Control and U18666A-treated cells were infected with VSV-Spike-GFP (MOI 0.1). Supernatants were collected after 24 h and used to infect Vero E6 cells; at 7 h post-infection the fraction of GFP-positive cells was quantified by flow cytometry and viral titer, expressed as infection units (IU), was determined. Histograms represent mean ± SD from three independent experiments. *p &lt; 0.0001. (</w:t>
      </w:r>
      <w:r w:rsidR="006C4B7B" w:rsidRPr="00494A21">
        <w:rPr>
          <w:rFonts w:ascii="Arial" w:hAnsi="Arial" w:cs="Arial"/>
          <w:sz w:val="20"/>
          <w:szCs w:val="20"/>
        </w:rPr>
        <w:t>c</w:t>
      </w:r>
      <w:r w:rsidRPr="00494A21">
        <w:rPr>
          <w:rFonts w:ascii="Arial" w:hAnsi="Arial" w:cs="Arial"/>
          <w:sz w:val="20"/>
          <w:szCs w:val="20"/>
        </w:rPr>
        <w:t xml:space="preserve">) Cells were harvested 24 h following VSV-Spike-GFP (MOI 0.1) infection and stained for 7-AAD to quantify the fraction of dead cells by flow cytometry. Histograms represent the mean ± SD from three independent </w:t>
      </w:r>
      <w:r w:rsidR="00FE24BB" w:rsidRPr="00494A21">
        <w:rPr>
          <w:rFonts w:ascii="Arial" w:hAnsi="Arial" w:cs="Arial"/>
          <w:sz w:val="20"/>
          <w:szCs w:val="20"/>
        </w:rPr>
        <w:t>experiments;</w:t>
      </w:r>
      <w:r w:rsidRPr="00494A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94A21">
        <w:rPr>
          <w:rFonts w:ascii="Arial" w:hAnsi="Arial" w:cs="Arial"/>
          <w:sz w:val="20"/>
          <w:szCs w:val="20"/>
        </w:rPr>
        <w:t>n.s</w:t>
      </w:r>
      <w:proofErr w:type="spellEnd"/>
      <w:r w:rsidRPr="00494A21">
        <w:rPr>
          <w:rFonts w:ascii="Arial" w:hAnsi="Arial" w:cs="Arial"/>
          <w:sz w:val="20"/>
          <w:szCs w:val="20"/>
        </w:rPr>
        <w:t xml:space="preserve">., </w:t>
      </w:r>
      <w:r w:rsidR="003476C5" w:rsidRPr="00494A21">
        <w:rPr>
          <w:rFonts w:ascii="Arial" w:hAnsi="Arial" w:cs="Arial"/>
          <w:sz w:val="20"/>
          <w:szCs w:val="20"/>
        </w:rPr>
        <w:t>non-significant</w:t>
      </w:r>
      <w:r w:rsidRPr="00494A21">
        <w:rPr>
          <w:rFonts w:ascii="Arial" w:hAnsi="Arial" w:cs="Arial"/>
          <w:sz w:val="20"/>
          <w:szCs w:val="20"/>
        </w:rPr>
        <w:t>. (</w:t>
      </w:r>
      <w:r w:rsidR="006C4B7B" w:rsidRPr="00494A21">
        <w:rPr>
          <w:rFonts w:ascii="Arial" w:hAnsi="Arial" w:cs="Arial"/>
          <w:sz w:val="20"/>
          <w:szCs w:val="20"/>
        </w:rPr>
        <w:t>d</w:t>
      </w:r>
      <w:r w:rsidRPr="00494A21">
        <w:rPr>
          <w:rFonts w:ascii="Arial" w:hAnsi="Arial" w:cs="Arial"/>
          <w:sz w:val="20"/>
          <w:szCs w:val="20"/>
        </w:rPr>
        <w:t xml:space="preserve">) VERO-76 cells were treated with 2 </w:t>
      </w:r>
      <w:proofErr w:type="spellStart"/>
      <w:r w:rsidRPr="00494A21">
        <w:rPr>
          <w:rFonts w:ascii="Arial" w:hAnsi="Arial" w:cs="Arial"/>
          <w:sz w:val="20"/>
          <w:szCs w:val="20"/>
        </w:rPr>
        <w:t>uM</w:t>
      </w:r>
      <w:proofErr w:type="spellEnd"/>
      <w:r w:rsidRPr="00494A21">
        <w:rPr>
          <w:rFonts w:ascii="Arial" w:hAnsi="Arial" w:cs="Arial"/>
          <w:sz w:val="20"/>
          <w:szCs w:val="20"/>
        </w:rPr>
        <w:t xml:space="preserve"> U1866A inhibitor or DMSO (vehicle, Ctrl) for 24 h. Cells were then infected with VSV-Spike-GFP (MOI 0.1), harvested 24 h after infection and analyzed for GFP expression by flow cytometry. A representative output of FACS analysis displaying the fraction of infected, GFP-positive cells/experimental group</w:t>
      </w:r>
      <w:r w:rsidR="006C4B7B" w:rsidRPr="00494A21">
        <w:rPr>
          <w:rFonts w:ascii="Arial" w:hAnsi="Arial" w:cs="Arial"/>
          <w:sz w:val="20"/>
          <w:szCs w:val="20"/>
        </w:rPr>
        <w:t xml:space="preserve"> </w:t>
      </w:r>
      <w:r w:rsidRPr="00494A21">
        <w:rPr>
          <w:rFonts w:ascii="Arial" w:hAnsi="Arial" w:cs="Arial"/>
          <w:sz w:val="20"/>
          <w:szCs w:val="20"/>
        </w:rPr>
        <w:t>(</w:t>
      </w:r>
      <w:r w:rsidR="006C4B7B" w:rsidRPr="00494A21">
        <w:rPr>
          <w:rFonts w:ascii="Arial" w:hAnsi="Arial" w:cs="Arial"/>
          <w:sz w:val="20"/>
          <w:szCs w:val="20"/>
        </w:rPr>
        <w:t>d,</w:t>
      </w:r>
      <w:r w:rsidRPr="00494A21">
        <w:rPr>
          <w:rFonts w:ascii="Arial" w:hAnsi="Arial" w:cs="Arial"/>
          <w:sz w:val="20"/>
          <w:szCs w:val="20"/>
        </w:rPr>
        <w:t xml:space="preserve"> left). Representative images of immunofluorescence analysis of VSV-Spike-GFP infected cells and quantitative analysis of GFP-positive cells (bars). *p &lt; 0.0001. (</w:t>
      </w:r>
      <w:r w:rsidR="006C4B7B" w:rsidRPr="00494A21">
        <w:rPr>
          <w:rFonts w:ascii="Arial" w:hAnsi="Arial" w:cs="Arial"/>
          <w:sz w:val="20"/>
          <w:szCs w:val="20"/>
        </w:rPr>
        <w:t>e</w:t>
      </w:r>
      <w:r w:rsidRPr="00494A21">
        <w:rPr>
          <w:rFonts w:ascii="Arial" w:hAnsi="Arial" w:cs="Arial"/>
          <w:sz w:val="20"/>
          <w:szCs w:val="20"/>
        </w:rPr>
        <w:t>) Control and U18666A-treated cells were infected with VSV-Spike-GFP (MOI 0.1). Supernatants were collected after 24 h and used to infect VERO-76 cells; at 7 h post-infection the fraction of GFP-positive cells was quantified by flow cytometry and viral titer, expressed as infection units (IU), was determined. Histograms represent mean ± SD from three independent experiments. *p &lt; 0.0001. (</w:t>
      </w:r>
      <w:r w:rsidR="006C4B7B" w:rsidRPr="00494A21">
        <w:rPr>
          <w:rFonts w:ascii="Arial" w:hAnsi="Arial" w:cs="Arial"/>
          <w:sz w:val="20"/>
          <w:szCs w:val="20"/>
        </w:rPr>
        <w:t>f</w:t>
      </w:r>
      <w:r w:rsidRPr="00494A21">
        <w:rPr>
          <w:rFonts w:ascii="Arial" w:hAnsi="Arial" w:cs="Arial"/>
          <w:sz w:val="20"/>
          <w:szCs w:val="20"/>
        </w:rPr>
        <w:t>) Cells were harvested 24 h following VSV-Spike-GFP (MOI 0.1) infection and stained for 7-AAD to quantify the fraction of dead cells by flow cytometry. Histograms represent the mean ± SD from three independent experiments; *p &lt; 0.0001. (</w:t>
      </w:r>
      <w:r w:rsidR="006C4B7B" w:rsidRPr="00494A21">
        <w:rPr>
          <w:rFonts w:ascii="Arial" w:hAnsi="Arial" w:cs="Arial"/>
          <w:sz w:val="20"/>
          <w:szCs w:val="20"/>
        </w:rPr>
        <w:t>g</w:t>
      </w:r>
      <w:r w:rsidRPr="00494A21">
        <w:rPr>
          <w:rFonts w:ascii="Arial" w:hAnsi="Arial" w:cs="Arial"/>
          <w:sz w:val="20"/>
          <w:szCs w:val="20"/>
        </w:rPr>
        <w:t>) Representative images of fluorescence microscopy analysis of VSV-Spike-GFP infected cells processed by immunofluorescence with α-Spike antibodies. Histograms represent the fraction of Spike-positive cells. **** p ≤0.0001. Scale bar: 50 µM.</w:t>
      </w:r>
    </w:p>
    <w:p w14:paraId="65BE1AC4" w14:textId="77777777" w:rsidR="004B3A81" w:rsidRPr="00494A21" w:rsidRDefault="004B3A81" w:rsidP="00250ED0">
      <w:pPr>
        <w:rPr>
          <w:rFonts w:ascii="Arial" w:hAnsi="Arial" w:cs="Arial"/>
          <w:b/>
          <w:sz w:val="20"/>
          <w:szCs w:val="20"/>
        </w:rPr>
      </w:pPr>
    </w:p>
    <w:p w14:paraId="1497D5FB" w14:textId="5516C631" w:rsidR="004B3A81" w:rsidRPr="00494A21" w:rsidRDefault="004B3A81" w:rsidP="00250ED0">
      <w:pPr>
        <w:rPr>
          <w:rFonts w:ascii="Arial" w:hAnsi="Arial" w:cs="Arial"/>
          <w:sz w:val="20"/>
          <w:szCs w:val="20"/>
        </w:rPr>
      </w:pPr>
      <w:r w:rsidRPr="00494A21">
        <w:rPr>
          <w:rFonts w:ascii="Arial" w:hAnsi="Arial" w:cs="Arial"/>
          <w:b/>
          <w:sz w:val="20"/>
          <w:szCs w:val="20"/>
        </w:rPr>
        <w:t>Supplementary Table 1.</w:t>
      </w:r>
      <w:r w:rsidRPr="00494A21">
        <w:rPr>
          <w:rFonts w:ascii="Arial" w:hAnsi="Arial" w:cs="Arial"/>
          <w:sz w:val="20"/>
          <w:szCs w:val="20"/>
        </w:rPr>
        <w:t xml:space="preserve"> List of oligonucleotides used as PCR primers.</w:t>
      </w:r>
    </w:p>
    <w:p w14:paraId="1FF8B7F5" w14:textId="77777777" w:rsidR="004B3A81" w:rsidRPr="00494A21" w:rsidRDefault="004B3A81" w:rsidP="00250ED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3720"/>
      </w:tblGrid>
      <w:tr w:rsidR="00494A21" w:rsidRPr="00494A21" w14:paraId="3711BEBA" w14:textId="77777777" w:rsidTr="00501298">
        <w:tc>
          <w:tcPr>
            <w:tcW w:w="3652" w:type="dxa"/>
          </w:tcPr>
          <w:p w14:paraId="23B5E734" w14:textId="77777777" w:rsidR="004B3A81" w:rsidRPr="00494A21" w:rsidRDefault="004B3A81" w:rsidP="006832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738E62" w14:textId="77777777" w:rsidR="004B3A81" w:rsidRPr="00494A21" w:rsidRDefault="004B3A81" w:rsidP="006832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OLIGONUCLEOTIDE NAME</w:t>
            </w:r>
          </w:p>
          <w:p w14:paraId="302A0CEF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0" w:type="dxa"/>
          </w:tcPr>
          <w:p w14:paraId="583F03AA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7C7E9B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SEQUENCE 5’</w:t>
            </w:r>
            <w:r w:rsidRPr="00494A21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3’</w:t>
            </w:r>
          </w:p>
        </w:tc>
      </w:tr>
      <w:tr w:rsidR="00494A21" w:rsidRPr="00494A21" w14:paraId="3A2B8421" w14:textId="77777777" w:rsidTr="00501298">
        <w:tc>
          <w:tcPr>
            <w:tcW w:w="3652" w:type="dxa"/>
          </w:tcPr>
          <w:p w14:paraId="3ECEA4CF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RPL34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18957EBB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CCAGCGTTTGACATACCGAC</w:t>
            </w:r>
          </w:p>
        </w:tc>
      </w:tr>
      <w:tr w:rsidR="00494A21" w:rsidRPr="00494A21" w14:paraId="33E37D6D" w14:textId="77777777" w:rsidTr="00501298">
        <w:tc>
          <w:tcPr>
            <w:tcW w:w="3652" w:type="dxa"/>
          </w:tcPr>
          <w:p w14:paraId="3278C8AC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RPL34 rev</w:t>
            </w:r>
          </w:p>
        </w:tc>
        <w:tc>
          <w:tcPr>
            <w:tcW w:w="3720" w:type="dxa"/>
          </w:tcPr>
          <w:p w14:paraId="5EB72A6D" w14:textId="77777777" w:rsidR="004B3A81" w:rsidRPr="00494A21" w:rsidRDefault="004B3A81" w:rsidP="00250ED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TGCTTTCCCAACCTTCTTGGT</w:t>
            </w:r>
          </w:p>
        </w:tc>
      </w:tr>
      <w:tr w:rsidR="00494A21" w:rsidRPr="00494A21" w14:paraId="5940133B" w14:textId="77777777" w:rsidTr="00501298">
        <w:tc>
          <w:tcPr>
            <w:tcW w:w="3652" w:type="dxa"/>
          </w:tcPr>
          <w:p w14:paraId="394F92AB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NPC1 2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494A21">
              <w:rPr>
                <w:rFonts w:ascii="Arial" w:hAnsi="Arial" w:cs="Arial"/>
                <w:sz w:val="20"/>
                <w:szCs w:val="20"/>
              </w:rPr>
              <w:t>-3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exons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3CBA7C51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TTCTGGCCCACCAAAACCATT</w:t>
            </w:r>
          </w:p>
        </w:tc>
      </w:tr>
      <w:tr w:rsidR="00494A21" w:rsidRPr="00494A21" w14:paraId="255C34E6" w14:textId="77777777" w:rsidTr="00501298">
        <w:tc>
          <w:tcPr>
            <w:tcW w:w="3652" w:type="dxa"/>
          </w:tcPr>
          <w:p w14:paraId="0A2E962E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NPC1 2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494A21">
              <w:rPr>
                <w:rFonts w:ascii="Arial" w:hAnsi="Arial" w:cs="Arial"/>
                <w:sz w:val="20"/>
                <w:szCs w:val="20"/>
              </w:rPr>
              <w:t>-3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exons rev</w:t>
            </w:r>
          </w:p>
        </w:tc>
        <w:tc>
          <w:tcPr>
            <w:tcW w:w="3720" w:type="dxa"/>
          </w:tcPr>
          <w:p w14:paraId="38440AB9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 xml:space="preserve">CTGCCGAACATCACAACAGAG  </w:t>
            </w:r>
          </w:p>
        </w:tc>
      </w:tr>
      <w:tr w:rsidR="00494A21" w:rsidRPr="00494A21" w14:paraId="5CB7046D" w14:textId="77777777" w:rsidTr="00501298">
        <w:tc>
          <w:tcPr>
            <w:tcW w:w="3652" w:type="dxa"/>
          </w:tcPr>
          <w:p w14:paraId="5D661F4A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sabeus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NPC1 5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494A21">
              <w:rPr>
                <w:rFonts w:ascii="Arial" w:hAnsi="Arial" w:cs="Arial"/>
                <w:sz w:val="20"/>
                <w:szCs w:val="20"/>
              </w:rPr>
              <w:t>-6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exons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31CB3B84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ACCATCACTCCCGTGTTTTCA</w:t>
            </w:r>
          </w:p>
        </w:tc>
      </w:tr>
      <w:tr w:rsidR="00494A21" w:rsidRPr="00494A21" w14:paraId="6600761B" w14:textId="77777777" w:rsidTr="00501298">
        <w:tc>
          <w:tcPr>
            <w:tcW w:w="3652" w:type="dxa"/>
          </w:tcPr>
          <w:p w14:paraId="7431C2C1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sabeus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NPC1 5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494A21">
              <w:rPr>
                <w:rFonts w:ascii="Arial" w:hAnsi="Arial" w:cs="Arial"/>
                <w:sz w:val="20"/>
                <w:szCs w:val="20"/>
              </w:rPr>
              <w:t>-6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exons rev</w:t>
            </w:r>
          </w:p>
        </w:tc>
        <w:tc>
          <w:tcPr>
            <w:tcW w:w="3720" w:type="dxa"/>
          </w:tcPr>
          <w:p w14:paraId="34095B4D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GGGCCACAGACAATAGAGCA</w:t>
            </w:r>
          </w:p>
        </w:tc>
      </w:tr>
      <w:tr w:rsidR="00494A21" w:rsidRPr="00494A21" w14:paraId="206FC296" w14:textId="77777777" w:rsidTr="00501298">
        <w:tc>
          <w:tcPr>
            <w:tcW w:w="3652" w:type="dxa"/>
          </w:tcPr>
          <w:p w14:paraId="3ABFE18B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ACE2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6E3C755F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TCACGATTGTTGGGACTCTGC</w:t>
            </w:r>
          </w:p>
        </w:tc>
      </w:tr>
      <w:tr w:rsidR="00494A21" w:rsidRPr="00494A21" w14:paraId="0CC8455C" w14:textId="77777777" w:rsidTr="00501298">
        <w:tc>
          <w:tcPr>
            <w:tcW w:w="3652" w:type="dxa"/>
          </w:tcPr>
          <w:p w14:paraId="7A88BEBE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ACE2 rev</w:t>
            </w:r>
          </w:p>
        </w:tc>
        <w:tc>
          <w:tcPr>
            <w:tcW w:w="3720" w:type="dxa"/>
          </w:tcPr>
          <w:p w14:paraId="6B0A7F73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CCACCACCCCAACTATCTCTC</w:t>
            </w:r>
          </w:p>
        </w:tc>
      </w:tr>
      <w:tr w:rsidR="00494A21" w:rsidRPr="00494A21" w14:paraId="337F730C" w14:textId="77777777" w:rsidTr="00501298">
        <w:tc>
          <w:tcPr>
            <w:tcW w:w="3652" w:type="dxa"/>
          </w:tcPr>
          <w:p w14:paraId="7A198128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sabeus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ACE2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3F7CD836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TCACGATTGTTGGGACTCTGC</w:t>
            </w:r>
          </w:p>
        </w:tc>
      </w:tr>
      <w:tr w:rsidR="00494A21" w:rsidRPr="00494A21" w14:paraId="6FA4CCD6" w14:textId="77777777" w:rsidTr="00501298">
        <w:tc>
          <w:tcPr>
            <w:tcW w:w="3652" w:type="dxa"/>
          </w:tcPr>
          <w:p w14:paraId="3B6D6E9F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sabeus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ACE2 rev</w:t>
            </w:r>
          </w:p>
        </w:tc>
        <w:tc>
          <w:tcPr>
            <w:tcW w:w="3720" w:type="dxa"/>
          </w:tcPr>
          <w:p w14:paraId="7039ACBD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CCACCACCCCAACTATCTCTC</w:t>
            </w:r>
          </w:p>
        </w:tc>
      </w:tr>
      <w:tr w:rsidR="00494A21" w:rsidRPr="00494A21" w14:paraId="491F5850" w14:textId="77777777" w:rsidTr="00501298">
        <w:tc>
          <w:tcPr>
            <w:tcW w:w="3652" w:type="dxa"/>
          </w:tcPr>
          <w:p w14:paraId="20532973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TMPRSS2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20" w:type="dxa"/>
          </w:tcPr>
          <w:p w14:paraId="3169F66C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GGAGGACGAGAATCGGTGTG</w:t>
            </w:r>
          </w:p>
        </w:tc>
      </w:tr>
      <w:tr w:rsidR="00494A21" w:rsidRPr="00494A21" w14:paraId="1B405F07" w14:textId="77777777" w:rsidTr="00501298">
        <w:tc>
          <w:tcPr>
            <w:tcW w:w="3652" w:type="dxa"/>
          </w:tcPr>
          <w:p w14:paraId="528BCF0D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H. sapiens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 TMPRSS2 rev</w:t>
            </w:r>
          </w:p>
        </w:tc>
        <w:tc>
          <w:tcPr>
            <w:tcW w:w="3720" w:type="dxa"/>
          </w:tcPr>
          <w:p w14:paraId="58930554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 xml:space="preserve">TCGTTCCAGTCGTCTTGGC </w:t>
            </w:r>
          </w:p>
        </w:tc>
      </w:tr>
      <w:tr w:rsidR="00494A21" w:rsidRPr="00494A21" w14:paraId="4D8AAAAC" w14:textId="77777777" w:rsidTr="00501298">
        <w:tc>
          <w:tcPr>
            <w:tcW w:w="3652" w:type="dxa"/>
          </w:tcPr>
          <w:p w14:paraId="0F8A5E85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sabeus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TMPRSS2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20" w:type="dxa"/>
          </w:tcPr>
          <w:p w14:paraId="4A58D906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ACTGCTGGATTTCTGGGTGG</w:t>
            </w:r>
          </w:p>
        </w:tc>
      </w:tr>
      <w:tr w:rsidR="00494A21" w:rsidRPr="00494A21" w14:paraId="6693974C" w14:textId="77777777" w:rsidTr="00501298">
        <w:tc>
          <w:tcPr>
            <w:tcW w:w="3652" w:type="dxa"/>
          </w:tcPr>
          <w:p w14:paraId="5BC26D1D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494A21">
              <w:rPr>
                <w:rFonts w:ascii="Arial" w:hAnsi="Arial" w:cs="Arial"/>
                <w:i/>
                <w:iCs/>
                <w:sz w:val="20"/>
                <w:szCs w:val="20"/>
              </w:rPr>
              <w:t>sabeus</w:t>
            </w:r>
            <w:proofErr w:type="spellEnd"/>
            <w:r w:rsidRPr="00494A21">
              <w:rPr>
                <w:rFonts w:ascii="Arial" w:hAnsi="Arial" w:cs="Arial"/>
                <w:sz w:val="20"/>
                <w:szCs w:val="20"/>
              </w:rPr>
              <w:t xml:space="preserve"> TMPRSS2 rev</w:t>
            </w:r>
          </w:p>
        </w:tc>
        <w:tc>
          <w:tcPr>
            <w:tcW w:w="3720" w:type="dxa"/>
          </w:tcPr>
          <w:p w14:paraId="4CE0C933" w14:textId="77777777" w:rsidR="004B3A81" w:rsidRPr="00494A21" w:rsidRDefault="004B3A81" w:rsidP="00C34C40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 xml:space="preserve">AGATCATGGCTGGTGTGACC </w:t>
            </w:r>
          </w:p>
        </w:tc>
      </w:tr>
      <w:tr w:rsidR="00494A21" w:rsidRPr="00494A21" w14:paraId="31759260" w14:textId="77777777" w:rsidTr="00501298">
        <w:tc>
          <w:tcPr>
            <w:tcW w:w="3652" w:type="dxa"/>
          </w:tcPr>
          <w:p w14:paraId="47201C6B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0" w:type="dxa"/>
          </w:tcPr>
          <w:p w14:paraId="35EF1E99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A21" w:rsidRPr="00494A21" w14:paraId="165CE584" w14:textId="77777777" w:rsidTr="00501298">
        <w:tc>
          <w:tcPr>
            <w:tcW w:w="3652" w:type="dxa"/>
          </w:tcPr>
          <w:p w14:paraId="067D2899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NPC1 4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th 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exon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0A8B2025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TGACATGTAGCCCTCGACAG</w:t>
            </w:r>
          </w:p>
        </w:tc>
      </w:tr>
      <w:tr w:rsidR="00494A21" w:rsidRPr="00494A21" w14:paraId="3611C009" w14:textId="77777777" w:rsidTr="00501298">
        <w:tc>
          <w:tcPr>
            <w:tcW w:w="3652" w:type="dxa"/>
          </w:tcPr>
          <w:p w14:paraId="04DDA3AB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NPC1 4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th </w:t>
            </w:r>
            <w:r w:rsidRPr="00494A21">
              <w:rPr>
                <w:rFonts w:ascii="Arial" w:hAnsi="Arial" w:cs="Arial"/>
                <w:sz w:val="20"/>
                <w:szCs w:val="20"/>
              </w:rPr>
              <w:t>exon rev</w:t>
            </w:r>
          </w:p>
        </w:tc>
        <w:tc>
          <w:tcPr>
            <w:tcW w:w="3720" w:type="dxa"/>
          </w:tcPr>
          <w:p w14:paraId="45DC78C4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CTGTCCGACGTAGTATTGTAACTC</w:t>
            </w:r>
          </w:p>
        </w:tc>
      </w:tr>
      <w:tr w:rsidR="00494A21" w:rsidRPr="00494A21" w14:paraId="333CCACA" w14:textId="77777777" w:rsidTr="00501298">
        <w:tc>
          <w:tcPr>
            <w:tcW w:w="3652" w:type="dxa"/>
          </w:tcPr>
          <w:p w14:paraId="6200E206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0" w:type="dxa"/>
          </w:tcPr>
          <w:p w14:paraId="56EBE854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A21" w:rsidRPr="00494A21" w14:paraId="28B9FF43" w14:textId="77777777" w:rsidTr="00501298">
        <w:tc>
          <w:tcPr>
            <w:tcW w:w="3652" w:type="dxa"/>
          </w:tcPr>
          <w:p w14:paraId="3E3C6CEB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NPC1 4-5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th </w:t>
            </w:r>
            <w:r w:rsidRPr="00494A21">
              <w:rPr>
                <w:rFonts w:ascii="Arial" w:hAnsi="Arial" w:cs="Arial"/>
                <w:sz w:val="20"/>
                <w:szCs w:val="20"/>
              </w:rPr>
              <w:t xml:space="preserve">exons </w:t>
            </w:r>
            <w:proofErr w:type="spellStart"/>
            <w:r w:rsidRPr="00494A21">
              <w:rPr>
                <w:rFonts w:ascii="Arial" w:hAnsi="Arial" w:cs="Arial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3720" w:type="dxa"/>
          </w:tcPr>
          <w:p w14:paraId="2F2B3C6D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TGACATGTAGCCCTCGACAG</w:t>
            </w:r>
          </w:p>
        </w:tc>
      </w:tr>
      <w:tr w:rsidR="004B3A81" w:rsidRPr="00494A21" w14:paraId="13C29F22" w14:textId="77777777" w:rsidTr="00501298">
        <w:tc>
          <w:tcPr>
            <w:tcW w:w="3652" w:type="dxa"/>
          </w:tcPr>
          <w:p w14:paraId="028262C5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NPC1 4-5</w:t>
            </w:r>
            <w:r w:rsidRPr="00494A2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th </w:t>
            </w:r>
            <w:r w:rsidRPr="00494A21">
              <w:rPr>
                <w:rFonts w:ascii="Arial" w:hAnsi="Arial" w:cs="Arial"/>
                <w:sz w:val="20"/>
                <w:szCs w:val="20"/>
              </w:rPr>
              <w:t>exons rev</w:t>
            </w:r>
          </w:p>
        </w:tc>
        <w:tc>
          <w:tcPr>
            <w:tcW w:w="3720" w:type="dxa"/>
          </w:tcPr>
          <w:p w14:paraId="5F13C03C" w14:textId="77777777" w:rsidR="004B3A81" w:rsidRPr="00494A21" w:rsidRDefault="004B3A81" w:rsidP="00541574">
            <w:pPr>
              <w:rPr>
                <w:rFonts w:ascii="Arial" w:hAnsi="Arial" w:cs="Arial"/>
                <w:sz w:val="20"/>
                <w:szCs w:val="20"/>
              </w:rPr>
            </w:pPr>
            <w:r w:rsidRPr="00494A21">
              <w:rPr>
                <w:rFonts w:ascii="Arial" w:hAnsi="Arial" w:cs="Arial"/>
                <w:sz w:val="20"/>
                <w:szCs w:val="20"/>
              </w:rPr>
              <w:t>CATCCCGGCAGGCATTGTA</w:t>
            </w:r>
          </w:p>
        </w:tc>
      </w:tr>
    </w:tbl>
    <w:p w14:paraId="2C5FA3F5" w14:textId="77777777" w:rsidR="004B3A81" w:rsidRPr="00494A21" w:rsidRDefault="004B3A81">
      <w:pPr>
        <w:rPr>
          <w:rFonts w:ascii="Times New Roman" w:hAnsi="Times New Roman" w:cs="Times New Roman"/>
          <w:sz w:val="24"/>
          <w:szCs w:val="24"/>
        </w:rPr>
      </w:pPr>
    </w:p>
    <w:p w14:paraId="2AD669D9" w14:textId="77777777" w:rsidR="004B3A81" w:rsidRPr="00494A21" w:rsidRDefault="004B3A81" w:rsidP="004B3A8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C6018A" w14:textId="346D6C1D" w:rsidR="001F2A37" w:rsidRPr="00494A21" w:rsidRDefault="001F2A37" w:rsidP="004B3A81">
      <w:pPr>
        <w:rPr>
          <w:lang w:val="it-IT"/>
        </w:rPr>
      </w:pPr>
      <w:bookmarkStart w:id="0" w:name="_GoBack"/>
      <w:bookmarkEnd w:id="0"/>
    </w:p>
    <w:sectPr w:rsidR="001F2A37" w:rsidRPr="00494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6DD"/>
    <w:rsid w:val="001258E2"/>
    <w:rsid w:val="00125CD5"/>
    <w:rsid w:val="001F2A37"/>
    <w:rsid w:val="002A5DE7"/>
    <w:rsid w:val="002B574F"/>
    <w:rsid w:val="002E5E75"/>
    <w:rsid w:val="003476C5"/>
    <w:rsid w:val="00356960"/>
    <w:rsid w:val="003E46DD"/>
    <w:rsid w:val="00494A21"/>
    <w:rsid w:val="004B3A81"/>
    <w:rsid w:val="006C4B7B"/>
    <w:rsid w:val="007031F8"/>
    <w:rsid w:val="00720AA3"/>
    <w:rsid w:val="008719EB"/>
    <w:rsid w:val="008C6289"/>
    <w:rsid w:val="008F6A1B"/>
    <w:rsid w:val="00AF712E"/>
    <w:rsid w:val="00BC4361"/>
    <w:rsid w:val="00C606BE"/>
    <w:rsid w:val="00C8309A"/>
    <w:rsid w:val="00CB22D9"/>
    <w:rsid w:val="00D35190"/>
    <w:rsid w:val="00E75E30"/>
    <w:rsid w:val="00EE603B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65922"/>
  <w15:chartTrackingRefBased/>
  <w15:docId w15:val="{69EF9503-D126-6B45-8ABA-A55F8685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6DD"/>
    <w:pPr>
      <w:spacing w:after="20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6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6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6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6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6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6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4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6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4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6DD"/>
    <w:pPr>
      <w:spacing w:before="160" w:after="160"/>
      <w:jc w:val="center"/>
    </w:pPr>
    <w:rPr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4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6DD"/>
    <w:pPr>
      <w:spacing w:after="0"/>
      <w:ind w:left="720"/>
      <w:contextualSpacing/>
    </w:pPr>
    <w:rPr>
      <w:kern w:val="2"/>
      <w:sz w:val="24"/>
      <w:szCs w:val="24"/>
      <w:lang w:val="it-I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46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6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B3A81"/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712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ateresa.fiorenza@uniroma1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Fiorenza</dc:creator>
  <cp:keywords/>
  <dc:description/>
  <cp:lastModifiedBy>Jini Mol</cp:lastModifiedBy>
  <cp:revision>11</cp:revision>
  <dcterms:created xsi:type="dcterms:W3CDTF">2024-10-05T11:27:00Z</dcterms:created>
  <dcterms:modified xsi:type="dcterms:W3CDTF">2024-11-26T15:49:00Z</dcterms:modified>
</cp:coreProperties>
</file>