
<file path=[Content_Types].xml><?xml version="1.0" encoding="utf-8"?>
<Types xmlns="http://schemas.openxmlformats.org/package/2006/content-types">
  <Default Extension="jpeg" ContentType="image/jpeg"/>
  <Default Extension="JPG" ContentType="image/.jpg"/>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32053">
      <w:pPr>
        <w:jc w:val="both"/>
        <w:rPr>
          <w:rFonts w:hint="eastAsia" w:eastAsia="宋体"/>
          <w:lang w:eastAsia="zh-CN"/>
        </w:rPr>
      </w:pPr>
      <w:r>
        <w:rPr>
          <w:rFonts w:ascii="宋体" w:hAnsi="宋体" w:eastAsia="宋体" w:cs="宋体"/>
          <w:sz w:val="24"/>
          <w:szCs w:val="24"/>
        </w:rPr>
        <w:drawing>
          <wp:inline distT="0" distB="0" distL="114300" distR="114300">
            <wp:extent cx="304800" cy="304800"/>
            <wp:effectExtent l="0" t="0" r="0" b="0"/>
            <wp:docPr id="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eastAsia" w:eastAsia="宋体"/>
          <w:lang w:eastAsia="zh-CN"/>
        </w:rPr>
        <w:drawing>
          <wp:inline distT="0" distB="0" distL="114300" distR="114300">
            <wp:extent cx="5266690" cy="7900670"/>
            <wp:effectExtent l="0" t="0" r="3810" b="11430"/>
            <wp:docPr id="9" name="图片 9" descr="ChatGPT Image 2026年9月23日 16_10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hatGPT Image 2026年9月23日 16_10_33"/>
                    <pic:cNvPicPr>
                      <a:picLocks noChangeAspect="1"/>
                    </pic:cNvPicPr>
                  </pic:nvPicPr>
                  <pic:blipFill>
                    <a:blip r:embed="rId5"/>
                    <a:stretch>
                      <a:fillRect/>
                    </a:stretch>
                  </pic:blipFill>
                  <pic:spPr>
                    <a:xfrm>
                      <a:off x="0" y="0"/>
                      <a:ext cx="5266690" cy="7900670"/>
                    </a:xfrm>
                    <a:prstGeom prst="rect">
                      <a:avLst/>
                    </a:prstGeom>
                  </pic:spPr>
                </pic:pic>
              </a:graphicData>
            </a:graphic>
          </wp:inline>
        </w:drawing>
      </w:r>
    </w:p>
    <w:p w14:paraId="10CABDD5">
      <w:pPr>
        <w:pStyle w:val="2"/>
        <w:keepNext w:val="0"/>
        <w:keepLines w:val="0"/>
        <w:widowControl/>
        <w:suppressLineNumbers w:val="0"/>
        <w:jc w:val="both"/>
      </w:pPr>
      <w:r>
        <w:rPr>
          <w:rFonts w:hint="eastAsia"/>
          <w:b/>
          <w:bCs/>
          <w:lang w:val="en-US" w:eastAsia="zh-CN"/>
        </w:rPr>
        <w:t>Figure S1.</w:t>
      </w:r>
      <w:r>
        <w:rPr>
          <w:rStyle w:val="5"/>
          <w:b/>
          <w:bCs/>
        </w:rPr>
        <w:t xml:space="preserve"> </w:t>
      </w:r>
      <w:r>
        <w:rPr>
          <w:rStyle w:val="5"/>
        </w:rPr>
        <w:t>Integrated multi-omics screening and biochemical rationale for prioritizing ALOXE3.</w:t>
      </w:r>
    </w:p>
    <w:p w14:paraId="40AC1B7C">
      <w:pPr>
        <w:pStyle w:val="2"/>
        <w:keepNext w:val="0"/>
        <w:keepLines w:val="0"/>
        <w:widowControl/>
        <w:suppressLineNumbers w:val="0"/>
        <w:jc w:val="both"/>
      </w:pPr>
      <w:r>
        <w:t>Transcriptomic, proteomic, and metabolomic profiles were compared between control (WT) and APAP-treated (WT+APAP) mouse liver tissues. Targets showing concordant upregulation at the mRNA and protein levels were screened for associations with sample-matched serum AST measurements. Differentially abundant metabolites associated with AST were retained as the metabolite input. The resulting molecular targets and metabolites were integrated using MetaboAnalyst joint pathway analysis. Pathways containing at least one mapped molecular target and at least one mapped metabolite were prioritized, with enrichment statistics considered alongside support from both input sets. Arachidonic acid metabolism was selected for further investigation because it contained hits from both inputs, whereas retinol metabolism contained molecular-target hits only. Pathway-related candidates, including CBR3, ALOXE3, and CYP4A14, were subsequently compared according to their established biochemical activities. ALOXE3 was prioritized based on its hydroperoxide isomerase activity, which converts specific fatty acid hydroperoxides into epoxyalcohol and keto products, providing a biochemical rationale for investigating its role in responses to oxidized lipids. Subsequent analyses examined its co-expression context, cellular localization, and functional contribution to APAP-induced liver injury.</w:t>
      </w:r>
    </w:p>
    <w:p w14:paraId="0536FDB1">
      <w:pPr>
        <w:jc w:val="both"/>
        <w:rPr>
          <w:rFonts w:hint="default"/>
          <w:lang w:val="en-US" w:eastAsia="zh-CN"/>
        </w:rPr>
      </w:pPr>
      <w:r>
        <w:br w:type="page"/>
      </w:r>
    </w:p>
    <w:p w14:paraId="0FE9C614">
      <w:pPr>
        <w:jc w:val="both"/>
        <w:rPr>
          <w:rFonts w:hint="default"/>
          <w:lang w:val="en-US" w:eastAsia="zh-CN"/>
        </w:rPr>
      </w:pPr>
      <w:r>
        <w:rPr>
          <w:rFonts w:hint="default"/>
          <w:lang w:val="en-US" w:eastAsia="zh-CN"/>
        </w:rPr>
        <w:drawing>
          <wp:inline distT="0" distB="0" distL="114300" distR="114300">
            <wp:extent cx="5259705" cy="1800225"/>
            <wp:effectExtent l="0" t="0" r="10795" b="3175"/>
            <wp:docPr id="2" name="图片 2" descr="Supplementary Figure S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S3_01"/>
                    <pic:cNvPicPr>
                      <a:picLocks noChangeAspect="1"/>
                    </pic:cNvPicPr>
                  </pic:nvPicPr>
                  <pic:blipFill>
                    <a:blip r:embed="rId6"/>
                    <a:stretch>
                      <a:fillRect/>
                    </a:stretch>
                  </pic:blipFill>
                  <pic:spPr>
                    <a:xfrm>
                      <a:off x="0" y="0"/>
                      <a:ext cx="5259705" cy="1800225"/>
                    </a:xfrm>
                    <a:prstGeom prst="rect">
                      <a:avLst/>
                    </a:prstGeom>
                  </pic:spPr>
                </pic:pic>
              </a:graphicData>
            </a:graphic>
          </wp:inline>
        </w:drawing>
      </w:r>
    </w:p>
    <w:p w14:paraId="43BB066B">
      <w:pPr>
        <w:pStyle w:val="2"/>
        <w:keepNext w:val="0"/>
        <w:keepLines w:val="0"/>
        <w:widowControl/>
        <w:suppressLineNumbers w:val="0"/>
        <w:jc w:val="both"/>
        <w:rPr>
          <w:rFonts w:hint="eastAsia"/>
          <w:lang w:val="en-US" w:eastAsia="zh-CN"/>
        </w:rPr>
      </w:pPr>
      <w:r>
        <w:rPr>
          <w:rFonts w:hint="eastAsia"/>
          <w:b/>
          <w:bCs/>
          <w:lang w:val="en-US" w:eastAsia="zh-CN"/>
        </w:rPr>
        <w:t>Figure S2</w:t>
      </w:r>
      <w:r>
        <w:rPr>
          <w:rStyle w:val="5"/>
          <w:b/>
          <w:bCs/>
        </w:rPr>
        <w:t>.</w:t>
      </w:r>
      <w:r>
        <w:rPr>
          <w:rStyle w:val="5"/>
        </w:rPr>
        <w:t xml:space="preserve"> Intramodular connectivity, module membership, and AST association of </w:t>
      </w:r>
      <w:r>
        <w:rPr>
          <w:rStyle w:val="5"/>
          <w:i/>
          <w:iCs/>
        </w:rPr>
        <w:t>Aloxe3</w:t>
      </w:r>
      <w:r>
        <w:rPr>
          <w:rStyle w:val="5"/>
        </w:rPr>
        <w:t xml:space="preserve"> in the black co-expression module.</w:t>
      </w:r>
      <w:r>
        <w:t xml:space="preserve">(A) Intramodular connectivity (kWithin) of the 317 genes in the black module, ordered from highest to lowest. kWithin represents the sum of weighted connections between a gene and the other genes within the same module, excluding self-connections. </w:t>
      </w:r>
      <w:r>
        <w:rPr>
          <w:rStyle w:val="6"/>
        </w:rPr>
        <w:t>Aloxe3</w:t>
      </w:r>
      <w:r>
        <w:t xml:space="preserve">, highlighted in red, had a kWithin of 67.25 and ranked 39th among the 317 genes (top 12.3%).(B) Correlation between </w:t>
      </w:r>
      <w:r>
        <w:rPr>
          <w:rStyle w:val="6"/>
        </w:rPr>
        <w:t>Aloxe3</w:t>
      </w:r>
      <w:r>
        <w:t xml:space="preserve"> expression and the black module eigengene across 16 liver samples. Module membership (kME) was calculated as the Pearson correlation coefficient (</w:t>
      </w:r>
      <w:r>
        <w:rPr>
          <w:i/>
          <w:iCs/>
        </w:rPr>
        <w:t>r</w:t>
      </w:r>
      <w:r>
        <w:t xml:space="preserve"> = 0.897; raw </w:t>
      </w:r>
      <w:r>
        <w:rPr>
          <w:rFonts w:hint="eastAsia"/>
          <w:i/>
          <w:iCs/>
          <w:lang w:eastAsia="zh-CN"/>
        </w:rPr>
        <w:t>p =</w:t>
      </w:r>
      <w:r>
        <w:t xml:space="preserve"> 2.50 × 10⁻⁶; Benjamini–Hochberg-adjusted </w:t>
      </w:r>
      <w:r>
        <w:rPr>
          <w:rFonts w:hint="eastAsia"/>
          <w:i/>
          <w:iCs/>
          <w:lang w:eastAsia="zh-CN"/>
        </w:rPr>
        <w:t>p =</w:t>
      </w:r>
      <w:r>
        <w:t xml:space="preserve"> 1.59 × 10⁻⁵).(C) Correlation between </w:t>
      </w:r>
      <w:r>
        <w:rPr>
          <w:rStyle w:val="6"/>
        </w:rPr>
        <w:t>Aloxe3</w:t>
      </w:r>
      <w:r>
        <w:t xml:space="preserve"> expression and sample-matched serum AST measurements (Pearson </w:t>
      </w:r>
      <w:r>
        <w:rPr>
          <w:i/>
          <w:iCs/>
        </w:rPr>
        <w:t>r =</w:t>
      </w:r>
      <w:r>
        <w:t xml:space="preserve"> 0.513; raw </w:t>
      </w:r>
      <w:r>
        <w:rPr>
          <w:rFonts w:hint="eastAsia"/>
          <w:i/>
          <w:iCs/>
          <w:lang w:eastAsia="zh-CN"/>
        </w:rPr>
        <w:t>p =</w:t>
      </w:r>
      <w:r>
        <w:t xml:space="preserve"> 0.0422). Gene significance for AST (GS_AST), defined as the absolute Pearson correlation coefficient, was 0.513. This association did not remain significant after correction for multiple testing (Benjamini–Hochberg-adjusted </w:t>
      </w:r>
      <w:r>
        <w:rPr>
          <w:rFonts w:hint="eastAsia"/>
          <w:i/>
          <w:iCs/>
          <w:lang w:eastAsia="zh-CN"/>
        </w:rPr>
        <w:t>p =</w:t>
      </w:r>
      <w:r>
        <w:t xml:space="preserve"> 0.366).In panels B and C, each point represents an individual mouse (WT, n = 8; WT+APAP, n = 8); blue and red indicate WT and WT+APAP samples, respectively. Dashed lines indicate fitted linear regression lines. Pearson correlation tests were two-sided, and Benjamini–Hochberg correction was applied across the 317 module genes separately for the module-membership and AST-association analyses.</w:t>
      </w:r>
    </w:p>
    <w:p w14:paraId="03ED2E9B">
      <w:pPr>
        <w:jc w:val="both"/>
        <w:rPr>
          <w:rFonts w:hint="default"/>
          <w:lang w:val="en-US" w:eastAsia="zh-CN"/>
        </w:rPr>
      </w:pPr>
      <w:r>
        <w:rPr>
          <w:rFonts w:hint="default"/>
          <w:lang w:val="en-US" w:eastAsia="zh-CN"/>
        </w:rPr>
        <w:br w:type="page"/>
      </w:r>
    </w:p>
    <w:p w14:paraId="4D5C1972">
      <w:pPr>
        <w:jc w:val="both"/>
        <w:rPr>
          <w:rFonts w:hint="default"/>
          <w:lang w:val="en-US" w:eastAsia="zh-CN"/>
        </w:rPr>
      </w:pPr>
      <w:r>
        <w:rPr>
          <w:rFonts w:hint="default"/>
          <w:lang w:val="en-US" w:eastAsia="zh-CN"/>
        </w:rPr>
        <w:drawing>
          <wp:inline distT="0" distB="0" distL="114300" distR="114300">
            <wp:extent cx="5271135" cy="7125970"/>
            <wp:effectExtent l="0" t="0" r="12065" b="11430"/>
            <wp:docPr id="7" name="图片 7" descr="补充材料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补充材料2"/>
                    <pic:cNvPicPr>
                      <a:picLocks noChangeAspect="1"/>
                    </pic:cNvPicPr>
                  </pic:nvPicPr>
                  <pic:blipFill>
                    <a:blip r:embed="rId7"/>
                    <a:stretch>
                      <a:fillRect/>
                    </a:stretch>
                  </pic:blipFill>
                  <pic:spPr>
                    <a:xfrm>
                      <a:off x="0" y="0"/>
                      <a:ext cx="5271135" cy="7125970"/>
                    </a:xfrm>
                    <a:prstGeom prst="rect">
                      <a:avLst/>
                    </a:prstGeom>
                  </pic:spPr>
                </pic:pic>
              </a:graphicData>
            </a:graphic>
          </wp:inline>
        </w:drawing>
      </w:r>
    </w:p>
    <w:p w14:paraId="77875565">
      <w:pPr>
        <w:jc w:val="both"/>
        <w:rPr>
          <w:rStyle w:val="5"/>
          <w:rFonts w:hint="default" w:ascii="Times New Roman" w:hAnsi="Times New Roman" w:eastAsia="微软雅黑" w:cs="Times New Roman"/>
          <w:sz w:val="24"/>
          <w:szCs w:val="24"/>
        </w:rPr>
      </w:pPr>
      <w:r>
        <w:rPr>
          <w:rStyle w:val="5"/>
          <w:rFonts w:hint="default" w:ascii="Times New Roman" w:hAnsi="Times New Roman" w:eastAsia="微软雅黑" w:cs="Times New Roman"/>
          <w:sz w:val="24"/>
          <w:szCs w:val="24"/>
        </w:rPr>
        <w:t xml:space="preserve">Figure S3. Validation of AAV-mediated </w:t>
      </w:r>
      <w:r>
        <w:rPr>
          <w:rStyle w:val="5"/>
          <w:rFonts w:hint="default" w:ascii="Times New Roman" w:hAnsi="Times New Roman" w:eastAsia="微软雅黑" w:cs="Times New Roman"/>
          <w:i/>
          <w:iCs/>
          <w:sz w:val="24"/>
          <w:szCs w:val="24"/>
        </w:rPr>
        <w:t>Aloxe3</w:t>
      </w:r>
      <w:r>
        <w:rPr>
          <w:rStyle w:val="5"/>
          <w:rFonts w:hint="default" w:ascii="Times New Roman" w:hAnsi="Times New Roman" w:eastAsia="微软雅黑" w:cs="Times New Roman"/>
          <w:sz w:val="24"/>
          <w:szCs w:val="24"/>
        </w:rPr>
        <w:t xml:space="preserve"> modulation and quantification of 4-HNE protein adducts.</w:t>
      </w:r>
    </w:p>
    <w:p w14:paraId="5F7D7E7A">
      <w:pPr>
        <w:jc w:val="both"/>
        <w:rPr>
          <w:rFonts w:ascii="Times New Roman" w:hAnsi="Times New Roman" w:eastAsia="楷体" w:cstheme="minorBidi"/>
          <w:color w:val="000000"/>
          <w:kern w:val="0"/>
          <w:sz w:val="24"/>
          <w:szCs w:val="24"/>
          <w:lang w:val="en-US" w:eastAsia="zh-CN" w:bidi="ar"/>
        </w:rPr>
      </w:pPr>
      <w:r>
        <w:rPr>
          <w:rFonts w:hint="default" w:ascii="Times New Roman" w:hAnsi="Times New Roman" w:eastAsia="微软雅黑" w:cs="Times New Roman"/>
          <w:color w:val="000000"/>
          <w:kern w:val="0"/>
          <w:sz w:val="24"/>
          <w:szCs w:val="24"/>
          <w:lang w:val="en-US" w:eastAsia="zh-CN" w:bidi="ar"/>
        </w:rPr>
        <w:t xml:space="preserve">(A) Densitometric quantification of ALOXE3 protein abundance in bone marrow-derived macrophages (BMDMs) generated from mice receiving </w:t>
      </w:r>
      <w:r>
        <w:rPr>
          <w:rFonts w:hint="default" w:ascii="Times New Roman" w:hAnsi="Times New Roman" w:eastAsia="微软雅黑" w:cs="Times New Roman"/>
          <w:i/>
          <w:iCs/>
          <w:color w:val="000000"/>
          <w:kern w:val="0"/>
          <w:sz w:val="24"/>
          <w:szCs w:val="24"/>
          <w:lang w:val="en-US" w:eastAsia="zh-CN" w:bidi="ar"/>
        </w:rPr>
        <w:t>Aloxe3</w:t>
      </w:r>
      <w:r>
        <w:rPr>
          <w:rFonts w:hint="default" w:ascii="Times New Roman" w:hAnsi="Times New Roman" w:eastAsia="微软雅黑" w:cs="Times New Roman"/>
          <w:color w:val="000000"/>
          <w:kern w:val="0"/>
          <w:sz w:val="24"/>
          <w:szCs w:val="24"/>
          <w:lang w:val="en-US" w:eastAsia="zh-CN" w:bidi="ar"/>
        </w:rPr>
        <w:t xml:space="preserve">-knockdown AAV, </w:t>
      </w:r>
      <w:r>
        <w:rPr>
          <w:rFonts w:hint="default" w:ascii="Times New Roman" w:hAnsi="Times New Roman" w:eastAsia="微软雅黑" w:cs="Times New Roman"/>
          <w:i/>
          <w:iCs/>
          <w:color w:val="000000"/>
          <w:kern w:val="0"/>
          <w:sz w:val="24"/>
          <w:szCs w:val="24"/>
          <w:lang w:val="en-US" w:eastAsia="zh-CN" w:bidi="ar"/>
        </w:rPr>
        <w:t>Aloxe3</w:t>
      </w:r>
      <w:r>
        <w:rPr>
          <w:rFonts w:hint="default" w:ascii="Times New Roman" w:hAnsi="Times New Roman" w:eastAsia="微软雅黑" w:cs="Times New Roman"/>
          <w:color w:val="000000"/>
          <w:kern w:val="0"/>
          <w:sz w:val="24"/>
          <w:szCs w:val="24"/>
          <w:lang w:val="en-US" w:eastAsia="zh-CN" w:bidi="ar"/>
        </w:rPr>
        <w:t xml:space="preserve">-overexpression AAV , or the corresponding negative-control vectors. ALOXE3 signals were normalized to β-actin. (B) Densitometric quantification of 4-hydroxynonenal (4-HNE) protein adduct signals in </w:t>
      </w:r>
      <w:r>
        <w:rPr>
          <w:rFonts w:hint="default" w:ascii="Times New Roman" w:hAnsi="Times New Roman" w:eastAsia="微软雅黑" w:cs="Times New Roman"/>
          <w:i/>
          <w:iCs/>
          <w:color w:val="000000"/>
          <w:kern w:val="0"/>
          <w:sz w:val="24"/>
          <w:szCs w:val="24"/>
          <w:lang w:val="en-US" w:eastAsia="zh-CN" w:bidi="ar"/>
        </w:rPr>
        <w:t>Aloxe3</w:t>
      </w:r>
      <w:r>
        <w:rPr>
          <w:rFonts w:hint="default" w:ascii="Times New Roman" w:hAnsi="Times New Roman" w:eastAsia="微软雅黑" w:cs="Times New Roman"/>
          <w:color w:val="000000"/>
          <w:kern w:val="0"/>
          <w:sz w:val="24"/>
          <w:szCs w:val="24"/>
          <w:lang w:val="en-US" w:eastAsia="zh-CN" w:bidi="ar"/>
        </w:rPr>
        <w:t xml:space="preserve">-knockdown and </w:t>
      </w:r>
      <w:r>
        <w:rPr>
          <w:rFonts w:hint="default" w:ascii="Times New Roman" w:hAnsi="Times New Roman" w:eastAsia="微软雅黑" w:cs="Times New Roman"/>
          <w:i/>
          <w:iCs/>
          <w:color w:val="000000"/>
          <w:kern w:val="0"/>
          <w:sz w:val="24"/>
          <w:szCs w:val="24"/>
          <w:lang w:val="en-US" w:eastAsia="zh-CN" w:bidi="ar"/>
        </w:rPr>
        <w:t>Aloxe3</w:t>
      </w:r>
      <w:r>
        <w:rPr>
          <w:rFonts w:hint="default" w:ascii="Times New Roman" w:hAnsi="Times New Roman" w:eastAsia="微软雅黑" w:cs="Times New Roman"/>
          <w:color w:val="000000"/>
          <w:kern w:val="0"/>
          <w:sz w:val="24"/>
          <w:szCs w:val="24"/>
          <w:lang w:val="en-US" w:eastAsia="zh-CN" w:bidi="ar"/>
        </w:rPr>
        <w:t xml:space="preserve">-overexpressing BMDMs and their respective controls after 24 h of treatment with conditioned medium from APAP-exposed AML-12 cells (APAP-CM). Signals were normalized to β-actin. (C) Representative immunofluorescence images of liver sections from APAP-treated mice receiving the overexpression control vector, </w:t>
      </w:r>
      <w:r>
        <w:rPr>
          <w:rFonts w:hint="default" w:ascii="Times New Roman" w:hAnsi="Times New Roman" w:eastAsia="微软雅黑" w:cs="Times New Roman"/>
          <w:i/>
          <w:iCs/>
          <w:color w:val="000000"/>
          <w:kern w:val="0"/>
          <w:sz w:val="24"/>
          <w:szCs w:val="24"/>
          <w:lang w:val="en-US" w:eastAsia="zh-CN" w:bidi="ar"/>
        </w:rPr>
        <w:t>Aloxe3</w:t>
      </w:r>
      <w:r>
        <w:rPr>
          <w:rFonts w:hint="default" w:ascii="Times New Roman" w:hAnsi="Times New Roman" w:eastAsia="微软雅黑" w:cs="Times New Roman"/>
          <w:color w:val="000000"/>
          <w:kern w:val="0"/>
          <w:sz w:val="24"/>
          <w:szCs w:val="24"/>
          <w:lang w:val="en-US" w:eastAsia="zh-CN" w:bidi="ar"/>
        </w:rPr>
        <w:t xml:space="preserve">-overexpression vector, knockdown control vector, or </w:t>
      </w:r>
      <w:r>
        <w:rPr>
          <w:rFonts w:hint="default" w:ascii="Times New Roman" w:hAnsi="Times New Roman" w:eastAsia="微软雅黑" w:cs="Times New Roman"/>
          <w:i/>
          <w:iCs/>
          <w:color w:val="000000"/>
          <w:kern w:val="0"/>
          <w:sz w:val="24"/>
          <w:szCs w:val="24"/>
          <w:lang w:val="en-US" w:eastAsia="zh-CN" w:bidi="ar"/>
        </w:rPr>
        <w:t>Aloxe3</w:t>
      </w:r>
      <w:r>
        <w:rPr>
          <w:rFonts w:hint="default" w:ascii="Times New Roman" w:hAnsi="Times New Roman" w:eastAsia="微软雅黑" w:cs="Times New Roman"/>
          <w:color w:val="000000"/>
          <w:kern w:val="0"/>
          <w:sz w:val="24"/>
          <w:szCs w:val="24"/>
          <w:lang w:val="en-US" w:eastAsia="zh-CN" w:bidi="ar"/>
        </w:rPr>
        <w:t>-knockdown vector, shown from top to bottom. F4/80 (yellow) and ALOXE3 (green) channels are shown separately. Scale bars, 100 μm. (D) Quantification of ALOXE3-associated fluorescence intensity within F4/80-positive regions in the overexpression and knockdown experiments. Values were normalized to the mean of the corresponding negative-control group, which was set to 1. Each point represents one mouse (n = 6 mice per group). Comparisons in (D) were performed using two-sided unpaired Student’s t-tests. Data are presented as mean ± SD. Exact P values are shown for the</w:t>
      </w:r>
      <w:bookmarkStart w:id="0" w:name="_GoBack"/>
      <w:bookmarkEnd w:id="0"/>
      <w:r>
        <w:rPr>
          <w:rFonts w:hint="default" w:ascii="Times New Roman" w:hAnsi="Times New Roman" w:eastAsia="微软雅黑" w:cs="Times New Roman"/>
          <w:color w:val="000000"/>
          <w:kern w:val="0"/>
          <w:sz w:val="24"/>
          <w:szCs w:val="24"/>
          <w:lang w:val="en-US" w:eastAsia="zh-CN" w:bidi="ar"/>
        </w:rPr>
        <w:t xml:space="preserve"> indicated comparisons.</w:t>
      </w:r>
      <w:r>
        <w:rPr>
          <w:rFonts w:hint="eastAsia" w:ascii="Times New Roman" w:hAnsi="Times New Roman" w:eastAsia="楷体" w:cstheme="minorBidi"/>
          <w:color w:val="000000"/>
          <w:kern w:val="0"/>
          <w:sz w:val="24"/>
          <w:szCs w:val="24"/>
          <w:lang w:val="en-US" w:eastAsia="zh-CN" w:bidi="ar"/>
        </w:rPr>
        <w:br w:type="page"/>
      </w:r>
    </w:p>
    <w:p w14:paraId="1E3B2846">
      <w:pPr>
        <w:pStyle w:val="2"/>
        <w:keepNext w:val="0"/>
        <w:keepLines w:val="0"/>
        <w:pageBreakBefore w:val="0"/>
        <w:widowControl/>
        <w:suppressLineNumbers w:val="0"/>
        <w:spacing w:before="0" w:after="120" w:line="360" w:lineRule="auto"/>
        <w:ind w:left="0" w:right="0" w:firstLine="0"/>
        <w:jc w:val="both"/>
        <w:rPr>
          <w:rFonts w:hint="eastAsia" w:ascii="Times New Roman" w:hAnsi="Times New Roman" w:eastAsia="楷体"/>
          <w:b w:val="0"/>
          <w:color w:val="000000"/>
          <w:sz w:val="24"/>
          <w:u w:val="none"/>
          <w:lang w:eastAsia="zh-CN"/>
        </w:rPr>
      </w:pPr>
      <w:r>
        <w:rPr>
          <w:rFonts w:hint="eastAsia" w:ascii="Times New Roman" w:hAnsi="Times New Roman" w:eastAsia="楷体"/>
          <w:b w:val="0"/>
          <w:color w:val="000000"/>
          <w:sz w:val="24"/>
          <w:u w:val="none"/>
          <w:lang w:eastAsia="zh-CN"/>
        </w:rPr>
        <w:drawing>
          <wp:inline distT="0" distB="0" distL="114300" distR="114300">
            <wp:extent cx="5270500" cy="6953250"/>
            <wp:effectExtent l="0" t="0" r="0" b="6350"/>
            <wp:docPr id="1" name="图片 1" descr="alox figur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lox figure5.2"/>
                    <pic:cNvPicPr>
                      <a:picLocks noChangeAspect="1"/>
                    </pic:cNvPicPr>
                  </pic:nvPicPr>
                  <pic:blipFill>
                    <a:blip r:embed="rId8"/>
                    <a:stretch>
                      <a:fillRect/>
                    </a:stretch>
                  </pic:blipFill>
                  <pic:spPr>
                    <a:xfrm>
                      <a:off x="0" y="0"/>
                      <a:ext cx="5270500" cy="6953250"/>
                    </a:xfrm>
                    <a:prstGeom prst="rect">
                      <a:avLst/>
                    </a:prstGeom>
                  </pic:spPr>
                </pic:pic>
              </a:graphicData>
            </a:graphic>
          </wp:inline>
        </w:drawing>
      </w:r>
    </w:p>
    <w:p w14:paraId="2A75CEBB">
      <w:pPr>
        <w:jc w:val="both"/>
        <w:rPr>
          <w:rStyle w:val="5"/>
          <w:rFonts w:hint="eastAsia" w:eastAsia="宋体" w:cs="Times New Roman"/>
        </w:rPr>
      </w:pPr>
      <w:r>
        <w:rPr>
          <w:rStyle w:val="5"/>
          <w:rFonts w:hint="eastAsia" w:eastAsia="宋体" w:cs="Times New Roman"/>
        </w:rPr>
        <w:t xml:space="preserve">Figure S4. Exploratory </w:t>
      </w:r>
      <w:r>
        <w:rPr>
          <w:rStyle w:val="5"/>
          <w:rFonts w:hint="eastAsia" w:eastAsia="宋体" w:cs="Times New Roman"/>
          <w:i/>
          <w:iCs/>
        </w:rPr>
        <w:t>ALOXE3</w:t>
      </w:r>
      <w:r>
        <w:rPr>
          <w:rStyle w:val="5"/>
          <w:rFonts w:hint="eastAsia" w:eastAsia="宋体" w:cs="Times New Roman"/>
        </w:rPr>
        <w:t xml:space="preserve"> and </w:t>
      </w:r>
      <w:r>
        <w:rPr>
          <w:rStyle w:val="5"/>
          <w:rFonts w:hint="eastAsia" w:eastAsia="宋体" w:cs="Times New Roman"/>
          <w:i/>
          <w:iCs/>
        </w:rPr>
        <w:t>GPX3</w:t>
      </w:r>
      <w:r>
        <w:rPr>
          <w:rStyle w:val="5"/>
          <w:rFonts w:hint="eastAsia" w:eastAsia="宋体" w:cs="Times New Roman"/>
        </w:rPr>
        <w:t xml:space="preserve"> expression analyses in human liver datasets of APAP-induced liver injury.</w:t>
      </w:r>
    </w:p>
    <w:p w14:paraId="4CA74B19">
      <w:pPr>
        <w:pStyle w:val="2"/>
        <w:keepNext w:val="0"/>
        <w:keepLines w:val="0"/>
        <w:widowControl/>
        <w:suppressLineNumbers w:val="0"/>
        <w:jc w:val="both"/>
        <w:rPr>
          <w:i w:val="0"/>
          <w:iCs w:val="0"/>
        </w:rPr>
      </w:pPr>
      <w:r>
        <w:t xml:space="preserve">(A) Correlation between </w:t>
      </w:r>
      <w:r>
        <w:rPr>
          <w:i/>
          <w:iCs/>
        </w:rPr>
        <w:t>ALOXE3</w:t>
      </w:r>
      <w:r>
        <w:t xml:space="preserve"> and </w:t>
      </w:r>
      <w:r>
        <w:rPr>
          <w:i/>
          <w:iCs/>
        </w:rPr>
        <w:t>GPX3</w:t>
      </w:r>
      <w:r>
        <w:t xml:space="preserve"> expression across three APAP-induced ALF samples and two healthy controls combined. (B) </w:t>
      </w:r>
      <w:r>
        <w:rPr>
          <w:i/>
          <w:iCs/>
        </w:rPr>
        <w:t>ALOXE3</w:t>
      </w:r>
      <w:r>
        <w:t xml:space="preserve"> and </w:t>
      </w:r>
      <w:r>
        <w:rPr>
          <w:i/>
          <w:iCs/>
        </w:rPr>
        <w:t>GPX3</w:t>
      </w:r>
      <w:r>
        <w:t xml:space="preserve"> expression in clinical APAP-induced ALF liver tissues and healthy controls. (C–D) Spatial mapping of macrophage-associated markers and identification of macrophage-enriched spots using a marker-based score threshold of &gt;0.85 in GSE223559. (E) Spatial maps of </w:t>
      </w:r>
      <w:r>
        <w:rPr>
          <w:i/>
          <w:iCs/>
        </w:rPr>
        <w:t>ALOXE3</w:t>
      </w:r>
      <w:r>
        <w:t xml:space="preserve"> and </w:t>
      </w:r>
      <w:r>
        <w:rPr>
          <w:i/>
          <w:iCs/>
        </w:rPr>
        <w:t>GPX3</w:t>
      </w:r>
      <w:r>
        <w:t xml:space="preserve"> expression in relation to </w:t>
      </w:r>
      <w:r>
        <w:rPr>
          <w:i/>
          <w:iCs/>
        </w:rPr>
        <w:t>CYP2E1</w:t>
      </w:r>
      <w:r>
        <w:t xml:space="preserve"> expression. These exploratory analyses describe expression patterns and do not establish cell-specific protection or a functional relationship between</w:t>
      </w:r>
      <w:r>
        <w:rPr>
          <w:i w:val="0"/>
          <w:iCs w:val="0"/>
        </w:rPr>
        <w:t xml:space="preserve"> ALOXE3 and GPX3.</w:t>
      </w:r>
    </w:p>
    <w:p w14:paraId="0B718C1E">
      <w:pPr>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nack Time">
    <w:panose1 w:val="00000000000000000000"/>
    <w:charset w:val="00"/>
    <w:family w:val="auto"/>
    <w:pitch w:val="default"/>
    <w:sig w:usb0="00000000" w:usb1="00000000" w:usb2="00000000" w:usb3="00000000" w:csb0="00000193" w:csb1="00000000"/>
  </w:font>
  <w:font w:name="Baby One More Time">
    <w:panose1 w:val="00000500000000000000"/>
    <w:charset w:val="00"/>
    <w:family w:val="auto"/>
    <w:pitch w:val="default"/>
    <w:sig w:usb0="A00000FF" w:usb1="00000042" w:usb2="00000000" w:usb3="00000000" w:csb0="00000003" w:csb1="00000000"/>
  </w:font>
  <w:font w:name="Sweet Magic Time">
    <w:panose1 w:val="00000000000000000000"/>
    <w:charset w:val="00"/>
    <w:family w:val="auto"/>
    <w:pitch w:val="default"/>
    <w:sig w:usb0="A000004F" w:usb1="0000201A" w:usb2="00000000" w:usb3="00000000" w:csb0="00000193"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3A1FAE"/>
    <w:rsid w:val="08B651F8"/>
    <w:rsid w:val="0A621193"/>
    <w:rsid w:val="0B7D3DAB"/>
    <w:rsid w:val="11F565A2"/>
    <w:rsid w:val="1678091D"/>
    <w:rsid w:val="16995DF6"/>
    <w:rsid w:val="1A846F04"/>
    <w:rsid w:val="27DB0851"/>
    <w:rsid w:val="2E5A3DAC"/>
    <w:rsid w:val="350C2E6E"/>
    <w:rsid w:val="36B748EE"/>
    <w:rsid w:val="36D668E1"/>
    <w:rsid w:val="381476C1"/>
    <w:rsid w:val="38B247E4"/>
    <w:rsid w:val="3C0E4611"/>
    <w:rsid w:val="3C30439E"/>
    <w:rsid w:val="458D0AB3"/>
    <w:rsid w:val="4A3D4856"/>
    <w:rsid w:val="4C5E6D05"/>
    <w:rsid w:val="4CD70439"/>
    <w:rsid w:val="500F0A42"/>
    <w:rsid w:val="52A631B4"/>
    <w:rsid w:val="5339302E"/>
    <w:rsid w:val="55B856D8"/>
    <w:rsid w:val="5C511845"/>
    <w:rsid w:val="61C77C1D"/>
    <w:rsid w:val="6CDB1F80"/>
    <w:rsid w:val="720A48E8"/>
    <w:rsid w:val="74681C20"/>
    <w:rsid w:val="76340137"/>
    <w:rsid w:val="795E53A4"/>
    <w:rsid w:val="7F714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 w:cstheme="minorBidi"/>
      <w:color w:val="000000" w:themeColor="text1"/>
      <w:kern w:val="2"/>
      <w:sz w:val="21"/>
      <w:szCs w:val="24"/>
      <w:lang w:val="en-US" w:eastAsia="zh-CN" w:bidi="ar-SA"/>
      <w14:textFill>
        <w14:solidFill>
          <w14:schemeClr w14:val="tx1"/>
        </w14:solidFill>
      </w14:textFill>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rFonts w:ascii="Times New Roman" w:hAnsi="Times New Roman"/>
      <w:color w:val="000000"/>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699</Words>
  <Characters>4551</Characters>
  <Lines>0</Lines>
  <Paragraphs>0</Paragraphs>
  <TotalTime>331</TotalTime>
  <ScaleCrop>false</ScaleCrop>
  <LinksUpToDate>false</LinksUpToDate>
  <CharactersWithSpaces>5241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2025-01-04T12:12:00Z</dcterms:created>
  <dc:creator>A</dc:creator>
  <cp:lastModifiedBy>唔咪O_o</cp:lastModifiedBy>
  <dcterms:modified xsi:type="dcterms:W3CDTF">2026-09-24T08:10:27Z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D09627D84FC243BBA2822F4C21FF0075_12</vt:lpwstr>
  </property>
  <property fmtid="{D5CDD505-2E9C-101B-9397-08002B2CF9AE}" pid="4" name="KSOTemplateDocerSaveRecord">
    <vt:lpwstr>eyJoZGlkIjoiYWIxNzFhZTE1Yjk1ZGQzNjQ3ZDg3MjhkMDcxNDg0Y2YiLCJ1c2VySWQiOiIzODgyMDk4MjQifQ==</vt:lpwstr>
  </property>
</Properties>
</file>