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48DB7" w14:textId="76F20C31" w:rsidR="00DE1682" w:rsidRDefault="008A208D" w:rsidP="008A208D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8A208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Appendix </w:t>
      </w:r>
      <w:r w:rsidR="00A372D4">
        <w:rPr>
          <w:rFonts w:asciiTheme="majorBidi" w:hAnsiTheme="majorBidi" w:cstheme="majorBidi"/>
          <w:b/>
          <w:bCs/>
          <w:sz w:val="24"/>
          <w:szCs w:val="24"/>
          <w:lang w:val="en-US"/>
        </w:rPr>
        <w:t>A</w:t>
      </w:r>
      <w:bookmarkStart w:id="0" w:name="_GoBack"/>
      <w:bookmarkEnd w:id="0"/>
    </w:p>
    <w:p w14:paraId="1334BEB9" w14:textId="29A20BB0" w:rsidR="008A208D" w:rsidRPr="00396EEC" w:rsidRDefault="008A208D" w:rsidP="008A208D">
      <w:pPr>
        <w:spacing w:after="0" w:line="480" w:lineRule="auto"/>
        <w:contextualSpacing/>
        <w:jc w:val="both"/>
        <w:rPr>
          <w:rFonts w:asciiTheme="majorBidi" w:hAnsiTheme="majorBidi" w:cstheme="majorBidi"/>
          <w:sz w:val="24"/>
          <w:szCs w:val="24"/>
          <w:lang w:bidi="he-IL"/>
        </w:rPr>
      </w:pPr>
      <w:r w:rsidRPr="00396EEC">
        <w:rPr>
          <w:rFonts w:asciiTheme="majorBidi" w:hAnsiTheme="majorBidi" w:cstheme="majorBidi"/>
          <w:sz w:val="24"/>
          <w:szCs w:val="24"/>
          <w:lang w:bidi="he-IL"/>
        </w:rPr>
        <w:t xml:space="preserve">Table </w:t>
      </w:r>
      <w:r>
        <w:rPr>
          <w:rFonts w:asciiTheme="majorBidi" w:hAnsiTheme="majorBidi" w:cstheme="majorBidi"/>
          <w:sz w:val="24"/>
          <w:szCs w:val="24"/>
          <w:lang w:val="en-US" w:bidi="he-IL"/>
        </w:rPr>
        <w:t>A</w:t>
      </w:r>
      <w:r w:rsidRPr="00396EEC">
        <w:rPr>
          <w:rFonts w:asciiTheme="majorBidi" w:hAnsiTheme="majorBidi" w:cstheme="majorBidi"/>
          <w:sz w:val="24"/>
          <w:szCs w:val="24"/>
          <w:lang w:bidi="he-IL"/>
        </w:rPr>
        <w:t xml:space="preserve"> </w:t>
      </w:r>
      <w:r w:rsidRPr="00396EEC">
        <w:rPr>
          <w:rFonts w:ascii="Times New Roman" w:hAnsi="Times New Roman" w:cs="Times New Roman"/>
          <w:sz w:val="24"/>
          <w:szCs w:val="24"/>
        </w:rPr>
        <w:t xml:space="preserve">shows the results of six hierarchical linear regression models. In models 1–3, SRH was the dependent variable, whereas in models 4-6 mental health was the dependent variable. </w:t>
      </w:r>
      <w:r w:rsidRPr="00396EEC">
        <w:rPr>
          <w:rFonts w:asciiTheme="majorBidi" w:hAnsiTheme="majorBidi" w:cstheme="majorBidi"/>
          <w:sz w:val="24"/>
          <w:szCs w:val="24"/>
        </w:rPr>
        <w:t>Coefficients (standard errors in parenthesis) of the independent</w:t>
      </w:r>
      <w:r w:rsidRPr="00396EEC">
        <w:rPr>
          <w:rFonts w:ascii="Times New Roman" w:hAnsi="Times New Roman" w:cs="Times New Roman"/>
          <w:sz w:val="24"/>
          <w:szCs w:val="24"/>
        </w:rPr>
        <w:t xml:space="preserve"> </w:t>
      </w:r>
      <w:r w:rsidRPr="00396EEC">
        <w:rPr>
          <w:rFonts w:asciiTheme="majorBidi" w:hAnsiTheme="majorBidi" w:cstheme="majorBidi"/>
          <w:sz w:val="24"/>
          <w:szCs w:val="24"/>
        </w:rPr>
        <w:t>variables are presented.</w:t>
      </w:r>
      <w:r w:rsidRPr="00396EEC">
        <w:rPr>
          <w:rFonts w:ascii="Times New Roman" w:hAnsi="Times New Roman" w:cs="Times New Roman"/>
          <w:sz w:val="24"/>
          <w:szCs w:val="24"/>
        </w:rPr>
        <w:t xml:space="preserve"> All models control for demographic characteristic and employment status (not shown).</w:t>
      </w:r>
      <w:r w:rsidRPr="00396EEC">
        <w:rPr>
          <w:rFonts w:asciiTheme="majorBidi" w:hAnsiTheme="majorBidi" w:cstheme="majorBidi"/>
          <w:sz w:val="24"/>
          <w:szCs w:val="24"/>
        </w:rPr>
        <w:t xml:space="preserve"> </w:t>
      </w:r>
    </w:p>
    <w:p w14:paraId="698573BB" w14:textId="77777777" w:rsidR="008A208D" w:rsidRPr="00496133" w:rsidRDefault="008A208D" w:rsidP="008A208D">
      <w:pPr>
        <w:spacing w:after="0" w:line="480" w:lineRule="auto"/>
        <w:ind w:firstLine="680"/>
        <w:contextualSpacing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  <w:r>
        <w:rPr>
          <w:rFonts w:asciiTheme="majorBidi" w:hAnsiTheme="majorBidi" w:cstheme="majorBidi"/>
          <w:sz w:val="24"/>
          <w:szCs w:val="24"/>
        </w:rPr>
        <w:t xml:space="preserve">Starting with SRH, SES proved a strong predictor of SRH. In models 1-3 it can be seen that higher SES in terms of education and average income per capita of the household correlated positively with SRH. </w:t>
      </w:r>
      <w:r w:rsidRPr="00243EB4">
        <w:rPr>
          <w:rFonts w:asciiTheme="majorBidi" w:hAnsiTheme="majorBidi" w:cstheme="majorBidi"/>
          <w:sz w:val="24"/>
          <w:szCs w:val="24"/>
        </w:rPr>
        <w:t xml:space="preserve">Home ownership </w:t>
      </w:r>
      <w:r>
        <w:rPr>
          <w:rFonts w:asciiTheme="majorBidi" w:hAnsiTheme="majorBidi" w:cstheme="majorBidi"/>
          <w:sz w:val="24"/>
          <w:szCs w:val="24"/>
        </w:rPr>
        <w:t>was an</w:t>
      </w:r>
      <w:r w:rsidRPr="00243EB4">
        <w:rPr>
          <w:rFonts w:asciiTheme="majorBidi" w:hAnsiTheme="majorBidi" w:cstheme="majorBidi"/>
          <w:sz w:val="24"/>
          <w:szCs w:val="24"/>
        </w:rPr>
        <w:t xml:space="preserve"> insignificant coefficient in the first model, and was significantly negative in the second and third models. These associations are not in the expected direction. </w:t>
      </w:r>
    </w:p>
    <w:p w14:paraId="3FB5B370" w14:textId="77777777" w:rsidR="008A208D" w:rsidRDefault="008A208D" w:rsidP="008A208D">
      <w:pPr>
        <w:spacing w:after="0" w:line="480" w:lineRule="auto"/>
        <w:ind w:firstLine="680"/>
        <w:contextualSpacing/>
        <w:jc w:val="both"/>
        <w:rPr>
          <w:rFonts w:asciiTheme="majorBidi" w:hAnsiTheme="majorBidi" w:cstheme="majorBidi"/>
          <w:sz w:val="24"/>
          <w:szCs w:val="24"/>
          <w:lang w:bidi="he-IL"/>
        </w:rPr>
      </w:pPr>
      <w:r>
        <w:rPr>
          <w:rFonts w:asciiTheme="majorBidi" w:hAnsiTheme="majorBidi" w:cstheme="majorBidi"/>
          <w:sz w:val="24"/>
          <w:szCs w:val="24"/>
          <w:lang w:bidi="he-IL"/>
        </w:rPr>
        <w:t>Mental</w:t>
      </w:r>
      <w:r w:rsidRPr="00496133">
        <w:rPr>
          <w:rFonts w:asciiTheme="majorBidi" w:hAnsiTheme="majorBidi" w:cstheme="majorBidi"/>
          <w:sz w:val="24"/>
          <w:szCs w:val="24"/>
        </w:rPr>
        <w:t xml:space="preserve"> health was</w:t>
      </w:r>
      <w:r>
        <w:rPr>
          <w:rFonts w:asciiTheme="majorBidi" w:hAnsiTheme="majorBidi" w:cstheme="majorBidi"/>
          <w:sz w:val="24"/>
          <w:szCs w:val="24"/>
        </w:rPr>
        <w:t xml:space="preserve"> positively correlated</w:t>
      </w:r>
      <w:r w:rsidRPr="00496133">
        <w:rPr>
          <w:rFonts w:asciiTheme="majorBidi" w:hAnsiTheme="majorBidi" w:cstheme="majorBidi"/>
          <w:sz w:val="24"/>
          <w:szCs w:val="24"/>
        </w:rPr>
        <w:t xml:space="preserve"> with SRH, and </w:t>
      </w:r>
      <w:r>
        <w:rPr>
          <w:rFonts w:asciiTheme="majorBidi" w:hAnsiTheme="majorBidi" w:cstheme="majorBidi"/>
          <w:sz w:val="24"/>
          <w:szCs w:val="24"/>
        </w:rPr>
        <w:t>in the second model makes</w:t>
      </w:r>
      <w:r w:rsidRPr="00496133">
        <w:rPr>
          <w:rFonts w:asciiTheme="majorBidi" w:hAnsiTheme="majorBidi" w:cstheme="majorBidi"/>
          <w:sz w:val="24"/>
          <w:szCs w:val="24"/>
        </w:rPr>
        <w:t xml:space="preserve"> a distinct</w:t>
      </w:r>
      <w:r>
        <w:rPr>
          <w:rFonts w:asciiTheme="majorBidi" w:hAnsiTheme="majorBidi" w:cstheme="majorBidi"/>
          <w:sz w:val="24"/>
          <w:szCs w:val="24"/>
        </w:rPr>
        <w:t xml:space="preserve"> contribution of 12.2% to the total explained </w:t>
      </w:r>
      <w:r w:rsidRPr="00FD5CB0">
        <w:rPr>
          <w:rFonts w:asciiTheme="majorBidi" w:hAnsiTheme="majorBidi" w:cstheme="majorBidi"/>
          <w:sz w:val="24"/>
          <w:szCs w:val="24"/>
        </w:rPr>
        <w:t>variance. The</w:t>
      </w:r>
      <w:r>
        <w:rPr>
          <w:rFonts w:asciiTheme="majorBidi" w:hAnsiTheme="majorBidi" w:cstheme="majorBidi"/>
          <w:sz w:val="24"/>
          <w:szCs w:val="24"/>
        </w:rPr>
        <w:t xml:space="preserve"> third model showed that both social participation factors, </w:t>
      </w:r>
      <w:r w:rsidRPr="00FD5CB0">
        <w:rPr>
          <w:rFonts w:asciiTheme="majorBidi" w:hAnsiTheme="majorBidi" w:cstheme="majorBidi"/>
          <w:sz w:val="24"/>
          <w:szCs w:val="24"/>
        </w:rPr>
        <w:t xml:space="preserve">along with the frequency of meeting and </w:t>
      </w:r>
      <w:r>
        <w:rPr>
          <w:rFonts w:asciiTheme="majorBidi" w:hAnsiTheme="majorBidi" w:cstheme="majorBidi"/>
          <w:sz w:val="24"/>
          <w:szCs w:val="24"/>
        </w:rPr>
        <w:t>talking</w:t>
      </w:r>
      <w:r w:rsidRPr="00FD5CB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with</w:t>
      </w:r>
      <w:r w:rsidRPr="00FD5CB0">
        <w:rPr>
          <w:rFonts w:asciiTheme="majorBidi" w:hAnsiTheme="majorBidi" w:cstheme="majorBidi"/>
          <w:sz w:val="24"/>
          <w:szCs w:val="24"/>
        </w:rPr>
        <w:t xml:space="preserve"> friend</w:t>
      </w:r>
      <w:r>
        <w:rPr>
          <w:rFonts w:asciiTheme="majorBidi" w:hAnsiTheme="majorBidi" w:cstheme="majorBidi"/>
          <w:sz w:val="24"/>
          <w:szCs w:val="24"/>
        </w:rPr>
        <w:t>, had a positive effect on SRH. However, this step made only a slight distinct contribution to the total explained variance (.03%). Our findings are in line with previous studies indicating that both mental health and social participation promote SRH.</w:t>
      </w:r>
    </w:p>
    <w:p w14:paraId="38B195BF" w14:textId="77777777" w:rsidR="008A208D" w:rsidRDefault="008A208D" w:rsidP="008A208D">
      <w:pPr>
        <w:spacing w:after="0" w:line="480" w:lineRule="auto"/>
        <w:ind w:firstLine="680"/>
        <w:contextualSpacing/>
        <w:jc w:val="both"/>
        <w:rPr>
          <w:rFonts w:asciiTheme="majorBidi" w:hAnsiTheme="majorBidi" w:cstheme="majorBidi"/>
          <w:sz w:val="24"/>
          <w:szCs w:val="24"/>
          <w:lang w:bidi="he-IL"/>
        </w:rPr>
      </w:pPr>
      <w:r>
        <w:rPr>
          <w:rFonts w:asciiTheme="majorBidi" w:hAnsiTheme="majorBidi" w:cstheme="majorBidi"/>
          <w:sz w:val="24"/>
          <w:szCs w:val="24"/>
          <w:lang w:bidi="he-IL"/>
        </w:rPr>
        <w:t xml:space="preserve">With respect to mental health, in the first two models (4 and 5) a higher SES factor score was correlated with better mental health. Home ownership was strongly and positively related to mental health across all models (4 to 6). </w:t>
      </w:r>
      <w:r>
        <w:rPr>
          <w:rFonts w:asciiTheme="majorBidi" w:hAnsiTheme="majorBidi" w:cstheme="majorBidi"/>
          <w:sz w:val="24"/>
          <w:szCs w:val="24"/>
        </w:rPr>
        <w:t xml:space="preserve">SRH was positively correlated with mental health, and made a distinct contribution of 16.2% to the total explained variance in model 5. Finally, model 6 indicated that factor 2 (family relations and having people to count on), frequent meetings/speaking with friends, and self-perceived-trust promoted mental health. </w:t>
      </w:r>
    </w:p>
    <w:p w14:paraId="0FCA93DC" w14:textId="6AFA9D6A" w:rsidR="008A208D" w:rsidRPr="00F25BE7" w:rsidRDefault="008A208D" w:rsidP="006204E6">
      <w:pPr>
        <w:spacing w:after="0" w:line="480" w:lineRule="auto"/>
        <w:ind w:firstLine="680"/>
        <w:contextualSpacing/>
        <w:jc w:val="both"/>
        <w:rPr>
          <w:rFonts w:asciiTheme="majorBidi" w:hAnsiTheme="majorBidi" w:cstheme="majorBidi"/>
          <w:sz w:val="24"/>
          <w:szCs w:val="24"/>
          <w:rtl/>
          <w:lang w:val="en-US" w:bidi="he-IL"/>
        </w:rPr>
      </w:pPr>
      <w:r w:rsidRPr="00B07387">
        <w:rPr>
          <w:rFonts w:asciiTheme="majorBidi" w:hAnsiTheme="majorBidi" w:cstheme="majorBidi"/>
          <w:sz w:val="24"/>
          <w:szCs w:val="24"/>
        </w:rPr>
        <w:t xml:space="preserve">The findings here demonstrate variations in the </w:t>
      </w:r>
      <w:r w:rsidRPr="00396EEC">
        <w:rPr>
          <w:rFonts w:asciiTheme="majorBidi" w:hAnsiTheme="majorBidi" w:cstheme="majorBidi"/>
          <w:sz w:val="24"/>
          <w:szCs w:val="24"/>
        </w:rPr>
        <w:t>contribution</w:t>
      </w:r>
      <w:r w:rsidRPr="00B07387">
        <w:rPr>
          <w:rFonts w:asciiTheme="majorBidi" w:hAnsiTheme="majorBidi" w:cstheme="majorBidi"/>
          <w:sz w:val="24"/>
          <w:szCs w:val="24"/>
        </w:rPr>
        <w:t xml:space="preserve"> of SES and social participation across the two health outcomes. First, </w:t>
      </w:r>
      <w:r>
        <w:rPr>
          <w:rFonts w:asciiTheme="majorBidi" w:hAnsiTheme="majorBidi" w:cstheme="majorBidi"/>
          <w:sz w:val="24"/>
          <w:szCs w:val="24"/>
        </w:rPr>
        <w:t>in</w:t>
      </w:r>
      <w:r w:rsidRPr="00B07387">
        <w:rPr>
          <w:rFonts w:asciiTheme="majorBidi" w:hAnsiTheme="majorBidi" w:cstheme="majorBidi"/>
          <w:sz w:val="24"/>
          <w:szCs w:val="24"/>
        </w:rPr>
        <w:t xml:space="preserve"> all models the total explained variance is much</w:t>
      </w:r>
      <w:r>
        <w:rPr>
          <w:rFonts w:asciiTheme="majorBidi" w:hAnsiTheme="majorBidi" w:cstheme="majorBidi"/>
          <w:sz w:val="24"/>
          <w:szCs w:val="24"/>
        </w:rPr>
        <w:t xml:space="preserve"> higher for SRH than for mental health. The most pronounced difference is observed in </w:t>
      </w:r>
      <w:r>
        <w:rPr>
          <w:rFonts w:asciiTheme="majorBidi" w:hAnsiTheme="majorBidi" w:cstheme="majorBidi"/>
          <w:sz w:val="24"/>
          <w:szCs w:val="24"/>
        </w:rPr>
        <w:lastRenderedPageBreak/>
        <w:t xml:space="preserve">the prediction power of the first model – containing demographics and SES. In addition, the regression analyses present variation across the different measures of SES and social participation. For </w:t>
      </w:r>
      <w:r w:rsidRPr="00800782">
        <w:rPr>
          <w:rFonts w:asciiTheme="majorBidi" w:hAnsiTheme="majorBidi" w:cstheme="majorBidi"/>
          <w:sz w:val="24"/>
          <w:szCs w:val="24"/>
        </w:rPr>
        <w:t>example, home ownership and self-perceived</w:t>
      </w:r>
      <w:r>
        <w:rPr>
          <w:rFonts w:asciiTheme="majorBidi" w:hAnsiTheme="majorBidi" w:cstheme="majorBidi"/>
          <w:sz w:val="24"/>
          <w:szCs w:val="24"/>
        </w:rPr>
        <w:t xml:space="preserve">-trust are predictors of mental health whereas they have no effect on SRH. Social participation factor 1 (volunteering, civic/political involvement, ICT) was a significant predictor of SRH only. </w:t>
      </w:r>
      <w:r w:rsidR="00F25BE7">
        <w:rPr>
          <w:rFonts w:asciiTheme="majorBidi" w:hAnsiTheme="majorBidi" w:cstheme="majorBidi"/>
          <w:sz w:val="24"/>
          <w:szCs w:val="24"/>
          <w:lang w:val="en-US"/>
        </w:rPr>
        <w:t xml:space="preserve">We also observed substantial change in the </w:t>
      </w:r>
      <w:r w:rsidR="00067C45">
        <w:rPr>
          <w:rFonts w:asciiTheme="majorBidi" w:hAnsiTheme="majorBidi" w:cstheme="majorBidi"/>
          <w:sz w:val="24"/>
          <w:szCs w:val="24"/>
          <w:lang w:val="en-US"/>
        </w:rPr>
        <w:t>coefficients</w:t>
      </w:r>
      <w:r w:rsidR="00F25BE7">
        <w:rPr>
          <w:rFonts w:asciiTheme="majorBidi" w:hAnsiTheme="majorBidi" w:cstheme="majorBidi"/>
          <w:sz w:val="24"/>
          <w:szCs w:val="24"/>
          <w:lang w:val="en-US"/>
        </w:rPr>
        <w:t xml:space="preserve"> of the SES </w:t>
      </w:r>
      <w:r w:rsidR="00067C45">
        <w:rPr>
          <w:rFonts w:asciiTheme="majorBidi" w:hAnsiTheme="majorBidi" w:cstheme="majorBidi"/>
          <w:sz w:val="24"/>
          <w:szCs w:val="24"/>
          <w:lang w:val="en-US"/>
        </w:rPr>
        <w:t>factor across the models: for both health measure the coefficients are highest in the first model (model 1 and 4 respectively) and reduces when the other health measure insert (MH</w:t>
      </w:r>
      <w:r w:rsidR="00F25BE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67C45">
        <w:rPr>
          <w:rFonts w:asciiTheme="majorBidi" w:hAnsiTheme="majorBidi" w:cstheme="majorBidi"/>
          <w:sz w:val="24"/>
          <w:szCs w:val="24"/>
          <w:lang w:val="en-US"/>
        </w:rPr>
        <w:t>in model 2 and SRH in model 5), and further reduces when SP</w:t>
      </w:r>
      <w:r w:rsidR="006204E6">
        <w:rPr>
          <w:rFonts w:asciiTheme="majorBidi" w:hAnsiTheme="majorBidi" w:cstheme="majorBidi"/>
          <w:sz w:val="24"/>
          <w:szCs w:val="24"/>
          <w:lang w:val="en-US"/>
        </w:rPr>
        <w:t xml:space="preserve"> is</w:t>
      </w:r>
      <w:r w:rsidR="00067C45">
        <w:rPr>
          <w:rFonts w:asciiTheme="majorBidi" w:hAnsiTheme="majorBidi" w:cstheme="majorBidi"/>
          <w:sz w:val="24"/>
          <w:szCs w:val="24"/>
          <w:lang w:val="en-US"/>
        </w:rPr>
        <w:t xml:space="preserve"> insert</w:t>
      </w:r>
      <w:r w:rsidR="006204E6">
        <w:rPr>
          <w:rFonts w:asciiTheme="majorBidi" w:hAnsiTheme="majorBidi" w:cstheme="majorBidi"/>
          <w:sz w:val="24"/>
          <w:szCs w:val="24"/>
          <w:lang w:val="en-US"/>
        </w:rPr>
        <w:t>ed</w:t>
      </w:r>
      <w:r w:rsidR="00067C45">
        <w:rPr>
          <w:rFonts w:asciiTheme="majorBidi" w:hAnsiTheme="majorBidi" w:cstheme="majorBidi"/>
          <w:sz w:val="24"/>
          <w:szCs w:val="24"/>
          <w:lang w:val="en-US"/>
        </w:rPr>
        <w:t xml:space="preserve"> (model 3 and 6)</w:t>
      </w:r>
      <w:r w:rsidR="00F33982">
        <w:rPr>
          <w:rFonts w:asciiTheme="majorBidi" w:hAnsiTheme="majorBidi" w:cstheme="majorBidi"/>
          <w:sz w:val="24"/>
          <w:szCs w:val="24"/>
          <w:lang w:val="en-US"/>
        </w:rPr>
        <w:t>, implying for potential mediation effect of SP</w:t>
      </w:r>
      <w:r w:rsidR="00067C4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33982">
        <w:rPr>
          <w:rFonts w:asciiTheme="majorBidi" w:hAnsiTheme="majorBidi" w:cstheme="majorBidi"/>
          <w:sz w:val="24"/>
          <w:szCs w:val="24"/>
          <w:lang w:val="en-US"/>
        </w:rPr>
        <w:t>in the SES-health links.</w:t>
      </w:r>
      <w:r w:rsidR="006204E6">
        <w:rPr>
          <w:rFonts w:asciiTheme="majorBidi" w:hAnsiTheme="majorBidi" w:cstheme="majorBidi"/>
          <w:sz w:val="24"/>
          <w:szCs w:val="24"/>
          <w:lang w:val="en-US"/>
        </w:rPr>
        <w:t xml:space="preserve"> T</w:t>
      </w:r>
      <w:r w:rsidR="00067C45">
        <w:rPr>
          <w:rFonts w:asciiTheme="majorBidi" w:hAnsiTheme="majorBidi" w:cstheme="majorBidi"/>
          <w:sz w:val="24"/>
          <w:szCs w:val="24"/>
          <w:lang w:val="en-US"/>
        </w:rPr>
        <w:t>he SES factor became insignificant for MH when adding SP (model 6)</w:t>
      </w:r>
      <w:r w:rsidR="00C77C57">
        <w:rPr>
          <w:rFonts w:asciiTheme="majorBidi" w:hAnsiTheme="majorBidi" w:cstheme="majorBidi"/>
          <w:sz w:val="24"/>
          <w:szCs w:val="24"/>
          <w:lang w:val="en-US"/>
        </w:rPr>
        <w:t xml:space="preserve">, suggesting </w:t>
      </w:r>
      <w:r w:rsidR="00E21CCA">
        <w:rPr>
          <w:rFonts w:asciiTheme="majorBidi" w:hAnsiTheme="majorBidi" w:cstheme="majorBidi"/>
          <w:sz w:val="24"/>
          <w:szCs w:val="24"/>
          <w:lang w:val="en-US"/>
        </w:rPr>
        <w:t>that full mediation occurred.</w:t>
      </w:r>
      <w:r w:rsidR="00C77C5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67C4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0EE748AE" w14:textId="77777777" w:rsidR="008A208D" w:rsidRPr="008A208D" w:rsidRDefault="008A208D" w:rsidP="008A208D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 w:bidi="he-IL"/>
        </w:rPr>
      </w:pPr>
    </w:p>
    <w:p w14:paraId="3D42A20E" w14:textId="01C65412" w:rsidR="008A208D" w:rsidRPr="003C21B1" w:rsidRDefault="008A208D" w:rsidP="008A208D">
      <w:pPr>
        <w:spacing w:after="0" w:line="480" w:lineRule="auto"/>
        <w:ind w:firstLine="680"/>
        <w:contextualSpacing/>
        <w:jc w:val="both"/>
        <w:rPr>
          <w:rFonts w:asciiTheme="majorBidi" w:hAnsiTheme="majorBidi" w:cstheme="majorBidi"/>
          <w:sz w:val="24"/>
          <w:szCs w:val="24"/>
          <w:vertAlign w:val="superscript"/>
          <w:rtl/>
          <w:lang w:bidi="he-IL"/>
        </w:rPr>
      </w:pPr>
      <w:r>
        <w:rPr>
          <w:rFonts w:asciiTheme="majorBidi" w:hAnsiTheme="majorBidi" w:cstheme="majorBidi"/>
          <w:sz w:val="24"/>
          <w:szCs w:val="24"/>
          <w:lang w:bidi="he-IL"/>
        </w:rPr>
        <w:t xml:space="preserve">Table </w:t>
      </w:r>
      <w:r>
        <w:rPr>
          <w:rFonts w:asciiTheme="majorBidi" w:hAnsiTheme="majorBidi" w:cstheme="majorBidi"/>
          <w:sz w:val="24"/>
          <w:szCs w:val="24"/>
          <w:lang w:val="en-US" w:bidi="he-IL"/>
        </w:rPr>
        <w:t>A</w:t>
      </w:r>
      <w:r>
        <w:rPr>
          <w:rFonts w:asciiTheme="majorBidi" w:hAnsiTheme="majorBidi" w:cstheme="majorBidi"/>
          <w:sz w:val="24"/>
          <w:szCs w:val="24"/>
          <w:lang w:bidi="he-IL"/>
        </w:rPr>
        <w:t>. OLS regressions: Prediction of SRH and mental health</w:t>
      </w:r>
      <w:r w:rsidRPr="003C21B1">
        <w:rPr>
          <w:rFonts w:asciiTheme="majorBidi" w:hAnsiTheme="majorBidi" w:cstheme="majorBidi"/>
          <w:sz w:val="24"/>
          <w:szCs w:val="24"/>
          <w:vertAlign w:val="superscript"/>
          <w:lang w:bidi="he-IL"/>
        </w:rPr>
        <w:t xml:space="preserve">(a) </w:t>
      </w:r>
    </w:p>
    <w:tbl>
      <w:tblPr>
        <w:tblStyle w:val="TableGrid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8"/>
        <w:gridCol w:w="1167"/>
        <w:gridCol w:w="1167"/>
        <w:gridCol w:w="1167"/>
        <w:gridCol w:w="1167"/>
        <w:gridCol w:w="1167"/>
        <w:gridCol w:w="1167"/>
      </w:tblGrid>
      <w:tr w:rsidR="008A208D" w:rsidRPr="001B28EA" w14:paraId="794EA5F0" w14:textId="77777777" w:rsidTr="00005246">
        <w:tc>
          <w:tcPr>
            <w:tcW w:w="2638" w:type="dxa"/>
            <w:tcBorders>
              <w:top w:val="single" w:sz="4" w:space="0" w:color="auto"/>
              <w:bottom w:val="single" w:sz="4" w:space="0" w:color="auto"/>
            </w:tcBorders>
          </w:tcPr>
          <w:p w14:paraId="404FB8FF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4D78D42B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SRH</w:t>
            </w:r>
          </w:p>
          <w:p w14:paraId="2F70650A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05E10E4C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25EE2F09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3D8F334D" w14:textId="7EC1C5AC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B28EA">
              <w:rPr>
                <w:rFonts w:asciiTheme="majorBidi" w:hAnsiTheme="majorBidi" w:cstheme="majorBidi"/>
                <w:sz w:val="24"/>
                <w:szCs w:val="24"/>
              </w:rPr>
              <w:t xml:space="preserve">Mental </w:t>
            </w:r>
            <w:r w:rsidR="00152B6C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ealth</w:t>
            </w:r>
          </w:p>
          <w:p w14:paraId="39AFF24E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2DEF724E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5600D740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08D" w:rsidRPr="001B28EA" w14:paraId="4BEC972A" w14:textId="77777777" w:rsidTr="00005246">
        <w:tc>
          <w:tcPr>
            <w:tcW w:w="2638" w:type="dxa"/>
            <w:tcBorders>
              <w:top w:val="single" w:sz="4" w:space="0" w:color="auto"/>
              <w:bottom w:val="single" w:sz="4" w:space="0" w:color="auto"/>
            </w:tcBorders>
          </w:tcPr>
          <w:p w14:paraId="5940D369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26FB3A4A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Model 1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0EF7E5E1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Model 2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573A96AB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Model 3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7DB30538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Model 4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57DC3326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Model 5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35A311BF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Model 6</w:t>
            </w:r>
          </w:p>
        </w:tc>
      </w:tr>
      <w:tr w:rsidR="008A208D" w:rsidRPr="001B28EA" w14:paraId="77A03B6D" w14:textId="77777777" w:rsidTr="00005246">
        <w:tc>
          <w:tcPr>
            <w:tcW w:w="2638" w:type="dxa"/>
            <w:tcBorders>
              <w:top w:val="single" w:sz="4" w:space="0" w:color="auto"/>
            </w:tcBorders>
          </w:tcPr>
          <w:p w14:paraId="4E700ABC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1B28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(2 domains)</w:t>
            </w:r>
          </w:p>
        </w:tc>
        <w:tc>
          <w:tcPr>
            <w:tcW w:w="1167" w:type="dxa"/>
            <w:tcBorders>
              <w:top w:val="single" w:sz="4" w:space="0" w:color="auto"/>
            </w:tcBorders>
          </w:tcPr>
          <w:p w14:paraId="3B58BE64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</w:tcPr>
          <w:p w14:paraId="568CD1FA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</w:tcPr>
          <w:p w14:paraId="736040E1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</w:tcPr>
          <w:p w14:paraId="4EA5E881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</w:tcPr>
          <w:p w14:paraId="4DD584F0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</w:tcPr>
          <w:p w14:paraId="1359D07E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08D" w:rsidRPr="001B28EA" w14:paraId="78083842" w14:textId="77777777" w:rsidTr="00005246">
        <w:tc>
          <w:tcPr>
            <w:tcW w:w="2638" w:type="dxa"/>
          </w:tcPr>
          <w:p w14:paraId="5914B3A4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B28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SES Factor: 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>education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Pr="001B28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</w:t>
            </w:r>
          </w:p>
          <w:p w14:paraId="0A3C7BEA" w14:textId="77777777" w:rsidR="008A208D" w:rsidRPr="00284903" w:rsidRDefault="008A208D" w:rsidP="00005246">
            <w:p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1B28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 xml:space="preserve">verage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>ncome per capita in the household</w:t>
            </w:r>
          </w:p>
        </w:tc>
        <w:tc>
          <w:tcPr>
            <w:tcW w:w="1167" w:type="dxa"/>
          </w:tcPr>
          <w:p w14:paraId="4D6A719C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.660**</w:t>
            </w:r>
          </w:p>
          <w:p w14:paraId="079550F5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sz w:val="24"/>
                <w:szCs w:val="24"/>
              </w:rPr>
              <w:t>(.051)</w:t>
            </w:r>
          </w:p>
        </w:tc>
        <w:tc>
          <w:tcPr>
            <w:tcW w:w="1167" w:type="dxa"/>
          </w:tcPr>
          <w:p w14:paraId="064F6DF8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016F0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.480</w:t>
            </w: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**</w:t>
            </w:r>
          </w:p>
          <w:p w14:paraId="303A87F4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sz w:val="24"/>
                <w:szCs w:val="24"/>
              </w:rPr>
              <w:t>(.046)</w:t>
            </w:r>
          </w:p>
        </w:tc>
        <w:tc>
          <w:tcPr>
            <w:tcW w:w="1167" w:type="dxa"/>
          </w:tcPr>
          <w:p w14:paraId="507E72B5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016F0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.413</w:t>
            </w: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**</w:t>
            </w:r>
          </w:p>
          <w:p w14:paraId="1E036625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sz w:val="24"/>
                <w:szCs w:val="24"/>
              </w:rPr>
              <w:t>(.050)</w:t>
            </w:r>
          </w:p>
        </w:tc>
        <w:tc>
          <w:tcPr>
            <w:tcW w:w="1167" w:type="dxa"/>
          </w:tcPr>
          <w:p w14:paraId="03724B7F" w14:textId="77777777" w:rsidR="008A208D" w:rsidRPr="00A416FB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A416FB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.611**</w:t>
            </w:r>
          </w:p>
          <w:p w14:paraId="52C70780" w14:textId="77777777" w:rsidR="008A208D" w:rsidRPr="00A416FB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416FB">
              <w:rPr>
                <w:rFonts w:asciiTheme="majorBidi" w:hAnsiTheme="majorBidi" w:cstheme="majorBidi"/>
                <w:sz w:val="24"/>
                <w:szCs w:val="24"/>
              </w:rPr>
              <w:t>(.075)</w:t>
            </w:r>
          </w:p>
        </w:tc>
        <w:tc>
          <w:tcPr>
            <w:tcW w:w="1167" w:type="dxa"/>
          </w:tcPr>
          <w:p w14:paraId="38779477" w14:textId="77777777" w:rsidR="008A208D" w:rsidRPr="00B05A4F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B05A4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.196**</w:t>
            </w:r>
          </w:p>
          <w:p w14:paraId="5E876056" w14:textId="77777777" w:rsidR="008A208D" w:rsidRPr="00B05A4F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05A4F">
              <w:rPr>
                <w:rFonts w:asciiTheme="majorBidi" w:hAnsiTheme="majorBidi" w:cstheme="majorBidi"/>
                <w:sz w:val="24"/>
                <w:szCs w:val="24"/>
              </w:rPr>
              <w:t>(.069)</w:t>
            </w:r>
          </w:p>
        </w:tc>
        <w:tc>
          <w:tcPr>
            <w:tcW w:w="1167" w:type="dxa"/>
          </w:tcPr>
          <w:p w14:paraId="0A87AB8C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.064</w:t>
            </w:r>
          </w:p>
          <w:p w14:paraId="11CCC758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sz w:val="24"/>
                <w:szCs w:val="24"/>
              </w:rPr>
              <w:t>(.073)</w:t>
            </w:r>
          </w:p>
        </w:tc>
      </w:tr>
      <w:tr w:rsidR="008A208D" w:rsidRPr="001B28EA" w14:paraId="41BFA526" w14:textId="77777777" w:rsidTr="00005246">
        <w:tc>
          <w:tcPr>
            <w:tcW w:w="2638" w:type="dxa"/>
          </w:tcPr>
          <w:p w14:paraId="6E632C24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Home o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 xml:space="preserve">wnership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(=1)</w:t>
            </w:r>
          </w:p>
        </w:tc>
        <w:tc>
          <w:tcPr>
            <w:tcW w:w="1167" w:type="dxa"/>
          </w:tcPr>
          <w:p w14:paraId="6DA15E22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160</w:t>
            </w:r>
          </w:p>
          <w:p w14:paraId="62A51E55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sz w:val="24"/>
                <w:szCs w:val="24"/>
              </w:rPr>
              <w:t>(.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112</w:t>
            </w:r>
            <w:r w:rsidRPr="00F05CC6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167" w:type="dxa"/>
          </w:tcPr>
          <w:p w14:paraId="738996F1" w14:textId="77777777" w:rsidR="008A208D" w:rsidRPr="000B22CD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016F0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-.300</w:t>
            </w:r>
            <w:r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*</w:t>
            </w:r>
          </w:p>
          <w:p w14:paraId="00708341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sz w:val="24"/>
                <w:szCs w:val="24"/>
              </w:rPr>
              <w:t>(.101)</w:t>
            </w:r>
          </w:p>
        </w:tc>
        <w:tc>
          <w:tcPr>
            <w:tcW w:w="1167" w:type="dxa"/>
          </w:tcPr>
          <w:p w14:paraId="77681712" w14:textId="77777777" w:rsidR="008A208D" w:rsidRPr="000B22CD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016F0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-.252</w:t>
            </w:r>
            <w:r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*</w:t>
            </w:r>
          </w:p>
          <w:p w14:paraId="6F4A1229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sz w:val="24"/>
                <w:szCs w:val="24"/>
              </w:rPr>
              <w:t>(.102)</w:t>
            </w:r>
          </w:p>
        </w:tc>
        <w:tc>
          <w:tcPr>
            <w:tcW w:w="1167" w:type="dxa"/>
          </w:tcPr>
          <w:p w14:paraId="07A7A79C" w14:textId="77777777" w:rsidR="008A208D" w:rsidRPr="00A416FB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A416FB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.476**</w:t>
            </w:r>
          </w:p>
          <w:p w14:paraId="45D5B0C3" w14:textId="77777777" w:rsidR="008A208D" w:rsidRPr="00A416FB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416FB">
              <w:rPr>
                <w:rFonts w:asciiTheme="majorBidi" w:hAnsiTheme="majorBidi" w:cstheme="majorBidi"/>
                <w:sz w:val="24"/>
                <w:szCs w:val="24"/>
              </w:rPr>
              <w:t>(.164)</w:t>
            </w:r>
          </w:p>
        </w:tc>
        <w:tc>
          <w:tcPr>
            <w:tcW w:w="1167" w:type="dxa"/>
          </w:tcPr>
          <w:p w14:paraId="31EAFF4F" w14:textId="77777777" w:rsidR="008A208D" w:rsidRPr="00B05A4F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B05A4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.577**</w:t>
            </w:r>
          </w:p>
          <w:p w14:paraId="1F5144B4" w14:textId="77777777" w:rsidR="008A208D" w:rsidRPr="00B05A4F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05A4F">
              <w:rPr>
                <w:rFonts w:asciiTheme="majorBidi" w:hAnsiTheme="majorBidi" w:cstheme="majorBidi"/>
                <w:sz w:val="24"/>
                <w:szCs w:val="24"/>
              </w:rPr>
              <w:t>(.148)</w:t>
            </w:r>
          </w:p>
        </w:tc>
        <w:tc>
          <w:tcPr>
            <w:tcW w:w="1167" w:type="dxa"/>
          </w:tcPr>
          <w:p w14:paraId="0BC5806A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.636**</w:t>
            </w:r>
          </w:p>
          <w:p w14:paraId="32DC1FE0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sz w:val="24"/>
                <w:szCs w:val="24"/>
              </w:rPr>
              <w:t>(.147)</w:t>
            </w:r>
          </w:p>
        </w:tc>
      </w:tr>
      <w:tr w:rsidR="008A208D" w:rsidRPr="001B28EA" w14:paraId="0015D25C" w14:textId="77777777" w:rsidTr="00005246">
        <w:tc>
          <w:tcPr>
            <w:tcW w:w="2638" w:type="dxa"/>
          </w:tcPr>
          <w:p w14:paraId="702F754C" w14:textId="77777777" w:rsidR="008A208D" w:rsidRPr="00FB1DDE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Mental health</w:t>
            </w:r>
          </w:p>
        </w:tc>
        <w:tc>
          <w:tcPr>
            <w:tcW w:w="1167" w:type="dxa"/>
          </w:tcPr>
          <w:p w14:paraId="67B3E449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1B28EA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7B49B223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.295 **</w:t>
            </w:r>
          </w:p>
          <w:p w14:paraId="5543DEF3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(.010)</w:t>
            </w:r>
          </w:p>
        </w:tc>
        <w:tc>
          <w:tcPr>
            <w:tcW w:w="1167" w:type="dxa"/>
          </w:tcPr>
          <w:p w14:paraId="27CD0265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016F0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.285</w:t>
            </w: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**</w:t>
            </w:r>
          </w:p>
          <w:p w14:paraId="7EE1A8AA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(</w:t>
            </w:r>
            <w:r w:rsidRPr="00016F0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.010</w:t>
            </w: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)</w:t>
            </w:r>
          </w:p>
        </w:tc>
        <w:tc>
          <w:tcPr>
            <w:tcW w:w="1167" w:type="dxa"/>
          </w:tcPr>
          <w:p w14:paraId="32108901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B28EA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3F64BFF5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60306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1724F69E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60306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</w:tr>
      <w:tr w:rsidR="008A208D" w:rsidRPr="001B28EA" w14:paraId="7E5BF4DD" w14:textId="77777777" w:rsidTr="00005246">
        <w:tc>
          <w:tcPr>
            <w:tcW w:w="2638" w:type="dxa"/>
          </w:tcPr>
          <w:p w14:paraId="6033C76C" w14:textId="77777777" w:rsidR="008A208D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Self-rated-health</w:t>
            </w:r>
          </w:p>
        </w:tc>
        <w:tc>
          <w:tcPr>
            <w:tcW w:w="1167" w:type="dxa"/>
          </w:tcPr>
          <w:p w14:paraId="3D765653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7FDA7854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7B4727F9" w14:textId="77777777" w:rsidR="008A208D" w:rsidRPr="00016F0F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73D5663A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</w:tcPr>
          <w:p w14:paraId="5CBFB921" w14:textId="77777777" w:rsidR="008A208D" w:rsidRPr="009D0B49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A416FB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630</w:t>
            </w:r>
            <w:r w:rsidRPr="009D0B49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**</w:t>
            </w:r>
          </w:p>
          <w:p w14:paraId="422DFCC8" w14:textId="77777777" w:rsidR="008A208D" w:rsidRPr="009D0B49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0B49">
              <w:rPr>
                <w:rFonts w:asciiTheme="majorBidi" w:hAnsiTheme="majorBidi" w:cstheme="majorBidi"/>
                <w:sz w:val="24"/>
                <w:szCs w:val="24"/>
              </w:rPr>
              <w:t>(.021)</w:t>
            </w:r>
          </w:p>
        </w:tc>
        <w:tc>
          <w:tcPr>
            <w:tcW w:w="1167" w:type="dxa"/>
          </w:tcPr>
          <w:p w14:paraId="79475DAB" w14:textId="77777777" w:rsidR="008A208D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970E0D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70E0D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595**</w:t>
            </w:r>
          </w:p>
          <w:p w14:paraId="41E1613B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(.021)</w:t>
            </w:r>
          </w:p>
        </w:tc>
      </w:tr>
      <w:tr w:rsidR="008A208D" w:rsidRPr="001B28EA" w14:paraId="2DE8EBB9" w14:textId="77777777" w:rsidTr="00005246">
        <w:tc>
          <w:tcPr>
            <w:tcW w:w="2638" w:type="dxa"/>
          </w:tcPr>
          <w:p w14:paraId="28CDB9B9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1B28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Social participation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(four domains)</w:t>
            </w:r>
          </w:p>
        </w:tc>
        <w:tc>
          <w:tcPr>
            <w:tcW w:w="1167" w:type="dxa"/>
          </w:tcPr>
          <w:p w14:paraId="775AB65C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</w:tcPr>
          <w:p w14:paraId="6E12E48D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</w:tcPr>
          <w:p w14:paraId="65D6DC3F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</w:tcPr>
          <w:p w14:paraId="7ECC53CB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</w:tcPr>
          <w:p w14:paraId="7FB79D0F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</w:tcPr>
          <w:p w14:paraId="421154A4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08D" w:rsidRPr="001B28EA" w14:paraId="7FA07441" w14:textId="77777777" w:rsidTr="00005246">
        <w:tc>
          <w:tcPr>
            <w:tcW w:w="2638" w:type="dxa"/>
          </w:tcPr>
          <w:p w14:paraId="5BA7F15F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B28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Factor 1: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 xml:space="preserve"> volunteer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ing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>, political involvement, use of ICT</w:t>
            </w:r>
          </w:p>
        </w:tc>
        <w:tc>
          <w:tcPr>
            <w:tcW w:w="1167" w:type="dxa"/>
          </w:tcPr>
          <w:p w14:paraId="54E3A932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3CDEBB48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47C38402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016F0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.089</w:t>
            </w: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*</w:t>
            </w:r>
          </w:p>
          <w:p w14:paraId="32AC2C2D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sz w:val="24"/>
                <w:szCs w:val="24"/>
              </w:rPr>
              <w:t>(.044)</w:t>
            </w:r>
          </w:p>
        </w:tc>
        <w:tc>
          <w:tcPr>
            <w:tcW w:w="1167" w:type="dxa"/>
          </w:tcPr>
          <w:p w14:paraId="12277FF6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1064AA08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00DBA816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-.071</w:t>
            </w:r>
          </w:p>
          <w:p w14:paraId="05CC09CB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sz w:val="24"/>
                <w:szCs w:val="24"/>
              </w:rPr>
              <w:t>(.064)</w:t>
            </w:r>
          </w:p>
        </w:tc>
      </w:tr>
      <w:tr w:rsidR="008A208D" w:rsidRPr="001B28EA" w14:paraId="57FD4EB0" w14:textId="77777777" w:rsidTr="00005246">
        <w:tc>
          <w:tcPr>
            <w:tcW w:w="2638" w:type="dxa"/>
          </w:tcPr>
          <w:p w14:paraId="4998E033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B28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Factor 2: 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 xml:space="preserve">satisfaction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with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 xml:space="preserve"> family relations, having people to count on in times of trouble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</w:tcPr>
          <w:p w14:paraId="08DDE56A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43B6C1AA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55306C66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016F0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.099</w:t>
            </w: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*</w:t>
            </w:r>
          </w:p>
          <w:p w14:paraId="3DBB767F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sz w:val="24"/>
                <w:szCs w:val="24"/>
              </w:rPr>
              <w:t>(.039)</w:t>
            </w:r>
          </w:p>
        </w:tc>
        <w:tc>
          <w:tcPr>
            <w:tcW w:w="1167" w:type="dxa"/>
          </w:tcPr>
          <w:p w14:paraId="5BBDC020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19806B3C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6E9EADF1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.401**</w:t>
            </w:r>
          </w:p>
          <w:p w14:paraId="5883EBE3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sz w:val="24"/>
                <w:szCs w:val="24"/>
              </w:rPr>
              <w:t>(.056)</w:t>
            </w:r>
          </w:p>
        </w:tc>
      </w:tr>
      <w:tr w:rsidR="008A208D" w:rsidRPr="001B28EA" w14:paraId="10CCD1FF" w14:textId="77777777" w:rsidTr="00005246">
        <w:tc>
          <w:tcPr>
            <w:tcW w:w="2638" w:type="dxa"/>
          </w:tcPr>
          <w:p w14:paraId="2BC08D01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1B28EA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Frequent meeting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>/talking with friends (0-4)</w:t>
            </w:r>
          </w:p>
        </w:tc>
        <w:tc>
          <w:tcPr>
            <w:tcW w:w="1167" w:type="dxa"/>
          </w:tcPr>
          <w:p w14:paraId="14EE3BC1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12770D2B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7C40EAFB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016F0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.064</w:t>
            </w:r>
            <w:r w:rsidRPr="00F05CC6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*</w:t>
            </w:r>
          </w:p>
          <w:p w14:paraId="6183A082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sz w:val="24"/>
                <w:szCs w:val="24"/>
              </w:rPr>
              <w:t>(.032)</w:t>
            </w:r>
          </w:p>
        </w:tc>
        <w:tc>
          <w:tcPr>
            <w:tcW w:w="1167" w:type="dxa"/>
          </w:tcPr>
          <w:p w14:paraId="11B188DA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62DBBCB4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22E3375C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.284**</w:t>
            </w:r>
          </w:p>
          <w:p w14:paraId="01CF8277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sz w:val="24"/>
                <w:szCs w:val="24"/>
              </w:rPr>
              <w:t>(.046)</w:t>
            </w:r>
          </w:p>
        </w:tc>
      </w:tr>
      <w:tr w:rsidR="008A208D" w:rsidRPr="001B28EA" w14:paraId="103B7744" w14:textId="77777777" w:rsidTr="00005246">
        <w:tc>
          <w:tcPr>
            <w:tcW w:w="2638" w:type="dxa"/>
          </w:tcPr>
          <w:p w14:paraId="1CA0D10C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>elf-perceived trust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(1=</w:t>
            </w:r>
            <w:r w:rsidRPr="001B28EA">
              <w:rPr>
                <w:rFonts w:asciiTheme="majorBidi" w:hAnsiTheme="majorBidi" w:cstheme="majorBidi"/>
                <w:sz w:val="24"/>
                <w:szCs w:val="24"/>
              </w:rPr>
              <w:t xml:space="preserve"> most people you can trust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167" w:type="dxa"/>
          </w:tcPr>
          <w:p w14:paraId="608086AF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3DBBD2CC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6992B32D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016F0F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.074</w:t>
            </w:r>
          </w:p>
          <w:p w14:paraId="3BF0A1BC" w14:textId="77777777" w:rsidR="008A208D" w:rsidRPr="00F05CC6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5CC6">
              <w:rPr>
                <w:rFonts w:asciiTheme="majorBidi" w:hAnsiTheme="majorBidi" w:cstheme="majorBidi"/>
                <w:sz w:val="24"/>
                <w:szCs w:val="24"/>
              </w:rPr>
              <w:t>(.079)</w:t>
            </w:r>
          </w:p>
        </w:tc>
        <w:tc>
          <w:tcPr>
            <w:tcW w:w="1167" w:type="dxa"/>
          </w:tcPr>
          <w:p w14:paraId="197981B7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657209D8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7A0">
              <w:rPr>
                <w:rFonts w:asciiTheme="majorBidi" w:hAnsiTheme="majorBidi" w:cstheme="majorBidi"/>
                <w:sz w:val="24"/>
                <w:szCs w:val="24"/>
              </w:rPr>
              <w:t>--------</w:t>
            </w:r>
          </w:p>
        </w:tc>
        <w:tc>
          <w:tcPr>
            <w:tcW w:w="1167" w:type="dxa"/>
          </w:tcPr>
          <w:p w14:paraId="62F07E6E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color w:val="010205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color w:val="010205"/>
                <w:sz w:val="24"/>
                <w:szCs w:val="24"/>
              </w:rPr>
              <w:t>.493**</w:t>
            </w:r>
          </w:p>
          <w:p w14:paraId="3F2F2F6E" w14:textId="77777777" w:rsidR="008A208D" w:rsidRPr="001E5980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E5980">
              <w:rPr>
                <w:rFonts w:asciiTheme="majorBidi" w:hAnsiTheme="majorBidi" w:cstheme="majorBidi"/>
                <w:sz w:val="24"/>
                <w:szCs w:val="24"/>
              </w:rPr>
              <w:t>(.114)</w:t>
            </w:r>
          </w:p>
        </w:tc>
      </w:tr>
      <w:tr w:rsidR="008A208D" w:rsidRPr="001B28EA" w14:paraId="52694E39" w14:textId="77777777" w:rsidTr="00005246">
        <w:tc>
          <w:tcPr>
            <w:tcW w:w="2638" w:type="dxa"/>
          </w:tcPr>
          <w:p w14:paraId="545B192F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AB6574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Pr="00AB6574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67" w:type="dxa"/>
          </w:tcPr>
          <w:p w14:paraId="45E203BB" w14:textId="77777777" w:rsidR="008A208D" w:rsidRPr="00844BE2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BE2">
              <w:rPr>
                <w:rFonts w:asciiTheme="majorBidi" w:hAnsiTheme="majorBidi" w:cstheme="majorBidi"/>
                <w:sz w:val="24"/>
                <w:szCs w:val="24"/>
              </w:rPr>
              <w:t>.341</w:t>
            </w:r>
          </w:p>
        </w:tc>
        <w:tc>
          <w:tcPr>
            <w:tcW w:w="1167" w:type="dxa"/>
          </w:tcPr>
          <w:p w14:paraId="0AB5E6BE" w14:textId="77777777" w:rsidR="008A208D" w:rsidRPr="00844BE2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BE2">
              <w:rPr>
                <w:rFonts w:asciiTheme="majorBidi" w:hAnsiTheme="majorBidi" w:cstheme="majorBidi"/>
                <w:sz w:val="24"/>
                <w:szCs w:val="24"/>
              </w:rPr>
              <w:t>.463</w:t>
            </w:r>
          </w:p>
        </w:tc>
        <w:tc>
          <w:tcPr>
            <w:tcW w:w="1167" w:type="dxa"/>
          </w:tcPr>
          <w:p w14:paraId="7F61B746" w14:textId="77777777" w:rsidR="008A208D" w:rsidRPr="00844BE2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BE2">
              <w:rPr>
                <w:rFonts w:asciiTheme="majorBidi" w:hAnsiTheme="majorBidi" w:cstheme="majorBidi"/>
                <w:sz w:val="24"/>
                <w:szCs w:val="24"/>
              </w:rPr>
              <w:t>.46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167" w:type="dxa"/>
          </w:tcPr>
          <w:p w14:paraId="62C0F7BB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.126</w:t>
            </w:r>
          </w:p>
        </w:tc>
        <w:tc>
          <w:tcPr>
            <w:tcW w:w="1167" w:type="dxa"/>
          </w:tcPr>
          <w:p w14:paraId="1FECB227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.288</w:t>
            </w:r>
          </w:p>
        </w:tc>
        <w:tc>
          <w:tcPr>
            <w:tcW w:w="1167" w:type="dxa"/>
          </w:tcPr>
          <w:p w14:paraId="567B4740" w14:textId="77777777" w:rsidR="008A208D" w:rsidRPr="001B28EA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.311</w:t>
            </w:r>
          </w:p>
        </w:tc>
      </w:tr>
      <w:tr w:rsidR="008A208D" w:rsidRPr="001B28EA" w14:paraId="41BD31F7" w14:textId="77777777" w:rsidTr="00005246">
        <w:tc>
          <w:tcPr>
            <w:tcW w:w="2638" w:type="dxa"/>
            <w:tcBorders>
              <w:bottom w:val="single" w:sz="4" w:space="0" w:color="auto"/>
            </w:tcBorders>
          </w:tcPr>
          <w:p w14:paraId="2CEAB0BB" w14:textId="77777777" w:rsidR="008A208D" w:rsidRPr="00AB6574" w:rsidRDefault="008A208D" w:rsidP="00005246">
            <w:pPr>
              <w:autoSpaceDE w:val="0"/>
              <w:autoSpaceDN w:val="0"/>
              <w:adjustRightInd w:val="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F58F2">
              <w:rPr>
                <w:rFonts w:asciiTheme="majorBidi" w:hAnsiTheme="majorBidi" w:cstheme="majorBidi"/>
                <w:sz w:val="24"/>
                <w:szCs w:val="24"/>
              </w:rPr>
              <w:t>R Square Change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28ACF79" w14:textId="77777777" w:rsidR="008A208D" w:rsidRPr="00844BE2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246311E" w14:textId="77777777" w:rsidR="008A208D" w:rsidRPr="00844BE2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.122**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39D735C6" w14:textId="77777777" w:rsidR="008A208D" w:rsidRPr="00844BE2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.003*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036B9A9" w14:textId="77777777" w:rsidR="008A208D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E7D3BDF" w14:textId="77777777" w:rsidR="008A208D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.162**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56EABAF" w14:textId="77777777" w:rsidR="008A208D" w:rsidRDefault="008A208D" w:rsidP="000052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.023**</w:t>
            </w:r>
          </w:p>
        </w:tc>
      </w:tr>
    </w:tbl>
    <w:p w14:paraId="12329EF5" w14:textId="77777777" w:rsidR="008A208D" w:rsidRPr="00BB794E" w:rsidRDefault="008A208D" w:rsidP="008A208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Bidi" w:hAnsiTheme="majorBidi" w:cstheme="majorBidi"/>
          <w:sz w:val="20"/>
          <w:szCs w:val="20"/>
        </w:rPr>
      </w:pPr>
      <w:r w:rsidRPr="001B28EA">
        <w:rPr>
          <w:rFonts w:asciiTheme="majorBidi" w:hAnsiTheme="majorBidi" w:cstheme="majorBidi"/>
          <w:sz w:val="20"/>
          <w:szCs w:val="20"/>
        </w:rPr>
        <w:t>Note. *p&lt;.05; **p&lt;.01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BB794E">
        <w:rPr>
          <w:rFonts w:asciiTheme="majorBidi" w:hAnsiTheme="majorBidi" w:cstheme="majorBidi"/>
          <w:sz w:val="20"/>
          <w:szCs w:val="20"/>
          <w:vertAlign w:val="superscript"/>
        </w:rPr>
        <w:t>(a)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BB794E">
        <w:rPr>
          <w:rFonts w:asciiTheme="majorBidi" w:hAnsiTheme="majorBidi" w:cstheme="majorBidi"/>
          <w:sz w:val="20"/>
          <w:szCs w:val="20"/>
        </w:rPr>
        <w:t>All models control for age; gender; marital status; children aged 0-17 in the household; immigrants; Arabs; employment status</w:t>
      </w:r>
      <w:r>
        <w:rPr>
          <w:rFonts w:asciiTheme="majorBidi" w:hAnsiTheme="majorBidi" w:cstheme="majorBidi"/>
          <w:sz w:val="20"/>
          <w:szCs w:val="20"/>
        </w:rPr>
        <w:t>.</w:t>
      </w:r>
    </w:p>
    <w:p w14:paraId="3B08E8C2" w14:textId="77777777" w:rsidR="008A208D" w:rsidRPr="003C21B1" w:rsidRDefault="008A208D" w:rsidP="008A208D">
      <w:pPr>
        <w:spacing w:after="0" w:line="240" w:lineRule="auto"/>
        <w:ind w:left="-142" w:right="-199"/>
        <w:contextualSpacing/>
        <w:jc w:val="both"/>
        <w:rPr>
          <w:rFonts w:asciiTheme="majorBidi" w:hAnsiTheme="majorBidi" w:cstheme="majorBidi"/>
          <w:sz w:val="20"/>
          <w:szCs w:val="20"/>
        </w:rPr>
      </w:pPr>
    </w:p>
    <w:p w14:paraId="5FD62674" w14:textId="77777777" w:rsidR="008A208D" w:rsidRPr="00D17FB0" w:rsidRDefault="008A208D" w:rsidP="008A208D">
      <w:pPr>
        <w:spacing w:line="480" w:lineRule="auto"/>
        <w:ind w:firstLine="680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358E1106" w14:textId="77777777" w:rsidR="008A208D" w:rsidRDefault="008A208D" w:rsidP="008A208D"/>
    <w:p w14:paraId="7D25F40A" w14:textId="77777777" w:rsidR="008A208D" w:rsidRPr="008A208D" w:rsidRDefault="008A208D"/>
    <w:sectPr w:rsidR="008A208D" w:rsidRPr="008A20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08D"/>
    <w:rsid w:val="00067C45"/>
    <w:rsid w:val="00152B6C"/>
    <w:rsid w:val="00163A1F"/>
    <w:rsid w:val="003437F6"/>
    <w:rsid w:val="003D0E5F"/>
    <w:rsid w:val="00590FCD"/>
    <w:rsid w:val="006204E6"/>
    <w:rsid w:val="008A208D"/>
    <w:rsid w:val="00A372D4"/>
    <w:rsid w:val="00C77C57"/>
    <w:rsid w:val="00DE1682"/>
    <w:rsid w:val="00E21CCA"/>
    <w:rsid w:val="00F25BE7"/>
    <w:rsid w:val="00F3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1B3CF"/>
  <w15:chartTrackingRefBased/>
  <w15:docId w15:val="{9715043C-AC6A-4C66-98EF-C6B0A1AE4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A208D"/>
    <w:pPr>
      <w:spacing w:after="0" w:line="240" w:lineRule="auto"/>
    </w:pPr>
    <w:rPr>
      <w:lang w:val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2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netta achdut</dc:creator>
  <cp:keywords/>
  <dc:description/>
  <cp:lastModifiedBy>netta achdut</cp:lastModifiedBy>
  <cp:revision>4</cp:revision>
  <dcterms:created xsi:type="dcterms:W3CDTF">2019-10-12T07:19:00Z</dcterms:created>
  <dcterms:modified xsi:type="dcterms:W3CDTF">2019-10-23T12:44:00Z</dcterms:modified>
</cp:coreProperties>
</file>