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82F62" w14:textId="398F55C7" w:rsidR="00B85B5A" w:rsidRPr="00014E6A" w:rsidRDefault="00B85B5A" w:rsidP="007D32F5">
      <w:pPr>
        <w:pStyle w:val="Heading2"/>
        <w:bidi w:val="0"/>
        <w:rPr>
          <w:rtl/>
        </w:rPr>
      </w:pPr>
      <w:r>
        <w:t>Annex</w:t>
      </w:r>
      <w:r w:rsidR="007D32F5">
        <w:t xml:space="preserve"> A1 </w:t>
      </w:r>
      <w:bookmarkStart w:id="0" w:name="_Toc139879604"/>
      <w:bookmarkStart w:id="1" w:name="_Toc148626901"/>
      <w:r w:rsidRPr="00014E6A">
        <w:rPr>
          <w:rFonts w:hint="cs"/>
        </w:rPr>
        <w:t>Description of variables</w:t>
      </w:r>
      <w:bookmarkEnd w:id="0"/>
      <w:bookmarkEnd w:id="1"/>
    </w:p>
    <w:p w14:paraId="3C1EAFB3" w14:textId="77777777" w:rsidR="00B85B5A" w:rsidRPr="00014E6A" w:rsidRDefault="00B85B5A" w:rsidP="00B85B5A">
      <w:pPr>
        <w:pStyle w:val="Heading3"/>
        <w:bidi w:val="0"/>
        <w:rPr>
          <w:rtl/>
        </w:rPr>
      </w:pPr>
      <w:r w:rsidRPr="00014E6A">
        <w:rPr>
          <w:rFonts w:hint="cs"/>
        </w:rPr>
        <w:t xml:space="preserve">Dependent variable </w:t>
      </w:r>
    </w:p>
    <w:p w14:paraId="00472B7D" w14:textId="77777777" w:rsidR="00B85B5A" w:rsidRPr="00014E6A" w:rsidRDefault="00B85B5A" w:rsidP="00B85B5A">
      <w:pPr>
        <w:bidi w:val="0"/>
        <w:rPr>
          <w:rtl/>
        </w:rPr>
      </w:pPr>
      <w:r w:rsidRPr="00014E6A">
        <w:rPr>
          <w:rFonts w:hint="cs"/>
          <w:b/>
          <w:bCs/>
        </w:rPr>
        <w:t>U</w:t>
      </w:r>
      <w:r>
        <w:rPr>
          <w:b/>
          <w:bCs/>
        </w:rPr>
        <w:t>tilization</w:t>
      </w:r>
      <w:r w:rsidRPr="00014E6A">
        <w:rPr>
          <w:rFonts w:hint="cs"/>
          <w:b/>
          <w:bCs/>
        </w:rPr>
        <w:t xml:space="preserve"> of </w:t>
      </w:r>
      <w:r>
        <w:rPr>
          <w:rFonts w:hint="cs"/>
          <w:b/>
          <w:bCs/>
        </w:rPr>
        <w:t>HP-VHI</w:t>
      </w:r>
      <w:r w:rsidRPr="00014E6A">
        <w:rPr>
          <w:rFonts w:hint="cs"/>
          <w:b/>
          <w:bCs/>
        </w:rPr>
        <w:t xml:space="preserve"> services.</w:t>
      </w:r>
      <w:r>
        <w:rPr>
          <w:b/>
          <w:bCs/>
        </w:rPr>
        <w:t xml:space="preserve"> </w:t>
      </w:r>
      <w:r w:rsidRPr="00014E6A">
        <w:rPr>
          <w:rFonts w:hint="cs"/>
        </w:rPr>
        <w:t xml:space="preserve">The </w:t>
      </w:r>
      <w:r>
        <w:t>participants who</w:t>
      </w:r>
      <w:r w:rsidRPr="00014E6A">
        <w:rPr>
          <w:rFonts w:hint="cs"/>
        </w:rPr>
        <w:t xml:space="preserve"> have </w:t>
      </w:r>
      <w:r>
        <w:rPr>
          <w:rFonts w:hint="cs"/>
        </w:rPr>
        <w:t>HP-</w:t>
      </w:r>
      <w:proofErr w:type="gramStart"/>
      <w:r>
        <w:rPr>
          <w:rFonts w:hint="cs"/>
        </w:rPr>
        <w:t>VHI</w:t>
      </w:r>
      <w:r w:rsidRPr="00014E6A">
        <w:rPr>
          <w:rFonts w:hint="cs"/>
        </w:rPr>
        <w:t>,</w:t>
      </w:r>
      <w:proofErr w:type="gramEnd"/>
      <w:r w:rsidRPr="00014E6A">
        <w:rPr>
          <w:rFonts w:hint="cs"/>
        </w:rPr>
        <w:t xml:space="preserve"> were asked about</w:t>
      </w:r>
      <w:r>
        <w:t xml:space="preserve"> </w:t>
      </w:r>
      <w:r w:rsidRPr="00014E6A">
        <w:t>the u</w:t>
      </w:r>
      <w:r>
        <w:t>tilization</w:t>
      </w:r>
      <w:r w:rsidRPr="00014E6A">
        <w:t xml:space="preserve"> of </w:t>
      </w:r>
      <w:r>
        <w:t>HP-VHI</w:t>
      </w:r>
      <w:r w:rsidRPr="00014E6A">
        <w:t xml:space="preserve"> in the two years preceding the survey</w:t>
      </w:r>
      <w:r w:rsidRPr="00014E6A">
        <w:rPr>
          <w:rFonts w:hint="cs"/>
        </w:rPr>
        <w:t xml:space="preserve">. </w:t>
      </w:r>
      <w:r>
        <w:rPr>
          <w:rFonts w:hint="cs"/>
        </w:rPr>
        <w:t>HP-VHI</w:t>
      </w:r>
      <w:r w:rsidRPr="00014E6A">
        <w:rPr>
          <w:rFonts w:hint="cs"/>
        </w:rPr>
        <w:t xml:space="preserve"> services examined: choosing a surgeon and a private hospital,</w:t>
      </w:r>
      <w:r w:rsidRPr="00014E6A">
        <w:t xml:space="preserve"> visiting</w:t>
      </w:r>
      <w:r>
        <w:t xml:space="preserve"> </w:t>
      </w:r>
      <w:r>
        <w:rPr>
          <w:rFonts w:hint="cs"/>
        </w:rPr>
        <w:t>a</w:t>
      </w:r>
      <w:r>
        <w:t xml:space="preserve"> </w:t>
      </w:r>
      <w:r w:rsidRPr="00014E6A">
        <w:t>consultant</w:t>
      </w:r>
      <w:r w:rsidRPr="00014E6A">
        <w:rPr>
          <w:rFonts w:hint="cs"/>
        </w:rPr>
        <w:t xml:space="preserve"> doctor, discounting</w:t>
      </w:r>
      <w:r>
        <w:t xml:space="preserve"> </w:t>
      </w:r>
      <w:r w:rsidRPr="00014E6A">
        <w:t>dental care in clinics</w:t>
      </w:r>
      <w:r w:rsidRPr="00014E6A">
        <w:rPr>
          <w:rFonts w:hint="cs"/>
        </w:rPr>
        <w:t xml:space="preserve">, </w:t>
      </w:r>
      <w:r w:rsidRPr="00014E6A">
        <w:t>child development services (e.g., occupational therapy, speech therapist, etc.),</w:t>
      </w:r>
      <w:r w:rsidRPr="00014E6A">
        <w:rPr>
          <w:rFonts w:hint="cs"/>
        </w:rPr>
        <w:t xml:space="preserve"> </w:t>
      </w:r>
      <w:r w:rsidRPr="00014E6A">
        <w:t>discount on the purchase of medications</w:t>
      </w:r>
      <w:r>
        <w:t xml:space="preserve"> </w:t>
      </w:r>
      <w:r w:rsidRPr="00CE38DC">
        <w:rPr>
          <w:rFonts w:hint="cs"/>
        </w:rPr>
        <w:t xml:space="preserve">as well as </w:t>
      </w:r>
      <w:r w:rsidRPr="008419AD">
        <w:rPr>
          <w:rFonts w:hint="cs"/>
        </w:rPr>
        <w:t>fertility treatments,</w:t>
      </w:r>
      <w:r w:rsidRPr="008419AD">
        <w:t xml:space="preserve"> pregnancy </w:t>
      </w:r>
      <w:r w:rsidRPr="008419AD">
        <w:rPr>
          <w:rFonts w:hint="cs"/>
        </w:rPr>
        <w:t>and childbirth</w:t>
      </w:r>
      <w:r w:rsidRPr="008419AD">
        <w:t xml:space="preserve"> (</w:t>
      </w:r>
      <w:r w:rsidRPr="008419AD">
        <w:rPr>
          <w:rFonts w:hint="cs"/>
        </w:rPr>
        <w:t>for details of the survey questions</w:t>
      </w:r>
      <w:r w:rsidRPr="008419AD">
        <w:t xml:space="preserve"> </w:t>
      </w:r>
      <w:r w:rsidRPr="008419AD">
        <w:rPr>
          <w:rFonts w:hint="cs"/>
        </w:rPr>
        <w:t>see Table A1).</w:t>
      </w:r>
      <w:r w:rsidRPr="00014E6A">
        <w:rPr>
          <w:rFonts w:hint="cs"/>
        </w:rPr>
        <w:t xml:space="preserve"> </w:t>
      </w:r>
    </w:p>
    <w:p w14:paraId="455C1C7F" w14:textId="77777777" w:rsidR="00B85B5A" w:rsidRDefault="00B85B5A" w:rsidP="00B85B5A">
      <w:pPr>
        <w:bidi w:val="0"/>
      </w:pPr>
      <w:r w:rsidRPr="00014E6A">
        <w:rPr>
          <w:rFonts w:hint="cs"/>
        </w:rPr>
        <w:t xml:space="preserve">For each service, a dummy variable was built with two categories: "used the service in the last two years" and "did not use the service in the last two years." In other words, there are six dummy variables for </w:t>
      </w:r>
      <w:r>
        <w:t>VHI</w:t>
      </w:r>
      <w:r w:rsidRPr="00014E6A">
        <w:rPr>
          <w:rFonts w:hint="cs"/>
        </w:rPr>
        <w:t xml:space="preserve"> services. A unified variable was also built, in which the question "Have you used at least one service in the past two years?" was coded.</w:t>
      </w:r>
    </w:p>
    <w:p w14:paraId="79BE15EB" w14:textId="77777777" w:rsidR="00B85B5A" w:rsidRDefault="00B85B5A" w:rsidP="00B85B5A">
      <w:pPr>
        <w:bidi w:val="0"/>
      </w:pPr>
    </w:p>
    <w:p w14:paraId="0C5BC22C" w14:textId="77777777" w:rsidR="00B85B5A" w:rsidRPr="00014E6A" w:rsidRDefault="00B85B5A" w:rsidP="00B85B5A">
      <w:pPr>
        <w:pStyle w:val="Heading4"/>
        <w:bidi w:val="0"/>
        <w:rPr>
          <w:rtl/>
        </w:rPr>
      </w:pPr>
      <w:bookmarkStart w:id="2" w:name="_Toc148626917"/>
      <w:r>
        <w:t xml:space="preserve">Table A1: </w:t>
      </w:r>
      <w:r w:rsidRPr="00014E6A">
        <w:rPr>
          <w:rFonts w:hint="cs"/>
        </w:rPr>
        <w:t xml:space="preserve">Questionnaire </w:t>
      </w:r>
      <w:bookmarkEnd w:id="2"/>
      <w:r>
        <w:t>questions</w:t>
      </w:r>
    </w:p>
    <w:tbl>
      <w:tblPr>
        <w:tblW w:w="5000" w:type="pct"/>
        <w:tblLayout w:type="fixed"/>
        <w:tblLook w:val="04A0" w:firstRow="1" w:lastRow="0" w:firstColumn="1" w:lastColumn="0" w:noHBand="0" w:noVBand="1"/>
      </w:tblPr>
      <w:tblGrid>
        <w:gridCol w:w="3987"/>
        <w:gridCol w:w="4309"/>
      </w:tblGrid>
      <w:tr w:rsidR="00B85B5A" w:rsidRPr="008729D9" w14:paraId="6032A1D8" w14:textId="77777777" w:rsidTr="00952E69">
        <w:trPr>
          <w:trHeight w:val="310"/>
        </w:trPr>
        <w:tc>
          <w:tcPr>
            <w:tcW w:w="2403" w:type="pct"/>
            <w:tcBorders>
              <w:top w:val="single" w:sz="4" w:space="0" w:color="auto"/>
              <w:left w:val="single" w:sz="4" w:space="0" w:color="auto"/>
              <w:bottom w:val="single" w:sz="4" w:space="0" w:color="auto"/>
              <w:right w:val="single" w:sz="4" w:space="0" w:color="auto"/>
            </w:tcBorders>
            <w:vAlign w:val="center"/>
            <w:hideMark/>
          </w:tcPr>
          <w:p w14:paraId="3734D7BE" w14:textId="77777777" w:rsidR="00B85B5A" w:rsidRPr="008729D9" w:rsidRDefault="00B85B5A" w:rsidP="00952E69">
            <w:pPr>
              <w:pStyle w:val="BrookTableFont"/>
              <w:bidi w:val="0"/>
              <w:rPr>
                <w:rFonts w:ascii="Calibri" w:hAnsi="Calibri" w:cs="Calibri"/>
                <w:sz w:val="22"/>
                <w:szCs w:val="24"/>
              </w:rPr>
            </w:pPr>
            <w:r w:rsidRPr="008729D9">
              <w:rPr>
                <w:rFonts w:ascii="Calibri" w:hAnsi="Calibri" w:cs="Calibri"/>
                <w:sz w:val="22"/>
                <w:szCs w:val="24"/>
              </w:rPr>
              <w:t>202</w:t>
            </w:r>
            <w:r>
              <w:rPr>
                <w:rFonts w:ascii="Calibri" w:hAnsi="Calibri" w:cs="Calibri"/>
                <w:sz w:val="22"/>
                <w:szCs w:val="24"/>
              </w:rPr>
              <w:t>2</w:t>
            </w:r>
            <w:r w:rsidRPr="008729D9">
              <w:rPr>
                <w:rFonts w:ascii="Calibri" w:hAnsi="Calibri" w:cs="Calibri"/>
                <w:sz w:val="22"/>
                <w:szCs w:val="24"/>
              </w:rPr>
              <w:t xml:space="preserve"> Survey</w:t>
            </w:r>
          </w:p>
        </w:tc>
        <w:tc>
          <w:tcPr>
            <w:tcW w:w="2597" w:type="pct"/>
            <w:tcBorders>
              <w:top w:val="single" w:sz="4" w:space="0" w:color="auto"/>
              <w:left w:val="nil"/>
              <w:bottom w:val="single" w:sz="4" w:space="0" w:color="auto"/>
              <w:right w:val="single" w:sz="4" w:space="0" w:color="auto"/>
            </w:tcBorders>
            <w:vAlign w:val="center"/>
            <w:hideMark/>
          </w:tcPr>
          <w:p w14:paraId="014571FD" w14:textId="77777777" w:rsidR="00B85B5A" w:rsidRPr="008729D9" w:rsidRDefault="00B85B5A" w:rsidP="00952E69">
            <w:pPr>
              <w:pStyle w:val="BrookTableFont"/>
              <w:bidi w:val="0"/>
              <w:rPr>
                <w:rFonts w:ascii="Calibri" w:hAnsi="Calibri" w:cs="Calibri"/>
                <w:sz w:val="22"/>
                <w:szCs w:val="24"/>
                <w:rtl/>
              </w:rPr>
            </w:pPr>
            <w:r w:rsidRPr="008729D9">
              <w:rPr>
                <w:rFonts w:ascii="Calibri" w:hAnsi="Calibri" w:cs="Calibri"/>
                <w:sz w:val="22"/>
                <w:szCs w:val="24"/>
              </w:rPr>
              <w:t>2012 Survey</w:t>
            </w:r>
          </w:p>
        </w:tc>
      </w:tr>
      <w:tr w:rsidR="00B85B5A" w:rsidRPr="008729D9" w14:paraId="699CFCA1" w14:textId="77777777" w:rsidTr="00952E69">
        <w:trPr>
          <w:trHeight w:val="930"/>
        </w:trPr>
        <w:tc>
          <w:tcPr>
            <w:tcW w:w="2403" w:type="pct"/>
            <w:tcBorders>
              <w:top w:val="nil"/>
              <w:left w:val="single" w:sz="4" w:space="0" w:color="auto"/>
              <w:bottom w:val="single" w:sz="4" w:space="0" w:color="auto"/>
              <w:right w:val="single" w:sz="4" w:space="0" w:color="auto"/>
            </w:tcBorders>
            <w:vAlign w:val="center"/>
            <w:hideMark/>
          </w:tcPr>
          <w:p w14:paraId="1177B862" w14:textId="77777777" w:rsidR="00B85B5A" w:rsidRPr="008729D9" w:rsidRDefault="00B85B5A" w:rsidP="00952E69">
            <w:pPr>
              <w:pStyle w:val="BrookTableFont"/>
              <w:bidi w:val="0"/>
              <w:rPr>
                <w:rFonts w:ascii="Calibri" w:hAnsi="Calibri" w:cs="Calibri"/>
                <w:sz w:val="22"/>
                <w:szCs w:val="24"/>
                <w:rtl/>
              </w:rPr>
            </w:pPr>
            <w:r w:rsidRPr="008729D9">
              <w:rPr>
                <w:rFonts w:ascii="Calibri" w:hAnsi="Calibri" w:cs="Calibri"/>
                <w:sz w:val="22"/>
                <w:szCs w:val="24"/>
              </w:rPr>
              <w:t xml:space="preserve">I will now read you a list of services that can be obtained through </w:t>
            </w:r>
            <w:proofErr w:type="gramStart"/>
            <w:r w:rsidRPr="008729D9">
              <w:rPr>
                <w:rFonts w:ascii="Calibri" w:hAnsi="Calibri" w:cs="Calibri"/>
                <w:sz w:val="22"/>
                <w:szCs w:val="24"/>
              </w:rPr>
              <w:t>the HP</w:t>
            </w:r>
            <w:proofErr w:type="gramEnd"/>
            <w:r w:rsidRPr="008729D9">
              <w:rPr>
                <w:rFonts w:ascii="Calibri" w:hAnsi="Calibri" w:cs="Calibri"/>
                <w:sz w:val="22"/>
                <w:szCs w:val="24"/>
              </w:rPr>
              <w:t xml:space="preserve">-VHI.  </w:t>
            </w:r>
            <w:r w:rsidRPr="008729D9">
              <w:rPr>
                <w:rFonts w:ascii="Calibri" w:hAnsi="Calibri" w:cs="Calibri"/>
                <w:sz w:val="22"/>
                <w:szCs w:val="24"/>
                <w:u w:val="single"/>
              </w:rPr>
              <w:t>In the past two years</w:t>
            </w:r>
            <w:r w:rsidRPr="008729D9">
              <w:rPr>
                <w:rFonts w:ascii="Calibri" w:hAnsi="Calibri" w:cs="Calibri"/>
                <w:sz w:val="22"/>
                <w:szCs w:val="24"/>
              </w:rPr>
              <w:t xml:space="preserve">, have you used the following services, </w:t>
            </w:r>
            <w:r w:rsidRPr="008729D9">
              <w:rPr>
                <w:rFonts w:ascii="Calibri" w:hAnsi="Calibri" w:cs="Calibri"/>
                <w:sz w:val="22"/>
                <w:szCs w:val="24"/>
                <w:u w:val="single"/>
              </w:rPr>
              <w:t>through the</w:t>
            </w:r>
            <w:r w:rsidRPr="008729D9">
              <w:rPr>
                <w:rFonts w:ascii="Calibri" w:hAnsi="Calibri" w:cs="Calibri"/>
                <w:sz w:val="22"/>
                <w:szCs w:val="24"/>
              </w:rPr>
              <w:t xml:space="preserve"> HP-VHI:</w:t>
            </w:r>
          </w:p>
        </w:tc>
        <w:tc>
          <w:tcPr>
            <w:tcW w:w="2597" w:type="pct"/>
            <w:tcBorders>
              <w:top w:val="nil"/>
              <w:left w:val="nil"/>
              <w:bottom w:val="single" w:sz="4" w:space="0" w:color="auto"/>
              <w:right w:val="single" w:sz="4" w:space="0" w:color="auto"/>
            </w:tcBorders>
            <w:noWrap/>
            <w:vAlign w:val="center"/>
            <w:hideMark/>
          </w:tcPr>
          <w:p w14:paraId="38E94F89" w14:textId="77777777" w:rsidR="00B85B5A" w:rsidRPr="008729D9" w:rsidRDefault="00B85B5A" w:rsidP="00952E69">
            <w:pPr>
              <w:pStyle w:val="BrookTableFont"/>
              <w:bidi w:val="0"/>
              <w:rPr>
                <w:rFonts w:ascii="Calibri" w:hAnsi="Calibri" w:cs="Calibri"/>
                <w:sz w:val="22"/>
                <w:szCs w:val="24"/>
                <w:rtl/>
              </w:rPr>
            </w:pPr>
            <w:r w:rsidRPr="008729D9">
              <w:rPr>
                <w:rFonts w:ascii="Calibri" w:hAnsi="Calibri" w:cs="Calibri"/>
                <w:sz w:val="22"/>
                <w:szCs w:val="24"/>
              </w:rPr>
              <w:t xml:space="preserve">I will now read you a list of services that can be obtained through HP-VHI. </w:t>
            </w:r>
            <w:r w:rsidRPr="008729D9">
              <w:rPr>
                <w:rFonts w:ascii="Calibri" w:hAnsi="Calibri" w:cs="Calibri"/>
                <w:sz w:val="22"/>
                <w:szCs w:val="24"/>
                <w:u w:val="single"/>
              </w:rPr>
              <w:t>In the past two years</w:t>
            </w:r>
            <w:r w:rsidRPr="008729D9">
              <w:rPr>
                <w:rFonts w:ascii="Calibri" w:hAnsi="Calibri" w:cs="Calibri"/>
                <w:sz w:val="22"/>
                <w:szCs w:val="24"/>
              </w:rPr>
              <w:t xml:space="preserve">, have you used the following services, </w:t>
            </w:r>
            <w:r w:rsidRPr="008729D9">
              <w:rPr>
                <w:rFonts w:ascii="Calibri" w:hAnsi="Calibri" w:cs="Calibri"/>
                <w:sz w:val="22"/>
                <w:szCs w:val="24"/>
                <w:u w:val="single"/>
              </w:rPr>
              <w:t xml:space="preserve">through the </w:t>
            </w:r>
            <w:r w:rsidRPr="008729D9">
              <w:rPr>
                <w:rFonts w:ascii="Calibri" w:hAnsi="Calibri" w:cs="Calibri"/>
                <w:sz w:val="22"/>
                <w:szCs w:val="24"/>
              </w:rPr>
              <w:t>HP-VHI:</w:t>
            </w:r>
          </w:p>
        </w:tc>
      </w:tr>
      <w:tr w:rsidR="00B85B5A" w:rsidRPr="008729D9" w14:paraId="4B8841C3" w14:textId="77777777" w:rsidTr="00952E69">
        <w:trPr>
          <w:trHeight w:val="927"/>
        </w:trPr>
        <w:tc>
          <w:tcPr>
            <w:tcW w:w="2403" w:type="pct"/>
            <w:tcBorders>
              <w:top w:val="nil"/>
              <w:left w:val="single" w:sz="4" w:space="0" w:color="auto"/>
              <w:bottom w:val="single" w:sz="4" w:space="0" w:color="auto"/>
              <w:right w:val="single" w:sz="4" w:space="0" w:color="auto"/>
            </w:tcBorders>
            <w:noWrap/>
            <w:vAlign w:val="center"/>
            <w:hideMark/>
          </w:tcPr>
          <w:p w14:paraId="46949FBA" w14:textId="77777777" w:rsidR="00B85B5A" w:rsidRPr="008729D9" w:rsidRDefault="00B85B5A" w:rsidP="00952E69">
            <w:pPr>
              <w:pStyle w:val="BrookTableFont"/>
              <w:bidi w:val="0"/>
              <w:rPr>
                <w:rFonts w:ascii="Calibri" w:hAnsi="Calibri" w:cs="Calibri"/>
                <w:sz w:val="22"/>
                <w:szCs w:val="24"/>
                <w:rtl/>
              </w:rPr>
            </w:pPr>
            <w:r w:rsidRPr="008729D9">
              <w:rPr>
                <w:rFonts w:ascii="Calibri" w:hAnsi="Calibri" w:cs="Calibri"/>
                <w:sz w:val="22"/>
                <w:szCs w:val="24"/>
              </w:rPr>
              <w:t>52.1 Surgery in a private hospital or choosing a surgeon (for interviewers: or private medical services in Jerusalem)</w:t>
            </w:r>
          </w:p>
        </w:tc>
        <w:tc>
          <w:tcPr>
            <w:tcW w:w="2597" w:type="pct"/>
            <w:tcBorders>
              <w:top w:val="nil"/>
              <w:left w:val="nil"/>
              <w:bottom w:val="single" w:sz="4" w:space="0" w:color="auto"/>
              <w:right w:val="single" w:sz="4" w:space="0" w:color="auto"/>
            </w:tcBorders>
            <w:noWrap/>
            <w:vAlign w:val="center"/>
            <w:hideMark/>
          </w:tcPr>
          <w:p w14:paraId="4EC08A58" w14:textId="77777777" w:rsidR="00B85B5A" w:rsidRPr="008729D9" w:rsidRDefault="00B85B5A" w:rsidP="00952E69">
            <w:pPr>
              <w:pStyle w:val="BrookTableFont"/>
              <w:bidi w:val="0"/>
              <w:rPr>
                <w:rFonts w:ascii="Calibri" w:hAnsi="Calibri" w:cs="Calibri"/>
                <w:sz w:val="22"/>
                <w:szCs w:val="24"/>
                <w:rtl/>
              </w:rPr>
            </w:pPr>
            <w:r w:rsidRPr="008729D9">
              <w:rPr>
                <w:rFonts w:ascii="Calibri" w:hAnsi="Calibri" w:cs="Calibri"/>
                <w:sz w:val="22"/>
                <w:szCs w:val="24"/>
              </w:rPr>
              <w:t>53.1 Private Surgery and Surgeon</w:t>
            </w:r>
          </w:p>
        </w:tc>
      </w:tr>
      <w:tr w:rsidR="00B85B5A" w:rsidRPr="008729D9" w14:paraId="48049A0E" w14:textId="77777777" w:rsidTr="00952E69">
        <w:trPr>
          <w:trHeight w:val="280"/>
        </w:trPr>
        <w:tc>
          <w:tcPr>
            <w:tcW w:w="2403" w:type="pct"/>
            <w:tcBorders>
              <w:top w:val="nil"/>
              <w:left w:val="single" w:sz="4" w:space="0" w:color="auto"/>
              <w:bottom w:val="single" w:sz="4" w:space="0" w:color="auto"/>
              <w:right w:val="single" w:sz="4" w:space="0" w:color="auto"/>
            </w:tcBorders>
            <w:noWrap/>
            <w:vAlign w:val="center"/>
            <w:hideMark/>
          </w:tcPr>
          <w:p w14:paraId="454FAFFB" w14:textId="77777777" w:rsidR="00B85B5A" w:rsidRPr="008729D9" w:rsidRDefault="00B85B5A" w:rsidP="00952E69">
            <w:pPr>
              <w:pStyle w:val="BrookTableFont"/>
              <w:bidi w:val="0"/>
              <w:rPr>
                <w:rFonts w:ascii="Calibri" w:hAnsi="Calibri" w:cs="Calibri"/>
                <w:sz w:val="22"/>
                <w:szCs w:val="24"/>
                <w:rtl/>
              </w:rPr>
            </w:pPr>
            <w:r w:rsidRPr="008729D9">
              <w:rPr>
                <w:rFonts w:ascii="Calibri" w:hAnsi="Calibri" w:cs="Calibri"/>
                <w:sz w:val="22"/>
                <w:szCs w:val="24"/>
              </w:rPr>
              <w:t>52.2 A visit to a doctor or other professional and you paid more than 30 shekels</w:t>
            </w:r>
          </w:p>
        </w:tc>
        <w:tc>
          <w:tcPr>
            <w:tcW w:w="2597" w:type="pct"/>
            <w:tcBorders>
              <w:top w:val="nil"/>
              <w:left w:val="nil"/>
              <w:bottom w:val="single" w:sz="4" w:space="0" w:color="auto"/>
              <w:right w:val="single" w:sz="4" w:space="0" w:color="auto"/>
            </w:tcBorders>
            <w:noWrap/>
            <w:vAlign w:val="center"/>
            <w:hideMark/>
          </w:tcPr>
          <w:p w14:paraId="1D1EF75E" w14:textId="77777777" w:rsidR="00B85B5A" w:rsidRPr="008729D9" w:rsidRDefault="00B85B5A" w:rsidP="00952E69">
            <w:pPr>
              <w:pStyle w:val="BrookTableFont"/>
              <w:bidi w:val="0"/>
              <w:rPr>
                <w:rFonts w:ascii="Calibri" w:hAnsi="Calibri" w:cs="Calibri"/>
                <w:sz w:val="22"/>
                <w:szCs w:val="24"/>
                <w:rtl/>
              </w:rPr>
            </w:pPr>
            <w:r w:rsidRPr="008729D9">
              <w:rPr>
                <w:rFonts w:ascii="Calibri" w:hAnsi="Calibri" w:cs="Calibri"/>
                <w:sz w:val="22"/>
                <w:szCs w:val="24"/>
              </w:rPr>
              <w:t>53.2 Second expert opinion</w:t>
            </w:r>
          </w:p>
        </w:tc>
      </w:tr>
      <w:tr w:rsidR="00B85B5A" w:rsidRPr="008729D9" w14:paraId="45026CCB" w14:textId="77777777" w:rsidTr="00952E69">
        <w:trPr>
          <w:trHeight w:val="280"/>
        </w:trPr>
        <w:tc>
          <w:tcPr>
            <w:tcW w:w="2403" w:type="pct"/>
            <w:tcBorders>
              <w:top w:val="nil"/>
              <w:left w:val="single" w:sz="4" w:space="0" w:color="auto"/>
              <w:bottom w:val="single" w:sz="4" w:space="0" w:color="auto"/>
              <w:right w:val="single" w:sz="4" w:space="0" w:color="auto"/>
            </w:tcBorders>
            <w:noWrap/>
            <w:vAlign w:val="center"/>
            <w:hideMark/>
          </w:tcPr>
          <w:p w14:paraId="7396DACF" w14:textId="77777777" w:rsidR="00B85B5A" w:rsidRPr="008729D9" w:rsidRDefault="00B85B5A" w:rsidP="00952E69">
            <w:pPr>
              <w:pStyle w:val="BrookTableFont"/>
              <w:bidi w:val="0"/>
              <w:rPr>
                <w:rFonts w:ascii="Calibri" w:hAnsi="Calibri" w:cs="Calibri"/>
                <w:sz w:val="22"/>
                <w:szCs w:val="24"/>
                <w:rtl/>
              </w:rPr>
            </w:pPr>
            <w:r w:rsidRPr="008729D9">
              <w:rPr>
                <w:rFonts w:ascii="Calibri" w:hAnsi="Calibri" w:cs="Calibri"/>
                <w:sz w:val="22"/>
                <w:szCs w:val="24"/>
              </w:rPr>
              <w:t xml:space="preserve">52.3 Discount for Dental Care </w:t>
            </w:r>
          </w:p>
        </w:tc>
        <w:tc>
          <w:tcPr>
            <w:tcW w:w="2597" w:type="pct"/>
            <w:tcBorders>
              <w:top w:val="nil"/>
              <w:left w:val="nil"/>
              <w:bottom w:val="single" w:sz="4" w:space="0" w:color="auto"/>
              <w:right w:val="single" w:sz="4" w:space="0" w:color="auto"/>
            </w:tcBorders>
            <w:noWrap/>
            <w:vAlign w:val="center"/>
            <w:hideMark/>
          </w:tcPr>
          <w:p w14:paraId="7D551B3A" w14:textId="77777777" w:rsidR="00B85B5A" w:rsidRPr="008729D9" w:rsidRDefault="00B85B5A" w:rsidP="00952E69">
            <w:pPr>
              <w:pStyle w:val="BrookTableFont"/>
              <w:bidi w:val="0"/>
              <w:rPr>
                <w:rFonts w:ascii="Calibri" w:hAnsi="Calibri" w:cs="Calibri"/>
                <w:sz w:val="22"/>
                <w:szCs w:val="24"/>
                <w:rtl/>
              </w:rPr>
            </w:pPr>
            <w:r w:rsidRPr="008729D9">
              <w:rPr>
                <w:rFonts w:ascii="Calibri" w:hAnsi="Calibri" w:cs="Calibri"/>
                <w:sz w:val="22"/>
                <w:szCs w:val="24"/>
              </w:rPr>
              <w:t>53.3 Discount on Dental Care</w:t>
            </w:r>
          </w:p>
        </w:tc>
      </w:tr>
      <w:tr w:rsidR="00B85B5A" w:rsidRPr="008729D9" w14:paraId="39E76224" w14:textId="77777777" w:rsidTr="00952E69">
        <w:trPr>
          <w:trHeight w:val="310"/>
        </w:trPr>
        <w:tc>
          <w:tcPr>
            <w:tcW w:w="2403" w:type="pct"/>
            <w:tcBorders>
              <w:top w:val="nil"/>
              <w:left w:val="single" w:sz="4" w:space="0" w:color="auto"/>
              <w:bottom w:val="single" w:sz="4" w:space="0" w:color="auto"/>
              <w:right w:val="single" w:sz="4" w:space="0" w:color="auto"/>
            </w:tcBorders>
            <w:noWrap/>
            <w:vAlign w:val="center"/>
            <w:hideMark/>
          </w:tcPr>
          <w:p w14:paraId="091470CE" w14:textId="77777777" w:rsidR="00B85B5A" w:rsidRPr="008729D9" w:rsidRDefault="00B85B5A" w:rsidP="00952E69">
            <w:pPr>
              <w:pStyle w:val="BrookTableFont"/>
              <w:bidi w:val="0"/>
              <w:rPr>
                <w:rFonts w:ascii="Calibri" w:hAnsi="Calibri" w:cs="Calibri"/>
                <w:sz w:val="22"/>
                <w:szCs w:val="24"/>
                <w:rtl/>
              </w:rPr>
            </w:pPr>
            <w:r w:rsidRPr="008729D9">
              <w:rPr>
                <w:rFonts w:ascii="Calibri" w:hAnsi="Calibri" w:cs="Calibri"/>
                <w:sz w:val="22"/>
                <w:szCs w:val="24"/>
              </w:rPr>
              <w:t>52.4 Child development services, for example, occupational therapy, speech therapist, and you paid more than 30 shekels.</w:t>
            </w:r>
          </w:p>
        </w:tc>
        <w:tc>
          <w:tcPr>
            <w:tcW w:w="2597" w:type="pct"/>
            <w:tcBorders>
              <w:top w:val="nil"/>
              <w:left w:val="nil"/>
              <w:bottom w:val="single" w:sz="4" w:space="0" w:color="auto"/>
              <w:right w:val="single" w:sz="4" w:space="0" w:color="auto"/>
            </w:tcBorders>
            <w:noWrap/>
            <w:vAlign w:val="center"/>
            <w:hideMark/>
          </w:tcPr>
          <w:p w14:paraId="70384621" w14:textId="77777777" w:rsidR="00B85B5A" w:rsidRPr="008729D9" w:rsidRDefault="00B85B5A" w:rsidP="00952E69">
            <w:pPr>
              <w:pStyle w:val="BrookTableFont"/>
              <w:bidi w:val="0"/>
              <w:rPr>
                <w:rFonts w:ascii="Calibri" w:hAnsi="Calibri" w:cs="Calibri"/>
                <w:sz w:val="22"/>
                <w:szCs w:val="24"/>
                <w:rtl/>
              </w:rPr>
            </w:pPr>
            <w:r w:rsidRPr="008729D9">
              <w:rPr>
                <w:rFonts w:ascii="Calibri" w:hAnsi="Calibri" w:cs="Calibri"/>
                <w:sz w:val="22"/>
                <w:szCs w:val="24"/>
              </w:rPr>
              <w:t xml:space="preserve">53.4 Child treatments (e.g., occupational therapy, speech therapist) </w:t>
            </w:r>
          </w:p>
        </w:tc>
      </w:tr>
      <w:tr w:rsidR="00B85B5A" w:rsidRPr="008729D9" w14:paraId="1341F3B9" w14:textId="77777777" w:rsidTr="00952E69">
        <w:trPr>
          <w:trHeight w:val="280"/>
        </w:trPr>
        <w:tc>
          <w:tcPr>
            <w:tcW w:w="2403" w:type="pct"/>
            <w:tcBorders>
              <w:top w:val="nil"/>
              <w:left w:val="single" w:sz="4" w:space="0" w:color="auto"/>
              <w:bottom w:val="single" w:sz="4" w:space="0" w:color="auto"/>
              <w:right w:val="single" w:sz="4" w:space="0" w:color="auto"/>
            </w:tcBorders>
            <w:noWrap/>
            <w:vAlign w:val="center"/>
            <w:hideMark/>
          </w:tcPr>
          <w:p w14:paraId="7CACC62F" w14:textId="77777777" w:rsidR="00B85B5A" w:rsidRPr="008729D9" w:rsidRDefault="00B85B5A" w:rsidP="00952E69">
            <w:pPr>
              <w:pStyle w:val="BrookTableFont"/>
              <w:bidi w:val="0"/>
              <w:rPr>
                <w:rFonts w:ascii="Calibri" w:hAnsi="Calibri" w:cs="Calibri"/>
                <w:sz w:val="22"/>
                <w:szCs w:val="24"/>
                <w:rtl/>
              </w:rPr>
            </w:pPr>
            <w:r w:rsidRPr="008729D9">
              <w:rPr>
                <w:rFonts w:ascii="Calibri" w:hAnsi="Calibri" w:cs="Calibri"/>
                <w:sz w:val="22"/>
                <w:szCs w:val="24"/>
              </w:rPr>
              <w:t xml:space="preserve">52.5 Discount on the purchase of medications </w:t>
            </w:r>
          </w:p>
        </w:tc>
        <w:tc>
          <w:tcPr>
            <w:tcW w:w="2597" w:type="pct"/>
            <w:tcBorders>
              <w:top w:val="nil"/>
              <w:left w:val="nil"/>
              <w:bottom w:val="single" w:sz="4" w:space="0" w:color="auto"/>
              <w:right w:val="single" w:sz="4" w:space="0" w:color="auto"/>
            </w:tcBorders>
            <w:noWrap/>
            <w:vAlign w:val="center"/>
            <w:hideMark/>
          </w:tcPr>
          <w:p w14:paraId="0B3BE161" w14:textId="77777777" w:rsidR="00B85B5A" w:rsidRPr="008729D9" w:rsidRDefault="00B85B5A" w:rsidP="00952E69">
            <w:pPr>
              <w:pStyle w:val="BrookTableFont"/>
              <w:bidi w:val="0"/>
              <w:rPr>
                <w:rFonts w:ascii="Calibri" w:hAnsi="Calibri" w:cs="Calibri"/>
                <w:sz w:val="22"/>
                <w:szCs w:val="24"/>
                <w:rtl/>
              </w:rPr>
            </w:pPr>
            <w:r w:rsidRPr="008729D9">
              <w:rPr>
                <w:rFonts w:ascii="Calibri" w:hAnsi="Calibri" w:cs="Calibri"/>
                <w:sz w:val="22"/>
                <w:szCs w:val="24"/>
              </w:rPr>
              <w:t>53.5 Discount on the purchase of medications</w:t>
            </w:r>
          </w:p>
        </w:tc>
      </w:tr>
      <w:tr w:rsidR="00B85B5A" w:rsidRPr="008729D9" w14:paraId="1F8A03F5" w14:textId="77777777" w:rsidTr="00952E69">
        <w:trPr>
          <w:trHeight w:val="560"/>
        </w:trPr>
        <w:tc>
          <w:tcPr>
            <w:tcW w:w="2403" w:type="pct"/>
            <w:tcBorders>
              <w:top w:val="nil"/>
              <w:left w:val="single" w:sz="4" w:space="0" w:color="auto"/>
              <w:bottom w:val="single" w:sz="4" w:space="0" w:color="auto"/>
              <w:right w:val="single" w:sz="4" w:space="0" w:color="auto"/>
            </w:tcBorders>
            <w:noWrap/>
            <w:vAlign w:val="center"/>
            <w:hideMark/>
          </w:tcPr>
          <w:p w14:paraId="642FBD7F" w14:textId="77777777" w:rsidR="00B85B5A" w:rsidRPr="008729D9" w:rsidRDefault="00B85B5A" w:rsidP="00952E69">
            <w:pPr>
              <w:pStyle w:val="BrookTableFont"/>
              <w:bidi w:val="0"/>
              <w:rPr>
                <w:rFonts w:ascii="Calibri" w:hAnsi="Calibri" w:cs="Calibri"/>
                <w:sz w:val="22"/>
                <w:szCs w:val="24"/>
                <w:rtl/>
              </w:rPr>
            </w:pPr>
            <w:r w:rsidRPr="008729D9">
              <w:rPr>
                <w:rFonts w:ascii="Calibri" w:hAnsi="Calibri" w:cs="Calibri"/>
                <w:sz w:val="22"/>
                <w:szCs w:val="24"/>
              </w:rPr>
              <w:t>52.6 [</w:t>
            </w:r>
            <w:r w:rsidRPr="008729D9">
              <w:rPr>
                <w:rFonts w:ascii="Calibri" w:hAnsi="Calibri" w:cs="Calibri"/>
                <w:sz w:val="22"/>
                <w:szCs w:val="24"/>
                <w:u w:val="single"/>
              </w:rPr>
              <w:t xml:space="preserve">For interviewers: </w:t>
            </w:r>
            <w:r w:rsidRPr="008729D9">
              <w:rPr>
                <w:rFonts w:ascii="Calibri" w:hAnsi="Calibri" w:cs="Calibri"/>
                <w:sz w:val="22"/>
                <w:szCs w:val="24"/>
              </w:rPr>
              <w:t>ask only women] Fertility and pregnancy treatments beyond the benefits basket</w:t>
            </w:r>
          </w:p>
        </w:tc>
        <w:tc>
          <w:tcPr>
            <w:tcW w:w="2597" w:type="pct"/>
            <w:tcBorders>
              <w:top w:val="nil"/>
              <w:left w:val="nil"/>
              <w:bottom w:val="single" w:sz="4" w:space="0" w:color="auto"/>
              <w:right w:val="single" w:sz="4" w:space="0" w:color="auto"/>
            </w:tcBorders>
            <w:noWrap/>
            <w:vAlign w:val="center"/>
            <w:hideMark/>
          </w:tcPr>
          <w:p w14:paraId="1685A14F" w14:textId="77777777" w:rsidR="00B85B5A" w:rsidRPr="008729D9" w:rsidRDefault="00B85B5A" w:rsidP="00952E69">
            <w:pPr>
              <w:pStyle w:val="BrookTableFont"/>
              <w:bidi w:val="0"/>
              <w:rPr>
                <w:rFonts w:ascii="Calibri" w:hAnsi="Calibri" w:cs="Calibri"/>
                <w:sz w:val="22"/>
                <w:szCs w:val="24"/>
                <w:rtl/>
              </w:rPr>
            </w:pPr>
            <w:r w:rsidRPr="008729D9">
              <w:rPr>
                <w:rFonts w:ascii="Calibri" w:hAnsi="Calibri" w:cs="Calibri"/>
                <w:sz w:val="22"/>
                <w:szCs w:val="24"/>
              </w:rPr>
              <w:t xml:space="preserve">53.6 [For Interviewers: Skip Men to Question 53.7.] Women and Pregnancy (Including Fertility Treatments Beyond the benefits Basket) </w:t>
            </w:r>
          </w:p>
        </w:tc>
      </w:tr>
    </w:tbl>
    <w:p w14:paraId="0CC68095" w14:textId="77777777" w:rsidR="00B85B5A" w:rsidRPr="00111300" w:rsidRDefault="00B85B5A" w:rsidP="00B85B5A">
      <w:pPr>
        <w:bidi w:val="0"/>
      </w:pPr>
    </w:p>
    <w:p w14:paraId="363F9EE9" w14:textId="77777777" w:rsidR="00B85B5A" w:rsidRPr="00014E6A" w:rsidRDefault="00B85B5A" w:rsidP="00B85B5A">
      <w:pPr>
        <w:pStyle w:val="Heading3"/>
        <w:bidi w:val="0"/>
        <w:rPr>
          <w:rtl/>
        </w:rPr>
      </w:pPr>
      <w:r w:rsidRPr="00014E6A">
        <w:rPr>
          <w:rFonts w:hint="eastAsia"/>
        </w:rPr>
        <w:t>Independent variables</w:t>
      </w:r>
    </w:p>
    <w:p w14:paraId="41C00EC3" w14:textId="77777777" w:rsidR="00B85B5A" w:rsidRPr="00014E6A" w:rsidRDefault="00B85B5A" w:rsidP="00B85B5A">
      <w:pPr>
        <w:bidi w:val="0"/>
        <w:rPr>
          <w:rtl/>
        </w:rPr>
      </w:pPr>
      <w:r w:rsidRPr="00014E6A">
        <w:rPr>
          <w:rFonts w:hint="cs"/>
          <w:b/>
          <w:bCs/>
        </w:rPr>
        <w:t>District of residence</w:t>
      </w:r>
      <w:r w:rsidRPr="00014E6A">
        <w:rPr>
          <w:rFonts w:hint="cs"/>
        </w:rPr>
        <w:t>. North, Haifa, Center, Tel Aviv, Jerusalem and</w:t>
      </w:r>
      <w:r>
        <w:t xml:space="preserve"> West Bank</w:t>
      </w:r>
      <w:r w:rsidRPr="00014E6A">
        <w:rPr>
          <w:rFonts w:hint="cs"/>
        </w:rPr>
        <w:t xml:space="preserve"> </w:t>
      </w:r>
      <w:r>
        <w:t>(</w:t>
      </w:r>
      <w:r w:rsidRPr="00014E6A">
        <w:rPr>
          <w:rFonts w:hint="cs"/>
        </w:rPr>
        <w:t>Judea and Samaria</w:t>
      </w:r>
      <w:r>
        <w:t>)</w:t>
      </w:r>
      <w:r w:rsidRPr="00014E6A">
        <w:rPr>
          <w:rFonts w:hint="cs"/>
        </w:rPr>
        <w:t xml:space="preserve"> and South.</w:t>
      </w:r>
    </w:p>
    <w:p w14:paraId="00031893" w14:textId="77777777" w:rsidR="00B85B5A" w:rsidRPr="00014E6A" w:rsidRDefault="00B85B5A" w:rsidP="00B85B5A">
      <w:pPr>
        <w:bidi w:val="0"/>
      </w:pPr>
      <w:r>
        <w:rPr>
          <w:b/>
          <w:bCs/>
        </w:rPr>
        <w:t>Residence</w:t>
      </w:r>
      <w:r w:rsidRPr="00014E6A">
        <w:rPr>
          <w:rFonts w:hint="cs"/>
          <w:b/>
          <w:bCs/>
        </w:rPr>
        <w:t xml:space="preserve"> in the periphery. </w:t>
      </w:r>
      <w:r w:rsidRPr="00BE3B4B">
        <w:t xml:space="preserve">Dummy </w:t>
      </w:r>
      <w:r w:rsidRPr="00BE3B4B">
        <w:rPr>
          <w:rFonts w:hint="cs"/>
        </w:rPr>
        <w:t>categorical</w:t>
      </w:r>
      <w:r w:rsidRPr="00014E6A">
        <w:rPr>
          <w:rFonts w:hint="cs"/>
        </w:rPr>
        <w:t xml:space="preserve"> </w:t>
      </w:r>
      <w:r w:rsidRPr="00BE3B4B">
        <w:t>variable</w:t>
      </w:r>
      <w:r w:rsidRPr="00BE3B4B">
        <w:rPr>
          <w:rFonts w:hint="cs"/>
        </w:rPr>
        <w:t xml:space="preserve"> </w:t>
      </w:r>
      <w:r w:rsidRPr="00014E6A">
        <w:rPr>
          <w:rFonts w:hint="cs"/>
        </w:rPr>
        <w:t xml:space="preserve">that divides the sample into residents </w:t>
      </w:r>
      <w:r>
        <w:t>of</w:t>
      </w:r>
      <w:r w:rsidRPr="00014E6A">
        <w:rPr>
          <w:rFonts w:hint="cs"/>
        </w:rPr>
        <w:t xml:space="preserve"> peripher</w:t>
      </w:r>
      <w:r>
        <w:t>al areas</w:t>
      </w:r>
      <w:r w:rsidRPr="00014E6A">
        <w:rPr>
          <w:rFonts w:hint="cs"/>
        </w:rPr>
        <w:t xml:space="preserve"> and residents who </w:t>
      </w:r>
      <w:r>
        <w:t>live elsewhere</w:t>
      </w:r>
      <w:r w:rsidRPr="00014E6A">
        <w:rPr>
          <w:rFonts w:hint="cs"/>
        </w:rPr>
        <w:t>. This variable is based on a peripherality index developed by the Central Bureau of Statistics,</w:t>
      </w:r>
      <w:r w:rsidRPr="00014E6A">
        <w:t xml:space="preserve"> and it ranks local authorities in Israel according to their geographic location relative to population centers</w:t>
      </w:r>
      <w:r w:rsidRPr="00014E6A">
        <w:rPr>
          <w:rFonts w:hint="cs"/>
        </w:rPr>
        <w:t>. The value of the index is calculated as a weighted sum of two components: (1) potential accessibility, and (2) proximity to the Tel Aviv district border.</w:t>
      </w:r>
      <w:r w:rsidRPr="00CB061B">
        <w:rPr>
          <w:rStyle w:val="FootnoteReference"/>
        </w:rPr>
        <w:footnoteReference w:id="1"/>
      </w:r>
      <w:r>
        <w:t xml:space="preserve"> </w:t>
      </w:r>
      <w:r w:rsidRPr="00014E6A">
        <w:rPr>
          <w:rFonts w:hint="cs"/>
        </w:rPr>
        <w:t>The respondents' residential localities were translated into the value of their peripheral index: localities in clusters 1-4 were classified in the category "periphery" (according to the Central Bureau of Statistics definition, they are considered "peripheral" and "very peripheral"), localities in clusters 5-10 were classified as "non-peripheral" (according to the Central Bureau of Statistics they are considered "medium" in their peripheral degree, "central" and "very central"), (</w:t>
      </w:r>
      <w:r w:rsidRPr="00F736B9">
        <w:t>Central Bureau of Statistics, 2008</w:t>
      </w:r>
      <w:r w:rsidRPr="00014E6A">
        <w:rPr>
          <w:rFonts w:hint="cs"/>
        </w:rPr>
        <w:t>).</w:t>
      </w:r>
    </w:p>
    <w:p w14:paraId="11D268B1" w14:textId="77777777" w:rsidR="00B85B5A" w:rsidRPr="00014E6A" w:rsidRDefault="00B85B5A" w:rsidP="00B85B5A">
      <w:pPr>
        <w:bidi w:val="0"/>
        <w:rPr>
          <w:rtl/>
        </w:rPr>
      </w:pPr>
      <w:r w:rsidRPr="00014E6A">
        <w:rPr>
          <w:rFonts w:hint="cs"/>
          <w:b/>
          <w:bCs/>
        </w:rPr>
        <w:t>Chronic illness.</w:t>
      </w:r>
      <w:r>
        <w:rPr>
          <w:b/>
          <w:bCs/>
        </w:rPr>
        <w:t xml:space="preserve"> </w:t>
      </w:r>
      <w:r w:rsidRPr="00F15A68">
        <w:t>D</w:t>
      </w:r>
      <w:r w:rsidRPr="00014E6A">
        <w:rPr>
          <w:rFonts w:hint="cs"/>
        </w:rPr>
        <w:t>ummy variable with two categories: 'there is a chronic disease' and 'there is no chronic disease'.</w:t>
      </w:r>
    </w:p>
    <w:p w14:paraId="50070500" w14:textId="77777777" w:rsidR="00B85B5A" w:rsidRPr="00014E6A" w:rsidRDefault="00B85B5A" w:rsidP="00B85B5A">
      <w:pPr>
        <w:bidi w:val="0"/>
        <w:rPr>
          <w:rtl/>
        </w:rPr>
      </w:pPr>
      <w:r w:rsidRPr="00014E6A">
        <w:rPr>
          <w:rFonts w:hint="cs"/>
          <w:b/>
          <w:bCs/>
        </w:rPr>
        <w:t xml:space="preserve">Emotional distress. </w:t>
      </w:r>
      <w:r w:rsidRPr="00014E6A">
        <w:rPr>
          <w:rFonts w:hint="cs"/>
        </w:rPr>
        <w:t xml:space="preserve">A dummy variable with two categories: 'has felt emotional distress in the past two years' and 'has not felt emotional distress in the past two years'. </w:t>
      </w:r>
    </w:p>
    <w:p w14:paraId="3857A93B" w14:textId="77777777" w:rsidR="00B85B5A" w:rsidRPr="00014E6A" w:rsidRDefault="00B85B5A" w:rsidP="00B85B5A">
      <w:pPr>
        <w:bidi w:val="0"/>
        <w:rPr>
          <w:rtl/>
        </w:rPr>
      </w:pPr>
      <w:r w:rsidRPr="00014E6A">
        <w:rPr>
          <w:rFonts w:hint="cs"/>
          <w:b/>
          <w:bCs/>
        </w:rPr>
        <w:t xml:space="preserve">Subjective state of health. </w:t>
      </w:r>
      <w:r w:rsidRPr="00014E6A">
        <w:rPr>
          <w:rFonts w:hint="cs"/>
        </w:rPr>
        <w:t>Each interviewee rated his general health on one of five options: very good, good, medium, not good, and poor. The interviewee's subjective perception of his general health was coded into a dummy variable: '</w:t>
      </w:r>
      <w:r w:rsidRPr="00014E6A">
        <w:rPr>
          <w:rFonts w:hint="eastAsia"/>
        </w:rPr>
        <w:t>good health</w:t>
      </w:r>
      <w:r w:rsidRPr="00014E6A">
        <w:rPr>
          <w:rFonts w:hint="cs"/>
        </w:rPr>
        <w:t xml:space="preserve">' which contained the interviewees who </w:t>
      </w:r>
      <w:proofErr w:type="gramStart"/>
      <w:r w:rsidRPr="00014E6A">
        <w:rPr>
          <w:rFonts w:hint="cs"/>
        </w:rPr>
        <w:t>answered</w:t>
      </w:r>
      <w:proofErr w:type="gramEnd"/>
      <w:r w:rsidRPr="00014E6A">
        <w:rPr>
          <w:rFonts w:hint="cs"/>
        </w:rPr>
        <w:t xml:space="preserve"> 'very good' and 'good', and '</w:t>
      </w:r>
      <w:r w:rsidRPr="00014E6A">
        <w:rPr>
          <w:rFonts w:hint="eastAsia"/>
        </w:rPr>
        <w:t>not good health</w:t>
      </w:r>
      <w:r w:rsidRPr="00014E6A">
        <w:rPr>
          <w:rFonts w:hint="cs"/>
        </w:rPr>
        <w:t>', which contained the answers 'moderate', 'not good' and 'poor'.</w:t>
      </w:r>
    </w:p>
    <w:p w14:paraId="1603FE86" w14:textId="77777777" w:rsidR="00B85B5A" w:rsidRPr="00014E6A" w:rsidRDefault="00B85B5A" w:rsidP="00B85B5A">
      <w:pPr>
        <w:bidi w:val="0"/>
        <w:rPr>
          <w:rtl/>
        </w:rPr>
      </w:pPr>
      <w:r w:rsidRPr="00014E6A">
        <w:rPr>
          <w:rFonts w:hint="cs"/>
          <w:b/>
          <w:bCs/>
        </w:rPr>
        <w:t>Income.</w:t>
      </w:r>
      <w:r>
        <w:rPr>
          <w:b/>
          <w:bCs/>
        </w:rPr>
        <w:t xml:space="preserve"> </w:t>
      </w:r>
      <w:r w:rsidRPr="00014E6A">
        <w:rPr>
          <w:rFonts w:hint="cs"/>
        </w:rPr>
        <w:t>The sample was divided into five quintiles based on the question: "</w:t>
      </w:r>
      <w:r w:rsidRPr="00014E6A">
        <w:t>Last month, what was your total net income and that of all family members living with you, from all sources of income? This refers to income from work, pensions, allowances, rent or any other fixed source of income. Within the ranges I will read, please stop me in the appropriate category</w:t>
      </w:r>
      <w:r w:rsidRPr="00014E6A">
        <w:rPr>
          <w:rFonts w:hint="cs"/>
        </w:rPr>
        <w:t xml:space="preserve">." This question has low answer rates (22% missing entries). Missing values were completed using the </w:t>
      </w:r>
      <w:proofErr w:type="gramStart"/>
      <w:r w:rsidRPr="00014E6A">
        <w:rPr>
          <w:rFonts w:hint="cs"/>
        </w:rPr>
        <w:t>median</w:t>
      </w:r>
      <w:proofErr w:type="gramEnd"/>
      <w:r w:rsidRPr="00014E6A">
        <w:rPr>
          <w:rFonts w:hint="cs"/>
        </w:rPr>
        <w:t xml:space="preserve">. </w:t>
      </w:r>
    </w:p>
    <w:p w14:paraId="32481619" w14:textId="77777777" w:rsidR="00B85B5A" w:rsidRPr="00014E6A" w:rsidRDefault="00B85B5A" w:rsidP="00B85B5A">
      <w:pPr>
        <w:bidi w:val="0"/>
        <w:rPr>
          <w:rtl/>
        </w:rPr>
      </w:pPr>
      <w:r w:rsidRPr="00014E6A">
        <w:rPr>
          <w:rFonts w:hint="eastAsia"/>
          <w:b/>
          <w:bCs/>
        </w:rPr>
        <w:t>Education</w:t>
      </w:r>
      <w:r w:rsidRPr="00014E6A">
        <w:rPr>
          <w:rFonts w:cs="Times New Roman"/>
          <w:b/>
          <w:bCs/>
        </w:rPr>
        <w:t xml:space="preserve">. </w:t>
      </w:r>
      <w:r w:rsidRPr="00014E6A">
        <w:rPr>
          <w:rFonts w:hint="cs"/>
        </w:rPr>
        <w:t xml:space="preserve">A variable with two categories: 'academic education' and 'no academic education'. </w:t>
      </w:r>
    </w:p>
    <w:p w14:paraId="1284987F" w14:textId="77777777" w:rsidR="00B85B5A" w:rsidRPr="009C6F22" w:rsidRDefault="00B85B5A" w:rsidP="00B85B5A">
      <w:pPr>
        <w:pStyle w:val="FootnoteText"/>
        <w:bidi w:val="0"/>
        <w:rPr>
          <w:sz w:val="22"/>
          <w:szCs w:val="22"/>
        </w:rPr>
      </w:pPr>
      <w:r w:rsidRPr="00014E6A">
        <w:rPr>
          <w:rFonts w:hint="cs"/>
          <w:b/>
          <w:bCs/>
        </w:rPr>
        <w:lastRenderedPageBreak/>
        <w:t>Population group.</w:t>
      </w:r>
      <w:r w:rsidRPr="00014E6A">
        <w:rPr>
          <w:rFonts w:hint="cs"/>
        </w:rPr>
        <w:t xml:space="preserve"> </w:t>
      </w:r>
      <w:r>
        <w:rPr>
          <w:sz w:val="22"/>
          <w:szCs w:val="22"/>
        </w:rPr>
        <w:t>V</w:t>
      </w:r>
      <w:r w:rsidRPr="009C6F22">
        <w:rPr>
          <w:rFonts w:hint="cs"/>
          <w:sz w:val="22"/>
          <w:szCs w:val="22"/>
        </w:rPr>
        <w:t>ariable with three categories: 'non-</w:t>
      </w:r>
      <w:bookmarkStart w:id="3" w:name="_Hlk192072480"/>
      <w:proofErr w:type="spellStart"/>
      <w:r w:rsidRPr="009C6F22">
        <w:rPr>
          <w:sz w:val="22"/>
          <w:szCs w:val="22"/>
        </w:rPr>
        <w:t>ultra orthodox</w:t>
      </w:r>
      <w:proofErr w:type="spellEnd"/>
      <w:r w:rsidRPr="009C6F22">
        <w:rPr>
          <w:rFonts w:hint="cs"/>
          <w:sz w:val="22"/>
          <w:szCs w:val="22"/>
        </w:rPr>
        <w:t xml:space="preserve"> </w:t>
      </w:r>
      <w:bookmarkEnd w:id="3"/>
      <w:r w:rsidRPr="009C6F22">
        <w:rPr>
          <w:rFonts w:hint="cs"/>
          <w:sz w:val="22"/>
          <w:szCs w:val="22"/>
        </w:rPr>
        <w:t>Jews', '</w:t>
      </w:r>
      <w:r w:rsidRPr="009C6F22">
        <w:rPr>
          <w:sz w:val="22"/>
          <w:szCs w:val="22"/>
        </w:rPr>
        <w:t xml:space="preserve"> </w:t>
      </w:r>
      <w:proofErr w:type="spellStart"/>
      <w:r w:rsidRPr="009C6F22">
        <w:rPr>
          <w:sz w:val="22"/>
          <w:szCs w:val="22"/>
        </w:rPr>
        <w:t>ultra orthodox</w:t>
      </w:r>
      <w:proofErr w:type="spellEnd"/>
      <w:r w:rsidRPr="009C6F22">
        <w:rPr>
          <w:sz w:val="22"/>
          <w:szCs w:val="22"/>
        </w:rPr>
        <w:t xml:space="preserve"> </w:t>
      </w:r>
      <w:r w:rsidRPr="009C6F22">
        <w:rPr>
          <w:rFonts w:hint="cs"/>
          <w:sz w:val="22"/>
          <w:szCs w:val="22"/>
        </w:rPr>
        <w:t xml:space="preserve">' and 'Arabs'. </w:t>
      </w:r>
      <w:r>
        <w:rPr>
          <w:sz w:val="22"/>
          <w:szCs w:val="22"/>
        </w:rPr>
        <w:t>T</w:t>
      </w:r>
      <w:r w:rsidRPr="009C6F22">
        <w:rPr>
          <w:rFonts w:hint="cs"/>
          <w:sz w:val="22"/>
          <w:szCs w:val="22"/>
        </w:rPr>
        <w:t>he Central Bureau of Statistics</w:t>
      </w:r>
      <w:r w:rsidRPr="009C6F22">
        <w:rPr>
          <w:sz w:val="22"/>
          <w:szCs w:val="22"/>
        </w:rPr>
        <w:t xml:space="preserve"> divides Israel's population into three categories: Jews, Arabs (Muslims, Arab Christians, and Druze) and others (non-Arab Christians, members of other religions, and people who were not classified in the population registry as Jews, Muslims, or Christians),</w:t>
      </w:r>
      <w:r w:rsidRPr="009C6F22">
        <w:rPr>
          <w:rFonts w:hint="cs"/>
          <w:sz w:val="22"/>
          <w:szCs w:val="22"/>
        </w:rPr>
        <w:t xml:space="preserve"> but in this study "ultra-Orthodox" and "non-Haredi Jews" were also referred to as "population groups."</w:t>
      </w:r>
    </w:p>
    <w:p w14:paraId="03DB0AB2" w14:textId="77777777" w:rsidR="00B85B5A" w:rsidRPr="00014E6A" w:rsidRDefault="00B85B5A" w:rsidP="00B85B5A">
      <w:pPr>
        <w:bidi w:val="0"/>
        <w:rPr>
          <w:rtl/>
        </w:rPr>
      </w:pPr>
      <w:r w:rsidRPr="00CD6F80">
        <w:rPr>
          <w:rFonts w:hint="cs"/>
          <w:b/>
          <w:bCs/>
        </w:rPr>
        <w:t>Number of household members</w:t>
      </w:r>
      <w:r w:rsidRPr="00014E6A">
        <w:rPr>
          <w:rFonts w:hint="cs"/>
        </w:rPr>
        <w:t xml:space="preserve">. </w:t>
      </w:r>
      <w:r w:rsidRPr="00AD2045">
        <w:rPr>
          <w:rFonts w:hint="eastAsia"/>
        </w:rPr>
        <w:t>Proxy</w:t>
      </w:r>
      <w:r w:rsidRPr="00014E6A">
        <w:rPr>
          <w:rFonts w:hint="cs"/>
        </w:rPr>
        <w:t xml:space="preserve"> for multiple children.</w:t>
      </w:r>
    </w:p>
    <w:p w14:paraId="0535F7E1" w14:textId="77777777" w:rsidR="00B85B5A" w:rsidRPr="00014E6A" w:rsidRDefault="00B85B5A" w:rsidP="00B85B5A">
      <w:pPr>
        <w:bidi w:val="0"/>
        <w:rPr>
          <w:rtl/>
        </w:rPr>
      </w:pPr>
      <w:r w:rsidRPr="00014E6A">
        <w:rPr>
          <w:rFonts w:hint="cs"/>
          <w:b/>
          <w:bCs/>
        </w:rPr>
        <w:t xml:space="preserve">Age. </w:t>
      </w:r>
      <w:r>
        <w:t>C</w:t>
      </w:r>
      <w:r w:rsidRPr="00014E6A">
        <w:rPr>
          <w:rFonts w:hint="cs"/>
        </w:rPr>
        <w:t xml:space="preserve">ategorical variable with five levels: (1) age 22–34; (2) age 35–44; (3) Age 45–54; (4) Age 55–64; (5) Age 65 or older. </w:t>
      </w:r>
    </w:p>
    <w:p w14:paraId="02732279" w14:textId="77777777" w:rsidR="00B85B5A" w:rsidRPr="00014E6A" w:rsidRDefault="00B85B5A" w:rsidP="00B85B5A">
      <w:pPr>
        <w:bidi w:val="0"/>
      </w:pPr>
      <w:r w:rsidRPr="00014E6A">
        <w:rPr>
          <w:rFonts w:hint="cs"/>
          <w:b/>
          <w:bCs/>
        </w:rPr>
        <w:t xml:space="preserve">Sex. </w:t>
      </w:r>
      <w:r w:rsidRPr="00014E6A">
        <w:rPr>
          <w:rFonts w:hint="cs"/>
        </w:rPr>
        <w:t xml:space="preserve">A variable with two categories: 'man' and 'woman'. </w:t>
      </w:r>
    </w:p>
    <w:p w14:paraId="15FE241F" w14:textId="77777777" w:rsidR="00B85B5A" w:rsidRDefault="00B85B5A" w:rsidP="00B85B5A">
      <w:pPr>
        <w:bidi w:val="0"/>
      </w:pPr>
      <w:r>
        <w:br w:type="page"/>
      </w:r>
    </w:p>
    <w:p w14:paraId="51BC7A87" w14:textId="77777777" w:rsidR="00B85B5A" w:rsidRPr="00A862ED" w:rsidRDefault="00B85B5A" w:rsidP="00CB061B">
      <w:pPr>
        <w:pStyle w:val="Heading2"/>
        <w:bidi w:val="0"/>
        <w:rPr>
          <w:rFonts w:eastAsia="Times New Roman"/>
        </w:rPr>
      </w:pPr>
      <w:r w:rsidRPr="00A862ED">
        <w:rPr>
          <w:rFonts w:eastAsia="Times New Roman"/>
        </w:rPr>
        <w:lastRenderedPageBreak/>
        <w:t>Table</w:t>
      </w:r>
      <w:r>
        <w:rPr>
          <w:rFonts w:eastAsia="Times New Roman"/>
        </w:rPr>
        <w:t xml:space="preserve"> A2</w:t>
      </w:r>
      <w:r w:rsidRPr="00A862ED">
        <w:rPr>
          <w:rFonts w:eastAsia="Times New Roman"/>
        </w:rPr>
        <w:t xml:space="preserve">: </w:t>
      </w:r>
      <w:r>
        <w:rPr>
          <w:rFonts w:eastAsia="Times New Roman"/>
        </w:rPr>
        <w:t>Multivariate l</w:t>
      </w:r>
      <w:r w:rsidRPr="00A862ED">
        <w:rPr>
          <w:rFonts w:eastAsia="Times New Roman"/>
        </w:rPr>
        <w:t>ogistic regression</w:t>
      </w:r>
      <w:r>
        <w:rPr>
          <w:rFonts w:eastAsia="Times New Roman"/>
        </w:rPr>
        <w:t xml:space="preserve">: odds ratio of </w:t>
      </w:r>
      <w:r w:rsidRPr="00A862ED">
        <w:rPr>
          <w:rFonts w:eastAsia="Times New Roman"/>
        </w:rPr>
        <w:t>own</w:t>
      </w:r>
      <w:r>
        <w:rPr>
          <w:rFonts w:eastAsia="Times New Roman"/>
        </w:rPr>
        <w:t xml:space="preserve">ing VHI </w:t>
      </w:r>
      <w:r w:rsidRPr="00A862ED">
        <w:rPr>
          <w:rFonts w:eastAsia="Times New Roman"/>
        </w:rPr>
        <w:t xml:space="preserve">by </w:t>
      </w:r>
      <w:r>
        <w:rPr>
          <w:rFonts w:eastAsia="Times New Roman"/>
        </w:rPr>
        <w:t>background characteristics, 2022</w:t>
      </w:r>
    </w:p>
    <w:tbl>
      <w:tblPr>
        <w:tblW w:w="6792" w:type="dxa"/>
        <w:tblLook w:val="04A0" w:firstRow="1" w:lastRow="0" w:firstColumn="1" w:lastColumn="0" w:noHBand="0" w:noVBand="1"/>
      </w:tblPr>
      <w:tblGrid>
        <w:gridCol w:w="3880"/>
        <w:gridCol w:w="976"/>
        <w:gridCol w:w="917"/>
        <w:gridCol w:w="1019"/>
      </w:tblGrid>
      <w:tr w:rsidR="00B85B5A" w:rsidRPr="00A862ED" w14:paraId="11281A25" w14:textId="77777777" w:rsidTr="00952E69">
        <w:trPr>
          <w:trHeight w:val="300"/>
          <w:tblHeader/>
        </w:trPr>
        <w:tc>
          <w:tcPr>
            <w:tcW w:w="3880" w:type="dxa"/>
            <w:tcBorders>
              <w:top w:val="nil"/>
              <w:left w:val="nil"/>
              <w:bottom w:val="nil"/>
              <w:right w:val="nil"/>
            </w:tcBorders>
            <w:noWrap/>
            <w:vAlign w:val="bottom"/>
            <w:hideMark/>
          </w:tcPr>
          <w:p w14:paraId="46B55F8A" w14:textId="77777777" w:rsidR="00B85B5A" w:rsidRPr="00A862ED" w:rsidRDefault="00B85B5A" w:rsidP="00952E69">
            <w:pPr>
              <w:bidi w:val="0"/>
              <w:rPr>
                <w:rFonts w:ascii="Times New Roman" w:eastAsia="Times New Roman" w:hAnsi="Times New Roman" w:cs="Times New Roman"/>
                <w:sz w:val="24"/>
                <w:szCs w:val="24"/>
              </w:rPr>
            </w:pPr>
            <w:r>
              <w:rPr>
                <w:rFonts w:ascii="Times New Roman" w:eastAsia="Times New Roman" w:hAnsi="Times New Roman" w:cs="Times New Roman"/>
                <w:sz w:val="24"/>
                <w:szCs w:val="24"/>
              </w:rPr>
              <w:t>Variables</w:t>
            </w:r>
          </w:p>
        </w:tc>
        <w:tc>
          <w:tcPr>
            <w:tcW w:w="976" w:type="dxa"/>
            <w:tcBorders>
              <w:top w:val="nil"/>
              <w:left w:val="nil"/>
              <w:bottom w:val="nil"/>
              <w:right w:val="nil"/>
            </w:tcBorders>
            <w:noWrap/>
            <w:vAlign w:val="bottom"/>
            <w:hideMark/>
          </w:tcPr>
          <w:p w14:paraId="371F0A73"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Exp(B)</w:t>
            </w:r>
          </w:p>
        </w:tc>
        <w:tc>
          <w:tcPr>
            <w:tcW w:w="1936" w:type="dxa"/>
            <w:gridSpan w:val="2"/>
            <w:tcBorders>
              <w:top w:val="nil"/>
              <w:left w:val="nil"/>
              <w:bottom w:val="nil"/>
              <w:right w:val="nil"/>
            </w:tcBorders>
            <w:noWrap/>
            <w:vAlign w:val="bottom"/>
            <w:hideMark/>
          </w:tcPr>
          <w:p w14:paraId="3CE0A509"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 xml:space="preserve">95% </w:t>
            </w:r>
            <w:proofErr w:type="spellStart"/>
            <w:r w:rsidRPr="00A862ED">
              <w:rPr>
                <w:rFonts w:ascii="Calibri" w:eastAsia="Times New Roman" w:hAnsi="Calibri" w:cs="Calibri"/>
                <w:color w:val="000000"/>
              </w:rPr>
              <w:t>C.I.for</w:t>
            </w:r>
            <w:proofErr w:type="spellEnd"/>
            <w:r w:rsidRPr="00A862ED">
              <w:rPr>
                <w:rFonts w:ascii="Calibri" w:eastAsia="Times New Roman" w:hAnsi="Calibri" w:cs="Calibri"/>
                <w:color w:val="000000"/>
              </w:rPr>
              <w:t xml:space="preserve"> EXP(B)</w:t>
            </w:r>
          </w:p>
        </w:tc>
      </w:tr>
      <w:tr w:rsidR="00B85B5A" w:rsidRPr="00A862ED" w14:paraId="43F1305F" w14:textId="77777777" w:rsidTr="00952E69">
        <w:trPr>
          <w:trHeight w:val="300"/>
          <w:tblHeader/>
        </w:trPr>
        <w:tc>
          <w:tcPr>
            <w:tcW w:w="3880" w:type="dxa"/>
            <w:tcBorders>
              <w:top w:val="nil"/>
              <w:left w:val="nil"/>
              <w:bottom w:val="nil"/>
              <w:right w:val="nil"/>
            </w:tcBorders>
            <w:noWrap/>
            <w:vAlign w:val="bottom"/>
            <w:hideMark/>
          </w:tcPr>
          <w:p w14:paraId="4A7FC90B" w14:textId="77777777" w:rsidR="00B85B5A" w:rsidRPr="00A862ED" w:rsidRDefault="00B85B5A" w:rsidP="00952E69">
            <w:pPr>
              <w:bidi w:val="0"/>
              <w:rPr>
                <w:rFonts w:ascii="Times New Roman" w:eastAsia="Times New Roman" w:hAnsi="Times New Roman" w:cs="Times New Roman"/>
                <w:sz w:val="20"/>
                <w:szCs w:val="20"/>
              </w:rPr>
            </w:pPr>
          </w:p>
        </w:tc>
        <w:tc>
          <w:tcPr>
            <w:tcW w:w="976" w:type="dxa"/>
            <w:tcBorders>
              <w:top w:val="nil"/>
              <w:left w:val="nil"/>
              <w:bottom w:val="nil"/>
              <w:right w:val="nil"/>
            </w:tcBorders>
            <w:noWrap/>
            <w:vAlign w:val="bottom"/>
            <w:hideMark/>
          </w:tcPr>
          <w:p w14:paraId="23508F67" w14:textId="77777777" w:rsidR="00B85B5A" w:rsidRPr="00A862ED" w:rsidRDefault="00B85B5A" w:rsidP="00952E69">
            <w:pPr>
              <w:bidi w:val="0"/>
              <w:rPr>
                <w:rFonts w:ascii="Times New Roman" w:eastAsia="Times New Roman" w:hAnsi="Times New Roman" w:cs="Times New Roman"/>
                <w:sz w:val="20"/>
                <w:szCs w:val="20"/>
              </w:rPr>
            </w:pPr>
          </w:p>
        </w:tc>
        <w:tc>
          <w:tcPr>
            <w:tcW w:w="917" w:type="dxa"/>
            <w:tcBorders>
              <w:top w:val="nil"/>
              <w:left w:val="nil"/>
              <w:bottom w:val="nil"/>
              <w:right w:val="nil"/>
            </w:tcBorders>
            <w:noWrap/>
            <w:vAlign w:val="bottom"/>
            <w:hideMark/>
          </w:tcPr>
          <w:p w14:paraId="649A252D"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Lower</w:t>
            </w:r>
          </w:p>
        </w:tc>
        <w:tc>
          <w:tcPr>
            <w:tcW w:w="1019" w:type="dxa"/>
            <w:tcBorders>
              <w:top w:val="nil"/>
              <w:left w:val="nil"/>
              <w:bottom w:val="nil"/>
              <w:right w:val="nil"/>
            </w:tcBorders>
            <w:noWrap/>
            <w:vAlign w:val="bottom"/>
            <w:hideMark/>
          </w:tcPr>
          <w:p w14:paraId="0891297C"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Upper</w:t>
            </w:r>
          </w:p>
        </w:tc>
      </w:tr>
      <w:tr w:rsidR="00B85B5A" w:rsidRPr="00A862ED" w14:paraId="17537082" w14:textId="77777777" w:rsidTr="00952E69">
        <w:trPr>
          <w:trHeight w:val="300"/>
        </w:trPr>
        <w:tc>
          <w:tcPr>
            <w:tcW w:w="3880" w:type="dxa"/>
            <w:tcBorders>
              <w:top w:val="nil"/>
              <w:left w:val="nil"/>
              <w:bottom w:val="nil"/>
              <w:right w:val="nil"/>
            </w:tcBorders>
            <w:noWrap/>
            <w:vAlign w:val="bottom"/>
            <w:hideMark/>
          </w:tcPr>
          <w:p w14:paraId="16D97A71"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 xml:space="preserve">Women (vs </w:t>
            </w:r>
            <w:proofErr w:type="gramStart"/>
            <w:r w:rsidRPr="00A862ED">
              <w:rPr>
                <w:rFonts w:ascii="Calibri" w:eastAsia="Times New Roman" w:hAnsi="Calibri" w:cs="Calibri"/>
                <w:color w:val="000000"/>
              </w:rPr>
              <w:t>men)*</w:t>
            </w:r>
            <w:proofErr w:type="gramEnd"/>
            <w:r w:rsidRPr="00A862ED">
              <w:rPr>
                <w:rFonts w:ascii="Calibri" w:eastAsia="Times New Roman" w:hAnsi="Calibri" w:cs="Calibri"/>
                <w:color w:val="000000"/>
              </w:rPr>
              <w:t>**</w:t>
            </w:r>
          </w:p>
        </w:tc>
        <w:tc>
          <w:tcPr>
            <w:tcW w:w="976" w:type="dxa"/>
            <w:tcBorders>
              <w:top w:val="nil"/>
              <w:left w:val="nil"/>
              <w:bottom w:val="nil"/>
              <w:right w:val="nil"/>
            </w:tcBorders>
            <w:noWrap/>
            <w:vAlign w:val="bottom"/>
            <w:hideMark/>
          </w:tcPr>
          <w:p w14:paraId="303AF0EE"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1.796</w:t>
            </w:r>
          </w:p>
        </w:tc>
        <w:tc>
          <w:tcPr>
            <w:tcW w:w="917" w:type="dxa"/>
            <w:tcBorders>
              <w:top w:val="nil"/>
              <w:left w:val="nil"/>
              <w:bottom w:val="nil"/>
              <w:right w:val="nil"/>
            </w:tcBorders>
            <w:noWrap/>
            <w:vAlign w:val="bottom"/>
            <w:hideMark/>
          </w:tcPr>
          <w:p w14:paraId="6039B6EC"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1.373</w:t>
            </w:r>
          </w:p>
        </w:tc>
        <w:tc>
          <w:tcPr>
            <w:tcW w:w="1019" w:type="dxa"/>
            <w:tcBorders>
              <w:top w:val="nil"/>
              <w:left w:val="nil"/>
              <w:bottom w:val="nil"/>
              <w:right w:val="nil"/>
            </w:tcBorders>
            <w:noWrap/>
            <w:vAlign w:val="bottom"/>
            <w:hideMark/>
          </w:tcPr>
          <w:p w14:paraId="212B5B1F"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2.348</w:t>
            </w:r>
          </w:p>
        </w:tc>
      </w:tr>
      <w:tr w:rsidR="00B85B5A" w:rsidRPr="00A862ED" w14:paraId="288132D0" w14:textId="77777777" w:rsidTr="00952E69">
        <w:trPr>
          <w:trHeight w:val="300"/>
        </w:trPr>
        <w:tc>
          <w:tcPr>
            <w:tcW w:w="3880" w:type="dxa"/>
            <w:tcBorders>
              <w:top w:val="nil"/>
              <w:left w:val="nil"/>
              <w:bottom w:val="nil"/>
              <w:right w:val="nil"/>
            </w:tcBorders>
            <w:noWrap/>
            <w:vAlign w:val="bottom"/>
            <w:hideMark/>
          </w:tcPr>
          <w:p w14:paraId="770FE033"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Age</w:t>
            </w:r>
          </w:p>
        </w:tc>
        <w:tc>
          <w:tcPr>
            <w:tcW w:w="976" w:type="dxa"/>
            <w:tcBorders>
              <w:top w:val="nil"/>
              <w:left w:val="nil"/>
              <w:bottom w:val="nil"/>
              <w:right w:val="nil"/>
            </w:tcBorders>
            <w:noWrap/>
            <w:vAlign w:val="bottom"/>
            <w:hideMark/>
          </w:tcPr>
          <w:p w14:paraId="3718EE7A" w14:textId="77777777" w:rsidR="00B85B5A" w:rsidRPr="00A862ED" w:rsidRDefault="00B85B5A" w:rsidP="00952E69">
            <w:pPr>
              <w:bidi w:val="0"/>
              <w:rPr>
                <w:rFonts w:ascii="Calibri" w:eastAsia="Times New Roman" w:hAnsi="Calibri" w:cs="Calibri"/>
                <w:color w:val="000000"/>
              </w:rPr>
            </w:pPr>
          </w:p>
        </w:tc>
        <w:tc>
          <w:tcPr>
            <w:tcW w:w="917" w:type="dxa"/>
            <w:tcBorders>
              <w:top w:val="nil"/>
              <w:left w:val="nil"/>
              <w:bottom w:val="nil"/>
              <w:right w:val="nil"/>
            </w:tcBorders>
            <w:noWrap/>
            <w:vAlign w:val="bottom"/>
            <w:hideMark/>
          </w:tcPr>
          <w:p w14:paraId="5281922A" w14:textId="77777777" w:rsidR="00B85B5A" w:rsidRPr="00A862ED" w:rsidRDefault="00B85B5A" w:rsidP="00952E69">
            <w:pPr>
              <w:bidi w:val="0"/>
              <w:rPr>
                <w:rFonts w:ascii="Times New Roman" w:eastAsia="Times New Roman" w:hAnsi="Times New Roman" w:cs="Times New Roman"/>
                <w:sz w:val="20"/>
                <w:szCs w:val="20"/>
              </w:rPr>
            </w:pPr>
          </w:p>
        </w:tc>
        <w:tc>
          <w:tcPr>
            <w:tcW w:w="1019" w:type="dxa"/>
            <w:tcBorders>
              <w:top w:val="nil"/>
              <w:left w:val="nil"/>
              <w:bottom w:val="nil"/>
              <w:right w:val="nil"/>
            </w:tcBorders>
            <w:noWrap/>
            <w:vAlign w:val="bottom"/>
            <w:hideMark/>
          </w:tcPr>
          <w:p w14:paraId="4FD138E9" w14:textId="77777777" w:rsidR="00B85B5A" w:rsidRPr="00A862ED" w:rsidRDefault="00B85B5A" w:rsidP="00952E69">
            <w:pPr>
              <w:bidi w:val="0"/>
              <w:rPr>
                <w:rFonts w:ascii="Times New Roman" w:eastAsia="Times New Roman" w:hAnsi="Times New Roman" w:cs="Times New Roman"/>
                <w:sz w:val="20"/>
                <w:szCs w:val="20"/>
              </w:rPr>
            </w:pPr>
          </w:p>
        </w:tc>
      </w:tr>
      <w:tr w:rsidR="00B85B5A" w:rsidRPr="00A862ED" w14:paraId="3B698FAF" w14:textId="77777777" w:rsidTr="00952E69">
        <w:trPr>
          <w:trHeight w:val="300"/>
        </w:trPr>
        <w:tc>
          <w:tcPr>
            <w:tcW w:w="3880" w:type="dxa"/>
            <w:tcBorders>
              <w:top w:val="nil"/>
              <w:left w:val="nil"/>
              <w:bottom w:val="nil"/>
              <w:right w:val="nil"/>
            </w:tcBorders>
            <w:noWrap/>
            <w:vAlign w:val="bottom"/>
            <w:hideMark/>
          </w:tcPr>
          <w:p w14:paraId="7F872C2D"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35-44 (vs. 22-34)</w:t>
            </w:r>
          </w:p>
        </w:tc>
        <w:tc>
          <w:tcPr>
            <w:tcW w:w="976" w:type="dxa"/>
            <w:tcBorders>
              <w:top w:val="nil"/>
              <w:left w:val="nil"/>
              <w:bottom w:val="nil"/>
              <w:right w:val="nil"/>
            </w:tcBorders>
            <w:noWrap/>
            <w:vAlign w:val="bottom"/>
            <w:hideMark/>
          </w:tcPr>
          <w:p w14:paraId="7FB6B9A6"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1.161</w:t>
            </w:r>
          </w:p>
        </w:tc>
        <w:tc>
          <w:tcPr>
            <w:tcW w:w="917" w:type="dxa"/>
            <w:tcBorders>
              <w:top w:val="nil"/>
              <w:left w:val="nil"/>
              <w:bottom w:val="nil"/>
              <w:right w:val="nil"/>
            </w:tcBorders>
            <w:noWrap/>
            <w:vAlign w:val="bottom"/>
            <w:hideMark/>
          </w:tcPr>
          <w:p w14:paraId="1FFD0686"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0.784</w:t>
            </w:r>
          </w:p>
        </w:tc>
        <w:tc>
          <w:tcPr>
            <w:tcW w:w="1019" w:type="dxa"/>
            <w:tcBorders>
              <w:top w:val="nil"/>
              <w:left w:val="nil"/>
              <w:bottom w:val="nil"/>
              <w:right w:val="nil"/>
            </w:tcBorders>
            <w:noWrap/>
            <w:vAlign w:val="bottom"/>
            <w:hideMark/>
          </w:tcPr>
          <w:p w14:paraId="48F007D7"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1.718</w:t>
            </w:r>
          </w:p>
        </w:tc>
      </w:tr>
      <w:tr w:rsidR="00B85B5A" w:rsidRPr="00A862ED" w14:paraId="7D2BB6C0" w14:textId="77777777" w:rsidTr="00952E69">
        <w:trPr>
          <w:trHeight w:val="300"/>
        </w:trPr>
        <w:tc>
          <w:tcPr>
            <w:tcW w:w="3880" w:type="dxa"/>
            <w:tcBorders>
              <w:top w:val="nil"/>
              <w:left w:val="nil"/>
              <w:bottom w:val="nil"/>
              <w:right w:val="nil"/>
            </w:tcBorders>
            <w:noWrap/>
            <w:vAlign w:val="bottom"/>
            <w:hideMark/>
          </w:tcPr>
          <w:p w14:paraId="5BB9F87A"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45-</w:t>
            </w:r>
            <w:proofErr w:type="gramStart"/>
            <w:r w:rsidRPr="00A862ED">
              <w:rPr>
                <w:rFonts w:ascii="Calibri" w:eastAsia="Times New Roman" w:hAnsi="Calibri" w:cs="Calibri"/>
                <w:color w:val="000000"/>
              </w:rPr>
              <w:t>54  (</w:t>
            </w:r>
            <w:proofErr w:type="gramEnd"/>
            <w:r w:rsidRPr="00A862ED">
              <w:rPr>
                <w:rFonts w:ascii="Calibri" w:eastAsia="Times New Roman" w:hAnsi="Calibri" w:cs="Calibri"/>
                <w:color w:val="000000"/>
              </w:rPr>
              <w:t>vs. 22-34)</w:t>
            </w:r>
          </w:p>
        </w:tc>
        <w:tc>
          <w:tcPr>
            <w:tcW w:w="976" w:type="dxa"/>
            <w:tcBorders>
              <w:top w:val="nil"/>
              <w:left w:val="nil"/>
              <w:bottom w:val="nil"/>
              <w:right w:val="nil"/>
            </w:tcBorders>
            <w:noWrap/>
            <w:vAlign w:val="bottom"/>
            <w:hideMark/>
          </w:tcPr>
          <w:p w14:paraId="087E3A3D"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0.925</w:t>
            </w:r>
          </w:p>
        </w:tc>
        <w:tc>
          <w:tcPr>
            <w:tcW w:w="917" w:type="dxa"/>
            <w:tcBorders>
              <w:top w:val="nil"/>
              <w:left w:val="nil"/>
              <w:bottom w:val="nil"/>
              <w:right w:val="nil"/>
            </w:tcBorders>
            <w:noWrap/>
            <w:vAlign w:val="bottom"/>
            <w:hideMark/>
          </w:tcPr>
          <w:p w14:paraId="6D8CE86F"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0.626</w:t>
            </w:r>
          </w:p>
        </w:tc>
        <w:tc>
          <w:tcPr>
            <w:tcW w:w="1019" w:type="dxa"/>
            <w:tcBorders>
              <w:top w:val="nil"/>
              <w:left w:val="nil"/>
              <w:bottom w:val="nil"/>
              <w:right w:val="nil"/>
            </w:tcBorders>
            <w:noWrap/>
            <w:vAlign w:val="bottom"/>
            <w:hideMark/>
          </w:tcPr>
          <w:p w14:paraId="51BDE5F5"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1.367</w:t>
            </w:r>
          </w:p>
        </w:tc>
      </w:tr>
      <w:tr w:rsidR="00B85B5A" w:rsidRPr="00A862ED" w14:paraId="2583133B" w14:textId="77777777" w:rsidTr="00952E69">
        <w:trPr>
          <w:trHeight w:val="300"/>
        </w:trPr>
        <w:tc>
          <w:tcPr>
            <w:tcW w:w="3880" w:type="dxa"/>
            <w:tcBorders>
              <w:top w:val="nil"/>
              <w:left w:val="nil"/>
              <w:bottom w:val="nil"/>
              <w:right w:val="nil"/>
            </w:tcBorders>
            <w:noWrap/>
            <w:vAlign w:val="bottom"/>
            <w:hideMark/>
          </w:tcPr>
          <w:p w14:paraId="110EE049"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55-64 (vs. 22-34)</w:t>
            </w:r>
          </w:p>
        </w:tc>
        <w:tc>
          <w:tcPr>
            <w:tcW w:w="976" w:type="dxa"/>
            <w:tcBorders>
              <w:top w:val="nil"/>
              <w:left w:val="nil"/>
              <w:bottom w:val="nil"/>
              <w:right w:val="nil"/>
            </w:tcBorders>
            <w:noWrap/>
            <w:vAlign w:val="bottom"/>
            <w:hideMark/>
          </w:tcPr>
          <w:p w14:paraId="02BEFFCE"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1.501</w:t>
            </w:r>
          </w:p>
        </w:tc>
        <w:tc>
          <w:tcPr>
            <w:tcW w:w="917" w:type="dxa"/>
            <w:tcBorders>
              <w:top w:val="nil"/>
              <w:left w:val="nil"/>
              <w:bottom w:val="nil"/>
              <w:right w:val="nil"/>
            </w:tcBorders>
            <w:noWrap/>
            <w:vAlign w:val="bottom"/>
            <w:hideMark/>
          </w:tcPr>
          <w:p w14:paraId="7468268C"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0.942</w:t>
            </w:r>
          </w:p>
        </w:tc>
        <w:tc>
          <w:tcPr>
            <w:tcW w:w="1019" w:type="dxa"/>
            <w:tcBorders>
              <w:top w:val="nil"/>
              <w:left w:val="nil"/>
              <w:bottom w:val="nil"/>
              <w:right w:val="nil"/>
            </w:tcBorders>
            <w:noWrap/>
            <w:vAlign w:val="bottom"/>
            <w:hideMark/>
          </w:tcPr>
          <w:p w14:paraId="5A9BC936"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2.393</w:t>
            </w:r>
          </w:p>
        </w:tc>
      </w:tr>
      <w:tr w:rsidR="00B85B5A" w:rsidRPr="00A862ED" w14:paraId="16826779" w14:textId="77777777" w:rsidTr="00952E69">
        <w:trPr>
          <w:trHeight w:val="300"/>
        </w:trPr>
        <w:tc>
          <w:tcPr>
            <w:tcW w:w="3880" w:type="dxa"/>
            <w:tcBorders>
              <w:top w:val="nil"/>
              <w:left w:val="nil"/>
              <w:bottom w:val="nil"/>
              <w:right w:val="nil"/>
            </w:tcBorders>
            <w:noWrap/>
            <w:vAlign w:val="bottom"/>
            <w:hideMark/>
          </w:tcPr>
          <w:p w14:paraId="30858684"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65+ (vs. 22-34)</w:t>
            </w:r>
          </w:p>
        </w:tc>
        <w:tc>
          <w:tcPr>
            <w:tcW w:w="976" w:type="dxa"/>
            <w:tcBorders>
              <w:top w:val="nil"/>
              <w:left w:val="nil"/>
              <w:bottom w:val="nil"/>
              <w:right w:val="nil"/>
            </w:tcBorders>
            <w:noWrap/>
            <w:vAlign w:val="bottom"/>
            <w:hideMark/>
          </w:tcPr>
          <w:p w14:paraId="0D8645C1"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1.432</w:t>
            </w:r>
          </w:p>
        </w:tc>
        <w:tc>
          <w:tcPr>
            <w:tcW w:w="917" w:type="dxa"/>
            <w:tcBorders>
              <w:top w:val="nil"/>
              <w:left w:val="nil"/>
              <w:bottom w:val="nil"/>
              <w:right w:val="nil"/>
            </w:tcBorders>
            <w:noWrap/>
            <w:vAlign w:val="bottom"/>
            <w:hideMark/>
          </w:tcPr>
          <w:p w14:paraId="732EC1BF"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0.915</w:t>
            </w:r>
          </w:p>
        </w:tc>
        <w:tc>
          <w:tcPr>
            <w:tcW w:w="1019" w:type="dxa"/>
            <w:tcBorders>
              <w:top w:val="nil"/>
              <w:left w:val="nil"/>
              <w:bottom w:val="nil"/>
              <w:right w:val="nil"/>
            </w:tcBorders>
            <w:noWrap/>
            <w:vAlign w:val="bottom"/>
            <w:hideMark/>
          </w:tcPr>
          <w:p w14:paraId="63CBA4E9"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2.242</w:t>
            </w:r>
          </w:p>
        </w:tc>
      </w:tr>
      <w:tr w:rsidR="00B85B5A" w:rsidRPr="00A862ED" w14:paraId="1D2F352B" w14:textId="77777777" w:rsidTr="00952E69">
        <w:trPr>
          <w:trHeight w:val="300"/>
        </w:trPr>
        <w:tc>
          <w:tcPr>
            <w:tcW w:w="3880" w:type="dxa"/>
            <w:tcBorders>
              <w:top w:val="nil"/>
              <w:left w:val="nil"/>
              <w:bottom w:val="nil"/>
              <w:right w:val="nil"/>
            </w:tcBorders>
            <w:noWrap/>
            <w:vAlign w:val="bottom"/>
            <w:hideMark/>
          </w:tcPr>
          <w:p w14:paraId="23C844DB"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Mental distress</w:t>
            </w:r>
          </w:p>
        </w:tc>
        <w:tc>
          <w:tcPr>
            <w:tcW w:w="976" w:type="dxa"/>
            <w:tcBorders>
              <w:top w:val="nil"/>
              <w:left w:val="nil"/>
              <w:bottom w:val="nil"/>
              <w:right w:val="nil"/>
            </w:tcBorders>
            <w:noWrap/>
            <w:vAlign w:val="bottom"/>
            <w:hideMark/>
          </w:tcPr>
          <w:p w14:paraId="55064C5D"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0.781</w:t>
            </w:r>
          </w:p>
        </w:tc>
        <w:tc>
          <w:tcPr>
            <w:tcW w:w="917" w:type="dxa"/>
            <w:tcBorders>
              <w:top w:val="nil"/>
              <w:left w:val="nil"/>
              <w:bottom w:val="nil"/>
              <w:right w:val="nil"/>
            </w:tcBorders>
            <w:noWrap/>
            <w:vAlign w:val="bottom"/>
            <w:hideMark/>
          </w:tcPr>
          <w:p w14:paraId="6DAC7E93"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0.567</w:t>
            </w:r>
          </w:p>
        </w:tc>
        <w:tc>
          <w:tcPr>
            <w:tcW w:w="1019" w:type="dxa"/>
            <w:tcBorders>
              <w:top w:val="nil"/>
              <w:left w:val="nil"/>
              <w:bottom w:val="nil"/>
              <w:right w:val="nil"/>
            </w:tcBorders>
            <w:noWrap/>
            <w:vAlign w:val="bottom"/>
            <w:hideMark/>
          </w:tcPr>
          <w:p w14:paraId="0D80B1BC"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1.075</w:t>
            </w:r>
          </w:p>
        </w:tc>
      </w:tr>
      <w:tr w:rsidR="00B85B5A" w:rsidRPr="00A862ED" w14:paraId="683B15D4" w14:textId="77777777" w:rsidTr="00952E69">
        <w:trPr>
          <w:trHeight w:val="300"/>
        </w:trPr>
        <w:tc>
          <w:tcPr>
            <w:tcW w:w="3880" w:type="dxa"/>
            <w:tcBorders>
              <w:top w:val="nil"/>
              <w:left w:val="nil"/>
              <w:bottom w:val="nil"/>
              <w:right w:val="nil"/>
            </w:tcBorders>
            <w:noWrap/>
            <w:vAlign w:val="bottom"/>
            <w:hideMark/>
          </w:tcPr>
          <w:p w14:paraId="37176B1E"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Self-reported poor health status</w:t>
            </w:r>
          </w:p>
        </w:tc>
        <w:tc>
          <w:tcPr>
            <w:tcW w:w="976" w:type="dxa"/>
            <w:tcBorders>
              <w:top w:val="nil"/>
              <w:left w:val="nil"/>
              <w:bottom w:val="nil"/>
              <w:right w:val="nil"/>
            </w:tcBorders>
            <w:noWrap/>
            <w:vAlign w:val="bottom"/>
            <w:hideMark/>
          </w:tcPr>
          <w:p w14:paraId="18753617"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1.088</w:t>
            </w:r>
          </w:p>
        </w:tc>
        <w:tc>
          <w:tcPr>
            <w:tcW w:w="917" w:type="dxa"/>
            <w:tcBorders>
              <w:top w:val="nil"/>
              <w:left w:val="nil"/>
              <w:bottom w:val="nil"/>
              <w:right w:val="nil"/>
            </w:tcBorders>
            <w:noWrap/>
            <w:vAlign w:val="bottom"/>
            <w:hideMark/>
          </w:tcPr>
          <w:p w14:paraId="63A8E22D"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0.752</w:t>
            </w:r>
          </w:p>
        </w:tc>
        <w:tc>
          <w:tcPr>
            <w:tcW w:w="1019" w:type="dxa"/>
            <w:tcBorders>
              <w:top w:val="nil"/>
              <w:left w:val="nil"/>
              <w:bottom w:val="nil"/>
              <w:right w:val="nil"/>
            </w:tcBorders>
            <w:noWrap/>
            <w:vAlign w:val="bottom"/>
            <w:hideMark/>
          </w:tcPr>
          <w:p w14:paraId="60F9BFAC"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1.574</w:t>
            </w:r>
          </w:p>
        </w:tc>
      </w:tr>
      <w:tr w:rsidR="00B85B5A" w:rsidRPr="00A862ED" w14:paraId="62838ABC" w14:textId="77777777" w:rsidTr="00952E69">
        <w:trPr>
          <w:trHeight w:val="300"/>
        </w:trPr>
        <w:tc>
          <w:tcPr>
            <w:tcW w:w="3880" w:type="dxa"/>
            <w:tcBorders>
              <w:top w:val="nil"/>
              <w:left w:val="nil"/>
              <w:bottom w:val="nil"/>
              <w:right w:val="nil"/>
            </w:tcBorders>
            <w:noWrap/>
            <w:vAlign w:val="bottom"/>
            <w:hideMark/>
          </w:tcPr>
          <w:p w14:paraId="3DC158E2"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Chronically ill</w:t>
            </w:r>
          </w:p>
        </w:tc>
        <w:tc>
          <w:tcPr>
            <w:tcW w:w="976" w:type="dxa"/>
            <w:tcBorders>
              <w:top w:val="nil"/>
              <w:left w:val="nil"/>
              <w:bottom w:val="nil"/>
              <w:right w:val="nil"/>
            </w:tcBorders>
            <w:noWrap/>
            <w:vAlign w:val="bottom"/>
            <w:hideMark/>
          </w:tcPr>
          <w:p w14:paraId="3D7B9B09"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1.392</w:t>
            </w:r>
          </w:p>
        </w:tc>
        <w:tc>
          <w:tcPr>
            <w:tcW w:w="917" w:type="dxa"/>
            <w:tcBorders>
              <w:top w:val="nil"/>
              <w:left w:val="nil"/>
              <w:bottom w:val="nil"/>
              <w:right w:val="nil"/>
            </w:tcBorders>
            <w:noWrap/>
            <w:vAlign w:val="bottom"/>
            <w:hideMark/>
          </w:tcPr>
          <w:p w14:paraId="49F7864E"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0.985</w:t>
            </w:r>
          </w:p>
        </w:tc>
        <w:tc>
          <w:tcPr>
            <w:tcW w:w="1019" w:type="dxa"/>
            <w:tcBorders>
              <w:top w:val="nil"/>
              <w:left w:val="nil"/>
              <w:bottom w:val="nil"/>
              <w:right w:val="nil"/>
            </w:tcBorders>
            <w:noWrap/>
            <w:vAlign w:val="bottom"/>
            <w:hideMark/>
          </w:tcPr>
          <w:p w14:paraId="37E8369A"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1.966</w:t>
            </w:r>
          </w:p>
        </w:tc>
      </w:tr>
      <w:tr w:rsidR="00B85B5A" w:rsidRPr="00A862ED" w14:paraId="301B9B3C" w14:textId="77777777" w:rsidTr="00952E69">
        <w:trPr>
          <w:trHeight w:val="300"/>
        </w:trPr>
        <w:tc>
          <w:tcPr>
            <w:tcW w:w="3880" w:type="dxa"/>
            <w:tcBorders>
              <w:top w:val="nil"/>
              <w:left w:val="nil"/>
              <w:bottom w:val="nil"/>
              <w:right w:val="nil"/>
            </w:tcBorders>
            <w:noWrap/>
            <w:vAlign w:val="bottom"/>
            <w:hideMark/>
          </w:tcPr>
          <w:p w14:paraId="6B6E3180"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Population group</w:t>
            </w:r>
          </w:p>
        </w:tc>
        <w:tc>
          <w:tcPr>
            <w:tcW w:w="976" w:type="dxa"/>
            <w:tcBorders>
              <w:top w:val="nil"/>
              <w:left w:val="nil"/>
              <w:bottom w:val="nil"/>
              <w:right w:val="nil"/>
            </w:tcBorders>
            <w:noWrap/>
            <w:vAlign w:val="bottom"/>
            <w:hideMark/>
          </w:tcPr>
          <w:p w14:paraId="7D6DE838" w14:textId="77777777" w:rsidR="00B85B5A" w:rsidRPr="00A862ED" w:rsidRDefault="00B85B5A" w:rsidP="00952E69">
            <w:pPr>
              <w:bidi w:val="0"/>
              <w:rPr>
                <w:rFonts w:ascii="Calibri" w:eastAsia="Times New Roman" w:hAnsi="Calibri" w:cs="Calibri"/>
                <w:color w:val="000000"/>
              </w:rPr>
            </w:pPr>
          </w:p>
        </w:tc>
        <w:tc>
          <w:tcPr>
            <w:tcW w:w="917" w:type="dxa"/>
            <w:tcBorders>
              <w:top w:val="nil"/>
              <w:left w:val="nil"/>
              <w:bottom w:val="nil"/>
              <w:right w:val="nil"/>
            </w:tcBorders>
            <w:noWrap/>
            <w:vAlign w:val="bottom"/>
            <w:hideMark/>
          </w:tcPr>
          <w:p w14:paraId="7C729BC2" w14:textId="77777777" w:rsidR="00B85B5A" w:rsidRPr="00A862ED" w:rsidRDefault="00B85B5A" w:rsidP="00952E69">
            <w:pPr>
              <w:bidi w:val="0"/>
              <w:rPr>
                <w:rFonts w:ascii="Times New Roman" w:eastAsia="Times New Roman" w:hAnsi="Times New Roman" w:cs="Times New Roman"/>
                <w:sz w:val="20"/>
                <w:szCs w:val="20"/>
              </w:rPr>
            </w:pPr>
          </w:p>
        </w:tc>
        <w:tc>
          <w:tcPr>
            <w:tcW w:w="1019" w:type="dxa"/>
            <w:tcBorders>
              <w:top w:val="nil"/>
              <w:left w:val="nil"/>
              <w:bottom w:val="nil"/>
              <w:right w:val="nil"/>
            </w:tcBorders>
            <w:noWrap/>
            <w:vAlign w:val="bottom"/>
            <w:hideMark/>
          </w:tcPr>
          <w:p w14:paraId="53CE6593" w14:textId="77777777" w:rsidR="00B85B5A" w:rsidRPr="00A862ED" w:rsidRDefault="00B85B5A" w:rsidP="00952E69">
            <w:pPr>
              <w:bidi w:val="0"/>
              <w:rPr>
                <w:rFonts w:ascii="Times New Roman" w:eastAsia="Times New Roman" w:hAnsi="Times New Roman" w:cs="Times New Roman"/>
                <w:sz w:val="20"/>
                <w:szCs w:val="20"/>
              </w:rPr>
            </w:pPr>
          </w:p>
        </w:tc>
      </w:tr>
      <w:tr w:rsidR="00B85B5A" w:rsidRPr="00A862ED" w14:paraId="3A5B3D2D" w14:textId="77777777" w:rsidTr="00952E69">
        <w:trPr>
          <w:trHeight w:val="300"/>
        </w:trPr>
        <w:tc>
          <w:tcPr>
            <w:tcW w:w="3880" w:type="dxa"/>
            <w:tcBorders>
              <w:top w:val="nil"/>
              <w:left w:val="nil"/>
              <w:bottom w:val="nil"/>
              <w:right w:val="nil"/>
            </w:tcBorders>
            <w:noWrap/>
            <w:vAlign w:val="bottom"/>
            <w:hideMark/>
          </w:tcPr>
          <w:p w14:paraId="2E1F16AD"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Ultra-Orthodox (vs. non-Orthodox Jews)</w:t>
            </w:r>
          </w:p>
        </w:tc>
        <w:tc>
          <w:tcPr>
            <w:tcW w:w="976" w:type="dxa"/>
            <w:tcBorders>
              <w:top w:val="nil"/>
              <w:left w:val="nil"/>
              <w:bottom w:val="nil"/>
              <w:right w:val="nil"/>
            </w:tcBorders>
            <w:noWrap/>
            <w:vAlign w:val="bottom"/>
            <w:hideMark/>
          </w:tcPr>
          <w:p w14:paraId="79B5C86E"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1.465</w:t>
            </w:r>
          </w:p>
        </w:tc>
        <w:tc>
          <w:tcPr>
            <w:tcW w:w="917" w:type="dxa"/>
            <w:tcBorders>
              <w:top w:val="nil"/>
              <w:left w:val="nil"/>
              <w:bottom w:val="nil"/>
              <w:right w:val="nil"/>
            </w:tcBorders>
            <w:noWrap/>
            <w:vAlign w:val="bottom"/>
            <w:hideMark/>
          </w:tcPr>
          <w:p w14:paraId="4DD71F24"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0.89</w:t>
            </w:r>
          </w:p>
        </w:tc>
        <w:tc>
          <w:tcPr>
            <w:tcW w:w="1019" w:type="dxa"/>
            <w:tcBorders>
              <w:top w:val="nil"/>
              <w:left w:val="nil"/>
              <w:bottom w:val="nil"/>
              <w:right w:val="nil"/>
            </w:tcBorders>
            <w:noWrap/>
            <w:vAlign w:val="bottom"/>
            <w:hideMark/>
          </w:tcPr>
          <w:p w14:paraId="50D29998"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2.411</w:t>
            </w:r>
          </w:p>
        </w:tc>
      </w:tr>
      <w:tr w:rsidR="00B85B5A" w:rsidRPr="00A862ED" w14:paraId="4AA4D901" w14:textId="77777777" w:rsidTr="00952E69">
        <w:trPr>
          <w:trHeight w:val="300"/>
        </w:trPr>
        <w:tc>
          <w:tcPr>
            <w:tcW w:w="3880" w:type="dxa"/>
            <w:tcBorders>
              <w:top w:val="nil"/>
              <w:left w:val="nil"/>
              <w:bottom w:val="nil"/>
              <w:right w:val="nil"/>
            </w:tcBorders>
            <w:noWrap/>
            <w:vAlign w:val="bottom"/>
            <w:hideMark/>
          </w:tcPr>
          <w:p w14:paraId="5946C2D5"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 xml:space="preserve">Arabs (vs. non-Orthodox </w:t>
            </w:r>
            <w:proofErr w:type="gramStart"/>
            <w:r w:rsidRPr="00A862ED">
              <w:rPr>
                <w:rFonts w:ascii="Calibri" w:eastAsia="Times New Roman" w:hAnsi="Calibri" w:cs="Calibri"/>
                <w:color w:val="000000"/>
              </w:rPr>
              <w:t>Jews)*</w:t>
            </w:r>
            <w:proofErr w:type="gramEnd"/>
            <w:r w:rsidRPr="00A862ED">
              <w:rPr>
                <w:rFonts w:ascii="Calibri" w:eastAsia="Times New Roman" w:hAnsi="Calibri" w:cs="Calibri"/>
                <w:color w:val="000000"/>
              </w:rPr>
              <w:t>**</w:t>
            </w:r>
          </w:p>
        </w:tc>
        <w:tc>
          <w:tcPr>
            <w:tcW w:w="976" w:type="dxa"/>
            <w:tcBorders>
              <w:top w:val="nil"/>
              <w:left w:val="nil"/>
              <w:bottom w:val="nil"/>
              <w:right w:val="nil"/>
            </w:tcBorders>
            <w:noWrap/>
            <w:vAlign w:val="bottom"/>
            <w:hideMark/>
          </w:tcPr>
          <w:p w14:paraId="0AAD5D45"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0.17</w:t>
            </w:r>
          </w:p>
        </w:tc>
        <w:tc>
          <w:tcPr>
            <w:tcW w:w="917" w:type="dxa"/>
            <w:tcBorders>
              <w:top w:val="nil"/>
              <w:left w:val="nil"/>
              <w:bottom w:val="nil"/>
              <w:right w:val="nil"/>
            </w:tcBorders>
            <w:noWrap/>
            <w:vAlign w:val="bottom"/>
            <w:hideMark/>
          </w:tcPr>
          <w:p w14:paraId="37DFC528"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0.122</w:t>
            </w:r>
          </w:p>
        </w:tc>
        <w:tc>
          <w:tcPr>
            <w:tcW w:w="1019" w:type="dxa"/>
            <w:tcBorders>
              <w:top w:val="nil"/>
              <w:left w:val="nil"/>
              <w:bottom w:val="nil"/>
              <w:right w:val="nil"/>
            </w:tcBorders>
            <w:noWrap/>
            <w:vAlign w:val="bottom"/>
            <w:hideMark/>
          </w:tcPr>
          <w:p w14:paraId="1E9B6600"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0.235</w:t>
            </w:r>
          </w:p>
        </w:tc>
      </w:tr>
      <w:tr w:rsidR="00B85B5A" w:rsidRPr="00A862ED" w14:paraId="3E52BB93" w14:textId="77777777" w:rsidTr="00952E69">
        <w:trPr>
          <w:trHeight w:val="300"/>
        </w:trPr>
        <w:tc>
          <w:tcPr>
            <w:tcW w:w="3880" w:type="dxa"/>
            <w:tcBorders>
              <w:top w:val="nil"/>
              <w:left w:val="nil"/>
              <w:bottom w:val="nil"/>
              <w:right w:val="nil"/>
            </w:tcBorders>
            <w:noWrap/>
            <w:vAlign w:val="bottom"/>
            <w:hideMark/>
          </w:tcPr>
          <w:p w14:paraId="3125CE63"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Residence in peripheral areas</w:t>
            </w:r>
          </w:p>
        </w:tc>
        <w:tc>
          <w:tcPr>
            <w:tcW w:w="976" w:type="dxa"/>
            <w:tcBorders>
              <w:top w:val="nil"/>
              <w:left w:val="nil"/>
              <w:bottom w:val="nil"/>
              <w:right w:val="nil"/>
            </w:tcBorders>
            <w:noWrap/>
            <w:vAlign w:val="bottom"/>
            <w:hideMark/>
          </w:tcPr>
          <w:p w14:paraId="126B6956"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1.676</w:t>
            </w:r>
          </w:p>
        </w:tc>
        <w:tc>
          <w:tcPr>
            <w:tcW w:w="917" w:type="dxa"/>
            <w:tcBorders>
              <w:top w:val="nil"/>
              <w:left w:val="nil"/>
              <w:bottom w:val="nil"/>
              <w:right w:val="nil"/>
            </w:tcBorders>
            <w:noWrap/>
            <w:vAlign w:val="bottom"/>
            <w:hideMark/>
          </w:tcPr>
          <w:p w14:paraId="3DB4B2A7"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1.144</w:t>
            </w:r>
          </w:p>
        </w:tc>
        <w:tc>
          <w:tcPr>
            <w:tcW w:w="1019" w:type="dxa"/>
            <w:tcBorders>
              <w:top w:val="nil"/>
              <w:left w:val="nil"/>
              <w:bottom w:val="nil"/>
              <w:right w:val="nil"/>
            </w:tcBorders>
            <w:noWrap/>
            <w:vAlign w:val="bottom"/>
            <w:hideMark/>
          </w:tcPr>
          <w:p w14:paraId="5836832A"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2.456</w:t>
            </w:r>
          </w:p>
        </w:tc>
      </w:tr>
      <w:tr w:rsidR="00B85B5A" w:rsidRPr="00A862ED" w14:paraId="09489FCF" w14:textId="77777777" w:rsidTr="00952E69">
        <w:trPr>
          <w:trHeight w:val="300"/>
        </w:trPr>
        <w:tc>
          <w:tcPr>
            <w:tcW w:w="3880" w:type="dxa"/>
            <w:tcBorders>
              <w:top w:val="nil"/>
              <w:left w:val="nil"/>
              <w:bottom w:val="nil"/>
              <w:right w:val="nil"/>
            </w:tcBorders>
            <w:noWrap/>
            <w:vAlign w:val="bottom"/>
            <w:hideMark/>
          </w:tcPr>
          <w:p w14:paraId="06F2BDAA"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HP</w:t>
            </w:r>
          </w:p>
        </w:tc>
        <w:tc>
          <w:tcPr>
            <w:tcW w:w="976" w:type="dxa"/>
            <w:tcBorders>
              <w:top w:val="nil"/>
              <w:left w:val="nil"/>
              <w:bottom w:val="nil"/>
              <w:right w:val="nil"/>
            </w:tcBorders>
            <w:noWrap/>
            <w:vAlign w:val="bottom"/>
            <w:hideMark/>
          </w:tcPr>
          <w:p w14:paraId="2962CC45" w14:textId="77777777" w:rsidR="00B85B5A" w:rsidRPr="00A862ED" w:rsidRDefault="00B85B5A" w:rsidP="00952E69">
            <w:pPr>
              <w:bidi w:val="0"/>
              <w:rPr>
                <w:rFonts w:ascii="Calibri" w:eastAsia="Times New Roman" w:hAnsi="Calibri" w:cs="Calibri"/>
                <w:color w:val="000000"/>
              </w:rPr>
            </w:pPr>
          </w:p>
        </w:tc>
        <w:tc>
          <w:tcPr>
            <w:tcW w:w="917" w:type="dxa"/>
            <w:tcBorders>
              <w:top w:val="nil"/>
              <w:left w:val="nil"/>
              <w:bottom w:val="nil"/>
              <w:right w:val="nil"/>
            </w:tcBorders>
            <w:noWrap/>
            <w:vAlign w:val="bottom"/>
            <w:hideMark/>
          </w:tcPr>
          <w:p w14:paraId="4E433EAB" w14:textId="77777777" w:rsidR="00B85B5A" w:rsidRPr="00A862ED" w:rsidRDefault="00B85B5A" w:rsidP="00952E69">
            <w:pPr>
              <w:bidi w:val="0"/>
              <w:rPr>
                <w:rFonts w:ascii="Times New Roman" w:eastAsia="Times New Roman" w:hAnsi="Times New Roman" w:cs="Times New Roman"/>
                <w:sz w:val="20"/>
                <w:szCs w:val="20"/>
              </w:rPr>
            </w:pPr>
          </w:p>
        </w:tc>
        <w:tc>
          <w:tcPr>
            <w:tcW w:w="1019" w:type="dxa"/>
            <w:tcBorders>
              <w:top w:val="nil"/>
              <w:left w:val="nil"/>
              <w:bottom w:val="nil"/>
              <w:right w:val="nil"/>
            </w:tcBorders>
            <w:noWrap/>
            <w:vAlign w:val="bottom"/>
            <w:hideMark/>
          </w:tcPr>
          <w:p w14:paraId="04C80A87" w14:textId="77777777" w:rsidR="00B85B5A" w:rsidRPr="00A862ED" w:rsidRDefault="00B85B5A" w:rsidP="00952E69">
            <w:pPr>
              <w:bidi w:val="0"/>
              <w:rPr>
                <w:rFonts w:ascii="Times New Roman" w:eastAsia="Times New Roman" w:hAnsi="Times New Roman" w:cs="Times New Roman"/>
                <w:sz w:val="20"/>
                <w:szCs w:val="20"/>
              </w:rPr>
            </w:pPr>
          </w:p>
        </w:tc>
      </w:tr>
      <w:tr w:rsidR="00B85B5A" w:rsidRPr="00A862ED" w14:paraId="708EBD0B" w14:textId="77777777" w:rsidTr="00952E69">
        <w:trPr>
          <w:trHeight w:val="300"/>
        </w:trPr>
        <w:tc>
          <w:tcPr>
            <w:tcW w:w="3880" w:type="dxa"/>
            <w:tcBorders>
              <w:top w:val="nil"/>
              <w:left w:val="nil"/>
              <w:bottom w:val="nil"/>
              <w:right w:val="nil"/>
            </w:tcBorders>
            <w:noWrap/>
            <w:vAlign w:val="bottom"/>
            <w:hideMark/>
          </w:tcPr>
          <w:p w14:paraId="4227759B"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Macabi (vs. Clalit)</w:t>
            </w:r>
          </w:p>
        </w:tc>
        <w:tc>
          <w:tcPr>
            <w:tcW w:w="976" w:type="dxa"/>
            <w:tcBorders>
              <w:top w:val="nil"/>
              <w:left w:val="nil"/>
              <w:bottom w:val="nil"/>
              <w:right w:val="nil"/>
            </w:tcBorders>
            <w:noWrap/>
            <w:vAlign w:val="bottom"/>
            <w:hideMark/>
          </w:tcPr>
          <w:p w14:paraId="7ED797FE"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0.678</w:t>
            </w:r>
          </w:p>
        </w:tc>
        <w:tc>
          <w:tcPr>
            <w:tcW w:w="917" w:type="dxa"/>
            <w:tcBorders>
              <w:top w:val="nil"/>
              <w:left w:val="nil"/>
              <w:bottom w:val="nil"/>
              <w:right w:val="nil"/>
            </w:tcBorders>
            <w:noWrap/>
            <w:vAlign w:val="bottom"/>
            <w:hideMark/>
          </w:tcPr>
          <w:p w14:paraId="2FEEDF90"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0.48</w:t>
            </w:r>
          </w:p>
        </w:tc>
        <w:tc>
          <w:tcPr>
            <w:tcW w:w="1019" w:type="dxa"/>
            <w:tcBorders>
              <w:top w:val="nil"/>
              <w:left w:val="nil"/>
              <w:bottom w:val="nil"/>
              <w:right w:val="nil"/>
            </w:tcBorders>
            <w:noWrap/>
            <w:vAlign w:val="bottom"/>
            <w:hideMark/>
          </w:tcPr>
          <w:p w14:paraId="7A036D8D"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0.958</w:t>
            </w:r>
          </w:p>
        </w:tc>
      </w:tr>
      <w:tr w:rsidR="00B85B5A" w:rsidRPr="00A862ED" w14:paraId="3C05BC95" w14:textId="77777777" w:rsidTr="00952E69">
        <w:trPr>
          <w:trHeight w:val="300"/>
        </w:trPr>
        <w:tc>
          <w:tcPr>
            <w:tcW w:w="3880" w:type="dxa"/>
            <w:tcBorders>
              <w:top w:val="nil"/>
              <w:left w:val="nil"/>
              <w:bottom w:val="nil"/>
              <w:right w:val="nil"/>
            </w:tcBorders>
            <w:noWrap/>
            <w:vAlign w:val="bottom"/>
            <w:hideMark/>
          </w:tcPr>
          <w:p w14:paraId="2EF754E5" w14:textId="77777777" w:rsidR="00B85B5A" w:rsidRPr="00A862ED" w:rsidRDefault="00B85B5A" w:rsidP="00952E69">
            <w:pPr>
              <w:bidi w:val="0"/>
              <w:rPr>
                <w:rFonts w:ascii="Calibri" w:eastAsia="Times New Roman" w:hAnsi="Calibri" w:cs="Calibri"/>
                <w:color w:val="000000"/>
              </w:rPr>
            </w:pPr>
            <w:proofErr w:type="spellStart"/>
            <w:r w:rsidRPr="00A862ED">
              <w:rPr>
                <w:rFonts w:ascii="Calibri" w:eastAsia="Times New Roman" w:hAnsi="Calibri" w:cs="Calibri"/>
                <w:color w:val="000000"/>
              </w:rPr>
              <w:t>Meuhedet</w:t>
            </w:r>
            <w:proofErr w:type="spellEnd"/>
            <w:r w:rsidRPr="00A862ED">
              <w:rPr>
                <w:rFonts w:ascii="Calibri" w:eastAsia="Times New Roman" w:hAnsi="Calibri" w:cs="Calibri"/>
                <w:color w:val="000000"/>
              </w:rPr>
              <w:t xml:space="preserve"> (vs. </w:t>
            </w:r>
            <w:proofErr w:type="gramStart"/>
            <w:r w:rsidRPr="00A862ED">
              <w:rPr>
                <w:rFonts w:ascii="Calibri" w:eastAsia="Times New Roman" w:hAnsi="Calibri" w:cs="Calibri"/>
                <w:color w:val="000000"/>
              </w:rPr>
              <w:t>Clalit)*</w:t>
            </w:r>
            <w:proofErr w:type="gramEnd"/>
            <w:r w:rsidRPr="00A862ED">
              <w:rPr>
                <w:rFonts w:ascii="Calibri" w:eastAsia="Times New Roman" w:hAnsi="Calibri" w:cs="Calibri"/>
                <w:color w:val="000000"/>
              </w:rPr>
              <w:t>**</w:t>
            </w:r>
          </w:p>
        </w:tc>
        <w:tc>
          <w:tcPr>
            <w:tcW w:w="976" w:type="dxa"/>
            <w:tcBorders>
              <w:top w:val="nil"/>
              <w:left w:val="nil"/>
              <w:bottom w:val="nil"/>
              <w:right w:val="nil"/>
            </w:tcBorders>
            <w:noWrap/>
            <w:vAlign w:val="bottom"/>
            <w:hideMark/>
          </w:tcPr>
          <w:p w14:paraId="61809F72"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0.461</w:t>
            </w:r>
          </w:p>
        </w:tc>
        <w:tc>
          <w:tcPr>
            <w:tcW w:w="917" w:type="dxa"/>
            <w:tcBorders>
              <w:top w:val="nil"/>
              <w:left w:val="nil"/>
              <w:bottom w:val="nil"/>
              <w:right w:val="nil"/>
            </w:tcBorders>
            <w:noWrap/>
            <w:vAlign w:val="bottom"/>
            <w:hideMark/>
          </w:tcPr>
          <w:p w14:paraId="1E71B27B"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0.311</w:t>
            </w:r>
          </w:p>
        </w:tc>
        <w:tc>
          <w:tcPr>
            <w:tcW w:w="1019" w:type="dxa"/>
            <w:tcBorders>
              <w:top w:val="nil"/>
              <w:left w:val="nil"/>
              <w:bottom w:val="nil"/>
              <w:right w:val="nil"/>
            </w:tcBorders>
            <w:noWrap/>
            <w:vAlign w:val="bottom"/>
            <w:hideMark/>
          </w:tcPr>
          <w:p w14:paraId="0AD8D8E7"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0.683</w:t>
            </w:r>
          </w:p>
        </w:tc>
      </w:tr>
      <w:tr w:rsidR="00B85B5A" w:rsidRPr="00A862ED" w14:paraId="59F4E282" w14:textId="77777777" w:rsidTr="00952E69">
        <w:trPr>
          <w:trHeight w:val="300"/>
        </w:trPr>
        <w:tc>
          <w:tcPr>
            <w:tcW w:w="3880" w:type="dxa"/>
            <w:tcBorders>
              <w:top w:val="nil"/>
              <w:left w:val="nil"/>
              <w:bottom w:val="nil"/>
              <w:right w:val="nil"/>
            </w:tcBorders>
            <w:noWrap/>
            <w:vAlign w:val="bottom"/>
            <w:hideMark/>
          </w:tcPr>
          <w:p w14:paraId="43206F7A" w14:textId="77777777" w:rsidR="00B85B5A" w:rsidRPr="00A862ED" w:rsidRDefault="00B85B5A" w:rsidP="00952E69">
            <w:pPr>
              <w:bidi w:val="0"/>
              <w:rPr>
                <w:rFonts w:ascii="Calibri" w:eastAsia="Times New Roman" w:hAnsi="Calibri" w:cs="Calibri"/>
                <w:color w:val="000000"/>
              </w:rPr>
            </w:pPr>
            <w:proofErr w:type="spellStart"/>
            <w:r w:rsidRPr="00A862ED">
              <w:rPr>
                <w:rFonts w:ascii="Calibri" w:eastAsia="Times New Roman" w:hAnsi="Calibri" w:cs="Calibri"/>
                <w:color w:val="000000"/>
              </w:rPr>
              <w:t>Leumit</w:t>
            </w:r>
            <w:proofErr w:type="spellEnd"/>
            <w:r w:rsidRPr="00A862ED">
              <w:rPr>
                <w:rFonts w:ascii="Calibri" w:eastAsia="Times New Roman" w:hAnsi="Calibri" w:cs="Calibri"/>
                <w:color w:val="000000"/>
              </w:rPr>
              <w:t xml:space="preserve"> (vs. </w:t>
            </w:r>
            <w:proofErr w:type="gramStart"/>
            <w:r w:rsidRPr="00A862ED">
              <w:rPr>
                <w:rFonts w:ascii="Calibri" w:eastAsia="Times New Roman" w:hAnsi="Calibri" w:cs="Calibri"/>
                <w:color w:val="000000"/>
              </w:rPr>
              <w:t>Clalit)*</w:t>
            </w:r>
            <w:proofErr w:type="gramEnd"/>
            <w:r w:rsidRPr="00A862ED">
              <w:rPr>
                <w:rFonts w:ascii="Calibri" w:eastAsia="Times New Roman" w:hAnsi="Calibri" w:cs="Calibri"/>
                <w:color w:val="000000"/>
              </w:rPr>
              <w:t>**</w:t>
            </w:r>
          </w:p>
        </w:tc>
        <w:tc>
          <w:tcPr>
            <w:tcW w:w="976" w:type="dxa"/>
            <w:tcBorders>
              <w:top w:val="nil"/>
              <w:left w:val="nil"/>
              <w:bottom w:val="nil"/>
              <w:right w:val="nil"/>
            </w:tcBorders>
            <w:noWrap/>
            <w:vAlign w:val="bottom"/>
            <w:hideMark/>
          </w:tcPr>
          <w:p w14:paraId="4E6182DF"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0.455</w:t>
            </w:r>
          </w:p>
        </w:tc>
        <w:tc>
          <w:tcPr>
            <w:tcW w:w="917" w:type="dxa"/>
            <w:tcBorders>
              <w:top w:val="nil"/>
              <w:left w:val="nil"/>
              <w:bottom w:val="nil"/>
              <w:right w:val="nil"/>
            </w:tcBorders>
            <w:noWrap/>
            <w:vAlign w:val="bottom"/>
            <w:hideMark/>
          </w:tcPr>
          <w:p w14:paraId="0DE67FE7"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0.28</w:t>
            </w:r>
          </w:p>
        </w:tc>
        <w:tc>
          <w:tcPr>
            <w:tcW w:w="1019" w:type="dxa"/>
            <w:tcBorders>
              <w:top w:val="nil"/>
              <w:left w:val="nil"/>
              <w:bottom w:val="nil"/>
              <w:right w:val="nil"/>
            </w:tcBorders>
            <w:noWrap/>
            <w:vAlign w:val="bottom"/>
            <w:hideMark/>
          </w:tcPr>
          <w:p w14:paraId="5EC5810E"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0.742</w:t>
            </w:r>
          </w:p>
        </w:tc>
      </w:tr>
      <w:tr w:rsidR="00B85B5A" w:rsidRPr="00A862ED" w14:paraId="10D95037" w14:textId="77777777" w:rsidTr="00952E69">
        <w:trPr>
          <w:trHeight w:val="300"/>
        </w:trPr>
        <w:tc>
          <w:tcPr>
            <w:tcW w:w="3880" w:type="dxa"/>
            <w:tcBorders>
              <w:top w:val="nil"/>
              <w:left w:val="nil"/>
              <w:bottom w:val="nil"/>
              <w:right w:val="nil"/>
            </w:tcBorders>
            <w:noWrap/>
            <w:vAlign w:val="bottom"/>
            <w:hideMark/>
          </w:tcPr>
          <w:p w14:paraId="22A268B3"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Nonacademic education</w:t>
            </w:r>
          </w:p>
        </w:tc>
        <w:tc>
          <w:tcPr>
            <w:tcW w:w="976" w:type="dxa"/>
            <w:tcBorders>
              <w:top w:val="nil"/>
              <w:left w:val="nil"/>
              <w:bottom w:val="nil"/>
              <w:right w:val="nil"/>
            </w:tcBorders>
            <w:noWrap/>
            <w:vAlign w:val="bottom"/>
            <w:hideMark/>
          </w:tcPr>
          <w:p w14:paraId="4B975BD7"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0.816</w:t>
            </w:r>
          </w:p>
        </w:tc>
        <w:tc>
          <w:tcPr>
            <w:tcW w:w="917" w:type="dxa"/>
            <w:tcBorders>
              <w:top w:val="nil"/>
              <w:left w:val="nil"/>
              <w:bottom w:val="nil"/>
              <w:right w:val="nil"/>
            </w:tcBorders>
            <w:noWrap/>
            <w:vAlign w:val="bottom"/>
            <w:hideMark/>
          </w:tcPr>
          <w:p w14:paraId="08AB2585"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0.61</w:t>
            </w:r>
          </w:p>
        </w:tc>
        <w:tc>
          <w:tcPr>
            <w:tcW w:w="1019" w:type="dxa"/>
            <w:tcBorders>
              <w:top w:val="nil"/>
              <w:left w:val="nil"/>
              <w:bottom w:val="nil"/>
              <w:right w:val="nil"/>
            </w:tcBorders>
            <w:noWrap/>
            <w:vAlign w:val="bottom"/>
            <w:hideMark/>
          </w:tcPr>
          <w:p w14:paraId="28CB0DB3"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1.092</w:t>
            </w:r>
          </w:p>
        </w:tc>
      </w:tr>
      <w:tr w:rsidR="00B85B5A" w:rsidRPr="00A862ED" w14:paraId="7CE0C390" w14:textId="77777777" w:rsidTr="00952E69">
        <w:trPr>
          <w:trHeight w:val="300"/>
        </w:trPr>
        <w:tc>
          <w:tcPr>
            <w:tcW w:w="3880" w:type="dxa"/>
            <w:tcBorders>
              <w:top w:val="nil"/>
              <w:left w:val="nil"/>
              <w:bottom w:val="nil"/>
              <w:right w:val="nil"/>
            </w:tcBorders>
            <w:noWrap/>
            <w:vAlign w:val="bottom"/>
            <w:hideMark/>
          </w:tcPr>
          <w:p w14:paraId="7BE70CB1"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Income quintile***</w:t>
            </w:r>
          </w:p>
        </w:tc>
        <w:tc>
          <w:tcPr>
            <w:tcW w:w="976" w:type="dxa"/>
            <w:tcBorders>
              <w:top w:val="nil"/>
              <w:left w:val="nil"/>
              <w:bottom w:val="nil"/>
              <w:right w:val="nil"/>
            </w:tcBorders>
            <w:noWrap/>
            <w:vAlign w:val="bottom"/>
            <w:hideMark/>
          </w:tcPr>
          <w:p w14:paraId="69DEE3C6" w14:textId="77777777" w:rsidR="00B85B5A" w:rsidRPr="00A862ED" w:rsidRDefault="00B85B5A" w:rsidP="00952E69">
            <w:pPr>
              <w:bidi w:val="0"/>
              <w:rPr>
                <w:rFonts w:ascii="Calibri" w:eastAsia="Times New Roman" w:hAnsi="Calibri" w:cs="Calibri"/>
                <w:color w:val="000000"/>
              </w:rPr>
            </w:pPr>
          </w:p>
        </w:tc>
        <w:tc>
          <w:tcPr>
            <w:tcW w:w="917" w:type="dxa"/>
            <w:tcBorders>
              <w:top w:val="nil"/>
              <w:left w:val="nil"/>
              <w:bottom w:val="nil"/>
              <w:right w:val="nil"/>
            </w:tcBorders>
            <w:noWrap/>
            <w:vAlign w:val="bottom"/>
            <w:hideMark/>
          </w:tcPr>
          <w:p w14:paraId="26D51E57" w14:textId="77777777" w:rsidR="00B85B5A" w:rsidRPr="00A862ED" w:rsidRDefault="00B85B5A" w:rsidP="00952E69">
            <w:pPr>
              <w:bidi w:val="0"/>
              <w:rPr>
                <w:rFonts w:ascii="Times New Roman" w:eastAsia="Times New Roman" w:hAnsi="Times New Roman" w:cs="Times New Roman"/>
                <w:sz w:val="20"/>
                <w:szCs w:val="20"/>
              </w:rPr>
            </w:pPr>
          </w:p>
        </w:tc>
        <w:tc>
          <w:tcPr>
            <w:tcW w:w="1019" w:type="dxa"/>
            <w:tcBorders>
              <w:top w:val="nil"/>
              <w:left w:val="nil"/>
              <w:bottom w:val="nil"/>
              <w:right w:val="nil"/>
            </w:tcBorders>
            <w:noWrap/>
            <w:vAlign w:val="bottom"/>
            <w:hideMark/>
          </w:tcPr>
          <w:p w14:paraId="58F9A94D" w14:textId="77777777" w:rsidR="00B85B5A" w:rsidRPr="00A862ED" w:rsidRDefault="00B85B5A" w:rsidP="00952E69">
            <w:pPr>
              <w:bidi w:val="0"/>
              <w:rPr>
                <w:rFonts w:ascii="Times New Roman" w:eastAsia="Times New Roman" w:hAnsi="Times New Roman" w:cs="Times New Roman"/>
                <w:sz w:val="20"/>
                <w:szCs w:val="20"/>
              </w:rPr>
            </w:pPr>
          </w:p>
        </w:tc>
      </w:tr>
      <w:tr w:rsidR="00B85B5A" w:rsidRPr="00A862ED" w14:paraId="0E58521F" w14:textId="77777777" w:rsidTr="00952E69">
        <w:trPr>
          <w:trHeight w:val="300"/>
        </w:trPr>
        <w:tc>
          <w:tcPr>
            <w:tcW w:w="3880" w:type="dxa"/>
            <w:tcBorders>
              <w:top w:val="nil"/>
              <w:left w:val="nil"/>
              <w:bottom w:val="nil"/>
              <w:right w:val="nil"/>
            </w:tcBorders>
            <w:noWrap/>
            <w:vAlign w:val="bottom"/>
            <w:hideMark/>
          </w:tcPr>
          <w:p w14:paraId="55BB6E49"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 xml:space="preserve">Higher (vs. </w:t>
            </w:r>
            <w:proofErr w:type="gramStart"/>
            <w:r w:rsidRPr="00A862ED">
              <w:rPr>
                <w:rFonts w:ascii="Calibri" w:eastAsia="Times New Roman" w:hAnsi="Calibri" w:cs="Calibri"/>
                <w:color w:val="000000"/>
              </w:rPr>
              <w:t>lowe</w:t>
            </w:r>
            <w:r>
              <w:rPr>
                <w:rFonts w:ascii="Calibri" w:eastAsia="Times New Roman" w:hAnsi="Calibri" w:cs="Calibri"/>
                <w:color w:val="000000"/>
              </w:rPr>
              <w:t>st</w:t>
            </w:r>
            <w:r w:rsidRPr="00A862ED">
              <w:rPr>
                <w:rFonts w:ascii="Calibri" w:eastAsia="Times New Roman" w:hAnsi="Calibri" w:cs="Calibri"/>
                <w:color w:val="000000"/>
              </w:rPr>
              <w:t>)*</w:t>
            </w:r>
            <w:proofErr w:type="gramEnd"/>
            <w:r w:rsidRPr="00A862ED">
              <w:rPr>
                <w:rFonts w:ascii="Calibri" w:eastAsia="Times New Roman" w:hAnsi="Calibri" w:cs="Calibri"/>
                <w:color w:val="000000"/>
              </w:rPr>
              <w:t>**</w:t>
            </w:r>
          </w:p>
        </w:tc>
        <w:tc>
          <w:tcPr>
            <w:tcW w:w="976" w:type="dxa"/>
            <w:tcBorders>
              <w:top w:val="nil"/>
              <w:left w:val="nil"/>
              <w:bottom w:val="nil"/>
              <w:right w:val="nil"/>
            </w:tcBorders>
            <w:noWrap/>
            <w:vAlign w:val="bottom"/>
            <w:hideMark/>
          </w:tcPr>
          <w:p w14:paraId="1282D3D8"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6.56</w:t>
            </w:r>
          </w:p>
        </w:tc>
        <w:tc>
          <w:tcPr>
            <w:tcW w:w="917" w:type="dxa"/>
            <w:tcBorders>
              <w:top w:val="nil"/>
              <w:left w:val="nil"/>
              <w:bottom w:val="nil"/>
              <w:right w:val="nil"/>
            </w:tcBorders>
            <w:noWrap/>
            <w:vAlign w:val="bottom"/>
            <w:hideMark/>
          </w:tcPr>
          <w:p w14:paraId="4005B978"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3.041</w:t>
            </w:r>
          </w:p>
        </w:tc>
        <w:tc>
          <w:tcPr>
            <w:tcW w:w="1019" w:type="dxa"/>
            <w:tcBorders>
              <w:top w:val="nil"/>
              <w:left w:val="nil"/>
              <w:bottom w:val="nil"/>
              <w:right w:val="nil"/>
            </w:tcBorders>
            <w:noWrap/>
            <w:vAlign w:val="bottom"/>
            <w:hideMark/>
          </w:tcPr>
          <w:p w14:paraId="36A90CAE"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14.147</w:t>
            </w:r>
          </w:p>
        </w:tc>
      </w:tr>
      <w:tr w:rsidR="00B85B5A" w:rsidRPr="00A862ED" w14:paraId="037595A8" w14:textId="77777777" w:rsidTr="00952E69">
        <w:trPr>
          <w:trHeight w:val="300"/>
        </w:trPr>
        <w:tc>
          <w:tcPr>
            <w:tcW w:w="3880" w:type="dxa"/>
            <w:tcBorders>
              <w:top w:val="nil"/>
              <w:left w:val="nil"/>
              <w:bottom w:val="nil"/>
              <w:right w:val="nil"/>
            </w:tcBorders>
            <w:noWrap/>
            <w:vAlign w:val="bottom"/>
            <w:hideMark/>
          </w:tcPr>
          <w:p w14:paraId="6D5319BE"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 xml:space="preserve">2nd (vs. </w:t>
            </w:r>
            <w:proofErr w:type="gramStart"/>
            <w:r w:rsidRPr="00A862ED">
              <w:rPr>
                <w:rFonts w:ascii="Calibri" w:eastAsia="Times New Roman" w:hAnsi="Calibri" w:cs="Calibri"/>
                <w:color w:val="000000"/>
              </w:rPr>
              <w:t>lowe</w:t>
            </w:r>
            <w:r>
              <w:rPr>
                <w:rFonts w:ascii="Calibri" w:eastAsia="Times New Roman" w:hAnsi="Calibri" w:cs="Calibri"/>
                <w:color w:val="000000"/>
              </w:rPr>
              <w:t>st</w:t>
            </w:r>
            <w:r w:rsidRPr="00A862ED">
              <w:rPr>
                <w:rFonts w:ascii="Calibri" w:eastAsia="Times New Roman" w:hAnsi="Calibri" w:cs="Calibri"/>
                <w:color w:val="000000"/>
              </w:rPr>
              <w:t>)*</w:t>
            </w:r>
            <w:proofErr w:type="gramEnd"/>
            <w:r w:rsidRPr="00A862ED">
              <w:rPr>
                <w:rFonts w:ascii="Calibri" w:eastAsia="Times New Roman" w:hAnsi="Calibri" w:cs="Calibri"/>
                <w:color w:val="000000"/>
              </w:rPr>
              <w:t>**</w:t>
            </w:r>
          </w:p>
        </w:tc>
        <w:tc>
          <w:tcPr>
            <w:tcW w:w="976" w:type="dxa"/>
            <w:tcBorders>
              <w:top w:val="nil"/>
              <w:left w:val="nil"/>
              <w:bottom w:val="nil"/>
              <w:right w:val="nil"/>
            </w:tcBorders>
            <w:noWrap/>
            <w:vAlign w:val="bottom"/>
            <w:hideMark/>
          </w:tcPr>
          <w:p w14:paraId="280F8DDA"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6.282</w:t>
            </w:r>
          </w:p>
        </w:tc>
        <w:tc>
          <w:tcPr>
            <w:tcW w:w="917" w:type="dxa"/>
            <w:tcBorders>
              <w:top w:val="nil"/>
              <w:left w:val="nil"/>
              <w:bottom w:val="nil"/>
              <w:right w:val="nil"/>
            </w:tcBorders>
            <w:noWrap/>
            <w:vAlign w:val="bottom"/>
            <w:hideMark/>
          </w:tcPr>
          <w:p w14:paraId="77C1B989"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3.437</w:t>
            </w:r>
          </w:p>
        </w:tc>
        <w:tc>
          <w:tcPr>
            <w:tcW w:w="1019" w:type="dxa"/>
            <w:tcBorders>
              <w:top w:val="nil"/>
              <w:left w:val="nil"/>
              <w:bottom w:val="nil"/>
              <w:right w:val="nil"/>
            </w:tcBorders>
            <w:noWrap/>
            <w:vAlign w:val="bottom"/>
            <w:hideMark/>
          </w:tcPr>
          <w:p w14:paraId="5DF7B8B3"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11.481</w:t>
            </w:r>
          </w:p>
        </w:tc>
      </w:tr>
      <w:tr w:rsidR="00B85B5A" w:rsidRPr="00A862ED" w14:paraId="65198992" w14:textId="77777777" w:rsidTr="00952E69">
        <w:trPr>
          <w:trHeight w:val="300"/>
        </w:trPr>
        <w:tc>
          <w:tcPr>
            <w:tcW w:w="3880" w:type="dxa"/>
            <w:tcBorders>
              <w:top w:val="nil"/>
              <w:left w:val="nil"/>
              <w:bottom w:val="nil"/>
              <w:right w:val="nil"/>
            </w:tcBorders>
            <w:noWrap/>
            <w:vAlign w:val="bottom"/>
            <w:hideMark/>
          </w:tcPr>
          <w:p w14:paraId="50FAED5A"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 xml:space="preserve">3rd (vs. </w:t>
            </w:r>
            <w:proofErr w:type="gramStart"/>
            <w:r w:rsidRPr="00A862ED">
              <w:rPr>
                <w:rFonts w:ascii="Calibri" w:eastAsia="Times New Roman" w:hAnsi="Calibri" w:cs="Calibri"/>
                <w:color w:val="000000"/>
              </w:rPr>
              <w:t>lowe</w:t>
            </w:r>
            <w:r>
              <w:rPr>
                <w:rFonts w:ascii="Calibri" w:eastAsia="Times New Roman" w:hAnsi="Calibri" w:cs="Calibri"/>
                <w:color w:val="000000"/>
              </w:rPr>
              <w:t>st</w:t>
            </w:r>
            <w:r w:rsidRPr="00A862ED">
              <w:rPr>
                <w:rFonts w:ascii="Calibri" w:eastAsia="Times New Roman" w:hAnsi="Calibri" w:cs="Calibri"/>
                <w:color w:val="000000"/>
              </w:rPr>
              <w:t>)*</w:t>
            </w:r>
            <w:proofErr w:type="gramEnd"/>
            <w:r w:rsidRPr="00A862ED">
              <w:rPr>
                <w:rFonts w:ascii="Calibri" w:eastAsia="Times New Roman" w:hAnsi="Calibri" w:cs="Calibri"/>
                <w:color w:val="000000"/>
              </w:rPr>
              <w:t>**</w:t>
            </w:r>
          </w:p>
        </w:tc>
        <w:tc>
          <w:tcPr>
            <w:tcW w:w="976" w:type="dxa"/>
            <w:tcBorders>
              <w:top w:val="nil"/>
              <w:left w:val="nil"/>
              <w:bottom w:val="nil"/>
              <w:right w:val="nil"/>
            </w:tcBorders>
            <w:noWrap/>
            <w:vAlign w:val="bottom"/>
            <w:hideMark/>
          </w:tcPr>
          <w:p w14:paraId="45706CB0"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4.987</w:t>
            </w:r>
          </w:p>
        </w:tc>
        <w:tc>
          <w:tcPr>
            <w:tcW w:w="917" w:type="dxa"/>
            <w:tcBorders>
              <w:top w:val="nil"/>
              <w:left w:val="nil"/>
              <w:bottom w:val="nil"/>
              <w:right w:val="nil"/>
            </w:tcBorders>
            <w:noWrap/>
            <w:vAlign w:val="bottom"/>
            <w:hideMark/>
          </w:tcPr>
          <w:p w14:paraId="0506715C"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2.957</w:t>
            </w:r>
          </w:p>
        </w:tc>
        <w:tc>
          <w:tcPr>
            <w:tcW w:w="1019" w:type="dxa"/>
            <w:tcBorders>
              <w:top w:val="nil"/>
              <w:left w:val="nil"/>
              <w:bottom w:val="nil"/>
              <w:right w:val="nil"/>
            </w:tcBorders>
            <w:noWrap/>
            <w:vAlign w:val="bottom"/>
            <w:hideMark/>
          </w:tcPr>
          <w:p w14:paraId="63378C98"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8.41</w:t>
            </w:r>
          </w:p>
        </w:tc>
      </w:tr>
      <w:tr w:rsidR="00B85B5A" w:rsidRPr="00A862ED" w14:paraId="37B36545" w14:textId="77777777" w:rsidTr="00952E69">
        <w:trPr>
          <w:trHeight w:val="300"/>
        </w:trPr>
        <w:tc>
          <w:tcPr>
            <w:tcW w:w="3880" w:type="dxa"/>
            <w:tcBorders>
              <w:top w:val="nil"/>
              <w:left w:val="nil"/>
              <w:bottom w:val="nil"/>
              <w:right w:val="nil"/>
            </w:tcBorders>
            <w:noWrap/>
            <w:vAlign w:val="bottom"/>
            <w:hideMark/>
          </w:tcPr>
          <w:p w14:paraId="1FBF8487"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 xml:space="preserve">4th (vs. </w:t>
            </w:r>
            <w:proofErr w:type="gramStart"/>
            <w:r w:rsidRPr="00A862ED">
              <w:rPr>
                <w:rFonts w:ascii="Calibri" w:eastAsia="Times New Roman" w:hAnsi="Calibri" w:cs="Calibri"/>
                <w:color w:val="000000"/>
              </w:rPr>
              <w:t>lowe</w:t>
            </w:r>
            <w:r>
              <w:rPr>
                <w:rFonts w:ascii="Calibri" w:eastAsia="Times New Roman" w:hAnsi="Calibri" w:cs="Calibri"/>
                <w:color w:val="000000"/>
              </w:rPr>
              <w:t>st</w:t>
            </w:r>
            <w:r w:rsidRPr="00A862ED">
              <w:rPr>
                <w:rFonts w:ascii="Calibri" w:eastAsia="Times New Roman" w:hAnsi="Calibri" w:cs="Calibri"/>
                <w:color w:val="000000"/>
              </w:rPr>
              <w:t>)*</w:t>
            </w:r>
            <w:proofErr w:type="gramEnd"/>
            <w:r w:rsidRPr="00A862ED">
              <w:rPr>
                <w:rFonts w:ascii="Calibri" w:eastAsia="Times New Roman" w:hAnsi="Calibri" w:cs="Calibri"/>
                <w:color w:val="000000"/>
              </w:rPr>
              <w:t>**</w:t>
            </w:r>
          </w:p>
        </w:tc>
        <w:tc>
          <w:tcPr>
            <w:tcW w:w="976" w:type="dxa"/>
            <w:tcBorders>
              <w:top w:val="nil"/>
              <w:left w:val="nil"/>
              <w:bottom w:val="nil"/>
              <w:right w:val="nil"/>
            </w:tcBorders>
            <w:noWrap/>
            <w:vAlign w:val="bottom"/>
            <w:hideMark/>
          </w:tcPr>
          <w:p w14:paraId="114BE465"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2.307</w:t>
            </w:r>
          </w:p>
        </w:tc>
        <w:tc>
          <w:tcPr>
            <w:tcW w:w="917" w:type="dxa"/>
            <w:tcBorders>
              <w:top w:val="nil"/>
              <w:left w:val="nil"/>
              <w:bottom w:val="nil"/>
              <w:right w:val="nil"/>
            </w:tcBorders>
            <w:noWrap/>
            <w:vAlign w:val="bottom"/>
            <w:hideMark/>
          </w:tcPr>
          <w:p w14:paraId="2785B6C2"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1.701</w:t>
            </w:r>
          </w:p>
        </w:tc>
        <w:tc>
          <w:tcPr>
            <w:tcW w:w="1019" w:type="dxa"/>
            <w:tcBorders>
              <w:top w:val="nil"/>
              <w:left w:val="nil"/>
              <w:bottom w:val="nil"/>
              <w:right w:val="nil"/>
            </w:tcBorders>
            <w:noWrap/>
            <w:vAlign w:val="bottom"/>
            <w:hideMark/>
          </w:tcPr>
          <w:p w14:paraId="4FC0EF91"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3.129</w:t>
            </w:r>
          </w:p>
        </w:tc>
      </w:tr>
      <w:tr w:rsidR="00B85B5A" w:rsidRPr="00A862ED" w14:paraId="007A4CE9" w14:textId="77777777" w:rsidTr="00952E69">
        <w:trPr>
          <w:trHeight w:val="300"/>
        </w:trPr>
        <w:tc>
          <w:tcPr>
            <w:tcW w:w="3880" w:type="dxa"/>
            <w:tcBorders>
              <w:top w:val="nil"/>
              <w:left w:val="nil"/>
              <w:bottom w:val="nil"/>
              <w:right w:val="nil"/>
            </w:tcBorders>
            <w:noWrap/>
            <w:vAlign w:val="bottom"/>
            <w:hideMark/>
          </w:tcPr>
          <w:p w14:paraId="7840C880"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Constant</w:t>
            </w:r>
          </w:p>
        </w:tc>
        <w:tc>
          <w:tcPr>
            <w:tcW w:w="976" w:type="dxa"/>
            <w:tcBorders>
              <w:top w:val="nil"/>
              <w:left w:val="nil"/>
              <w:bottom w:val="nil"/>
              <w:right w:val="nil"/>
            </w:tcBorders>
            <w:noWrap/>
            <w:vAlign w:val="bottom"/>
            <w:hideMark/>
          </w:tcPr>
          <w:p w14:paraId="6858DECB" w14:textId="77777777" w:rsidR="00B85B5A" w:rsidRPr="00A862ED" w:rsidRDefault="00B85B5A" w:rsidP="00952E69">
            <w:pPr>
              <w:bidi w:val="0"/>
              <w:rPr>
                <w:rFonts w:ascii="Calibri" w:eastAsia="Times New Roman" w:hAnsi="Calibri" w:cs="Calibri"/>
                <w:color w:val="000000"/>
              </w:rPr>
            </w:pPr>
            <w:r w:rsidRPr="00A862ED">
              <w:rPr>
                <w:rFonts w:ascii="Calibri" w:eastAsia="Times New Roman" w:hAnsi="Calibri" w:cs="Calibri"/>
                <w:color w:val="000000"/>
              </w:rPr>
              <w:t>2.64</w:t>
            </w:r>
          </w:p>
        </w:tc>
        <w:tc>
          <w:tcPr>
            <w:tcW w:w="917" w:type="dxa"/>
            <w:tcBorders>
              <w:top w:val="nil"/>
              <w:left w:val="nil"/>
              <w:bottom w:val="nil"/>
              <w:right w:val="nil"/>
            </w:tcBorders>
            <w:noWrap/>
            <w:vAlign w:val="bottom"/>
            <w:hideMark/>
          </w:tcPr>
          <w:p w14:paraId="3467FB2C" w14:textId="77777777" w:rsidR="00B85B5A" w:rsidRPr="00A862ED" w:rsidRDefault="00B85B5A" w:rsidP="00952E69">
            <w:pPr>
              <w:bidi w:val="0"/>
              <w:rPr>
                <w:rFonts w:ascii="Calibri" w:eastAsia="Times New Roman" w:hAnsi="Calibri" w:cs="Calibri"/>
                <w:color w:val="000000"/>
              </w:rPr>
            </w:pPr>
          </w:p>
        </w:tc>
        <w:tc>
          <w:tcPr>
            <w:tcW w:w="1019" w:type="dxa"/>
            <w:tcBorders>
              <w:top w:val="nil"/>
              <w:left w:val="nil"/>
              <w:bottom w:val="nil"/>
              <w:right w:val="nil"/>
            </w:tcBorders>
            <w:noWrap/>
            <w:vAlign w:val="bottom"/>
            <w:hideMark/>
          </w:tcPr>
          <w:p w14:paraId="141B9044" w14:textId="77777777" w:rsidR="00B85B5A" w:rsidRPr="00A862ED" w:rsidRDefault="00B85B5A" w:rsidP="00952E69">
            <w:pPr>
              <w:bidi w:val="0"/>
              <w:rPr>
                <w:rFonts w:ascii="Times New Roman" w:eastAsia="Times New Roman" w:hAnsi="Times New Roman" w:cs="Times New Roman"/>
                <w:sz w:val="20"/>
                <w:szCs w:val="20"/>
              </w:rPr>
            </w:pPr>
          </w:p>
        </w:tc>
      </w:tr>
      <w:tr w:rsidR="00B85B5A" w:rsidRPr="00A862ED" w14:paraId="4A8867C5" w14:textId="77777777" w:rsidTr="00952E69">
        <w:trPr>
          <w:trHeight w:val="300"/>
        </w:trPr>
        <w:tc>
          <w:tcPr>
            <w:tcW w:w="3880" w:type="dxa"/>
            <w:tcBorders>
              <w:top w:val="nil"/>
              <w:left w:val="nil"/>
              <w:bottom w:val="nil"/>
              <w:right w:val="nil"/>
            </w:tcBorders>
            <w:noWrap/>
            <w:vAlign w:val="bottom"/>
          </w:tcPr>
          <w:p w14:paraId="6EE52FB4" w14:textId="77777777" w:rsidR="00B85B5A" w:rsidRPr="00A862ED" w:rsidRDefault="00B85B5A" w:rsidP="00952E69">
            <w:pPr>
              <w:bidi w:val="0"/>
              <w:rPr>
                <w:rFonts w:ascii="Calibri" w:eastAsia="Times New Roman" w:hAnsi="Calibri" w:cs="Calibri"/>
                <w:color w:val="000000"/>
              </w:rPr>
            </w:pPr>
            <w:r w:rsidRPr="00FF4AA6">
              <w:rPr>
                <w:rFonts w:ascii="Calibri" w:hAnsi="Calibri" w:cs="Calibri"/>
                <w:color w:val="000000"/>
              </w:rPr>
              <w:t xml:space="preserve">Hosmer and </w:t>
            </w:r>
            <w:proofErr w:type="spellStart"/>
            <w:r w:rsidRPr="00FF4AA6">
              <w:rPr>
                <w:rFonts w:ascii="Calibri" w:hAnsi="Calibri" w:cs="Calibri"/>
                <w:color w:val="000000"/>
              </w:rPr>
              <w:t>Lemeshow</w:t>
            </w:r>
            <w:proofErr w:type="spellEnd"/>
            <w:r w:rsidRPr="00FF4AA6">
              <w:rPr>
                <w:rFonts w:ascii="Calibri" w:hAnsi="Calibri" w:cs="Calibri"/>
                <w:color w:val="000000"/>
              </w:rPr>
              <w:t xml:space="preserve"> Test</w:t>
            </w:r>
          </w:p>
        </w:tc>
        <w:tc>
          <w:tcPr>
            <w:tcW w:w="976" w:type="dxa"/>
            <w:tcBorders>
              <w:top w:val="nil"/>
              <w:left w:val="nil"/>
              <w:bottom w:val="nil"/>
              <w:right w:val="nil"/>
            </w:tcBorders>
            <w:noWrap/>
            <w:vAlign w:val="bottom"/>
          </w:tcPr>
          <w:p w14:paraId="6963FAE9" w14:textId="77777777" w:rsidR="00B85B5A" w:rsidRPr="00A862ED" w:rsidRDefault="00B85B5A" w:rsidP="00952E69">
            <w:pPr>
              <w:bidi w:val="0"/>
              <w:rPr>
                <w:rFonts w:ascii="Calibri" w:eastAsia="Times New Roman" w:hAnsi="Calibri" w:cs="Calibri"/>
                <w:color w:val="000000"/>
              </w:rPr>
            </w:pPr>
            <w:r>
              <w:rPr>
                <w:rFonts w:ascii="Calibri" w:hAnsi="Calibri" w:cs="Calibri"/>
                <w:color w:val="000000"/>
              </w:rPr>
              <w:t>Chi-square</w:t>
            </w:r>
          </w:p>
        </w:tc>
        <w:tc>
          <w:tcPr>
            <w:tcW w:w="917" w:type="dxa"/>
            <w:tcBorders>
              <w:top w:val="nil"/>
              <w:left w:val="nil"/>
              <w:bottom w:val="nil"/>
              <w:right w:val="nil"/>
            </w:tcBorders>
            <w:noWrap/>
            <w:vAlign w:val="bottom"/>
          </w:tcPr>
          <w:p w14:paraId="3B9D9F07" w14:textId="77777777" w:rsidR="00B85B5A" w:rsidRPr="00A862ED" w:rsidRDefault="00B85B5A" w:rsidP="00952E69">
            <w:pPr>
              <w:bidi w:val="0"/>
              <w:rPr>
                <w:rFonts w:ascii="Calibri" w:eastAsia="Times New Roman" w:hAnsi="Calibri" w:cs="Calibri"/>
                <w:color w:val="000000"/>
              </w:rPr>
            </w:pPr>
            <w:proofErr w:type="spellStart"/>
            <w:r>
              <w:rPr>
                <w:rFonts w:ascii="Calibri" w:hAnsi="Calibri" w:cs="Calibri"/>
                <w:color w:val="000000"/>
              </w:rPr>
              <w:t>df</w:t>
            </w:r>
            <w:proofErr w:type="spellEnd"/>
          </w:p>
        </w:tc>
        <w:tc>
          <w:tcPr>
            <w:tcW w:w="1019" w:type="dxa"/>
            <w:tcBorders>
              <w:top w:val="nil"/>
              <w:left w:val="nil"/>
              <w:bottom w:val="nil"/>
              <w:right w:val="nil"/>
            </w:tcBorders>
            <w:noWrap/>
            <w:vAlign w:val="bottom"/>
          </w:tcPr>
          <w:p w14:paraId="28EA95FA" w14:textId="77777777" w:rsidR="00B85B5A" w:rsidRPr="00A862ED" w:rsidRDefault="00B85B5A" w:rsidP="00952E69">
            <w:pPr>
              <w:bidi w:val="0"/>
              <w:rPr>
                <w:rFonts w:ascii="Times New Roman" w:eastAsia="Times New Roman" w:hAnsi="Times New Roman" w:cs="Times New Roman"/>
                <w:sz w:val="20"/>
                <w:szCs w:val="20"/>
              </w:rPr>
            </w:pPr>
            <w:r>
              <w:rPr>
                <w:rFonts w:ascii="Calibri" w:hAnsi="Calibri" w:cs="Calibri"/>
                <w:color w:val="000000"/>
              </w:rPr>
              <w:t>Sig.</w:t>
            </w:r>
          </w:p>
        </w:tc>
      </w:tr>
      <w:tr w:rsidR="00B85B5A" w:rsidRPr="00A862ED" w14:paraId="548F34B4" w14:textId="77777777" w:rsidTr="00952E69">
        <w:trPr>
          <w:trHeight w:val="300"/>
        </w:trPr>
        <w:tc>
          <w:tcPr>
            <w:tcW w:w="3880" w:type="dxa"/>
            <w:tcBorders>
              <w:top w:val="nil"/>
              <w:left w:val="nil"/>
              <w:bottom w:val="nil"/>
              <w:right w:val="nil"/>
            </w:tcBorders>
            <w:noWrap/>
            <w:vAlign w:val="bottom"/>
          </w:tcPr>
          <w:p w14:paraId="6E01C323" w14:textId="77777777" w:rsidR="00B85B5A" w:rsidRPr="00A862ED" w:rsidRDefault="00B85B5A" w:rsidP="00952E69">
            <w:pPr>
              <w:bidi w:val="0"/>
              <w:rPr>
                <w:rFonts w:ascii="Calibri" w:eastAsia="Times New Roman" w:hAnsi="Calibri" w:cs="Calibri"/>
                <w:color w:val="000000"/>
              </w:rPr>
            </w:pPr>
          </w:p>
        </w:tc>
        <w:tc>
          <w:tcPr>
            <w:tcW w:w="976" w:type="dxa"/>
            <w:tcBorders>
              <w:top w:val="nil"/>
              <w:left w:val="nil"/>
              <w:bottom w:val="nil"/>
              <w:right w:val="nil"/>
            </w:tcBorders>
            <w:noWrap/>
            <w:vAlign w:val="bottom"/>
          </w:tcPr>
          <w:p w14:paraId="54A7F5FF" w14:textId="77777777" w:rsidR="00B85B5A" w:rsidRPr="00A862ED" w:rsidRDefault="00B85B5A" w:rsidP="00952E69">
            <w:pPr>
              <w:bidi w:val="0"/>
              <w:rPr>
                <w:rFonts w:ascii="Calibri" w:eastAsia="Times New Roman" w:hAnsi="Calibri" w:cs="Calibri"/>
                <w:color w:val="000000"/>
              </w:rPr>
            </w:pPr>
            <w:r>
              <w:rPr>
                <w:rFonts w:ascii="Calibri" w:hAnsi="Calibri" w:cs="Calibri"/>
                <w:color w:val="000000"/>
              </w:rPr>
              <w:t>15.597</w:t>
            </w:r>
          </w:p>
        </w:tc>
        <w:tc>
          <w:tcPr>
            <w:tcW w:w="917" w:type="dxa"/>
            <w:tcBorders>
              <w:top w:val="nil"/>
              <w:left w:val="nil"/>
              <w:bottom w:val="nil"/>
              <w:right w:val="nil"/>
            </w:tcBorders>
            <w:noWrap/>
            <w:vAlign w:val="bottom"/>
          </w:tcPr>
          <w:p w14:paraId="4A952136" w14:textId="77777777" w:rsidR="00B85B5A" w:rsidRPr="00A862ED" w:rsidRDefault="00B85B5A" w:rsidP="00952E69">
            <w:pPr>
              <w:bidi w:val="0"/>
              <w:rPr>
                <w:rFonts w:ascii="Calibri" w:eastAsia="Times New Roman" w:hAnsi="Calibri" w:cs="Calibri"/>
                <w:color w:val="000000"/>
              </w:rPr>
            </w:pPr>
            <w:r>
              <w:rPr>
                <w:rFonts w:ascii="Calibri" w:hAnsi="Calibri" w:cs="Calibri"/>
                <w:color w:val="000000"/>
              </w:rPr>
              <w:t>8</w:t>
            </w:r>
          </w:p>
        </w:tc>
        <w:tc>
          <w:tcPr>
            <w:tcW w:w="1019" w:type="dxa"/>
            <w:tcBorders>
              <w:top w:val="nil"/>
              <w:left w:val="nil"/>
              <w:bottom w:val="nil"/>
              <w:right w:val="nil"/>
            </w:tcBorders>
            <w:noWrap/>
            <w:vAlign w:val="bottom"/>
          </w:tcPr>
          <w:p w14:paraId="5627EBD5" w14:textId="77777777" w:rsidR="00B85B5A" w:rsidRPr="00A862ED" w:rsidRDefault="00B85B5A" w:rsidP="00952E69">
            <w:pPr>
              <w:bidi w:val="0"/>
              <w:rPr>
                <w:rFonts w:ascii="Times New Roman" w:eastAsia="Times New Roman" w:hAnsi="Times New Roman" w:cs="Times New Roman"/>
                <w:sz w:val="20"/>
                <w:szCs w:val="20"/>
              </w:rPr>
            </w:pPr>
            <w:r>
              <w:rPr>
                <w:rFonts w:ascii="Calibri" w:hAnsi="Calibri" w:cs="Calibri"/>
                <w:color w:val="000000"/>
              </w:rPr>
              <w:t>0.049</w:t>
            </w:r>
          </w:p>
        </w:tc>
      </w:tr>
    </w:tbl>
    <w:p w14:paraId="14E5AD91" w14:textId="77777777" w:rsidR="00B85B5A" w:rsidRDefault="00B85B5A" w:rsidP="00B85B5A">
      <w:pPr>
        <w:bidi w:val="0"/>
      </w:pPr>
      <w:r>
        <w:rPr>
          <w:rFonts w:eastAsia="Times New Roman" w:cs="David"/>
          <w:color w:val="000000" w:themeColor="dark1"/>
          <w:kern w:val="24"/>
        </w:rPr>
        <w:lastRenderedPageBreak/>
        <w:t>*p &lt; 0.05; **p &lt; 0.01; ***p &lt; 0.001</w:t>
      </w:r>
    </w:p>
    <w:p w14:paraId="4A4054CA" w14:textId="77777777" w:rsidR="00D47653" w:rsidRDefault="00D47653"/>
    <w:sectPr w:rsidR="00D47653" w:rsidSect="00155B2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DEE22" w14:textId="77777777" w:rsidR="00B85B5A" w:rsidRDefault="00B85B5A" w:rsidP="00B85B5A">
      <w:pPr>
        <w:spacing w:after="0" w:line="240" w:lineRule="auto"/>
      </w:pPr>
      <w:r>
        <w:separator/>
      </w:r>
    </w:p>
  </w:endnote>
  <w:endnote w:type="continuationSeparator" w:id="0">
    <w:p w14:paraId="2334943F" w14:textId="77777777" w:rsidR="00B85B5A" w:rsidRDefault="00B85B5A" w:rsidP="00B85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42822" w14:textId="77777777" w:rsidR="00B85B5A" w:rsidRDefault="00B85B5A" w:rsidP="00B85B5A">
      <w:pPr>
        <w:spacing w:after="0" w:line="240" w:lineRule="auto"/>
      </w:pPr>
      <w:r>
        <w:separator/>
      </w:r>
    </w:p>
  </w:footnote>
  <w:footnote w:type="continuationSeparator" w:id="0">
    <w:p w14:paraId="0E25592B" w14:textId="77777777" w:rsidR="00B85B5A" w:rsidRDefault="00B85B5A" w:rsidP="00B85B5A">
      <w:pPr>
        <w:spacing w:after="0" w:line="240" w:lineRule="auto"/>
      </w:pPr>
      <w:r>
        <w:continuationSeparator/>
      </w:r>
    </w:p>
  </w:footnote>
  <w:footnote w:id="1">
    <w:p w14:paraId="71383718" w14:textId="77777777" w:rsidR="00B85B5A" w:rsidRDefault="00B85B5A" w:rsidP="00B85B5A">
      <w:pPr>
        <w:pStyle w:val="FootnoteText"/>
        <w:bidi w:val="0"/>
        <w:rPr>
          <w:rtl/>
        </w:rPr>
      </w:pPr>
      <w:r w:rsidRPr="00CB061B">
        <w:rPr>
          <w:rStyle w:val="FootnoteReference"/>
        </w:rPr>
        <w:footnoteRef/>
      </w:r>
      <w:r>
        <w:t>The potential accessibility component expresses the proximity of the locality to each of the localities</w:t>
      </w:r>
      <w:r>
        <w:rPr>
          <w:rFonts w:hint="cs"/>
        </w:rPr>
        <w:t>, and is</w:t>
      </w:r>
      <w:r w:rsidRPr="0026236A">
        <w:t xml:space="preserve">weighted by the size of their </w:t>
      </w:r>
      <w:proofErr w:type="gramStart"/>
      <w:r w:rsidRPr="0026236A">
        <w:t>population</w:t>
      </w:r>
      <w:r>
        <w:rPr>
          <w:rFonts w:hint="cs"/>
        </w:rPr>
        <w:t>.</w:t>
      </w:r>
      <w:r w:rsidRPr="0026236A">
        <w:t>The</w:t>
      </w:r>
      <w:proofErr w:type="gramEnd"/>
      <w:r w:rsidRPr="0026236A">
        <w:t xml:space="preserve"> size of the population indicates the intensity of the possibilities, activities and assets in the locality. The proximity component to the Tel Aviv district border expresses the monocentric structure of the State of Israel</w:t>
      </w:r>
      <w:r>
        <w:rPr>
          <w:rFonts w:hint="cs"/>
        </w:rPr>
        <w:t>, in which</w:t>
      </w:r>
      <w:r w:rsidRPr="0026236A">
        <w:t xml:space="preserve"> the Tel Aviv district</w:t>
      </w:r>
      <w:r>
        <w:rPr>
          <w:rFonts w:hint="cs"/>
        </w:rPr>
        <w:t xml:space="preserve">is the </w:t>
      </w:r>
      <w:r w:rsidRPr="0026236A">
        <w:t>economic and business center of the state.The low value of the index indicates the most peripheral locality, and the high value – the most central locality</w:t>
      </w:r>
      <w:hyperlink r:id="rId1" w:history="1">
        <w:r w:rsidRPr="00357B5B">
          <w:rPr>
            <w:rStyle w:val="Hyperlink"/>
          </w:rPr>
          <w:t>https://tinyurl.com/27xpuvk2</w:t>
        </w:r>
      </w:hyperlink>
      <w:r>
        <w:t>)</w:t>
      </w:r>
      <w:r>
        <w:rPr>
          <w:rFonts w:hint="cs"/>
        </w:rPr>
        <w:t>)</w:t>
      </w:r>
      <w:r w:rsidRPr="0026236A">
        <w:t>).</w:t>
      </w:r>
    </w:p>
    <w:p w14:paraId="14A6773A" w14:textId="77777777" w:rsidR="00B85B5A" w:rsidRDefault="00B85B5A" w:rsidP="00B85B5A">
      <w:pPr>
        <w:pStyle w:val="FootnoteText"/>
        <w:rPr>
          <w:rtl/>
        </w:rPr>
      </w:pPr>
      <w:r>
        <w:rPr>
          <w:rFonts w:hint="cs"/>
          <w:shd w:val="clear" w:color="auto" w:fill="EEF9E8"/>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B5A"/>
    <w:rsid w:val="00040E00"/>
    <w:rsid w:val="00046F4E"/>
    <w:rsid w:val="000F14B2"/>
    <w:rsid w:val="00155B24"/>
    <w:rsid w:val="002339E1"/>
    <w:rsid w:val="00293667"/>
    <w:rsid w:val="003544D1"/>
    <w:rsid w:val="00382374"/>
    <w:rsid w:val="004250D6"/>
    <w:rsid w:val="005347B3"/>
    <w:rsid w:val="0075429C"/>
    <w:rsid w:val="007D32F5"/>
    <w:rsid w:val="008301FA"/>
    <w:rsid w:val="008B2485"/>
    <w:rsid w:val="00905DF9"/>
    <w:rsid w:val="00973A5E"/>
    <w:rsid w:val="00A21DF3"/>
    <w:rsid w:val="00B85B5A"/>
    <w:rsid w:val="00CB061B"/>
    <w:rsid w:val="00D47653"/>
    <w:rsid w:val="00E721D4"/>
    <w:rsid w:val="00F308B1"/>
    <w:rsid w:val="00F4063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905D2"/>
  <w15:chartTrackingRefBased/>
  <w15:docId w15:val="{5D81E86F-F12A-4199-9479-E5E1A0D99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B5A"/>
    <w:pPr>
      <w:bidi/>
    </w:pPr>
  </w:style>
  <w:style w:type="paragraph" w:styleId="Heading1">
    <w:name w:val="heading 1"/>
    <w:basedOn w:val="Normal"/>
    <w:next w:val="Normal"/>
    <w:link w:val="Heading1Char"/>
    <w:uiPriority w:val="9"/>
    <w:qFormat/>
    <w:rsid w:val="00B85B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85B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85B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85B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5B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5B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5B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5B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5B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B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85B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85B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85B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5B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5B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5B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5B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5B5A"/>
    <w:rPr>
      <w:rFonts w:eastAsiaTheme="majorEastAsia" w:cstheme="majorBidi"/>
      <w:color w:val="272727" w:themeColor="text1" w:themeTint="D8"/>
    </w:rPr>
  </w:style>
  <w:style w:type="paragraph" w:styleId="Title">
    <w:name w:val="Title"/>
    <w:basedOn w:val="Normal"/>
    <w:next w:val="Normal"/>
    <w:link w:val="TitleChar"/>
    <w:uiPriority w:val="10"/>
    <w:qFormat/>
    <w:rsid w:val="00B85B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5B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5B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5B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5B5A"/>
    <w:pPr>
      <w:spacing w:before="160"/>
      <w:jc w:val="center"/>
    </w:pPr>
    <w:rPr>
      <w:i/>
      <w:iCs/>
      <w:color w:val="404040" w:themeColor="text1" w:themeTint="BF"/>
    </w:rPr>
  </w:style>
  <w:style w:type="character" w:customStyle="1" w:styleId="QuoteChar">
    <w:name w:val="Quote Char"/>
    <w:basedOn w:val="DefaultParagraphFont"/>
    <w:link w:val="Quote"/>
    <w:uiPriority w:val="29"/>
    <w:rsid w:val="00B85B5A"/>
    <w:rPr>
      <w:i/>
      <w:iCs/>
      <w:color w:val="404040" w:themeColor="text1" w:themeTint="BF"/>
    </w:rPr>
  </w:style>
  <w:style w:type="paragraph" w:styleId="ListParagraph">
    <w:name w:val="List Paragraph"/>
    <w:basedOn w:val="Normal"/>
    <w:uiPriority w:val="34"/>
    <w:qFormat/>
    <w:rsid w:val="00B85B5A"/>
    <w:pPr>
      <w:ind w:left="720"/>
      <w:contextualSpacing/>
    </w:pPr>
  </w:style>
  <w:style w:type="character" w:styleId="IntenseEmphasis">
    <w:name w:val="Intense Emphasis"/>
    <w:basedOn w:val="DefaultParagraphFont"/>
    <w:uiPriority w:val="21"/>
    <w:qFormat/>
    <w:rsid w:val="00B85B5A"/>
    <w:rPr>
      <w:i/>
      <w:iCs/>
      <w:color w:val="0F4761" w:themeColor="accent1" w:themeShade="BF"/>
    </w:rPr>
  </w:style>
  <w:style w:type="paragraph" w:styleId="IntenseQuote">
    <w:name w:val="Intense Quote"/>
    <w:basedOn w:val="Normal"/>
    <w:next w:val="Normal"/>
    <w:link w:val="IntenseQuoteChar"/>
    <w:uiPriority w:val="30"/>
    <w:qFormat/>
    <w:rsid w:val="00B85B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5B5A"/>
    <w:rPr>
      <w:i/>
      <w:iCs/>
      <w:color w:val="0F4761" w:themeColor="accent1" w:themeShade="BF"/>
    </w:rPr>
  </w:style>
  <w:style w:type="character" w:styleId="IntenseReference">
    <w:name w:val="Intense Reference"/>
    <w:basedOn w:val="DefaultParagraphFont"/>
    <w:uiPriority w:val="32"/>
    <w:qFormat/>
    <w:rsid w:val="00B85B5A"/>
    <w:rPr>
      <w:b/>
      <w:bCs/>
      <w:smallCaps/>
      <w:color w:val="0F4761" w:themeColor="accent1" w:themeShade="BF"/>
      <w:spacing w:val="5"/>
    </w:rPr>
  </w:style>
  <w:style w:type="character" w:styleId="Hyperlink">
    <w:name w:val="Hyperlink"/>
    <w:basedOn w:val="DefaultParagraphFont"/>
    <w:uiPriority w:val="99"/>
    <w:unhideWhenUsed/>
    <w:rsid w:val="00B85B5A"/>
    <w:rPr>
      <w:color w:val="467886" w:themeColor="hyperlink"/>
      <w:u w:val="single"/>
    </w:rPr>
  </w:style>
  <w:style w:type="paragraph" w:styleId="FootnoteText">
    <w:name w:val="footnote text"/>
    <w:basedOn w:val="Normal"/>
    <w:link w:val="FootnoteTextChar"/>
    <w:uiPriority w:val="99"/>
    <w:unhideWhenUsed/>
    <w:rsid w:val="00B85B5A"/>
    <w:rPr>
      <w:sz w:val="20"/>
      <w:szCs w:val="20"/>
    </w:rPr>
  </w:style>
  <w:style w:type="character" w:customStyle="1" w:styleId="FootnoteTextChar">
    <w:name w:val="Footnote Text Char"/>
    <w:basedOn w:val="DefaultParagraphFont"/>
    <w:link w:val="FootnoteText"/>
    <w:uiPriority w:val="99"/>
    <w:rsid w:val="00B85B5A"/>
    <w:rPr>
      <w:sz w:val="20"/>
      <w:szCs w:val="20"/>
    </w:rPr>
  </w:style>
  <w:style w:type="character" w:styleId="FootnoteReference">
    <w:name w:val="footnote reference"/>
    <w:basedOn w:val="DefaultParagraphFont"/>
    <w:uiPriority w:val="99"/>
    <w:semiHidden/>
    <w:unhideWhenUsed/>
    <w:rsid w:val="00B85B5A"/>
    <w:rPr>
      <w:vertAlign w:val="superscript"/>
    </w:rPr>
  </w:style>
  <w:style w:type="paragraph" w:customStyle="1" w:styleId="BrookTableFont">
    <w:name w:val="Brook_Table_Font"/>
    <w:basedOn w:val="Normal"/>
    <w:qFormat/>
    <w:rsid w:val="00B85B5A"/>
    <w:pPr>
      <w:spacing w:line="288" w:lineRule="auto"/>
    </w:pPr>
    <w:rPr>
      <w:rFonts w:asciiTheme="minorBidi" w:eastAsia="Times New Roman" w:hAnsiTheme="minorBidi" w:cs="David"/>
      <w:sz w:val="23"/>
      <w:szCs w:val="25"/>
      <w:lang w:eastAsia="he-IL"/>
    </w:rPr>
  </w:style>
  <w:style w:type="character" w:styleId="EndnoteReference">
    <w:name w:val="endnote reference"/>
    <w:basedOn w:val="DefaultParagraphFont"/>
    <w:uiPriority w:val="99"/>
    <w:semiHidden/>
    <w:unhideWhenUsed/>
    <w:rsid w:val="00CB06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tinyurl.com/27xpuvk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1c0b28-c563-4859-b308-6d2f36e2dadd" xsi:nil="true"/>
    <lcf76f155ced4ddcb4097134ff3c332f xmlns="9caadb74-536c-4fa9-9331-bbdd4968247f">
      <Terms xmlns="http://schemas.microsoft.com/office/infopath/2007/PartnerControls"/>
    </lcf76f155ced4ddcb4097134ff3c332f>
    <_dlc_DocId xmlns="391c0b28-c563-4859-b308-6d2f36e2dadd">4NCTCWS7FQNJ-681411536-167912</_dlc_DocId>
    <_dlc_DocIdUrl xmlns="391c0b28-c563-4859-b308-6d2f36e2dadd">
      <Url>https://jdcil.sharepoint.com/sites/Brookdale/SystemsGroup/_layouts/15/DocIdRedir.aspx?ID=4NCTCWS7FQNJ-681411536-167912</Url>
      <Description>4NCTCWS7FQNJ-681411536-167912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2DBF4728CA0141BA899608624ACB8A" ma:contentTypeVersion="3359" ma:contentTypeDescription="Create a new document." ma:contentTypeScope="" ma:versionID="f05401f325045764c0ac016c1b57f8c8">
  <xsd:schema xmlns:xsd="http://www.w3.org/2001/XMLSchema" xmlns:xs="http://www.w3.org/2001/XMLSchema" xmlns:p="http://schemas.microsoft.com/office/2006/metadata/properties" xmlns:ns2="9caadb74-536c-4fa9-9331-bbdd4968247f" xmlns:ns3="391c0b28-c563-4859-b308-6d2f36e2dadd" targetNamespace="http://schemas.microsoft.com/office/2006/metadata/properties" ma:root="true" ma:fieldsID="2fb3170f6f96f91ac2451f5de327067f" ns2:_="" ns3:_="">
    <xsd:import namespace="9caadb74-536c-4fa9-9331-bbdd4968247f"/>
    <xsd:import namespace="391c0b28-c563-4859-b308-6d2f36e2dad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_dlc_DocId" minOccurs="0"/>
                <xsd:element ref="ns3:_dlc_DocIdUrl" minOccurs="0"/>
                <xsd:element ref="ns3:_dlc_DocIdPersistId"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aadb74-536c-4fa9-9331-bbdd496824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b052595-e0a3-4aa6-8855-c090d5a7a2c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1c0b28-c563-4859-b308-6d2f36e2dadd"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33f4eeb5-d55e-4987-8ed6-6c1e150f0455}" ma:internalName="TaxCatchAll" ma:showField="CatchAllData" ma:web="391c0b28-c563-4859-b308-6d2f36e2da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CF3A5E-9293-451A-9E7D-8EFBB2765045}">
  <ds:schemaRefs>
    <ds:schemaRef ds:uri="http://schemas.microsoft.com/office/2006/metadata/properties"/>
    <ds:schemaRef ds:uri="http://schemas.microsoft.com/office/infopath/2007/PartnerControls"/>
    <ds:schemaRef ds:uri="391c0b28-c563-4859-b308-6d2f36e2dadd"/>
    <ds:schemaRef ds:uri="9caadb74-536c-4fa9-9331-bbdd4968247f"/>
  </ds:schemaRefs>
</ds:datastoreItem>
</file>

<file path=customXml/itemProps2.xml><?xml version="1.0" encoding="utf-8"?>
<ds:datastoreItem xmlns:ds="http://schemas.openxmlformats.org/officeDocument/2006/customXml" ds:itemID="{1FA7A18F-FD07-4AEA-8FE7-CB1069A01130}"/>
</file>

<file path=customXml/itemProps3.xml><?xml version="1.0" encoding="utf-8"?>
<ds:datastoreItem xmlns:ds="http://schemas.openxmlformats.org/officeDocument/2006/customXml" ds:itemID="{1B4B6A68-2845-4459-ADCF-EC6E8F8D79CC}">
  <ds:schemaRefs>
    <ds:schemaRef ds:uri="http://schemas.microsoft.com/sharepoint/events"/>
  </ds:schemaRefs>
</ds:datastoreItem>
</file>

<file path=customXml/itemProps4.xml><?xml version="1.0" encoding="utf-8"?>
<ds:datastoreItem xmlns:ds="http://schemas.openxmlformats.org/officeDocument/2006/customXml" ds:itemID="{0567BF7A-7828-4DCF-8A39-3856AE8BB4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958</Words>
  <Characters>5474</Characters>
  <Application>Microsoft Office Word</Application>
  <DocSecurity>0</DocSecurity>
  <Lines>103</Lines>
  <Paragraphs>23</Paragraphs>
  <ScaleCrop>false</ScaleCrop>
  <Company>JDC</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Waitzberg</dc:creator>
  <cp:keywords/>
  <dc:description/>
  <cp:lastModifiedBy>Ruth Waitzberg</cp:lastModifiedBy>
  <cp:revision>2</cp:revision>
  <dcterms:created xsi:type="dcterms:W3CDTF">2026-01-09T13:58:00Z</dcterms:created>
  <dcterms:modified xsi:type="dcterms:W3CDTF">2026-01-09T13:58:00Z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0x010100952DBF4728CA0141BA899608624ACB8A</vt:lpwstr>
  </property>
  <property fmtid="{D5CDD505-2E9C-101B-9397-08002B2CF9AE}" pid="3" name="_dlc_DocIdItemGuid">
    <vt:lpwstr>93bcb066-b528-4eee-96a2-aebef2a440b4</vt:lpwstr>
  </property>
  <property fmtid="{D5CDD505-2E9C-101B-9397-08002B2CF9AE}" pid="4" name="MediaServiceImageTags">
    <vt:lpwstr/>
  </property>
</Properties>
</file>