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F176F" w14:textId="6824A374" w:rsidR="00FE1BD9" w:rsidRPr="00FE1BD9" w:rsidRDefault="00FE1BD9" w:rsidP="00FE1BD9">
      <w:pPr>
        <w:rPr>
          <w:rFonts w:asciiTheme="majorBidi" w:hAnsiTheme="majorBidi" w:cstheme="majorBidi"/>
          <w:sz w:val="28"/>
          <w:szCs w:val="28"/>
          <w:u w:val="single"/>
          <w:lang w:bidi="he-IL"/>
        </w:rPr>
      </w:pPr>
      <w:r w:rsidRPr="00FE1BD9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>Supplementary Material</w:t>
      </w:r>
      <w:r w:rsidRPr="00621B32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 xml:space="preserve"> 2</w:t>
      </w:r>
      <w:r w:rsidRPr="00FE1BD9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>:</w:t>
      </w:r>
      <w:r w:rsidR="00621B32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 xml:space="preserve"> </w:t>
      </w:r>
      <w:r w:rsidRPr="00FE1BD9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 xml:space="preserve">Specialty </w:t>
      </w:r>
      <w:r w:rsidRPr="00621B32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>g</w:t>
      </w:r>
      <w:r w:rsidRPr="00FE1BD9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 xml:space="preserve">roup </w:t>
      </w:r>
      <w:r w:rsidRPr="00621B32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>c</w:t>
      </w:r>
      <w:r w:rsidRPr="00FE1BD9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>lassification</w:t>
      </w:r>
      <w:r w:rsidRPr="00621B32">
        <w:rPr>
          <w:rFonts w:asciiTheme="majorBidi" w:hAnsiTheme="majorBidi" w:cstheme="majorBidi"/>
          <w:b/>
          <w:bCs/>
          <w:sz w:val="28"/>
          <w:szCs w:val="28"/>
          <w:u w:val="single"/>
          <w:lang w:bidi="he-IL"/>
        </w:rPr>
        <w:t xml:space="preserve"> for logistic regression</w:t>
      </w:r>
    </w:p>
    <w:p w14:paraId="7325626B" w14:textId="77777777" w:rsidR="00D82DAC" w:rsidRPr="00FE1BD9" w:rsidRDefault="00D82DAC">
      <w:pPr>
        <w:rPr>
          <w:rFonts w:asciiTheme="majorBidi" w:hAnsiTheme="majorBidi" w:cstheme="majorBidi"/>
          <w:lang w:bidi="he-IL"/>
        </w:rPr>
      </w:pPr>
    </w:p>
    <w:p w14:paraId="0D0F6FE7" w14:textId="77777777" w:rsidR="00FE1BD9" w:rsidRPr="00FE1BD9" w:rsidRDefault="00FE1BD9">
      <w:pPr>
        <w:rPr>
          <w:rFonts w:asciiTheme="majorBidi" w:hAnsiTheme="majorBidi" w:cstheme="majorBidi"/>
          <w:lang w:bidi="he-IL"/>
        </w:rPr>
      </w:pPr>
    </w:p>
    <w:p w14:paraId="30F9C9E4" w14:textId="77777777" w:rsidR="00FE1BD9" w:rsidRPr="00FE1BD9" w:rsidRDefault="00FE1BD9" w:rsidP="00FE1BD9">
      <w:pPr>
        <w:rPr>
          <w:rFonts w:asciiTheme="majorBidi" w:hAnsiTheme="majorBidi" w:cstheme="majorBidi"/>
          <w:b/>
          <w:bCs/>
          <w:u w:val="single"/>
          <w:lang w:bidi="he-IL"/>
        </w:rPr>
      </w:pPr>
      <w:r w:rsidRPr="00FE1BD9">
        <w:rPr>
          <w:rFonts w:asciiTheme="majorBidi" w:hAnsiTheme="majorBidi" w:cstheme="majorBidi"/>
          <w:b/>
          <w:bCs/>
          <w:u w:val="single"/>
          <w:lang w:bidi="he-IL"/>
        </w:rPr>
        <w:t>Internal specialties</w:t>
      </w:r>
    </w:p>
    <w:p w14:paraId="79C2F3C9" w14:textId="7755C4F3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Internal Medicine</w:t>
      </w:r>
    </w:p>
    <w:p w14:paraId="470F5C8E" w14:textId="547D48B7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Oncology</w:t>
      </w:r>
    </w:p>
    <w:p w14:paraId="335E9B36" w14:textId="16F5DB85" w:rsidR="00FE1BD9" w:rsidRPr="00FE1BD9" w:rsidRDefault="00FE1BD9" w:rsidP="00C30EAC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Geriatrics</w:t>
      </w:r>
    </w:p>
    <w:p w14:paraId="616A2C56" w14:textId="78D4EB32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Emergency Medicine</w:t>
      </w:r>
    </w:p>
    <w:p w14:paraId="4133CC0A" w14:textId="3BF6D3E6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Neurology</w:t>
      </w:r>
    </w:p>
    <w:p w14:paraId="7B276B94" w14:textId="77777777" w:rsidR="00FE1BD9" w:rsidRPr="00FE1BD9" w:rsidRDefault="00FE1BD9" w:rsidP="00FE1BD9">
      <w:pPr>
        <w:rPr>
          <w:rFonts w:asciiTheme="majorBidi" w:hAnsiTheme="majorBidi" w:cstheme="majorBidi"/>
          <w:lang w:bidi="he-IL"/>
        </w:rPr>
      </w:pPr>
    </w:p>
    <w:p w14:paraId="325705B3" w14:textId="77777777" w:rsidR="00FE1BD9" w:rsidRPr="00FE1BD9" w:rsidRDefault="00FE1BD9" w:rsidP="00FE1BD9">
      <w:pPr>
        <w:rPr>
          <w:rFonts w:asciiTheme="majorBidi" w:hAnsiTheme="majorBidi" w:cstheme="majorBidi"/>
          <w:b/>
          <w:bCs/>
          <w:u w:val="single"/>
          <w:lang w:bidi="he-IL"/>
        </w:rPr>
      </w:pPr>
      <w:r w:rsidRPr="00FE1BD9">
        <w:rPr>
          <w:rFonts w:asciiTheme="majorBidi" w:hAnsiTheme="majorBidi" w:cstheme="majorBidi"/>
          <w:b/>
          <w:bCs/>
          <w:u w:val="single"/>
          <w:lang w:bidi="he-IL"/>
        </w:rPr>
        <w:t>Surgical specialties</w:t>
      </w:r>
    </w:p>
    <w:p w14:paraId="4F828476" w14:textId="414E3872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Orthopedics</w:t>
      </w:r>
    </w:p>
    <w:p w14:paraId="5D2073F0" w14:textId="4B9595E7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Cardiothoracic Surgery</w:t>
      </w:r>
    </w:p>
    <w:p w14:paraId="410CAC8F" w14:textId="6E0E07AA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General Surgery</w:t>
      </w:r>
    </w:p>
    <w:p w14:paraId="1E44B2C8" w14:textId="11638454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Plastic Surgery</w:t>
      </w:r>
    </w:p>
    <w:p w14:paraId="4C8B6B69" w14:textId="52E0AE42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Otorhinolaryngology (ENT)</w:t>
      </w:r>
    </w:p>
    <w:p w14:paraId="1BA4834C" w14:textId="03D5B072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Pediatric Surgery</w:t>
      </w:r>
    </w:p>
    <w:p w14:paraId="114DC085" w14:textId="2F21B461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Urology</w:t>
      </w:r>
    </w:p>
    <w:p w14:paraId="6EDF73D9" w14:textId="15FF5777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Neurosurgery</w:t>
      </w:r>
    </w:p>
    <w:p w14:paraId="0D6C3B41" w14:textId="510459A9" w:rsidR="00FE1BD9" w:rsidRPr="00FE1BD9" w:rsidRDefault="00FE1BD9" w:rsidP="00FE1BD9">
      <w:pPr>
        <w:pStyle w:val="ListParagraph"/>
        <w:numPr>
          <w:ilvl w:val="0"/>
          <w:numId w:val="2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Ophthalmology</w:t>
      </w:r>
    </w:p>
    <w:p w14:paraId="7EA4FC7E" w14:textId="77777777" w:rsidR="00FE1BD9" w:rsidRPr="00FE1BD9" w:rsidRDefault="00FE1BD9" w:rsidP="00FE1BD9">
      <w:pPr>
        <w:rPr>
          <w:rFonts w:asciiTheme="majorBidi" w:hAnsiTheme="majorBidi" w:cstheme="majorBidi"/>
          <w:lang w:bidi="he-IL"/>
        </w:rPr>
      </w:pPr>
    </w:p>
    <w:p w14:paraId="3C9691EC" w14:textId="77777777" w:rsidR="00FE1BD9" w:rsidRDefault="00FE1BD9" w:rsidP="00FE1BD9">
      <w:pPr>
        <w:rPr>
          <w:rFonts w:asciiTheme="majorBidi" w:hAnsiTheme="majorBidi" w:cstheme="majorBidi"/>
          <w:b/>
          <w:bCs/>
          <w:u w:val="single"/>
          <w:lang w:bidi="he-IL"/>
        </w:rPr>
      </w:pPr>
      <w:r w:rsidRPr="00FE1BD9">
        <w:rPr>
          <w:rFonts w:asciiTheme="majorBidi" w:hAnsiTheme="majorBidi" w:cstheme="majorBidi"/>
          <w:b/>
          <w:bCs/>
          <w:u w:val="single"/>
          <w:lang w:bidi="he-IL"/>
        </w:rPr>
        <w:t>Standalone specialty groups</w:t>
      </w:r>
    </w:p>
    <w:p w14:paraId="39A90202" w14:textId="77777777" w:rsidR="00FE1BD9" w:rsidRPr="00FE1BD9" w:rsidRDefault="00FE1BD9" w:rsidP="00FE1BD9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Pediatrics</w:t>
      </w:r>
    </w:p>
    <w:p w14:paraId="55363B77" w14:textId="77777777" w:rsidR="00FE1BD9" w:rsidRPr="00FE1BD9" w:rsidRDefault="00FE1BD9" w:rsidP="00FE1BD9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lang w:bidi="he-IL"/>
        </w:rPr>
      </w:pPr>
      <w:r w:rsidRPr="00FE1BD9">
        <w:rPr>
          <w:rFonts w:asciiTheme="majorBidi" w:hAnsiTheme="majorBidi" w:cstheme="majorBidi"/>
          <w:lang w:bidi="he-IL"/>
        </w:rPr>
        <w:t>Psychiatry (Adult/Child)</w:t>
      </w:r>
    </w:p>
    <w:p w14:paraId="2D8A543C" w14:textId="1C941801" w:rsidR="00FE1BD9" w:rsidRPr="00FE1BD9" w:rsidRDefault="00FE1BD9" w:rsidP="00FE1BD9">
      <w:pPr>
        <w:pStyle w:val="ListParagraph"/>
        <w:numPr>
          <w:ilvl w:val="0"/>
          <w:numId w:val="5"/>
        </w:numPr>
        <w:rPr>
          <w:rFonts w:asciiTheme="majorBidi" w:hAnsiTheme="majorBidi" w:cstheme="majorBidi"/>
          <w:b/>
          <w:bCs/>
          <w:u w:val="single"/>
          <w:lang w:bidi="he-IL"/>
        </w:rPr>
      </w:pPr>
      <w:r w:rsidRPr="00FE1BD9">
        <w:rPr>
          <w:rFonts w:asciiTheme="majorBidi" w:hAnsiTheme="majorBidi" w:cstheme="majorBidi"/>
          <w:lang w:bidi="he-IL"/>
        </w:rPr>
        <w:t>Obstetrics and Gynecology</w:t>
      </w:r>
    </w:p>
    <w:p w14:paraId="1BDDCC54" w14:textId="77777777" w:rsidR="00FE1BD9" w:rsidRPr="00FE1BD9" w:rsidRDefault="00FE1BD9" w:rsidP="00FE1BD9">
      <w:pPr>
        <w:rPr>
          <w:rFonts w:asciiTheme="majorBidi" w:hAnsiTheme="majorBidi" w:cstheme="majorBidi"/>
          <w:lang w:bidi="he-IL"/>
        </w:rPr>
      </w:pPr>
    </w:p>
    <w:p w14:paraId="76F958A8" w14:textId="0144A25C" w:rsidR="00FE1BD9" w:rsidRPr="00FE1BD9" w:rsidRDefault="00FE1BD9" w:rsidP="00FE1BD9">
      <w:pPr>
        <w:rPr>
          <w:rFonts w:asciiTheme="majorBidi" w:hAnsiTheme="majorBidi" w:cstheme="majorBidi"/>
          <w:rtl/>
          <w:lang w:bidi="he-IL"/>
        </w:rPr>
      </w:pPr>
    </w:p>
    <w:sectPr w:rsidR="00FE1BD9" w:rsidRPr="00FE1BD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295A"/>
    <w:multiLevelType w:val="hybridMultilevel"/>
    <w:tmpl w:val="0C9064CE"/>
    <w:lvl w:ilvl="0" w:tplc="40FA471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640A5"/>
    <w:multiLevelType w:val="hybridMultilevel"/>
    <w:tmpl w:val="9C2A8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A7544"/>
    <w:multiLevelType w:val="hybridMultilevel"/>
    <w:tmpl w:val="02421A36"/>
    <w:lvl w:ilvl="0" w:tplc="40FA471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A1191"/>
    <w:multiLevelType w:val="hybridMultilevel"/>
    <w:tmpl w:val="3F9EDB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D05216"/>
    <w:multiLevelType w:val="hybridMultilevel"/>
    <w:tmpl w:val="8DBCEDD2"/>
    <w:lvl w:ilvl="0" w:tplc="40FA471E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3475686">
    <w:abstractNumId w:val="1"/>
  </w:num>
  <w:num w:numId="2" w16cid:durableId="675422053">
    <w:abstractNumId w:val="4"/>
  </w:num>
  <w:num w:numId="3" w16cid:durableId="1426657768">
    <w:abstractNumId w:val="2"/>
  </w:num>
  <w:num w:numId="4" w16cid:durableId="57628652">
    <w:abstractNumId w:val="3"/>
  </w:num>
  <w:num w:numId="5" w16cid:durableId="752168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83E"/>
    <w:rsid w:val="00210B24"/>
    <w:rsid w:val="00346B3C"/>
    <w:rsid w:val="003B26BB"/>
    <w:rsid w:val="0041005F"/>
    <w:rsid w:val="004F33F6"/>
    <w:rsid w:val="00621B32"/>
    <w:rsid w:val="006619BE"/>
    <w:rsid w:val="0073683E"/>
    <w:rsid w:val="0079770C"/>
    <w:rsid w:val="00920E33"/>
    <w:rsid w:val="00A46118"/>
    <w:rsid w:val="00A64A77"/>
    <w:rsid w:val="00C30EAC"/>
    <w:rsid w:val="00D1577A"/>
    <w:rsid w:val="00D82DAC"/>
    <w:rsid w:val="00E0687C"/>
    <w:rsid w:val="00ED0FCA"/>
    <w:rsid w:val="00FE1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C8918F"/>
  <w15:chartTrackingRefBased/>
  <w15:docId w15:val="{DED0DEB1-2516-44AF-8011-66CA395B7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A77"/>
    <w:pPr>
      <w:spacing w:after="0" w:line="240" w:lineRule="auto"/>
    </w:pPr>
    <w:rPr>
      <w:rFonts w:ascii="Calibri" w:hAnsi="Calibri" w:cs="Calibri"/>
      <w:kern w:val="0"/>
      <w:sz w:val="24"/>
      <w:szCs w:val="24"/>
      <w:lang w:eastAsia="en-GB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68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8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83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83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83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83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83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83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83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83E"/>
    <w:rPr>
      <w:rFonts w:asciiTheme="majorHAnsi" w:eastAsiaTheme="majorEastAsia" w:hAnsiTheme="majorHAnsi" w:cstheme="majorBidi"/>
      <w:color w:val="0F4761" w:themeColor="accent1" w:themeShade="BF"/>
      <w:kern w:val="0"/>
      <w:sz w:val="40"/>
      <w:szCs w:val="40"/>
      <w:lang w:eastAsia="en-GB" w:bidi="ar-SA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83E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 w:bidi="ar-SA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83E"/>
    <w:rPr>
      <w:rFonts w:eastAsiaTheme="majorEastAsia" w:cstheme="majorBidi"/>
      <w:color w:val="0F4761" w:themeColor="accent1" w:themeShade="BF"/>
      <w:kern w:val="0"/>
      <w:sz w:val="28"/>
      <w:szCs w:val="28"/>
      <w:lang w:eastAsia="en-GB" w:bidi="ar-SA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83E"/>
    <w:rPr>
      <w:rFonts w:eastAsiaTheme="majorEastAsia" w:cstheme="majorBidi"/>
      <w:i/>
      <w:iCs/>
      <w:color w:val="0F4761" w:themeColor="accent1" w:themeShade="BF"/>
      <w:kern w:val="0"/>
      <w:sz w:val="24"/>
      <w:szCs w:val="24"/>
      <w:lang w:eastAsia="en-GB" w:bidi="ar-SA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83E"/>
    <w:rPr>
      <w:rFonts w:eastAsiaTheme="majorEastAsia" w:cstheme="majorBidi"/>
      <w:color w:val="0F4761" w:themeColor="accent1" w:themeShade="BF"/>
      <w:kern w:val="0"/>
      <w:sz w:val="24"/>
      <w:szCs w:val="24"/>
      <w:lang w:eastAsia="en-GB" w:bidi="ar-SA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83E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en-GB" w:bidi="ar-SA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83E"/>
    <w:rPr>
      <w:rFonts w:eastAsiaTheme="majorEastAsia" w:cstheme="majorBidi"/>
      <w:color w:val="595959" w:themeColor="text1" w:themeTint="A6"/>
      <w:kern w:val="0"/>
      <w:sz w:val="24"/>
      <w:szCs w:val="24"/>
      <w:lang w:eastAsia="en-GB" w:bidi="ar-SA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83E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en-GB" w:bidi="ar-SA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83E"/>
    <w:rPr>
      <w:rFonts w:eastAsiaTheme="majorEastAsia" w:cstheme="majorBidi"/>
      <w:color w:val="272727" w:themeColor="text1" w:themeTint="D8"/>
      <w:kern w:val="0"/>
      <w:sz w:val="24"/>
      <w:szCs w:val="24"/>
      <w:lang w:eastAsia="en-GB" w:bidi="ar-SA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73683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83E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 w:bidi="ar-SA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83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83E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 w:bidi="ar-SA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7368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83E"/>
    <w:rPr>
      <w:rFonts w:ascii="Calibri" w:hAnsi="Calibri" w:cs="Calibri"/>
      <w:i/>
      <w:iCs/>
      <w:color w:val="404040" w:themeColor="text1" w:themeTint="BF"/>
      <w:kern w:val="0"/>
      <w:sz w:val="24"/>
      <w:szCs w:val="24"/>
      <w:lang w:eastAsia="en-GB" w:bidi="ar-SA"/>
      <w14:ligatures w14:val="none"/>
    </w:rPr>
  </w:style>
  <w:style w:type="paragraph" w:styleId="ListParagraph">
    <w:name w:val="List Paragraph"/>
    <w:basedOn w:val="Normal"/>
    <w:uiPriority w:val="34"/>
    <w:qFormat/>
    <w:rsid w:val="007368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8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8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83E"/>
    <w:rPr>
      <w:rFonts w:ascii="Calibri" w:hAnsi="Calibri" w:cs="Calibri"/>
      <w:i/>
      <w:iCs/>
      <w:color w:val="0F4761" w:themeColor="accent1" w:themeShade="BF"/>
      <w:kern w:val="0"/>
      <w:sz w:val="24"/>
      <w:szCs w:val="24"/>
      <w:lang w:eastAsia="en-GB" w:bidi="ar-SA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7368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61</Words>
  <Characters>371</Characters>
  <Application>Microsoft Office Word</Application>
  <DocSecurity>0</DocSecurity>
  <Lines>5</Lines>
  <Paragraphs>1</Paragraphs>
  <ScaleCrop>false</ScaleCrop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 Vaknin</dc:creator>
  <cp:keywords/>
  <dc:description/>
  <cp:lastModifiedBy>Mor Vaknin</cp:lastModifiedBy>
  <cp:revision>6</cp:revision>
  <dcterms:created xsi:type="dcterms:W3CDTF">2025-12-06T17:00:00Z</dcterms:created>
  <dcterms:modified xsi:type="dcterms:W3CDTF">2026-02-25T19:45:00Z</dcterms:modified>
</cp:coreProperties>
</file>