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ED5" w:rsidRDefault="00977ED5" w:rsidP="0070180B">
      <w:pPr>
        <w:spacing w:after="0" w:line="480" w:lineRule="auto"/>
        <w:rPr>
          <w:rFonts w:cs="Arial"/>
          <w:b/>
          <w:sz w:val="24"/>
          <w:szCs w:val="20"/>
        </w:rPr>
      </w:pPr>
      <w:r w:rsidRPr="00977ED5">
        <w:rPr>
          <w:rFonts w:cs="Arial"/>
          <w:b/>
          <w:sz w:val="24"/>
          <w:szCs w:val="20"/>
        </w:rPr>
        <w:t xml:space="preserve">Supplementary </w:t>
      </w:r>
      <w:r w:rsidR="0070180B">
        <w:rPr>
          <w:rFonts w:cs="Arial"/>
          <w:b/>
          <w:sz w:val="24"/>
          <w:szCs w:val="20"/>
        </w:rPr>
        <w:t xml:space="preserve">Files </w:t>
      </w:r>
    </w:p>
    <w:p w:rsidR="00C56FB1" w:rsidRDefault="000C2599" w:rsidP="00F70396">
      <w:pPr>
        <w:spacing w:after="0" w:line="480" w:lineRule="auto"/>
        <w:rPr>
          <w:rFonts w:cs="Arial"/>
          <w:sz w:val="24"/>
          <w:szCs w:val="20"/>
        </w:rPr>
      </w:pPr>
      <w:r>
        <w:rPr>
          <w:rFonts w:cs="Arial"/>
          <w:b/>
          <w:sz w:val="24"/>
          <w:szCs w:val="20"/>
        </w:rPr>
        <w:t>Table S</w:t>
      </w:r>
      <w:r w:rsidR="00977ED5" w:rsidRPr="00977ED5">
        <w:rPr>
          <w:rFonts w:cs="Arial"/>
          <w:b/>
          <w:sz w:val="24"/>
          <w:szCs w:val="20"/>
        </w:rPr>
        <w:t>1</w:t>
      </w:r>
      <w:r w:rsidR="00977ED5" w:rsidRPr="00977ED5">
        <w:rPr>
          <w:rFonts w:cs="Arial"/>
          <w:sz w:val="24"/>
          <w:szCs w:val="20"/>
        </w:rPr>
        <w:t xml:space="preserve"> </w:t>
      </w:r>
      <w:r w:rsidR="00CC2C38">
        <w:rPr>
          <w:rFonts w:cs="Arial"/>
          <w:sz w:val="24"/>
          <w:szCs w:val="20"/>
        </w:rPr>
        <w:t xml:space="preserve">Maternal, </w:t>
      </w:r>
      <w:r w:rsidR="00C56FB1">
        <w:rPr>
          <w:rFonts w:cs="Arial"/>
          <w:sz w:val="24"/>
          <w:szCs w:val="20"/>
        </w:rPr>
        <w:t>P</w:t>
      </w:r>
      <w:r w:rsidR="00C56FB1">
        <w:rPr>
          <w:rFonts w:cs="Arial"/>
          <w:sz w:val="24"/>
        </w:rPr>
        <w:t xml:space="preserve">erinatal, </w:t>
      </w:r>
      <w:r w:rsidR="00977ED5" w:rsidRPr="00977ED5">
        <w:rPr>
          <w:rFonts w:cs="Arial"/>
          <w:sz w:val="24"/>
          <w:szCs w:val="20"/>
        </w:rPr>
        <w:t>Maternal nutrition during pregnancy and lactation</w:t>
      </w:r>
      <w:r w:rsidR="00CC2C38">
        <w:rPr>
          <w:rFonts w:cs="Arial"/>
          <w:sz w:val="24"/>
          <w:szCs w:val="20"/>
        </w:rPr>
        <w:t xml:space="preserve"> and environmental factors</w:t>
      </w:r>
    </w:p>
    <w:tbl>
      <w:tblPr>
        <w:tblW w:w="119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9"/>
        <w:gridCol w:w="4496"/>
        <w:gridCol w:w="2126"/>
        <w:gridCol w:w="2126"/>
        <w:gridCol w:w="1843"/>
        <w:gridCol w:w="992"/>
      </w:tblGrid>
      <w:tr w:rsidR="00C56FB1" w:rsidRPr="00DB728D" w:rsidTr="00431E89">
        <w:trPr>
          <w:trHeight w:val="675"/>
        </w:trPr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jc w:val="center"/>
              <w:rPr>
                <w:b/>
                <w:color w:val="000000"/>
                <w:sz w:val="24"/>
              </w:rPr>
            </w:pPr>
            <w:r w:rsidRPr="00DB728D">
              <w:rPr>
                <w:b/>
                <w:color w:val="000000"/>
                <w:sz w:val="24"/>
              </w:rPr>
              <w:t>All participants (n=1140)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jc w:val="center"/>
              <w:rPr>
                <w:b/>
                <w:color w:val="000000"/>
                <w:sz w:val="24"/>
              </w:rPr>
            </w:pPr>
            <w:r w:rsidRPr="00DB728D">
              <w:rPr>
                <w:b/>
                <w:color w:val="000000"/>
                <w:sz w:val="24"/>
              </w:rPr>
              <w:t>Participants with food hypersensitivity (n=41)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jc w:val="center"/>
              <w:rPr>
                <w:b/>
                <w:color w:val="000000"/>
                <w:sz w:val="24"/>
              </w:rPr>
            </w:pPr>
            <w:r w:rsidRPr="00DB728D">
              <w:rPr>
                <w:b/>
                <w:color w:val="000000"/>
                <w:sz w:val="24"/>
              </w:rPr>
              <w:t>Control participants (n=82)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FB1" w:rsidRPr="00DB728D" w:rsidRDefault="00C56FB1" w:rsidP="00C56FB1">
            <w:pPr>
              <w:spacing w:before="40" w:after="40"/>
              <w:jc w:val="center"/>
              <w:rPr>
                <w:b/>
                <w:color w:val="000000"/>
                <w:sz w:val="24"/>
              </w:rPr>
            </w:pPr>
            <w:r w:rsidRPr="00DB728D">
              <w:rPr>
                <w:b/>
                <w:color w:val="000000"/>
                <w:sz w:val="24"/>
              </w:rPr>
              <w:t>p-value</w:t>
            </w:r>
          </w:p>
        </w:tc>
      </w:tr>
    </w:tbl>
    <w:tbl>
      <w:tblPr>
        <w:tblStyle w:val="TableGrid3"/>
        <w:tblW w:w="119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99"/>
        <w:gridCol w:w="2421"/>
        <w:gridCol w:w="2126"/>
        <w:gridCol w:w="2123"/>
        <w:gridCol w:w="1845"/>
        <w:gridCol w:w="994"/>
      </w:tblGrid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b/>
                <w:i/>
                <w:color w:val="000000"/>
                <w:sz w:val="24"/>
              </w:rPr>
              <w:t>Pregnancy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sz w:val="24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sz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Mean maternal pre-pregnancy weight, kg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431E89">
            <w:pPr>
              <w:spacing w:before="40" w:after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65.6 (13.5)           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65.9 (14.0)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64.0 (11.5)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0.558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Mean maternal pre-pregnancy height, cm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sz w:val="24"/>
              </w:rPr>
            </w:pPr>
            <w:r>
              <w:rPr>
                <w:sz w:val="24"/>
              </w:rPr>
              <w:t>165.2 (6.8)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164.1 (5.9)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165.0 (6.6)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0.690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Median parity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431E89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0.0 (0.0-1.0 )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0.0 (0.0-1.0)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0.0 (0.0-1.0)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0.729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Singleton pregnancy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1109 (97.7%)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 (97.6%)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tabs>
                <w:tab w:val="center" w:pos="530"/>
              </w:tabs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ab/>
              <w:t xml:space="preserve">               82 (100.0%)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tabs>
                <w:tab w:val="left" w:pos="201"/>
                <w:tab w:val="center" w:pos="459"/>
              </w:tabs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ab/>
              <w:t xml:space="preserve"> 0.333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Maternal smoking in pregnancy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 (6.1%)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(2.4%)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 (3.7%)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1.000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Other household smoking in pregnancy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196 (17.2%)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 (19.5%)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 (6.1%)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0.027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Aspirin/paracetamol during pregnancy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612 (68.8%)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 (81.1%)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 (69.0%)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0.132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Any anti-inflammatory during pregnancy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 (5.8%)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 (11.1%)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 (9.9%)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0.542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Maternal antibiotics during pregnancy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177 (20%)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 (22.0%)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 (23.3%)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0.286</w:t>
            </w:r>
          </w:p>
        </w:tc>
      </w:tr>
      <w:tr w:rsidR="00C56FB1" w:rsidTr="00431E89">
        <w:trPr>
          <w:trHeight w:val="225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Mode of delivery                         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normal             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581 (51.3%)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 (51.3%)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 (45.7%)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0.860</w:t>
            </w:r>
          </w:p>
        </w:tc>
      </w:tr>
      <w:tr w:rsidR="00C56FB1" w:rsidTr="00431E89">
        <w:trPr>
          <w:trHeight w:val="225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caesarean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348 (30.7%)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 (31.7%)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 (24.4%)</w:t>
            </w:r>
          </w:p>
        </w:tc>
        <w:tc>
          <w:tcPr>
            <w:tcW w:w="994" w:type="dxa"/>
            <w:vMerge/>
            <w:tcBorders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</w:p>
        </w:tc>
      </w:tr>
      <w:tr w:rsidR="00C56FB1" w:rsidTr="00431E89">
        <w:trPr>
          <w:trHeight w:val="225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forceps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106 (9.4%)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 (7.3%)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 (14.8%)</w:t>
            </w:r>
          </w:p>
        </w:tc>
        <w:tc>
          <w:tcPr>
            <w:tcW w:w="994" w:type="dxa"/>
            <w:vMerge/>
            <w:tcBorders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Mean gestation, weeks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39.4 (1.5)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39.5 (1.7)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40.0 (1.4)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0.062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Mean birth weight, grams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3459 (523)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3480 (470)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3370 (562)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0.913</w:t>
            </w:r>
          </w:p>
        </w:tc>
      </w:tr>
      <w:tr w:rsidR="00C56FB1" w:rsidTr="00431E89">
        <w:trPr>
          <w:trHeight w:val="225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Antibiotics in first week of age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 (0.4%)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 (0.0%)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 (0.0%)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1.000</w:t>
            </w:r>
          </w:p>
        </w:tc>
      </w:tr>
    </w:tbl>
    <w:tbl>
      <w:tblPr>
        <w:tblW w:w="119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2126"/>
        <w:gridCol w:w="284"/>
        <w:gridCol w:w="1417"/>
        <w:gridCol w:w="2268"/>
        <w:gridCol w:w="1843"/>
        <w:gridCol w:w="992"/>
      </w:tblGrid>
      <w:tr w:rsidR="00C56FB1" w:rsidRPr="00DB728D" w:rsidTr="00C56FB1">
        <w:trPr>
          <w:trHeight w:val="225"/>
        </w:trPr>
        <w:tc>
          <w:tcPr>
            <w:tcW w:w="11922" w:type="dxa"/>
            <w:gridSpan w:val="7"/>
            <w:tcBorders>
              <w:top w:val="nil"/>
              <w:left w:val="nil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b/>
                <w:i/>
                <w:color w:val="000000"/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lastRenderedPageBreak/>
              <w:t>Diet d</w:t>
            </w:r>
            <w:r w:rsidRPr="00DB728D">
              <w:rPr>
                <w:b/>
                <w:i/>
                <w:color w:val="000000"/>
                <w:sz w:val="24"/>
              </w:rPr>
              <w:t>uring Pregnancy: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Egg/egg products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66 (7.4%)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 (4.9%)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 (3.7%)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0.561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165 (18.4%)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tabs>
                <w:tab w:val="left" w:pos="411"/>
                <w:tab w:val="center" w:pos="742"/>
              </w:tabs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10 (24.4%)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13 (15.9%)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0.579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Milk/milk products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10 (1.1%)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 (4.9%)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 (1.2%)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0.274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35 (3.9%)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 (2.4%)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 (1.3%)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0.777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Soy/soy products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692 (77.4%)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28 (68.3%)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52 (63.4%)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0.488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11 (1.2%)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 (0.0%)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 (0.0%)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tabs>
                <w:tab w:val="left" w:pos="224"/>
                <w:tab w:val="center" w:pos="459"/>
              </w:tabs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0.195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Peanut/peanut products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418 (47.0%)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19 (46.3%)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28 (34.1%)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0.147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181 (20.3%)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8 (19.5%)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20 (24.4%)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0.856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Tree nuts/tree nut products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282 (31.7%)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20 (48.8%)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22 (26.8%)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D5454C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0.06</w:t>
            </w:r>
            <w:r w:rsidR="00C56FB1" w:rsidRPr="00DB728D">
              <w:rPr>
                <w:color w:val="000000"/>
                <w:sz w:val="24"/>
              </w:rPr>
              <w:t>9</w:t>
            </w:r>
          </w:p>
        </w:tc>
      </w:tr>
      <w:tr w:rsidR="00C56FB1" w:rsidRPr="00DB728D" w:rsidTr="00431E89">
        <w:trPr>
          <w:trHeight w:val="225"/>
        </w:trPr>
        <w:tc>
          <w:tcPr>
            <w:tcW w:w="2992" w:type="dxa"/>
            <w:vMerge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161 (18.1%)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8 (19.5%)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13 (15.9%)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0.512</w:t>
            </w:r>
          </w:p>
        </w:tc>
      </w:tr>
      <w:tr w:rsidR="00C56FB1" w:rsidRPr="00DB728D" w:rsidTr="00431E89">
        <w:trPr>
          <w:trHeight w:val="225"/>
        </w:trPr>
        <w:tc>
          <w:tcPr>
            <w:tcW w:w="511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Full maternal diet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39 (4.3%)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 (0.0%)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5 (6.1%)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0.230</w:t>
            </w:r>
          </w:p>
        </w:tc>
      </w:tr>
      <w:tr w:rsidR="00C56FB1" w:rsidRPr="00DB728D" w:rsidTr="00431E89">
        <w:trPr>
          <w:trHeight w:val="225"/>
        </w:trPr>
        <w:tc>
          <w:tcPr>
            <w:tcW w:w="5118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Consume probiotics 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269 (30.3%)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13 (31.7%)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16 (19.5%)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0.120</w:t>
            </w:r>
          </w:p>
        </w:tc>
      </w:tr>
      <w:tr w:rsidR="00C56FB1" w:rsidRPr="00DB728D" w:rsidTr="00431E89">
        <w:trPr>
          <w:trHeight w:val="225"/>
        </w:trPr>
        <w:tc>
          <w:tcPr>
            <w:tcW w:w="511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Took folic acid supplements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777 (88.1%)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36 (87.8%)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69 (84.1%)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0.345</w:t>
            </w:r>
          </w:p>
        </w:tc>
      </w:tr>
      <w:tr w:rsidR="00C56FB1" w:rsidRPr="00DB728D" w:rsidTr="00431E89">
        <w:trPr>
          <w:trHeight w:val="225"/>
        </w:trPr>
        <w:tc>
          <w:tcPr>
            <w:tcW w:w="5118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Took multi vitamins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489 (55.5%)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24 (58.5%)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47(57.3%)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0.495</w:t>
            </w:r>
          </w:p>
        </w:tc>
      </w:tr>
      <w:tr w:rsidR="00C56FB1" w:rsidRPr="00DB728D" w:rsidTr="00431E89">
        <w:trPr>
          <w:trHeight w:val="225"/>
        </w:trPr>
        <w:tc>
          <w:tcPr>
            <w:tcW w:w="5118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Took vitamin D supplements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12 (1.4%)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 (4.9%)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 (1.2%)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0.345</w:t>
            </w:r>
          </w:p>
        </w:tc>
      </w:tr>
      <w:tr w:rsidR="00C56FB1" w:rsidRPr="00DB728D" w:rsidTr="00431E89">
        <w:trPr>
          <w:trHeight w:val="225"/>
        </w:trPr>
        <w:tc>
          <w:tcPr>
            <w:tcW w:w="5118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Took fish oil capsules 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102 (11.6%)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 (9.8%)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13 (17.0%)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0.235</w:t>
            </w:r>
          </w:p>
        </w:tc>
      </w:tr>
      <w:tr w:rsidR="00C56FB1" w:rsidRPr="00DB728D" w:rsidTr="00C56FB1">
        <w:trPr>
          <w:trHeight w:val="218"/>
        </w:trPr>
        <w:tc>
          <w:tcPr>
            <w:tcW w:w="11922" w:type="dxa"/>
            <w:gridSpan w:val="7"/>
            <w:shd w:val="clear" w:color="auto" w:fill="auto"/>
          </w:tcPr>
          <w:p w:rsidR="00C56FB1" w:rsidRPr="00DB728D" w:rsidRDefault="00C56FB1" w:rsidP="00C56FB1">
            <w:pPr>
              <w:spacing w:before="120" w:after="40"/>
              <w:rPr>
                <w:b/>
                <w:i/>
                <w:color w:val="000000"/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Diet d</w:t>
            </w:r>
            <w:r w:rsidRPr="00DB728D">
              <w:rPr>
                <w:b/>
                <w:i/>
                <w:color w:val="000000"/>
                <w:sz w:val="24"/>
              </w:rPr>
              <w:t>uring Breast feeding:</w:t>
            </w:r>
          </w:p>
        </w:tc>
      </w:tr>
      <w:tr w:rsidR="00C56FB1" w:rsidRPr="00DB728D" w:rsidTr="00C56FB1">
        <w:trPr>
          <w:trHeight w:val="225"/>
        </w:trPr>
        <w:tc>
          <w:tcPr>
            <w:tcW w:w="5402" w:type="dxa"/>
            <w:gridSpan w:val="3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Ever breast fed </w:t>
            </w:r>
          </w:p>
        </w:tc>
        <w:tc>
          <w:tcPr>
            <w:tcW w:w="1417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653 (91.3%)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38 (92.7%)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79 (96.3%)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0.210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 w:val="restart"/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Egg/egg products 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41 (6.3%)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 (7.9%)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 (2.5%)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0.215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/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46 (7.0%)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6 (15.8%)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5 (6.3%)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0.119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 w:val="restart"/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lastRenderedPageBreak/>
              <w:t xml:space="preserve">Milk/milk products 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417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10 (1.5%)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 (5.3%)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 (1.3%)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0.266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/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417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18 (2.8%)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4 (10.5%)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 (1.3%)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0.048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 w:val="restart"/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Soy/soy products  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532 (81.5%)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22 (57.9%)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55 (69.6%)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0.048</w:t>
            </w:r>
          </w:p>
        </w:tc>
      </w:tr>
      <w:tr w:rsidR="00C56FB1" w:rsidRPr="00DB728D" w:rsidTr="00C56FB1">
        <w:trPr>
          <w:trHeight w:val="297"/>
        </w:trPr>
        <w:tc>
          <w:tcPr>
            <w:tcW w:w="2992" w:type="dxa"/>
            <w:vMerge/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26 (4.0%)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 (2.6%)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tabs>
                <w:tab w:val="center" w:pos="530"/>
              </w:tabs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 (0.0%)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0.382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 w:val="restart"/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Peanut/peanut products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417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343 (52.5%)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18 (47.4%)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36 (45.6%)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0.526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/>
            <w:shd w:val="clear" w:color="auto" w:fill="auto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417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342 (52.4%)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15 (39.5%)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26 (32.9%)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0.451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 w:val="restart"/>
            <w:shd w:val="clear" w:color="auto" w:fill="F2F2F2" w:themeFill="background1" w:themeFillShade="F2"/>
            <w:vAlign w:val="center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Tree nut/tree nut products 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Did not consume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235 (36.0%)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17 (44.7%)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24 (30.4%)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0.139</w:t>
            </w:r>
          </w:p>
        </w:tc>
      </w:tr>
      <w:tr w:rsidR="00C56FB1" w:rsidRPr="00DB728D" w:rsidTr="00C56FB1">
        <w:trPr>
          <w:trHeight w:val="225"/>
        </w:trPr>
        <w:tc>
          <w:tcPr>
            <w:tcW w:w="2992" w:type="dxa"/>
            <w:vMerge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Reduced intake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175 (26.8%)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8 (21.1%)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13 (16.5%)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0.406</w:t>
            </w:r>
          </w:p>
        </w:tc>
      </w:tr>
      <w:tr w:rsidR="00C56FB1" w:rsidRPr="00DB728D" w:rsidTr="00C56FB1">
        <w:trPr>
          <w:trHeight w:val="225"/>
        </w:trPr>
        <w:tc>
          <w:tcPr>
            <w:tcW w:w="5402" w:type="dxa"/>
            <w:gridSpan w:val="3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Consumed  probiotics </w:t>
            </w:r>
          </w:p>
        </w:tc>
        <w:tc>
          <w:tcPr>
            <w:tcW w:w="1417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178 (27.3%)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11 (28.9%)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16 (20.3%)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0.277</w:t>
            </w:r>
          </w:p>
        </w:tc>
      </w:tr>
      <w:tr w:rsidR="00C56FB1" w:rsidRPr="00DB728D" w:rsidTr="00C56FB1">
        <w:trPr>
          <w:trHeight w:val="225"/>
        </w:trPr>
        <w:tc>
          <w:tcPr>
            <w:tcW w:w="5402" w:type="dxa"/>
            <w:gridSpan w:val="3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Took folic acid supplements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85 (12.2%)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8 (21.1%)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15 (19.0%)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0.729</w:t>
            </w:r>
          </w:p>
        </w:tc>
      </w:tr>
      <w:tr w:rsidR="00C56FB1" w:rsidRPr="00DB728D" w:rsidTr="00C56FB1">
        <w:trPr>
          <w:trHeight w:val="225"/>
        </w:trPr>
        <w:tc>
          <w:tcPr>
            <w:tcW w:w="5402" w:type="dxa"/>
            <w:gridSpan w:val="3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Took multi vitamins </w:t>
            </w:r>
          </w:p>
        </w:tc>
        <w:tc>
          <w:tcPr>
            <w:tcW w:w="1417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237 (33.7%)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tabs>
                <w:tab w:val="left" w:pos="393"/>
                <w:tab w:val="center" w:pos="742"/>
              </w:tabs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10 (26.3%)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29 (36.7%)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0.230</w:t>
            </w:r>
          </w:p>
        </w:tc>
      </w:tr>
      <w:tr w:rsidR="00C56FB1" w:rsidRPr="00DB728D" w:rsidTr="00C56FB1">
        <w:trPr>
          <w:trHeight w:val="225"/>
        </w:trPr>
        <w:tc>
          <w:tcPr>
            <w:tcW w:w="5402" w:type="dxa"/>
            <w:gridSpan w:val="3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Took vitamin D supplements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7 (1.1%)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 (5.3%)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1 (1.3%)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0.257</w:t>
            </w:r>
          </w:p>
        </w:tc>
      </w:tr>
      <w:tr w:rsidR="00C56FB1" w:rsidRPr="00DB728D" w:rsidTr="00C56FB1">
        <w:trPr>
          <w:trHeight w:val="225"/>
        </w:trPr>
        <w:tc>
          <w:tcPr>
            <w:tcW w:w="5402" w:type="dxa"/>
            <w:gridSpan w:val="3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 xml:space="preserve">Took fish oil capsules </w:t>
            </w:r>
          </w:p>
        </w:tc>
        <w:tc>
          <w:tcPr>
            <w:tcW w:w="1417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51 (7.8%)</w:t>
            </w:r>
          </w:p>
        </w:tc>
        <w:tc>
          <w:tcPr>
            <w:tcW w:w="2268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2 (5.3%)</w:t>
            </w:r>
          </w:p>
        </w:tc>
        <w:tc>
          <w:tcPr>
            <w:tcW w:w="1843" w:type="dxa"/>
            <w:shd w:val="clear" w:color="auto" w:fill="auto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5 (6.3%)</w:t>
            </w:r>
          </w:p>
        </w:tc>
        <w:tc>
          <w:tcPr>
            <w:tcW w:w="992" w:type="dxa"/>
          </w:tcPr>
          <w:p w:rsidR="00C56FB1" w:rsidRPr="00DB728D" w:rsidRDefault="00C56FB1" w:rsidP="00C56FB1">
            <w:pPr>
              <w:spacing w:before="40" w:after="40"/>
              <w:jc w:val="center"/>
              <w:rPr>
                <w:color w:val="000000"/>
                <w:sz w:val="24"/>
              </w:rPr>
            </w:pPr>
            <w:r w:rsidRPr="00DB728D">
              <w:rPr>
                <w:color w:val="000000"/>
                <w:sz w:val="24"/>
              </w:rPr>
              <w:t>0.571</w:t>
            </w:r>
          </w:p>
        </w:tc>
      </w:tr>
    </w:tbl>
    <w:tbl>
      <w:tblPr>
        <w:tblStyle w:val="TableGrid3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1417"/>
        <w:gridCol w:w="2268"/>
        <w:gridCol w:w="1843"/>
        <w:gridCol w:w="992"/>
      </w:tblGrid>
      <w:tr w:rsidR="00C56FB1" w:rsidTr="00C56FB1">
        <w:trPr>
          <w:trHeight w:val="225"/>
        </w:trPr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b/>
                <w:i/>
                <w:color w:val="000000"/>
                <w:sz w:val="24"/>
              </w:rPr>
            </w:pPr>
            <w:r>
              <w:rPr>
                <w:rFonts w:eastAsia="Times New Roman"/>
                <w:b/>
                <w:i/>
                <w:sz w:val="24"/>
                <w:lang w:eastAsia="en-GB"/>
              </w:rPr>
              <w:t>Environmental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b/>
                <w:i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b/>
                <w:i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b/>
                <w:i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sz w:val="24"/>
                <w:lang w:eastAsia="en-GB"/>
              </w:rPr>
            </w:pPr>
            <w:r>
              <w:rPr>
                <w:rFonts w:eastAsia="Times New Roman"/>
                <w:color w:val="000000"/>
                <w:sz w:val="24"/>
              </w:rPr>
              <w:t>Urban living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sz w:val="24"/>
                <w:lang w:eastAsia="en-GB"/>
              </w:rPr>
            </w:pPr>
            <w:r>
              <w:rPr>
                <w:rFonts w:eastAsia="Times New Roman"/>
                <w:sz w:val="24"/>
                <w:lang w:eastAsia="en-GB"/>
              </w:rPr>
              <w:t>273 (23.9%)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sz w:val="24"/>
                <w:lang w:eastAsia="en-GB"/>
              </w:rPr>
            </w:pPr>
            <w:r>
              <w:rPr>
                <w:rFonts w:eastAsia="Times New Roman"/>
                <w:sz w:val="24"/>
                <w:lang w:eastAsia="en-GB"/>
              </w:rPr>
              <w:t>8 (19.5%)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D5130E" w:rsidP="00BB5847">
            <w:pPr>
              <w:spacing w:before="40" w:after="40"/>
              <w:jc w:val="center"/>
              <w:rPr>
                <w:rFonts w:eastAsia="Times New Roman"/>
                <w:sz w:val="24"/>
                <w:lang w:eastAsia="en-GB"/>
              </w:rPr>
            </w:pPr>
            <w:r w:rsidDel="00D5130E">
              <w:rPr>
                <w:rFonts w:eastAsia="Times New Roman"/>
                <w:sz w:val="24"/>
                <w:lang w:eastAsia="en-GB"/>
              </w:rPr>
              <w:t xml:space="preserve"> </w:t>
            </w:r>
            <w:r w:rsidRPr="001418E1">
              <w:rPr>
                <w:rFonts w:eastAsia="Times New Roman"/>
                <w:color w:val="FF0000"/>
                <w:sz w:val="24"/>
                <w:lang w:eastAsia="en-GB"/>
              </w:rPr>
              <w:t>11</w:t>
            </w:r>
            <w:r w:rsidR="00C56FB1" w:rsidRPr="001418E1">
              <w:rPr>
                <w:rFonts w:eastAsia="Times New Roman"/>
                <w:color w:val="FF0000"/>
                <w:sz w:val="24"/>
                <w:lang w:eastAsia="en-GB"/>
              </w:rPr>
              <w:t>(1</w:t>
            </w:r>
            <w:r w:rsidR="00BB5847" w:rsidRPr="001418E1">
              <w:rPr>
                <w:rFonts w:eastAsia="Times New Roman"/>
                <w:color w:val="FF0000"/>
                <w:sz w:val="24"/>
                <w:lang w:eastAsia="en-GB"/>
              </w:rPr>
              <w:t>3.4</w:t>
            </w:r>
            <w:r w:rsidR="00C56FB1" w:rsidRPr="001418E1">
              <w:rPr>
                <w:rFonts w:eastAsia="Times New Roman"/>
                <w:color w:val="FF0000"/>
                <w:sz w:val="24"/>
                <w:lang w:eastAsia="en-GB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0.601</w:t>
            </w:r>
          </w:p>
        </w:tc>
      </w:tr>
      <w:tr w:rsidR="00C56FB1" w:rsidTr="00C56FB1">
        <w:trPr>
          <w:trHeight w:val="22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sz w:val="24"/>
                <w:lang w:eastAsia="en-GB"/>
              </w:rPr>
            </w:pPr>
            <w:r>
              <w:rPr>
                <w:rFonts w:eastAsia="Times New Roman"/>
                <w:color w:val="000000"/>
                <w:sz w:val="24"/>
              </w:rPr>
              <w:t>Live on a main road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sz w:val="24"/>
                <w:lang w:eastAsia="en-GB"/>
              </w:rPr>
            </w:pPr>
            <w:r>
              <w:rPr>
                <w:rFonts w:eastAsia="Times New Roman"/>
                <w:sz w:val="24"/>
                <w:lang w:eastAsia="en-GB"/>
              </w:rPr>
              <w:t>84 (9.1%)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sz w:val="24"/>
                <w:lang w:eastAsia="en-GB"/>
              </w:rPr>
              <w:t>3 (7.3%)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sz w:val="24"/>
                <w:lang w:eastAsia="en-GB"/>
              </w:rPr>
              <w:t>5 (6.1%)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0.535</w:t>
            </w:r>
          </w:p>
        </w:tc>
      </w:tr>
      <w:tr w:rsidR="00C56FB1" w:rsidTr="00C56FB1">
        <w:trPr>
          <w:trHeight w:val="22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Cat at home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325 (28.5%)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10 (24.4%)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24 (29.3%)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0.365</w:t>
            </w:r>
          </w:p>
        </w:tc>
      </w:tr>
      <w:tr w:rsidR="00C56FB1" w:rsidTr="00C56FB1">
        <w:trPr>
          <w:trHeight w:val="22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Dog at home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204 (17.9%)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13 (31.7%)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12 (14.6%)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0.026</w:t>
            </w:r>
          </w:p>
        </w:tc>
      </w:tr>
      <w:tr w:rsidR="00C56FB1" w:rsidTr="00C56FB1">
        <w:trPr>
          <w:trHeight w:val="22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Mould in home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49 (13.2%)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5 (12.2%)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8 (9.8%)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0.457</w:t>
            </w:r>
          </w:p>
        </w:tc>
      </w:tr>
      <w:tr w:rsidR="00C56FB1" w:rsidTr="00C56FB1">
        <w:trPr>
          <w:trHeight w:val="225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Type of flooring where baby sleeps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Carpet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970 (86.7%)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37 (90.2%)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72 (87.8%)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0.757</w:t>
            </w: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Wooden, laminate or parquet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138 (12.1%)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4 (9.8%)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9 (11.0%)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Linoleum or vinyl tiles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10 (1.0%)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 (0.0%)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 (1.2%)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Type of mattress your baby sleeps 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Foam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765 (67.1%)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29 (70.7%)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51 (62.2%)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0.362</w:t>
            </w: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Synthetic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148 (13.0%)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10 (24.4%)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22 (26.8%)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87 (7.6%)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 (4.9%)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9 (11.0%)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Cleaning kitchen work surfaces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Non-bactericidal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358 (31.4%)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12 (29.3%)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27 (32.9%)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0.396</w:t>
            </w: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Bactericidal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658 (57.8%)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27 (65.9%)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50 (61.0%)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Neither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108 (9.5%)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 (2.4%)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5 (6.1%)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Don’t know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8 (0.7%)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 (2.4%)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 (0.0%)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Cleaning table where you eat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Spray cleaner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598 (52.5%)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26 (63.4%)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38 (46.3%)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0.131</w:t>
            </w: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Soap and Water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282 (24.9%)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10 (24.4%)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19 (23.2%)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Just water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77 (6.8%)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 (4.9%)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6 (7.3%)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None of these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176 (15.4%)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3 (7.3%)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19 (23.2%)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Pacifier/dummy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Latex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81 (8.8%)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5 (12.2%)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8 (9.8%)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0.202</w:t>
            </w:r>
          </w:p>
        </w:tc>
      </w:tr>
      <w:tr w:rsidR="00C56FB1" w:rsidTr="00C56FB1">
        <w:trPr>
          <w:trHeight w:val="225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Silicon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307 (33.4%)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21 (51.2%)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32 (39.0%)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 w:rsidR="00C56FB1" w:rsidTr="00C56FB1">
        <w:trPr>
          <w:trHeight w:val="22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Attendance at day care or a nursery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431E89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401 (44.8%)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13 (31.7%)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19 (23.2%)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0.246</w:t>
            </w:r>
          </w:p>
        </w:tc>
      </w:tr>
      <w:tr w:rsidR="00C56FB1" w:rsidTr="00C56FB1">
        <w:trPr>
          <w:trHeight w:val="225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FB1" w:rsidRDefault="00C56FB1" w:rsidP="00C56FB1">
            <w:pPr>
              <w:spacing w:before="40" w:after="40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Mean age when started day care or a nursery,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FB1" w:rsidRDefault="00DD5CDE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8.5 (3.1)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7.3 (2.19)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8.74 (3.74)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FB1" w:rsidRDefault="00C56FB1" w:rsidP="00C56FB1">
            <w:pPr>
              <w:spacing w:before="40" w:after="40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0.269</w:t>
            </w:r>
          </w:p>
        </w:tc>
      </w:tr>
    </w:tbl>
    <w:p w:rsidR="00977ED5" w:rsidRDefault="00A63BF3" w:rsidP="00A63BF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Figures are numbers (%) in each group, means (SD) or medians (25</w:t>
      </w:r>
      <w:r>
        <w:rPr>
          <w:rFonts w:cs="Arial"/>
          <w:sz w:val="20"/>
          <w:vertAlign w:val="superscript"/>
        </w:rPr>
        <w:t>th</w:t>
      </w:r>
      <w:r>
        <w:rPr>
          <w:rFonts w:cs="Arial"/>
          <w:sz w:val="20"/>
        </w:rPr>
        <w:t>, 75</w:t>
      </w:r>
      <w:r>
        <w:rPr>
          <w:rFonts w:cs="Arial"/>
          <w:sz w:val="20"/>
          <w:vertAlign w:val="superscript"/>
        </w:rPr>
        <w:t>th</w:t>
      </w:r>
      <w:r>
        <w:rPr>
          <w:rFonts w:cs="Arial"/>
          <w:sz w:val="20"/>
        </w:rPr>
        <w:t xml:space="preserve"> centiles) unless specified. P-values relate to a comparison between cases and control; they represent a chi squared test for categorical data, Mann Whitney U test for non-parametric data and two sample t test for parametric data. All data was not available for all participants. </w:t>
      </w:r>
    </w:p>
    <w:p w:rsidR="00A63BF3" w:rsidRPr="00977ED5" w:rsidRDefault="00A63BF3" w:rsidP="00A63BF3">
      <w:pPr>
        <w:spacing w:after="120"/>
        <w:rPr>
          <w:sz w:val="24"/>
          <w:szCs w:val="20"/>
          <w:lang w:val="en-US"/>
        </w:rPr>
      </w:pPr>
    </w:p>
    <w:p w:rsidR="000C2599" w:rsidRDefault="000C2599" w:rsidP="00F70396">
      <w:pPr>
        <w:spacing w:after="0" w:line="480" w:lineRule="auto"/>
        <w:rPr>
          <w:b/>
          <w:sz w:val="24"/>
          <w:szCs w:val="20"/>
          <w:lang w:val="en-US"/>
        </w:rPr>
      </w:pPr>
    </w:p>
    <w:p w:rsidR="000C2599" w:rsidRDefault="000C2599" w:rsidP="00F70396">
      <w:pPr>
        <w:spacing w:after="0" w:line="480" w:lineRule="auto"/>
        <w:rPr>
          <w:b/>
          <w:sz w:val="24"/>
          <w:szCs w:val="20"/>
          <w:lang w:val="en-US"/>
        </w:rPr>
      </w:pPr>
    </w:p>
    <w:p w:rsidR="00977ED5" w:rsidRPr="00977ED5" w:rsidRDefault="000C2599" w:rsidP="00F70396">
      <w:pPr>
        <w:spacing w:after="0" w:line="480" w:lineRule="auto"/>
        <w:rPr>
          <w:b/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lastRenderedPageBreak/>
        <w:t>Table S</w:t>
      </w:r>
      <w:r w:rsidR="00977ED5" w:rsidRPr="00977ED5">
        <w:rPr>
          <w:b/>
          <w:sz w:val="24"/>
          <w:szCs w:val="20"/>
          <w:lang w:val="en-US"/>
        </w:rPr>
        <w:t xml:space="preserve">2 </w:t>
      </w:r>
      <w:r w:rsidR="00977ED5" w:rsidRPr="00977ED5">
        <w:rPr>
          <w:sz w:val="24"/>
          <w:szCs w:val="20"/>
          <w:lang w:val="en-US"/>
        </w:rPr>
        <w:t>Details of the causative foods for all infants with food hypersensitivity (DBPCFC positive) and also divided by food hypersensitivity phenotype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450"/>
        <w:gridCol w:w="3252"/>
        <w:gridCol w:w="3487"/>
        <w:gridCol w:w="3769"/>
      </w:tblGrid>
      <w:tr w:rsidR="00977ED5" w:rsidRPr="00977ED5" w:rsidTr="00C56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 xml:space="preserve">Food </w:t>
            </w:r>
          </w:p>
        </w:tc>
        <w:tc>
          <w:tcPr>
            <w:tcW w:w="3294" w:type="dxa"/>
          </w:tcPr>
          <w:p w:rsidR="00977ED5" w:rsidRPr="00977ED5" w:rsidRDefault="00977ED5" w:rsidP="00977ED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DBPCFC Confirmed food hypersensitivity (n=41)</w:t>
            </w:r>
          </w:p>
        </w:tc>
        <w:tc>
          <w:tcPr>
            <w:tcW w:w="3534" w:type="dxa"/>
          </w:tcPr>
          <w:p w:rsidR="00977ED5" w:rsidRPr="00977ED5" w:rsidRDefault="00977ED5" w:rsidP="00977ED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IgE-food allergy (IgE-mediated food hypersensitivity) (n=21)</w:t>
            </w:r>
          </w:p>
        </w:tc>
        <w:tc>
          <w:tcPr>
            <w:tcW w:w="3826" w:type="dxa"/>
          </w:tcPr>
          <w:p w:rsidR="00977ED5" w:rsidRPr="00977ED5" w:rsidRDefault="00977ED5" w:rsidP="00977ED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Non-IgE-mediated food hypersensitivity (n=20)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Cows’ milk</w:t>
            </w:r>
          </w:p>
        </w:tc>
        <w:tc>
          <w:tcPr>
            <w:tcW w:w="329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20</w:t>
            </w:r>
          </w:p>
        </w:tc>
        <w:tc>
          <w:tcPr>
            <w:tcW w:w="35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6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14</w:t>
            </w:r>
          </w:p>
        </w:tc>
      </w:tr>
      <w:tr w:rsidR="00977ED5" w:rsidRPr="00977ED5" w:rsidTr="00C5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Hens’ Egg</w:t>
            </w:r>
          </w:p>
        </w:tc>
        <w:tc>
          <w:tcPr>
            <w:tcW w:w="3294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22</w:t>
            </w:r>
          </w:p>
        </w:tc>
        <w:tc>
          <w:tcPr>
            <w:tcW w:w="3534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17</w:t>
            </w:r>
          </w:p>
        </w:tc>
        <w:tc>
          <w:tcPr>
            <w:tcW w:w="3826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5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Peanut</w:t>
            </w:r>
          </w:p>
        </w:tc>
        <w:tc>
          <w:tcPr>
            <w:tcW w:w="329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6</w:t>
            </w:r>
          </w:p>
        </w:tc>
        <w:tc>
          <w:tcPr>
            <w:tcW w:w="35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</w:tr>
      <w:tr w:rsidR="00977ED5" w:rsidRPr="00977ED5" w:rsidTr="00C5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Soy</w:t>
            </w:r>
          </w:p>
        </w:tc>
        <w:tc>
          <w:tcPr>
            <w:tcW w:w="3294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3</w:t>
            </w:r>
          </w:p>
        </w:tc>
        <w:tc>
          <w:tcPr>
            <w:tcW w:w="3534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  <w:tc>
          <w:tcPr>
            <w:tcW w:w="3826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2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Wheat</w:t>
            </w:r>
          </w:p>
        </w:tc>
        <w:tc>
          <w:tcPr>
            <w:tcW w:w="329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2</w:t>
            </w:r>
          </w:p>
        </w:tc>
        <w:tc>
          <w:tcPr>
            <w:tcW w:w="35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</w:tr>
      <w:tr w:rsidR="00977ED5" w:rsidRPr="00977ED5" w:rsidTr="00C5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Fish</w:t>
            </w:r>
          </w:p>
        </w:tc>
        <w:tc>
          <w:tcPr>
            <w:tcW w:w="3294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  <w:tc>
          <w:tcPr>
            <w:tcW w:w="3534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  <w:tc>
          <w:tcPr>
            <w:tcW w:w="3826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0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Lentil</w:t>
            </w:r>
          </w:p>
        </w:tc>
        <w:tc>
          <w:tcPr>
            <w:tcW w:w="329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  <w:tc>
          <w:tcPr>
            <w:tcW w:w="35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0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</w:tr>
      <w:tr w:rsidR="00977ED5" w:rsidRPr="00977ED5" w:rsidTr="00C5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</w:tcPr>
          <w:p w:rsidR="00977ED5" w:rsidRPr="00977ED5" w:rsidRDefault="00977ED5" w:rsidP="00977ED5">
            <w:pPr>
              <w:spacing w:line="480" w:lineRule="auto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Broccoli</w:t>
            </w:r>
          </w:p>
        </w:tc>
        <w:tc>
          <w:tcPr>
            <w:tcW w:w="3294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  <w:tc>
          <w:tcPr>
            <w:tcW w:w="3534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0</w:t>
            </w:r>
          </w:p>
        </w:tc>
        <w:tc>
          <w:tcPr>
            <w:tcW w:w="3826" w:type="dxa"/>
          </w:tcPr>
          <w:p w:rsidR="00977ED5" w:rsidRPr="00977ED5" w:rsidRDefault="00977ED5" w:rsidP="00977ED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977ED5">
              <w:rPr>
                <w:sz w:val="24"/>
                <w:lang w:val="en-US"/>
              </w:rPr>
              <w:t>1</w:t>
            </w:r>
          </w:p>
        </w:tc>
      </w:tr>
    </w:tbl>
    <w:p w:rsidR="00977ED5" w:rsidRPr="00977ED5" w:rsidRDefault="00977ED5" w:rsidP="00977ED5">
      <w:pPr>
        <w:spacing w:after="0" w:line="480" w:lineRule="auto"/>
        <w:rPr>
          <w:sz w:val="20"/>
          <w:szCs w:val="20"/>
          <w:lang w:val="en-US"/>
        </w:rPr>
      </w:pPr>
    </w:p>
    <w:p w:rsidR="00977ED5" w:rsidRPr="00977ED5" w:rsidRDefault="00977ED5" w:rsidP="00977ED5">
      <w:pPr>
        <w:spacing w:after="0" w:line="240" w:lineRule="auto"/>
        <w:rPr>
          <w:sz w:val="20"/>
          <w:szCs w:val="20"/>
          <w:lang w:val="en-US"/>
        </w:rPr>
      </w:pPr>
      <w:r w:rsidRPr="00977ED5">
        <w:rPr>
          <w:sz w:val="20"/>
          <w:szCs w:val="20"/>
          <w:lang w:val="en-US"/>
        </w:rPr>
        <w:t xml:space="preserve">All but one infant had SpIgE measured. The infant for whom there is no SpIgE data was SPT negative and was characterized as having non-IgE mediated food hypersensitivity and was reactive to milk.  </w:t>
      </w:r>
    </w:p>
    <w:p w:rsidR="00977ED5" w:rsidRPr="00977ED5" w:rsidRDefault="00977ED5" w:rsidP="00977ED5">
      <w:pPr>
        <w:spacing w:after="0" w:line="240" w:lineRule="auto"/>
        <w:rPr>
          <w:b/>
          <w:sz w:val="24"/>
          <w:szCs w:val="20"/>
          <w:lang w:val="en-US"/>
        </w:rPr>
        <w:sectPr w:rsidR="00977ED5" w:rsidRPr="00977ED5">
          <w:pgSz w:w="16838" w:h="11906" w:orient="landscape"/>
          <w:pgMar w:top="1440" w:right="1440" w:bottom="1440" w:left="1440" w:header="708" w:footer="708" w:gutter="0"/>
          <w:cols w:space="708"/>
        </w:sectPr>
      </w:pPr>
    </w:p>
    <w:p w:rsidR="00FD54D9" w:rsidRDefault="00FD54D9" w:rsidP="00FD54D9">
      <w:pPr>
        <w:spacing w:after="0" w:line="480" w:lineRule="auto"/>
        <w:rPr>
          <w:b/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lastRenderedPageBreak/>
        <w:t xml:space="preserve">Table S3 Comparison of </w:t>
      </w:r>
      <w:r w:rsidR="00B502CC">
        <w:rPr>
          <w:b/>
          <w:sz w:val="24"/>
          <w:szCs w:val="20"/>
          <w:lang w:val="en-US"/>
        </w:rPr>
        <w:t xml:space="preserve">maternal, paternal, nutritional and environmental factors for </w:t>
      </w:r>
      <w:r>
        <w:rPr>
          <w:b/>
          <w:sz w:val="24"/>
          <w:szCs w:val="20"/>
          <w:lang w:val="en-US"/>
        </w:rPr>
        <w:t xml:space="preserve">participants </w:t>
      </w:r>
      <w:proofErr w:type="gramStart"/>
      <w:r>
        <w:rPr>
          <w:b/>
          <w:sz w:val="24"/>
          <w:szCs w:val="20"/>
          <w:lang w:val="en-US"/>
        </w:rPr>
        <w:t>with  IgE</w:t>
      </w:r>
      <w:proofErr w:type="gramEnd"/>
      <w:r>
        <w:rPr>
          <w:b/>
          <w:sz w:val="24"/>
          <w:szCs w:val="20"/>
          <w:lang w:val="en-US"/>
        </w:rPr>
        <w:t xml:space="preserve"> mediated food allergy and Non- IgE food hypersensitivity</w:t>
      </w:r>
    </w:p>
    <w:tbl>
      <w:tblPr>
        <w:tblStyle w:val="PlainTable1"/>
        <w:tblW w:w="12044" w:type="dxa"/>
        <w:tblLayout w:type="fixed"/>
        <w:tblLook w:val="04A0" w:firstRow="1" w:lastRow="0" w:firstColumn="1" w:lastColumn="0" w:noHBand="0" w:noVBand="1"/>
      </w:tblPr>
      <w:tblGrid>
        <w:gridCol w:w="1628"/>
        <w:gridCol w:w="274"/>
        <w:gridCol w:w="861"/>
        <w:gridCol w:w="1009"/>
        <w:gridCol w:w="32"/>
        <w:gridCol w:w="14"/>
        <w:gridCol w:w="285"/>
        <w:gridCol w:w="3122"/>
        <w:gridCol w:w="2976"/>
        <w:gridCol w:w="1843"/>
      </w:tblGrid>
      <w:tr w:rsidR="008E003D" w:rsidRPr="00977ED5" w:rsidTr="00A62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03D" w:rsidRPr="00977ED5" w:rsidRDefault="008E003D" w:rsidP="00FD54D9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03D" w:rsidRPr="00977ED5" w:rsidRDefault="008E003D" w:rsidP="00FD54D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 w:val="0"/>
                <w:color w:val="000000"/>
                <w:sz w:val="20"/>
                <w:szCs w:val="20"/>
              </w:rPr>
              <w:t xml:space="preserve">Participants with IgE </w:t>
            </w:r>
            <w:r>
              <w:rPr>
                <w:rFonts w:asciiTheme="minorBidi" w:eastAsia="Times New Roman" w:hAnsiTheme="minorBidi"/>
                <w:b w:val="0"/>
                <w:color w:val="000000"/>
                <w:sz w:val="20"/>
                <w:szCs w:val="20"/>
              </w:rPr>
              <w:t xml:space="preserve">mediated </w:t>
            </w:r>
            <w:r w:rsidRPr="00977ED5">
              <w:rPr>
                <w:rFonts w:asciiTheme="minorBidi" w:eastAsia="Times New Roman" w:hAnsiTheme="minorBidi"/>
                <w:b w:val="0"/>
                <w:color w:val="000000"/>
                <w:sz w:val="20"/>
                <w:szCs w:val="20"/>
              </w:rPr>
              <w:t>food (n=21)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03D" w:rsidRPr="00977ED5" w:rsidRDefault="008E003D" w:rsidP="00FD54D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 w:val="0"/>
                <w:color w:val="000000"/>
                <w:sz w:val="20"/>
                <w:szCs w:val="20"/>
              </w:rPr>
              <w:t>Participants with non-IgE food hypersensitivity (n=20)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03D" w:rsidRPr="00977ED5" w:rsidRDefault="008E003D" w:rsidP="00FD54D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 w:val="0"/>
                <w:color w:val="000000"/>
                <w:sz w:val="20"/>
                <w:szCs w:val="20"/>
              </w:rPr>
              <w:t>p- value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FD54D9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</w:t>
            </w: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age of child, months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FD54D9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FD54D9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AA3409" w:rsidP="00FD54D9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AA3409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0.555</w:t>
            </w:r>
          </w:p>
        </w:tc>
      </w:tr>
      <w:tr w:rsidR="008E003D" w:rsidRPr="00977ED5" w:rsidTr="005C1995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FD54D9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Presenting symptoms: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FD54D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FD54D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8E003D" w:rsidP="00FD54D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FD54D9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Gastrointestinal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FD54D9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FD54D9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8 (40%)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7B3F4D" w:rsidP="00FD54D9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AA3409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0.077</w:t>
            </w:r>
          </w:p>
        </w:tc>
      </w:tr>
      <w:tr w:rsidR="008E003D" w:rsidRPr="00977ED5" w:rsidTr="005C1995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FD54D9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Cutaneous (eczema and/or urticarial)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13 (61.9%)</w:t>
            </w:r>
          </w:p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(3 urticaria)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FD54D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8 (40%)</w:t>
            </w:r>
          </w:p>
          <w:p w:rsidR="008E003D" w:rsidRPr="002A084D" w:rsidRDefault="008E003D" w:rsidP="00FD54D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(1 urticaria)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7B3F4D" w:rsidP="00FD54D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AA3409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0.342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Respiratory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3 (15%)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AA3409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0.548</w:t>
            </w:r>
          </w:p>
        </w:tc>
      </w:tr>
      <w:tr w:rsidR="008E003D" w:rsidRPr="00977ED5" w:rsidTr="005C199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1 (5%)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AA3409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0.846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None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1 (4.8%)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How soon did symptoms appear, minutes (SE)</w:t>
            </w: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*</w:t>
            </w: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[Range]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sz w:val="20"/>
                <w:szCs w:val="20"/>
                <w:lang w:eastAsia="en-GB"/>
              </w:rPr>
            </w:pPr>
            <w:r w:rsidRPr="002A084D">
              <w:rPr>
                <w:rFonts w:asciiTheme="minorBidi" w:eastAsia="Times New Roman" w:hAnsiTheme="minorBidi"/>
                <w:bCs/>
                <w:sz w:val="20"/>
                <w:szCs w:val="20"/>
                <w:lang w:eastAsia="en-GB"/>
              </w:rPr>
              <w:t xml:space="preserve">16.8 </w:t>
            </w:r>
          </w:p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sz w:val="20"/>
                <w:szCs w:val="20"/>
                <w:lang w:eastAsia="en-GB"/>
              </w:rPr>
              <w:t>(8.98) [0-120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B3F4D" w:rsidRPr="002A084D" w:rsidRDefault="007B3F4D" w:rsidP="002A084D">
            <w:pPr>
              <w:tabs>
                <w:tab w:val="left" w:pos="430"/>
                <w:tab w:val="center" w:pos="684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sz w:val="20"/>
                <w:szCs w:val="20"/>
                <w:lang w:eastAsia="en-GB"/>
              </w:rPr>
            </w:pPr>
            <w:r w:rsidRPr="002A084D">
              <w:rPr>
                <w:rFonts w:asciiTheme="minorBidi" w:eastAsia="Times New Roman" w:hAnsiTheme="minorBidi"/>
                <w:bCs/>
                <w:sz w:val="20"/>
                <w:szCs w:val="20"/>
                <w:lang w:eastAsia="en-GB"/>
              </w:rPr>
              <w:t>339.2</w:t>
            </w:r>
          </w:p>
          <w:p w:rsidR="008E003D" w:rsidRPr="002A084D" w:rsidRDefault="007B3F4D" w:rsidP="007B3F4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sz w:val="20"/>
                <w:szCs w:val="20"/>
                <w:lang w:eastAsia="en-GB"/>
              </w:rPr>
              <w:t>(247.15) [0-4320]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Positive specific IgE (</w:t>
            </w:r>
            <w:r w:rsidRPr="00977ED5">
              <w:rPr>
                <w:rFonts w:ascii="Symbol" w:eastAsia="Times New Roman" w:hAnsi="Symbol"/>
                <w:color w:val="000000"/>
                <w:sz w:val="20"/>
                <w:szCs w:val="20"/>
              </w:rPr>
              <w:sym w:font="Symbol" w:char="F0B3"/>
            </w: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0.35 kU/l)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specific IgE, kU/l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Positive SPT (</w:t>
            </w:r>
            <w:r w:rsidRPr="00977ED5">
              <w:rPr>
                <w:rFonts w:ascii="Symbol" w:eastAsia="Times New Roman" w:hAnsi="Symbol"/>
                <w:color w:val="000000"/>
                <w:sz w:val="20"/>
                <w:szCs w:val="20"/>
              </w:rPr>
              <w:sym w:font="Symbol" w:char="F0B3"/>
            </w: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 mm)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SPT weal diameter, mm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Current eczema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21 (100 5 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12 (60%)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AA3409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0.015</w:t>
            </w:r>
          </w:p>
        </w:tc>
      </w:tr>
      <w:tr w:rsidR="008E003D" w:rsidRPr="00977ED5" w:rsidTr="005C1995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Current wheeze/asthma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8 (40%)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AA3409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0.795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Current rhinitis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8 (38.1%)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6 (30%)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AA3409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</w:pPr>
            <w:r w:rsidRPr="00AA3409">
              <w:rPr>
                <w:rFonts w:asciiTheme="minorBidi" w:eastAsia="Times New Roman" w:hAnsiTheme="minorBidi"/>
                <w:bCs/>
                <w:color w:val="000000"/>
                <w:sz w:val="20"/>
                <w:szCs w:val="20"/>
              </w:rPr>
              <w:t>0.637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>Ethnicity (n=1133) : Caucasian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0.367</w:t>
            </w:r>
            <w:r w:rsidR="008E003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                             non-</w:t>
            </w:r>
            <w:proofErr w:type="spellStart"/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caucasian</w:t>
            </w:r>
            <w:proofErr w:type="spellEnd"/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Age mother (n=1136) mean, years (SD)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0.075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Age father ( N=1136) mean, years (SD)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D647B0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0.048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Highest education of parents: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Low (up to 12y)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D647B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0.367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Intermediate (&gt;12y, e.g. college)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High (e.g. university)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Allergies in family 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Mother atopic (A, AR or E)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0.292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Father atopic (A, AR or E)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0.749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Mother food hypersensitivity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0.013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Father food hypersensitivity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0.376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Urban living environment 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0.015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Number of sibs at home  mean (SD)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0.199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Female sex (n=1140)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0.279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Season of birth (n=1139)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7B3F4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summer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F4D" w:rsidRPr="001418E1" w:rsidRDefault="00BB584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BB584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9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D647B0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0.934</w:t>
            </w:r>
          </w:p>
        </w:tc>
      </w:tr>
      <w:tr w:rsidR="007B3F4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autumn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F4D" w:rsidRPr="001418E1" w:rsidRDefault="00BB584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7B3F4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winter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B3F4D" w:rsidRPr="001418E1" w:rsidRDefault="001F7A0F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7B3F4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spring</w:t>
            </w:r>
          </w:p>
        </w:tc>
        <w:tc>
          <w:tcPr>
            <w:tcW w:w="3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B3F4D" w:rsidRPr="001418E1" w:rsidRDefault="00BB584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maternal pre-pregnancy weight, kg (n=979)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 </w:t>
            </w: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68.74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D647B0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0.496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maternal pre-pregnancy height, cm (n=986)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164.11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164.05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D647B0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0.718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parity (n=1140)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0.415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>Singleton pregnancy (n=1135)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0.323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Maternal smoking in pregnancy (n=1140)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7B3F4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</w:t>
            </w:r>
            <w:r w:rsidR="007B3F4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323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Other household smoking (n=1140)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Aspirin/paracetamol during pregnancy (n=890)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0.855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Any anti-inflammatory during pregnancy (n=894)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0.058</w:t>
            </w:r>
          </w:p>
        </w:tc>
      </w:tr>
      <w:tr w:rsidR="007B3F4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Mode of delivery    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normal delivery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F4D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2A084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0.604</w:t>
            </w:r>
          </w:p>
        </w:tc>
      </w:tr>
      <w:tr w:rsidR="007B3F4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(n=1132)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caesarean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F4D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7B3F4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forceps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F4D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3F4D" w:rsidRPr="00977ED5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Maternal antibiotics during pregnancy (n=886)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gestation (n=1139) , weeks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39.19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D647B0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0.659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birth weight (n=1131), grams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3465.00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3382.89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D647B0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Antibiotics in first week of age (n=1115)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2A084D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A084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During pregnancy: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Egg/egg products (n=896)</w:t>
            </w:r>
          </w:p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7B3F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0.906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tabs>
                <w:tab w:val="left" w:pos="411"/>
                <w:tab w:val="center" w:pos="742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0.558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Milk/milk products</w:t>
            </w:r>
          </w:p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(n=894)</w:t>
            </w: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0.115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0.638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Soy/soy products (n=894)</w:t>
            </w: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0.506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2A084D" w:rsidP="008E003D">
            <w:pPr>
              <w:tabs>
                <w:tab w:val="left" w:pos="224"/>
                <w:tab w:val="center" w:pos="459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0.310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Peanut/peanut products (n=890)</w:t>
            </w: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0.765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0.240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Tree nus/tree nut products (n=889)</w:t>
            </w:r>
          </w:p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0.231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0.675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>Full maternal diet ( n-897)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Consume probiotics (n=887)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0.393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folic acid supplements (n=882)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0.243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multi vitamins (n=881)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0.388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vitamin D supplements (n=881)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0.451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Took fish oil </w:t>
            </w: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supplement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0.025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Ever breast fed (n=918)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0.853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b w:val="0"/>
                <w:i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 w:val="0"/>
                <w:i/>
                <w:color w:val="000000"/>
                <w:sz w:val="20"/>
                <w:szCs w:val="20"/>
              </w:rPr>
              <w:t>While breast feeding: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Egg/egg products  (n= 707)</w:t>
            </w: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0.546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0.371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Milk/milk products  (n=712)</w:t>
            </w: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0.146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0.289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Soy/soy products  (n=712)</w:t>
            </w: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0.494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tabs>
                <w:tab w:val="center" w:pos="53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0.310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Peanut/peanut products (n=710)</w:t>
            </w:r>
          </w:p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0.310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Tree nut/tree nut products (n=710)</w:t>
            </w:r>
          </w:p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0.738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0.264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Consumed  probiotics (n=707)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0.011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folic acid supplements ( n=697)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0.427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multi vitamins (n=704)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tabs>
                <w:tab w:val="left" w:pos="393"/>
                <w:tab w:val="center" w:pos="742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C79D7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0.569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>Took vitamin D supplements (n=696)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0.967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fish oil capsules (n=688)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0.967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duration of any breastfeeding, weeks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20.00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(4.0-32.0)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13.0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(2.25-25.25)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0.336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exclusive breast feeding duration, weeks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2.5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(0.0-6.25)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2.0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(0.0-14.5)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0.806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Median age at first solid/semi-solid food, weeks  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20.5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(17.25-24.0)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17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(16-20.75)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0.157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Median age at  first </w:t>
            </w:r>
            <w:proofErr w:type="spellStart"/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cows</w:t>
            </w:r>
            <w:proofErr w:type="spellEnd"/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milk formula feed, weeks  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3.5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(1.0-11.5)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3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(1-8.25)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0.815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Median age at  first </w:t>
            </w:r>
            <w:proofErr w:type="spellStart"/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cows</w:t>
            </w:r>
            <w:proofErr w:type="spellEnd"/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milk in any form, weeks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372C3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3.0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(1.0-8.5)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3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(1-8)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0.883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age at  any hens’ egg in any form, weeks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52.0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(42-53)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52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(35.25-52)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0.928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age at  first wheat in any form, weeks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(24.75-33)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25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</w:rPr>
              <w:t>(</w:t>
            </w:r>
            <w:r w:rsidRPr="00977ED5">
              <w:rPr>
                <w:rFonts w:asciiTheme="minorBidi" w:eastAsia="Times New Roman" w:hAnsiTheme="minorBidi"/>
                <w:color w:val="000000"/>
              </w:rPr>
              <w:t>19.5-27)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0.295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age at  first peanut in any form, weeks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(52.0-52.0)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52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(52.0-52.0)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0.623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Duration of concurrent breastfeeding and any solid food, week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372C3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(0-20.0)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(0-5)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0.411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Duration of concurrent breastfeeding and </w:t>
            </w:r>
            <w:proofErr w:type="spellStart"/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cows</w:t>
            </w:r>
            <w:proofErr w:type="spellEnd"/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milk in any form, week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(0.0-23.0)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5.5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(0-9.25)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D647B0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0.153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healthy eating dietary pattern score from principal component analysis(16)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-0.294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D54D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(0.19)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-0.472</w:t>
            </w:r>
          </w:p>
          <w:p w:rsidR="008E003D" w:rsidRPr="00FD54D9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(0.21)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FD54D9" w:rsidRDefault="002A08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0.771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Maternal smoking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tabs>
                <w:tab w:val="left" w:pos="430"/>
                <w:tab w:val="center" w:pos="742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tabs>
                <w:tab w:val="left" w:pos="430"/>
                <w:tab w:val="center" w:pos="742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0.101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Anyone else smoking inside home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2A08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Live on a main road 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0.520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>Cat at home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0.929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Dog at home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0.265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Mould in home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9740D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2A084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9740DB" w:rsidP="002A084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0.592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Type of flooring where baby sleeps (split into categories)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Carpet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9740D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0.959</w:t>
            </w:r>
          </w:p>
        </w:tc>
      </w:tr>
      <w:tr w:rsidR="009740DB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2A084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Wooden, laminate, parquet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Linoleum or vinyl tiles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Type of mattress your baby sleeps on (split into categories)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Foam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9740D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0.930</w:t>
            </w:r>
          </w:p>
        </w:tc>
      </w:tr>
      <w:tr w:rsidR="009740DB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Synthetic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Other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Cleaning kitchen work surfaces (split into categories)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Non-bactericidal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9740D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0.237</w:t>
            </w:r>
          </w:p>
        </w:tc>
      </w:tr>
      <w:tr w:rsidR="009740DB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Bactericidal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Neither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Don’t know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Cleaning  table where you eat (split into categories)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Spray cleaner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9740D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0.471</w:t>
            </w: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Soap and water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Just water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None of these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Pacifier/dummy (split into categories)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40DB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 xml:space="preserve">    Latex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2A0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</w:rPr>
              <w:t>0.262</w:t>
            </w:r>
          </w:p>
        </w:tc>
      </w:tr>
      <w:tr w:rsidR="009740DB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Silicon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40DB" w:rsidRPr="00977ED5" w:rsidRDefault="009740DB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Attendance at day care or a nursery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0.025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Upper respiratory infection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091E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0.810</w:t>
            </w:r>
          </w:p>
        </w:tc>
      </w:tr>
      <w:tr w:rsidR="00091EF3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Lower respiratory infection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091E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0.290</w:t>
            </w:r>
          </w:p>
        </w:tc>
      </w:tr>
      <w:tr w:rsidR="00091EF3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Wheeze with upper respiratory infection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091E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0.153</w:t>
            </w:r>
          </w:p>
        </w:tc>
      </w:tr>
      <w:tr w:rsidR="00091EF3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Bronchiolitis (bronchitis)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091E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0.146</w:t>
            </w:r>
          </w:p>
        </w:tc>
      </w:tr>
      <w:tr w:rsidR="00091EF3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Middle ear infection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091E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091EF3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 xml:space="preserve"> Gastrointestinal illness 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091E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0.565</w:t>
            </w:r>
          </w:p>
        </w:tc>
      </w:tr>
      <w:tr w:rsidR="00091EF3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091EF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91EF3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EF3" w:rsidRPr="00977ED5" w:rsidRDefault="00091EF3" w:rsidP="00091E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number of occasions antibiotics were taken in the last 12 months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2A08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0.964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Average age when first received antibiotics, months (SE)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2A084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0.284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aspirin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0.311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paracetamol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0.632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anti-inflammatories (e.g. Ibuprofen, Nurofen)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0.703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anti-reflux medication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0.283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any vaccinations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0.311</w:t>
            </w:r>
          </w:p>
        </w:tc>
      </w:tr>
      <w:tr w:rsidR="008E003D" w:rsidRPr="00977ED5" w:rsidTr="005C199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any skin creams, lotions or powders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0.631</w:t>
            </w:r>
          </w:p>
        </w:tc>
      </w:tr>
      <w:tr w:rsidR="008E003D" w:rsidRPr="00977ED5" w:rsidTr="005C1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age when started day care or a nursery, months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091EF3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7.44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8E003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E003D" w:rsidRPr="00977ED5" w:rsidRDefault="002A084D" w:rsidP="008E00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0.182</w:t>
            </w:r>
          </w:p>
        </w:tc>
      </w:tr>
    </w:tbl>
    <w:p w:rsidR="007B3F4D" w:rsidRPr="001418E1" w:rsidRDefault="00E535B2" w:rsidP="007B3F4D">
      <w:pPr>
        <w:spacing w:after="0" w:line="480" w:lineRule="auto"/>
        <w:rPr>
          <w:color w:val="FF0000"/>
          <w:sz w:val="20"/>
          <w:szCs w:val="20"/>
          <w:lang w:val="en-US"/>
        </w:rPr>
      </w:pPr>
      <w:r w:rsidRPr="00977ED5">
        <w:rPr>
          <w:rFonts w:cs="Arial"/>
          <w:sz w:val="20"/>
          <w:szCs w:val="20"/>
        </w:rPr>
        <w:t>Figures are numbers (%), median (25</w:t>
      </w:r>
      <w:r w:rsidRPr="00977ED5">
        <w:rPr>
          <w:rFonts w:cs="Arial"/>
          <w:sz w:val="20"/>
          <w:szCs w:val="20"/>
          <w:vertAlign w:val="superscript"/>
        </w:rPr>
        <w:t>th</w:t>
      </w:r>
      <w:r w:rsidRPr="00977ED5">
        <w:rPr>
          <w:rFonts w:cs="Arial"/>
          <w:sz w:val="20"/>
          <w:szCs w:val="20"/>
        </w:rPr>
        <w:t>, 75</w:t>
      </w:r>
      <w:r w:rsidRPr="00977ED5">
        <w:rPr>
          <w:rFonts w:cs="Arial"/>
          <w:sz w:val="20"/>
          <w:szCs w:val="20"/>
          <w:vertAlign w:val="superscript"/>
        </w:rPr>
        <w:t>th</w:t>
      </w:r>
      <w:r w:rsidRPr="00977ED5">
        <w:rPr>
          <w:rFonts w:cs="Arial"/>
          <w:sz w:val="20"/>
          <w:szCs w:val="20"/>
        </w:rPr>
        <w:t xml:space="preserve"> centile) or mean (SD) in each group unless specified. P-values relate to a comparison between cases and control; they represent a chi squared test for categorical data</w:t>
      </w:r>
      <w:proofErr w:type="gramStart"/>
      <w:r w:rsidRPr="00977ED5">
        <w:rPr>
          <w:rFonts w:cs="Arial"/>
          <w:sz w:val="20"/>
          <w:szCs w:val="20"/>
        </w:rPr>
        <w:t>,  Mann</w:t>
      </w:r>
      <w:proofErr w:type="gramEnd"/>
      <w:r w:rsidRPr="00977ED5">
        <w:rPr>
          <w:rFonts w:cs="Arial"/>
          <w:sz w:val="20"/>
          <w:szCs w:val="20"/>
        </w:rPr>
        <w:t xml:space="preserve"> Whitney U test  for non-parametric data and two sample t test for parametric data</w:t>
      </w:r>
      <w:r w:rsidRPr="001418E1">
        <w:rPr>
          <w:rFonts w:cs="Arial"/>
          <w:color w:val="FF0000"/>
          <w:sz w:val="24"/>
          <w:szCs w:val="20"/>
        </w:rPr>
        <w:t>.</w:t>
      </w:r>
      <w:r w:rsidRPr="001418E1" w:rsidDel="008764BB">
        <w:rPr>
          <w:color w:val="FF0000"/>
          <w:sz w:val="24"/>
          <w:szCs w:val="20"/>
          <w:lang w:val="en-US"/>
        </w:rPr>
        <w:t xml:space="preserve"> </w:t>
      </w:r>
      <w:r w:rsidR="007B3F4D" w:rsidRPr="001418E1">
        <w:rPr>
          <w:color w:val="FF0000"/>
          <w:sz w:val="20"/>
          <w:szCs w:val="20"/>
          <w:lang w:val="en-US"/>
        </w:rPr>
        <w:t>*SE represents Standard Error of the mean</w:t>
      </w:r>
    </w:p>
    <w:p w:rsidR="00977ED5" w:rsidRPr="00977ED5" w:rsidRDefault="000C2599" w:rsidP="00FD54D9">
      <w:pPr>
        <w:spacing w:after="0" w:line="480" w:lineRule="auto"/>
        <w:rPr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lastRenderedPageBreak/>
        <w:t xml:space="preserve">Table </w:t>
      </w:r>
      <w:r w:rsidRPr="001418E1">
        <w:rPr>
          <w:b/>
          <w:color w:val="FF0000"/>
          <w:sz w:val="24"/>
          <w:szCs w:val="20"/>
          <w:lang w:val="en-US"/>
        </w:rPr>
        <w:t>S</w:t>
      </w:r>
      <w:r w:rsidR="00FD54D9" w:rsidRPr="001418E1">
        <w:rPr>
          <w:b/>
          <w:color w:val="FF0000"/>
          <w:sz w:val="24"/>
          <w:szCs w:val="20"/>
          <w:lang w:val="en-US"/>
        </w:rPr>
        <w:t>4</w:t>
      </w:r>
      <w:r w:rsidR="00977ED5" w:rsidRPr="00977ED5">
        <w:rPr>
          <w:sz w:val="24"/>
          <w:szCs w:val="20"/>
          <w:lang w:val="en-US"/>
        </w:rPr>
        <w:t xml:space="preserve"> Characteristics of participants with food hypersensitivity and their controls at initial assessment divided by food hypersensitivity phenotype</w:t>
      </w: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2268"/>
        <w:gridCol w:w="1559"/>
        <w:gridCol w:w="851"/>
        <w:gridCol w:w="567"/>
        <w:gridCol w:w="425"/>
        <w:gridCol w:w="1843"/>
        <w:gridCol w:w="1843"/>
        <w:gridCol w:w="850"/>
      </w:tblGrid>
      <w:tr w:rsidR="00977ED5" w:rsidRPr="00977ED5" w:rsidTr="00C56FB1">
        <w:trPr>
          <w:trHeight w:val="675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741BE7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sz w:val="20"/>
                <w:szCs w:val="20"/>
                <w:lang w:eastAsia="en-GB"/>
              </w:rPr>
              <w:t xml:space="preserve">Participants with 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  <w:lang w:eastAsia="en-GB"/>
              </w:rPr>
              <w:t xml:space="preserve">IgE </w:t>
            </w:r>
            <w:r w:rsidR="00D510DB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  <w:lang w:eastAsia="en-GB"/>
              </w:rPr>
              <w:t xml:space="preserve"> mediated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  <w:lang w:eastAsia="en-GB"/>
              </w:rPr>
              <w:t xml:space="preserve">food </w:t>
            </w:r>
            <w:r w:rsidR="00741BE7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  <w:lang w:eastAsia="en-GB"/>
              </w:rPr>
              <w:t xml:space="preserve">allergy </w:t>
            </w:r>
            <w:r w:rsidRPr="00977ED5">
              <w:rPr>
                <w:rFonts w:asciiTheme="minorBidi" w:eastAsia="Times New Roman" w:hAnsiTheme="minorBidi"/>
                <w:b/>
                <w:sz w:val="20"/>
                <w:szCs w:val="20"/>
                <w:lang w:eastAsia="en-GB"/>
              </w:rPr>
              <w:t>(n=21)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sz w:val="20"/>
                <w:szCs w:val="20"/>
                <w:lang w:eastAsia="en-GB"/>
              </w:rPr>
              <w:t>Participants with  non-IgE food hypersensitivity (n=20)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B46EF6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</w:t>
            </w:r>
            <w:r w:rsidR="00977ED5"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age of child, months</w:t>
            </w:r>
          </w:p>
        </w:tc>
        <w:tc>
          <w:tcPr>
            <w:tcW w:w="2268" w:type="dxa"/>
          </w:tcPr>
          <w:p w:rsidR="00977ED5" w:rsidRPr="00977ED5" w:rsidRDefault="00B46EF6" w:rsidP="00B46E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  <w:r w:rsidR="00977ED5"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.</w:t>
            </w: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977ED5" w:rsidRPr="00977ED5" w:rsidRDefault="00977ED5" w:rsidP="00B46E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  <w:t>14.</w:t>
            </w:r>
            <w:r w:rsidR="00B46EF6"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7ED5" w:rsidRPr="00977ED5" w:rsidRDefault="00B46EF6" w:rsidP="00977ED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843" w:type="dxa"/>
          </w:tcPr>
          <w:p w:rsidR="00977ED5" w:rsidRPr="00977ED5" w:rsidRDefault="00977ED5" w:rsidP="00B46EF6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  <w:t>14.</w:t>
            </w:r>
            <w:r w:rsidR="00B46EF6"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0.002</w:t>
            </w: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Diagnostic criteria: positive DBPCFC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                          history of anaphylaxis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Presenting symptoms: 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Gastrointestinal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 (14.3%)</w:t>
            </w: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 (40%)</w:t>
            </w: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Cutaneous (eczema and/or urticarial)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 (61.9%)</w:t>
            </w:r>
          </w:p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(3 urticaria)</w:t>
            </w: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 (40%)</w:t>
            </w:r>
          </w:p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(1 urticaria)</w:t>
            </w: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Respiratory 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 (15%)</w:t>
            </w: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Other 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 (9.5%)</w:t>
            </w: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 (5%)</w:t>
            </w: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None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 (4.8%)</w:t>
            </w: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How soon did symptoms appear, minutes (SE)</w:t>
            </w:r>
            <w:r w:rsidR="00E136A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*</w:t>
            </w: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[Range]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  <w:t xml:space="preserve">16.8 </w:t>
            </w:r>
          </w:p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  <w:t>(8.98) [0-120]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430"/>
                <w:tab w:val="center" w:pos="684"/>
              </w:tabs>
              <w:spacing w:before="40" w:after="40" w:line="240" w:lineRule="auto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430"/>
                <w:tab w:val="center" w:pos="684"/>
              </w:tabs>
              <w:spacing w:before="40" w:after="40" w:line="240" w:lineRule="auto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430"/>
                <w:tab w:val="center" w:pos="684"/>
              </w:tabs>
              <w:spacing w:before="40" w:after="40" w:line="240" w:lineRule="auto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  <w:tab/>
              <w:t xml:space="preserve">339.2 </w:t>
            </w:r>
          </w:p>
          <w:p w:rsidR="00977ED5" w:rsidRPr="00977ED5" w:rsidRDefault="00977ED5" w:rsidP="00977ED5">
            <w:pPr>
              <w:tabs>
                <w:tab w:val="left" w:pos="430"/>
                <w:tab w:val="center" w:pos="684"/>
              </w:tabs>
              <w:spacing w:before="40" w:after="40" w:line="240" w:lineRule="auto"/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sz w:val="20"/>
                <w:szCs w:val="20"/>
                <w:lang w:eastAsia="en-GB"/>
              </w:rPr>
              <w:t>(247.15) [0-4320]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Positive specific IgE (</w:t>
            </w:r>
            <w:r w:rsidRPr="00977ED5">
              <w:rPr>
                <w:rFonts w:ascii="Symbol" w:eastAsia="Times New Roman" w:hAnsi="Symbol"/>
                <w:color w:val="000000"/>
                <w:sz w:val="20"/>
                <w:szCs w:val="20"/>
              </w:rPr>
              <w:sym w:font="Symbol" w:char="F0B3"/>
            </w: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0.35 kU/l)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Mean specific IgE, kU/l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Positive SPT (</w:t>
            </w:r>
            <w:r w:rsidRPr="00977ED5">
              <w:rPr>
                <w:rFonts w:ascii="Symbol" w:eastAsia="Times New Roman" w:hAnsi="Symbol"/>
                <w:color w:val="000000"/>
                <w:sz w:val="20"/>
                <w:szCs w:val="20"/>
              </w:rPr>
              <w:sym w:font="Symbol" w:char="F0B3"/>
            </w: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 mm)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SPT weal diameter, mm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Current eczema</w:t>
            </w:r>
          </w:p>
        </w:tc>
        <w:tc>
          <w:tcPr>
            <w:tcW w:w="226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 (100%)</w:t>
            </w:r>
          </w:p>
        </w:tc>
        <w:tc>
          <w:tcPr>
            <w:tcW w:w="155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 (54.9%)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67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 (60%)</w:t>
            </w: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 (54.9%)</w:t>
            </w: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0.604</w:t>
            </w: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Current wheeze/asthma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 (42.9%)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 (25.6%)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 (40%)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 (25.6%)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0.255</w:t>
            </w:r>
          </w:p>
        </w:tc>
      </w:tr>
      <w:tr w:rsidR="00977ED5" w:rsidRPr="00977ED5" w:rsidTr="00C56FB1">
        <w:trPr>
          <w:trHeight w:val="225"/>
        </w:trPr>
        <w:tc>
          <w:tcPr>
            <w:tcW w:w="4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Current rhinitis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 (38.1%)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 (13.4%)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 (30%)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tabs>
                <w:tab w:val="left" w:pos="449"/>
                <w:tab w:val="center" w:pos="597"/>
              </w:tabs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 11 (13.4%)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0.087</w:t>
            </w:r>
          </w:p>
        </w:tc>
      </w:tr>
    </w:tbl>
    <w:p w:rsidR="00977ED5" w:rsidRPr="001418E1" w:rsidRDefault="00E136A6" w:rsidP="00E136A6">
      <w:pPr>
        <w:spacing w:after="0" w:line="480" w:lineRule="auto"/>
        <w:rPr>
          <w:color w:val="FF0000"/>
          <w:sz w:val="24"/>
          <w:szCs w:val="20"/>
          <w:lang w:val="en-US"/>
        </w:rPr>
      </w:pPr>
      <w:r w:rsidRPr="001418E1">
        <w:rPr>
          <w:color w:val="FF0000"/>
          <w:sz w:val="24"/>
          <w:szCs w:val="20"/>
          <w:lang w:val="en-US"/>
        </w:rPr>
        <w:t>*SE represents Standard Error of the mean</w:t>
      </w:r>
    </w:p>
    <w:p w:rsidR="00977ED5" w:rsidRPr="00977ED5" w:rsidRDefault="00977ED5" w:rsidP="00977ED5">
      <w:pPr>
        <w:spacing w:after="0" w:line="480" w:lineRule="auto"/>
        <w:rPr>
          <w:sz w:val="24"/>
          <w:szCs w:val="20"/>
          <w:lang w:val="en-US"/>
        </w:rPr>
      </w:pPr>
    </w:p>
    <w:p w:rsidR="00977ED5" w:rsidRPr="00977ED5" w:rsidRDefault="000C2599" w:rsidP="00FD54D9">
      <w:pPr>
        <w:rPr>
          <w:szCs w:val="20"/>
        </w:rPr>
      </w:pPr>
      <w:r>
        <w:rPr>
          <w:b/>
          <w:sz w:val="24"/>
          <w:szCs w:val="20"/>
          <w:lang w:val="en-US"/>
        </w:rPr>
        <w:lastRenderedPageBreak/>
        <w:t>Table S</w:t>
      </w:r>
      <w:r w:rsidR="00FD54D9" w:rsidRPr="001418E1">
        <w:rPr>
          <w:b/>
          <w:color w:val="FF0000"/>
          <w:sz w:val="24"/>
          <w:szCs w:val="20"/>
          <w:lang w:val="en-US"/>
        </w:rPr>
        <w:t>5</w:t>
      </w:r>
      <w:r w:rsidR="00977ED5" w:rsidRPr="00977ED5">
        <w:rPr>
          <w:sz w:val="24"/>
          <w:szCs w:val="20"/>
          <w:lang w:val="en-US"/>
        </w:rPr>
        <w:t xml:space="preserve"> </w:t>
      </w:r>
      <w:r w:rsidR="00977ED5" w:rsidRPr="00977ED5">
        <w:rPr>
          <w:rFonts w:cs="Arial"/>
          <w:sz w:val="24"/>
          <w:szCs w:val="20"/>
        </w:rPr>
        <w:t>Demographic, socioeconomic and familial factors of the study participants</w:t>
      </w:r>
      <w:r w:rsidR="00977ED5" w:rsidRPr="00977ED5">
        <w:rPr>
          <w:sz w:val="24"/>
          <w:szCs w:val="20"/>
          <w:lang w:val="en-US"/>
        </w:rPr>
        <w:t xml:space="preserve"> divided by food hypersensitivity phenotype</w:t>
      </w:r>
    </w:p>
    <w:tbl>
      <w:tblPr>
        <w:tblW w:w="14129" w:type="dxa"/>
        <w:tblLayout w:type="fixed"/>
        <w:tblLook w:val="04A0" w:firstRow="1" w:lastRow="0" w:firstColumn="1" w:lastColumn="0" w:noHBand="0" w:noVBand="1"/>
      </w:tblPr>
      <w:tblGrid>
        <w:gridCol w:w="1622"/>
        <w:gridCol w:w="2172"/>
        <w:gridCol w:w="2126"/>
        <w:gridCol w:w="1842"/>
        <w:gridCol w:w="1134"/>
        <w:gridCol w:w="851"/>
        <w:gridCol w:w="1985"/>
        <w:gridCol w:w="1472"/>
        <w:gridCol w:w="925"/>
      </w:tblGrid>
      <w:tr w:rsidR="00977ED5" w:rsidRPr="00977ED5" w:rsidTr="00C56FB1">
        <w:trPr>
          <w:trHeight w:val="675"/>
        </w:trPr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D510DB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 xml:space="preserve">Participants with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IgE </w:t>
            </w:r>
            <w:r w:rsidR="00D510DB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mediated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>food</w:t>
            </w:r>
            <w:r w:rsidR="001418E1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 a</w:t>
            </w:r>
            <w:r w:rsid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>l</w:t>
            </w:r>
            <w:r w:rsidR="001418E1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lergy </w:t>
            </w: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(n=21)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Participants with non-IgE food hypersensitivity (n=20)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Ethnicity (n=1133) : Caucasian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vMerge w:val="restart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25" w:type="dxa"/>
            <w:vMerge w:val="restart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0.196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                             non-</w:t>
            </w:r>
            <w:proofErr w:type="spellStart"/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caucasian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Age mother (n=1136) mean, years (SD)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center" w:pos="250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4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9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center" w:pos="250"/>
              </w:tabs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0.033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Age father ( N=1136) mean, years (SD)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0.048</w:t>
            </w:r>
          </w:p>
        </w:tc>
      </w:tr>
      <w:tr w:rsidR="00977ED5" w:rsidRPr="00977ED5" w:rsidTr="00C56FB1">
        <w:trPr>
          <w:trHeight w:val="9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Highest education of parents: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Low (up to 12y)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5" w:type="dxa"/>
            <w:vMerge w:val="restart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0.342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Intermediate (&gt;12y, e.g. college)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5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High (e.g. university)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5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Allergies in family 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Mother atopic (A, AR or E)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0.106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Father atopic (A, AR or E)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0.606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Mother food hypersensitivity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0.055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Father food hypersensitivity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Urban living environment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77ED5" w:rsidRPr="00977ED5" w:rsidRDefault="00D5130E" w:rsidP="00D5130E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72" w:type="dxa"/>
            <w:shd w:val="clear" w:color="auto" w:fill="F2F2F2" w:themeFill="background1" w:themeFillShade="F2"/>
          </w:tcPr>
          <w:p w:rsidR="00977ED5" w:rsidRPr="00977ED5" w:rsidRDefault="00D5130E" w:rsidP="00D5130E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0.147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Number of sibs at home  mean (SD)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0.334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Female sex (n=1140)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2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0.456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4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Season of birth (n=1139)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summer</w:t>
            </w:r>
          </w:p>
        </w:tc>
        <w:tc>
          <w:tcPr>
            <w:tcW w:w="2126" w:type="dxa"/>
            <w:shd w:val="clear" w:color="auto" w:fill="auto"/>
          </w:tcPr>
          <w:p w:rsidR="00977ED5" w:rsidRPr="001418E1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977ED5" w:rsidRPr="001418E1" w:rsidRDefault="00977ED5" w:rsidP="00610074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3</w:t>
            </w:r>
            <w:r w:rsidR="00610074"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1418E1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9</w:t>
            </w:r>
          </w:p>
        </w:tc>
        <w:tc>
          <w:tcPr>
            <w:tcW w:w="1472" w:type="dxa"/>
          </w:tcPr>
          <w:p w:rsidR="00977ED5" w:rsidRPr="001418E1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3</w:t>
            </w:r>
            <w:r w:rsidR="00610074"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7</w:t>
            </w:r>
          </w:p>
        </w:tc>
        <w:tc>
          <w:tcPr>
            <w:tcW w:w="925" w:type="dxa"/>
            <w:vMerge w:val="restart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0.961</w:t>
            </w: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autumn</w:t>
            </w:r>
          </w:p>
        </w:tc>
        <w:tc>
          <w:tcPr>
            <w:tcW w:w="2126" w:type="dxa"/>
            <w:shd w:val="clear" w:color="auto" w:fill="auto"/>
          </w:tcPr>
          <w:p w:rsidR="00977ED5" w:rsidRPr="001418E1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bookmarkStart w:id="0" w:name="_GoBack"/>
            <w:bookmarkEnd w:id="0"/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77ED5" w:rsidRPr="001418E1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72" w:type="dxa"/>
          </w:tcPr>
          <w:p w:rsidR="00977ED5" w:rsidRPr="00977ED5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925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winter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977ED5" w:rsidRPr="00977ED5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134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1418E1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72" w:type="dxa"/>
          </w:tcPr>
          <w:p w:rsidR="00977ED5" w:rsidRPr="001418E1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25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79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spring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1</w:t>
            </w:r>
            <w:r w:rsidR="00610074"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77ED5" w:rsidRPr="001418E1" w:rsidRDefault="00610074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977ED5" w:rsidRPr="001418E1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</w:pPr>
            <w:r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1</w:t>
            </w:r>
            <w:r w:rsidR="00610074"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8</w:t>
            </w: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</w:tbl>
    <w:p w:rsidR="00977ED5" w:rsidRPr="00977ED5" w:rsidRDefault="00977ED5" w:rsidP="00977ED5">
      <w:pPr>
        <w:spacing w:after="0" w:line="480" w:lineRule="auto"/>
        <w:rPr>
          <w:b/>
          <w:sz w:val="24"/>
          <w:szCs w:val="20"/>
          <w:lang w:val="en-US"/>
        </w:rPr>
      </w:pPr>
    </w:p>
    <w:p w:rsidR="00977ED5" w:rsidRPr="00977ED5" w:rsidRDefault="000C2599" w:rsidP="00FD54D9">
      <w:pPr>
        <w:spacing w:after="0" w:line="480" w:lineRule="auto"/>
        <w:rPr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t xml:space="preserve">Table </w:t>
      </w:r>
      <w:r w:rsidRPr="001418E1">
        <w:rPr>
          <w:b/>
          <w:color w:val="FF0000"/>
          <w:sz w:val="24"/>
          <w:szCs w:val="20"/>
          <w:lang w:val="en-US"/>
        </w:rPr>
        <w:t>S</w:t>
      </w:r>
      <w:r w:rsidR="00FD54D9" w:rsidRPr="001418E1">
        <w:rPr>
          <w:b/>
          <w:color w:val="FF0000"/>
          <w:sz w:val="24"/>
          <w:szCs w:val="20"/>
          <w:lang w:val="en-US"/>
        </w:rPr>
        <w:t>6</w:t>
      </w:r>
      <w:r w:rsidR="00977ED5" w:rsidRPr="00977ED5">
        <w:rPr>
          <w:sz w:val="24"/>
          <w:szCs w:val="20"/>
          <w:lang w:val="en-US"/>
        </w:rPr>
        <w:t xml:space="preserve"> Maternal, paternal and perinatal factors divided by food hypersensitivity phenotype</w:t>
      </w:r>
    </w:p>
    <w:tbl>
      <w:tblPr>
        <w:tblW w:w="13589" w:type="dxa"/>
        <w:tblInd w:w="269" w:type="dxa"/>
        <w:tblLayout w:type="fixed"/>
        <w:tblLook w:val="04A0" w:firstRow="1" w:lastRow="0" w:firstColumn="1" w:lastColumn="0" w:noHBand="0" w:noVBand="1"/>
      </w:tblPr>
      <w:tblGrid>
        <w:gridCol w:w="339"/>
        <w:gridCol w:w="2937"/>
        <w:gridCol w:w="1950"/>
        <w:gridCol w:w="1418"/>
        <w:gridCol w:w="992"/>
        <w:gridCol w:w="992"/>
        <w:gridCol w:w="2126"/>
        <w:gridCol w:w="1560"/>
        <w:gridCol w:w="1275"/>
      </w:tblGrid>
      <w:tr w:rsidR="00977ED5" w:rsidRPr="00977ED5" w:rsidTr="00C56FB1">
        <w:trPr>
          <w:trHeight w:val="675"/>
        </w:trPr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D510DB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 xml:space="preserve">Participants with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IgE </w:t>
            </w:r>
            <w:r w:rsidR="00D510DB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mediated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>food</w:t>
            </w:r>
            <w:r w:rsidR="001418E1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 allergy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 </w:t>
            </w: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(n=21)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Participants with non-IgE food hypersensitivity (n=20)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maternal pre-pregnancy weight, kg (n=979)</w:t>
            </w:r>
          </w:p>
        </w:tc>
        <w:tc>
          <w:tcPr>
            <w:tcW w:w="1950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68.74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64.01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64.01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0.764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maternal pre-pregnancy height, cm (n=986)</w:t>
            </w:r>
          </w:p>
        </w:tc>
        <w:tc>
          <w:tcPr>
            <w:tcW w:w="19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164.11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164.96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164.05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164.96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0.761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parity (n=1140)</w:t>
            </w:r>
          </w:p>
        </w:tc>
        <w:tc>
          <w:tcPr>
            <w:tcW w:w="1950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56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Singleton pregnancy (n=1135)</w:t>
            </w:r>
          </w:p>
        </w:tc>
        <w:tc>
          <w:tcPr>
            <w:tcW w:w="19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center" w:pos="530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201"/>
                <w:tab w:val="center" w:pos="459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center" w:pos="530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201"/>
                <w:tab w:val="center" w:pos="459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Maternal smoking in pregnancy (n=1140)</w:t>
            </w:r>
          </w:p>
        </w:tc>
        <w:tc>
          <w:tcPr>
            <w:tcW w:w="1950" w:type="dxa"/>
            <w:shd w:val="clear" w:color="auto" w:fill="auto"/>
          </w:tcPr>
          <w:p w:rsidR="00977ED5" w:rsidRPr="00977ED5" w:rsidRDefault="00977ED5" w:rsidP="00977ED5">
            <w:pPr>
              <w:tabs>
                <w:tab w:val="left" w:pos="224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tabs>
                <w:tab w:val="left" w:pos="224"/>
              </w:tabs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77ED5" w:rsidRPr="00977ED5" w:rsidRDefault="00977ED5" w:rsidP="00977ED5">
            <w:pPr>
              <w:tabs>
                <w:tab w:val="left" w:pos="224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Other household smoking (n=1140)</w:t>
            </w:r>
          </w:p>
        </w:tc>
        <w:tc>
          <w:tcPr>
            <w:tcW w:w="19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0.023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Aspirin/paracetamol during pregnancy (n=890)</w:t>
            </w:r>
          </w:p>
        </w:tc>
        <w:tc>
          <w:tcPr>
            <w:tcW w:w="1950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0.570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0.378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Any anti-inflammatory during pregnancy (n=894)</w:t>
            </w:r>
          </w:p>
        </w:tc>
        <w:tc>
          <w:tcPr>
            <w:tcW w:w="19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1197"/>
              </w:tabs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1197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0.338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Mode of delivery    normal delivery</w:t>
            </w:r>
          </w:p>
        </w:tc>
        <w:tc>
          <w:tcPr>
            <w:tcW w:w="1950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2" w:type="dxa"/>
            <w:vMerge w:val="restart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75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0.583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(n=1132)                caesarean</w:t>
            </w:r>
          </w:p>
        </w:tc>
        <w:tc>
          <w:tcPr>
            <w:tcW w:w="1950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                           forceps</w:t>
            </w:r>
          </w:p>
        </w:tc>
        <w:tc>
          <w:tcPr>
            <w:tcW w:w="1950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Maternal antibiotics during pregnancy (n=886)</w:t>
            </w:r>
          </w:p>
        </w:tc>
        <w:tc>
          <w:tcPr>
            <w:tcW w:w="19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0.733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gestation (n=1139) , weeks</w:t>
            </w:r>
          </w:p>
        </w:tc>
        <w:tc>
          <w:tcPr>
            <w:tcW w:w="1950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39.19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39.76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39.05</w:t>
            </w:r>
          </w:p>
        </w:tc>
        <w:tc>
          <w:tcPr>
            <w:tcW w:w="1560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39.76</w:t>
            </w:r>
          </w:p>
        </w:tc>
        <w:tc>
          <w:tcPr>
            <w:tcW w:w="127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0.156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birth weight (n=1131), grams</w:t>
            </w:r>
          </w:p>
        </w:tc>
        <w:tc>
          <w:tcPr>
            <w:tcW w:w="195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3465.00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3533.52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3382.89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3533.52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0.496</w:t>
            </w:r>
          </w:p>
        </w:tc>
      </w:tr>
      <w:tr w:rsidR="00977ED5" w:rsidRPr="00977ED5" w:rsidTr="00C56FB1">
        <w:trPr>
          <w:trHeight w:val="225"/>
        </w:trPr>
        <w:tc>
          <w:tcPr>
            <w:tcW w:w="327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Antibiotics in first week of age (n=1115)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</w:tbl>
    <w:p w:rsidR="00977ED5" w:rsidRPr="00977ED5" w:rsidRDefault="00977ED5" w:rsidP="00977ED5">
      <w:pPr>
        <w:spacing w:after="0" w:line="480" w:lineRule="auto"/>
        <w:rPr>
          <w:sz w:val="24"/>
          <w:szCs w:val="20"/>
          <w:lang w:val="en-US"/>
        </w:rPr>
      </w:pPr>
    </w:p>
    <w:p w:rsidR="00977ED5" w:rsidRPr="00977ED5" w:rsidRDefault="000C2599" w:rsidP="00491C02">
      <w:pPr>
        <w:spacing w:after="0" w:line="480" w:lineRule="auto"/>
        <w:rPr>
          <w:sz w:val="24"/>
          <w:szCs w:val="20"/>
          <w:lang w:val="en-US"/>
        </w:rPr>
      </w:pPr>
      <w:r>
        <w:rPr>
          <w:b/>
          <w:sz w:val="24"/>
          <w:szCs w:val="20"/>
          <w:lang w:val="en-US"/>
        </w:rPr>
        <w:t xml:space="preserve">Table </w:t>
      </w:r>
      <w:r w:rsidRPr="001418E1">
        <w:rPr>
          <w:b/>
          <w:color w:val="FF0000"/>
          <w:sz w:val="24"/>
          <w:szCs w:val="20"/>
          <w:lang w:val="en-US"/>
        </w:rPr>
        <w:t>S</w:t>
      </w:r>
      <w:r w:rsidR="00491C02" w:rsidRPr="001418E1">
        <w:rPr>
          <w:b/>
          <w:color w:val="FF0000"/>
          <w:sz w:val="24"/>
          <w:szCs w:val="20"/>
          <w:lang w:val="en-US"/>
        </w:rPr>
        <w:t>7</w:t>
      </w:r>
      <w:r w:rsidR="00977ED5" w:rsidRPr="00977ED5">
        <w:rPr>
          <w:sz w:val="24"/>
          <w:szCs w:val="20"/>
          <w:lang w:val="en-US"/>
        </w:rPr>
        <w:t xml:space="preserve"> Maternal nutritional factors during pregnancy and lactation divided by food hypersensitivity phenotype</w:t>
      </w:r>
    </w:p>
    <w:tbl>
      <w:tblPr>
        <w:tblW w:w="139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9"/>
        <w:gridCol w:w="1299"/>
        <w:gridCol w:w="1779"/>
        <w:gridCol w:w="2268"/>
        <w:gridCol w:w="1417"/>
        <w:gridCol w:w="851"/>
        <w:gridCol w:w="992"/>
        <w:gridCol w:w="2410"/>
        <w:gridCol w:w="1701"/>
        <w:gridCol w:w="850"/>
      </w:tblGrid>
      <w:tr w:rsidR="00977ED5" w:rsidRPr="00977ED5" w:rsidTr="00C56FB1">
        <w:trPr>
          <w:trHeight w:val="675"/>
        </w:trPr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D510DB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 xml:space="preserve">Participants with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IgE </w:t>
            </w:r>
            <w:r w:rsidR="00D510DB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mediated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food </w:t>
            </w:r>
            <w:r w:rsidR="00D510DB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allergy </w:t>
            </w: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(n=21)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Participants with non-IgE food hypersensitivity (n=20)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 xml:space="preserve">During pregnancy: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Egg/egg products (n=896)</w:t>
            </w:r>
          </w:p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tabs>
                <w:tab w:val="left" w:pos="411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411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tabs>
                <w:tab w:val="left" w:pos="411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0.371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Milk/milk products</w:t>
            </w:r>
          </w:p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(n=894)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0.107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0.883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Soy/soy products (n=894)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tabs>
                <w:tab w:val="left" w:pos="224"/>
                <w:tab w:val="center" w:pos="459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tabs>
                <w:tab w:val="left" w:pos="224"/>
                <w:tab w:val="center" w:pos="459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0.452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Peanut/peanut products (n=890)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0.785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0.387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Tree nus/tree nut products (n=889)</w:t>
            </w:r>
          </w:p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0.030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0.743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Full maternal diet ( n-897)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Consume probiotics (n=887)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0.553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0.220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folic acid supplements (n=882)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multi vitamins (n=881)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0.567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vitamin D supplements (n=881)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F2F2F2" w:themeFill="background1" w:themeFillShade="F2"/>
            <w:vAlign w:val="center"/>
          </w:tcPr>
          <w:p w:rsidR="00977ED5" w:rsidRPr="00977ED5" w:rsidRDefault="00977ED5" w:rsidP="003C3F32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Took fish oil </w:t>
            </w:r>
            <w:r w:rsidR="003C3F32" w:rsidRPr="001418E1">
              <w:rPr>
                <w:rFonts w:asciiTheme="minorBidi" w:eastAsia="Times New Roman" w:hAnsiTheme="minorBidi"/>
                <w:color w:val="FF0000"/>
                <w:sz w:val="20"/>
                <w:szCs w:val="20"/>
              </w:rPr>
              <w:t>supplement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0.458</w:t>
            </w:r>
          </w:p>
        </w:tc>
      </w:tr>
      <w:tr w:rsidR="00977ED5" w:rsidRPr="00977ED5" w:rsidTr="00C56FB1">
        <w:trPr>
          <w:trHeight w:val="218"/>
        </w:trPr>
        <w:tc>
          <w:tcPr>
            <w:tcW w:w="3417" w:type="dxa"/>
            <w:gridSpan w:val="3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Ever breast fed (n=918)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0.594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b/>
                <w:i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i/>
                <w:color w:val="000000"/>
                <w:sz w:val="20"/>
                <w:szCs w:val="20"/>
              </w:rPr>
              <w:t>While breast feeding: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Egg/egg products  (n= 707)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0.184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0.084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Milk/milk products  (n=712)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0.027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Soy/soy products  (n=712)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0.139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tabs>
                <w:tab w:val="center" w:pos="530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tabs>
                <w:tab w:val="center" w:pos="530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0.222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Peanut/peanut products (n=710)</w:t>
            </w:r>
          </w:p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Tree nut/tree nut products (n=710)</w:t>
            </w:r>
          </w:p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Did not consume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0.112</w:t>
            </w:r>
          </w:p>
        </w:tc>
      </w:tr>
      <w:tr w:rsidR="00977ED5" w:rsidRPr="00977ED5" w:rsidTr="00C56FB1">
        <w:trPr>
          <w:trHeight w:val="225"/>
        </w:trPr>
        <w:tc>
          <w:tcPr>
            <w:tcW w:w="1638" w:type="dxa"/>
            <w:gridSpan w:val="2"/>
            <w:vMerge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Reduced intake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Consumed  probiotics (n=707)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0.039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folic acid supplements ( n=697)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0.895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multi vitamins (n=704)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ED5" w:rsidRPr="00977ED5" w:rsidRDefault="00977ED5" w:rsidP="00977ED5">
            <w:pPr>
              <w:tabs>
                <w:tab w:val="left" w:pos="393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992" w:type="dxa"/>
          </w:tcPr>
          <w:p w:rsidR="00977ED5" w:rsidRPr="00977ED5" w:rsidRDefault="00977ED5" w:rsidP="00977ED5">
            <w:pPr>
              <w:tabs>
                <w:tab w:val="left" w:pos="393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7ED5" w:rsidRPr="00977ED5" w:rsidRDefault="00977ED5" w:rsidP="00977ED5">
            <w:pPr>
              <w:tabs>
                <w:tab w:val="left" w:pos="393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0.389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vitamin D supplements (n=696)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0.354</w:t>
            </w:r>
          </w:p>
        </w:tc>
      </w:tr>
      <w:tr w:rsidR="00977ED5" w:rsidRPr="00977ED5" w:rsidTr="00C56FB1">
        <w:trPr>
          <w:trHeight w:val="225"/>
        </w:trPr>
        <w:tc>
          <w:tcPr>
            <w:tcW w:w="34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Took fish oil capsules (n=688)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</w:tbl>
    <w:p w:rsidR="00977ED5" w:rsidRPr="00977ED5" w:rsidRDefault="00977ED5" w:rsidP="00977ED5">
      <w:pPr>
        <w:spacing w:after="0" w:line="480" w:lineRule="auto"/>
        <w:rPr>
          <w:sz w:val="24"/>
          <w:szCs w:val="20"/>
          <w:lang w:val="en-US"/>
        </w:rPr>
      </w:pPr>
    </w:p>
    <w:p w:rsidR="00977ED5" w:rsidRPr="00977ED5" w:rsidRDefault="00977ED5" w:rsidP="00977ED5">
      <w:pPr>
        <w:rPr>
          <w:sz w:val="24"/>
          <w:szCs w:val="20"/>
          <w:lang w:val="en-US"/>
        </w:rPr>
      </w:pPr>
      <w:r w:rsidRPr="00977ED5">
        <w:rPr>
          <w:sz w:val="24"/>
          <w:szCs w:val="20"/>
          <w:lang w:val="en-US"/>
        </w:rPr>
        <w:br w:type="page"/>
      </w:r>
    </w:p>
    <w:p w:rsidR="00977ED5" w:rsidRPr="00977ED5" w:rsidRDefault="000C2599" w:rsidP="00491C02">
      <w:pPr>
        <w:spacing w:after="120"/>
        <w:rPr>
          <w:sz w:val="24"/>
          <w:szCs w:val="20"/>
        </w:rPr>
      </w:pPr>
      <w:r>
        <w:rPr>
          <w:rFonts w:cs="Arial"/>
          <w:b/>
          <w:sz w:val="24"/>
          <w:szCs w:val="20"/>
        </w:rPr>
        <w:lastRenderedPageBreak/>
        <w:t xml:space="preserve">Table </w:t>
      </w:r>
      <w:r w:rsidRPr="001418E1">
        <w:rPr>
          <w:rFonts w:cs="Arial"/>
          <w:b/>
          <w:color w:val="FF0000"/>
          <w:sz w:val="24"/>
          <w:szCs w:val="20"/>
        </w:rPr>
        <w:t>S</w:t>
      </w:r>
      <w:r w:rsidR="00491C02" w:rsidRPr="001418E1">
        <w:rPr>
          <w:rFonts w:cs="Arial"/>
          <w:b/>
          <w:color w:val="FF0000"/>
          <w:sz w:val="24"/>
          <w:szCs w:val="20"/>
        </w:rPr>
        <w:t>8</w:t>
      </w:r>
      <w:r w:rsidR="00977ED5" w:rsidRPr="00977ED5">
        <w:rPr>
          <w:rFonts w:cs="Arial"/>
          <w:sz w:val="24"/>
          <w:szCs w:val="20"/>
        </w:rPr>
        <w:t xml:space="preserve"> Infant nutritional factors determined from prospective diet diary data </w:t>
      </w:r>
      <w:r w:rsidR="00977ED5" w:rsidRPr="00977ED5">
        <w:rPr>
          <w:sz w:val="24"/>
          <w:szCs w:val="20"/>
          <w:lang w:val="en-US"/>
        </w:rPr>
        <w:t>divided by food hypersensitivity phenotype</w:t>
      </w:r>
    </w:p>
    <w:tbl>
      <w:tblPr>
        <w:tblStyle w:val="LightShading"/>
        <w:tblW w:w="13558" w:type="dxa"/>
        <w:tblLayout w:type="fixed"/>
        <w:tblLook w:val="04A0" w:firstRow="1" w:lastRow="0" w:firstColumn="1" w:lastColumn="0" w:noHBand="0" w:noVBand="1"/>
      </w:tblPr>
      <w:tblGrid>
        <w:gridCol w:w="327"/>
        <w:gridCol w:w="3687"/>
        <w:gridCol w:w="1772"/>
        <w:gridCol w:w="1376"/>
        <w:gridCol w:w="900"/>
        <w:gridCol w:w="835"/>
        <w:gridCol w:w="1843"/>
        <w:gridCol w:w="1896"/>
        <w:gridCol w:w="922"/>
      </w:tblGrid>
      <w:tr w:rsidR="00977ED5" w:rsidRPr="00977ED5" w:rsidTr="00C56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</w:tcPr>
          <w:p w:rsidR="00977ED5" w:rsidRPr="00977ED5" w:rsidRDefault="00977ED5" w:rsidP="00977ED5">
            <w:pPr>
              <w:spacing w:before="40" w:after="40"/>
              <w:jc w:val="center"/>
              <w:rPr>
                <w:rFonts w:asciiTheme="minorBidi" w:eastAsia="Times New Roman" w:hAnsiTheme="minorBidi"/>
                <w:bCs/>
                <w:color w:val="000000"/>
              </w:rPr>
            </w:pPr>
          </w:p>
        </w:tc>
        <w:tc>
          <w:tcPr>
            <w:tcW w:w="3687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</w:rPr>
            </w:pPr>
          </w:p>
        </w:tc>
        <w:tc>
          <w:tcPr>
            <w:tcW w:w="1772" w:type="dxa"/>
          </w:tcPr>
          <w:p w:rsidR="00977ED5" w:rsidRPr="00977ED5" w:rsidRDefault="00977ED5" w:rsidP="00D510DB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</w:rPr>
            </w:pPr>
            <w:r w:rsidRPr="00977ED5">
              <w:rPr>
                <w:rFonts w:asciiTheme="minorBidi" w:eastAsia="Times New Roman" w:hAnsiTheme="minorBidi"/>
                <w:bCs/>
                <w:color w:val="000000"/>
              </w:rPr>
              <w:t xml:space="preserve">Participants with  </w:t>
            </w:r>
            <w:r w:rsidRPr="001418E1">
              <w:rPr>
                <w:rFonts w:asciiTheme="minorBidi" w:eastAsia="Times New Roman" w:hAnsiTheme="minorBidi"/>
                <w:bCs/>
                <w:color w:val="FF0000"/>
              </w:rPr>
              <w:t xml:space="preserve">IgE </w:t>
            </w:r>
            <w:r w:rsidR="00D510DB" w:rsidRPr="001418E1">
              <w:rPr>
                <w:rFonts w:asciiTheme="minorBidi" w:eastAsia="Times New Roman" w:hAnsiTheme="minorBidi"/>
                <w:bCs/>
                <w:color w:val="FF0000"/>
              </w:rPr>
              <w:t xml:space="preserve">mediated </w:t>
            </w:r>
            <w:r w:rsidRPr="001418E1">
              <w:rPr>
                <w:rFonts w:asciiTheme="minorBidi" w:eastAsia="Times New Roman" w:hAnsiTheme="minorBidi"/>
                <w:bCs/>
                <w:color w:val="FF0000"/>
              </w:rPr>
              <w:t xml:space="preserve">food </w:t>
            </w:r>
            <w:r w:rsidR="00D510DB" w:rsidRPr="001418E1">
              <w:rPr>
                <w:rFonts w:asciiTheme="minorBidi" w:eastAsia="Times New Roman" w:hAnsiTheme="minorBidi"/>
                <w:bCs/>
                <w:color w:val="FF0000"/>
              </w:rPr>
              <w:t xml:space="preserve">allergy </w:t>
            </w:r>
            <w:r w:rsidRPr="00977ED5">
              <w:rPr>
                <w:rFonts w:asciiTheme="minorBidi" w:eastAsia="Times New Roman" w:hAnsiTheme="minorBidi"/>
                <w:bCs/>
                <w:color w:val="000000"/>
              </w:rPr>
              <w:t>(n=21)</w:t>
            </w:r>
          </w:p>
        </w:tc>
        <w:tc>
          <w:tcPr>
            <w:tcW w:w="1376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</w:rPr>
            </w:pPr>
            <w:r w:rsidRPr="00977ED5">
              <w:rPr>
                <w:rFonts w:asciiTheme="minorBidi" w:eastAsia="Times New Roman" w:hAnsiTheme="minorBidi"/>
                <w:bCs/>
                <w:color w:val="000000"/>
              </w:rPr>
              <w:t>Control participants (n=82)</w:t>
            </w:r>
          </w:p>
        </w:tc>
        <w:tc>
          <w:tcPr>
            <w:tcW w:w="900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</w:rPr>
            </w:pPr>
            <w:r w:rsidRPr="00977ED5">
              <w:rPr>
                <w:rFonts w:asciiTheme="minorBidi" w:eastAsia="Times New Roman" w:hAnsiTheme="minorBidi"/>
                <w:bCs/>
                <w:color w:val="000000"/>
              </w:rPr>
              <w:t>p-value</w:t>
            </w:r>
          </w:p>
        </w:tc>
        <w:tc>
          <w:tcPr>
            <w:tcW w:w="835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</w:rPr>
            </w:pPr>
            <w:r w:rsidRPr="00977ED5">
              <w:rPr>
                <w:rFonts w:asciiTheme="minorBidi" w:eastAsia="Times New Roman" w:hAnsiTheme="minorBidi"/>
                <w:bCs/>
                <w:color w:val="000000"/>
              </w:rPr>
              <w:t>Participants with non-IgE food hypersensitivity (n=20)</w:t>
            </w:r>
          </w:p>
        </w:tc>
        <w:tc>
          <w:tcPr>
            <w:tcW w:w="1896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</w:rPr>
            </w:pPr>
            <w:r w:rsidRPr="00977ED5">
              <w:rPr>
                <w:rFonts w:asciiTheme="minorBidi" w:eastAsia="Times New Roman" w:hAnsiTheme="minorBidi"/>
                <w:bCs/>
                <w:color w:val="000000"/>
              </w:rPr>
              <w:t>Control participants (n=82)</w:t>
            </w:r>
          </w:p>
        </w:tc>
        <w:tc>
          <w:tcPr>
            <w:tcW w:w="92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Cs/>
                <w:color w:val="000000"/>
              </w:rPr>
            </w:pPr>
            <w:r w:rsidRPr="00977ED5">
              <w:rPr>
                <w:rFonts w:asciiTheme="minorBidi" w:eastAsia="Times New Roman" w:hAnsiTheme="minorBidi"/>
                <w:bCs/>
                <w:color w:val="000000"/>
              </w:rPr>
              <w:t>p-value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sz w:val="24"/>
              </w:rPr>
              <w:t>Median duration of any breastfeeding, weeks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224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20.00</w:t>
            </w:r>
          </w:p>
          <w:p w:rsidR="00977ED5" w:rsidRPr="00977ED5" w:rsidRDefault="00977ED5" w:rsidP="00977ED5">
            <w:pPr>
              <w:tabs>
                <w:tab w:val="left" w:pos="224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(4.0-32.0)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lang w:eastAsia="en-GB"/>
              </w:rPr>
              <w:t>24.0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lang w:eastAsia="en-GB"/>
              </w:rPr>
              <w:t>(7.0-31.0)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0.936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224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tabs>
                <w:tab w:val="left" w:pos="224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13.0</w:t>
            </w:r>
          </w:p>
          <w:p w:rsidR="00977ED5" w:rsidRPr="00977ED5" w:rsidRDefault="00977ED5" w:rsidP="00977ED5">
            <w:pPr>
              <w:tabs>
                <w:tab w:val="left" w:pos="224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(2.25-25.25)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lang w:eastAsia="en-GB"/>
              </w:rPr>
              <w:t>24.0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lang w:eastAsia="en-GB"/>
              </w:rPr>
              <w:t>(7.0-31.0)</w:t>
            </w:r>
          </w:p>
        </w:tc>
        <w:tc>
          <w:tcPr>
            <w:tcW w:w="92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0.201</w:t>
            </w:r>
          </w:p>
        </w:tc>
      </w:tr>
      <w:tr w:rsidR="00977ED5" w:rsidRPr="00977ED5" w:rsidTr="00C56FB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</w:tcPr>
          <w:p w:rsidR="00977ED5" w:rsidRPr="00977ED5" w:rsidRDefault="00977ED5" w:rsidP="00977ED5">
            <w:pPr>
              <w:spacing w:before="40" w:after="4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sz w:val="24"/>
              </w:rPr>
              <w:t>Median exclusive breast feeding duration, weeks</w:t>
            </w:r>
          </w:p>
        </w:tc>
        <w:tc>
          <w:tcPr>
            <w:tcW w:w="177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2.5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(0.0-6.25)</w:t>
            </w:r>
          </w:p>
        </w:tc>
        <w:tc>
          <w:tcPr>
            <w:tcW w:w="1376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lang w:eastAsia="en-GB"/>
              </w:rPr>
              <w:t>8.5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</w:rPr>
            </w:pPr>
            <w:r w:rsidRPr="00977ED5">
              <w:rPr>
                <w:rFonts w:asciiTheme="minorBidi" w:eastAsia="Times New Roman" w:hAnsiTheme="minorBidi"/>
                <w:lang w:eastAsia="en-GB"/>
              </w:rPr>
              <w:t>(4.0-15.0)</w:t>
            </w:r>
          </w:p>
        </w:tc>
        <w:tc>
          <w:tcPr>
            <w:tcW w:w="900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0.816</w:t>
            </w:r>
          </w:p>
        </w:tc>
        <w:tc>
          <w:tcPr>
            <w:tcW w:w="835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2.0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(0.0-14.5)</w:t>
            </w:r>
          </w:p>
        </w:tc>
        <w:tc>
          <w:tcPr>
            <w:tcW w:w="1896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lang w:eastAsia="en-GB"/>
              </w:rPr>
              <w:t>8.5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lang w:eastAsia="en-GB"/>
              </w:rPr>
            </w:pPr>
            <w:r w:rsidRPr="00977ED5">
              <w:rPr>
                <w:rFonts w:asciiTheme="minorBidi" w:eastAsia="Times New Roman" w:hAnsiTheme="minorBidi"/>
                <w:lang w:eastAsia="en-GB"/>
              </w:rPr>
              <w:t>(4.0-15.0)</w:t>
            </w:r>
          </w:p>
        </w:tc>
        <w:tc>
          <w:tcPr>
            <w:tcW w:w="92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0.878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sz w:val="24"/>
              </w:rPr>
              <w:t xml:space="preserve">Median age at first solid/semi-solid food, weeks  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20.5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(17.25-24.0)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20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(17.0-23.0)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0.976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17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(16-20.75)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20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(17.0-23.0)</w:t>
            </w:r>
          </w:p>
        </w:tc>
        <w:tc>
          <w:tcPr>
            <w:tcW w:w="92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0.002</w:t>
            </w:r>
          </w:p>
        </w:tc>
      </w:tr>
      <w:tr w:rsidR="00977ED5" w:rsidRPr="00977ED5" w:rsidTr="00C56FB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</w:tcPr>
          <w:p w:rsidR="00977ED5" w:rsidRPr="00977ED5" w:rsidRDefault="00977ED5" w:rsidP="00977ED5">
            <w:pPr>
              <w:spacing w:before="40" w:after="4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color w:val="000000"/>
                <w:sz w:val="24"/>
              </w:rPr>
              <w:t xml:space="preserve">Median age at  first </w:t>
            </w:r>
            <w:proofErr w:type="spellStart"/>
            <w:r w:rsidRPr="00977ED5">
              <w:rPr>
                <w:color w:val="000000"/>
                <w:sz w:val="24"/>
              </w:rPr>
              <w:t>cows</w:t>
            </w:r>
            <w:proofErr w:type="spellEnd"/>
            <w:r w:rsidRPr="00977ED5">
              <w:rPr>
                <w:color w:val="000000"/>
                <w:sz w:val="24"/>
              </w:rPr>
              <w:t xml:space="preserve"> milk formula feed, weeks  </w:t>
            </w:r>
          </w:p>
        </w:tc>
        <w:tc>
          <w:tcPr>
            <w:tcW w:w="177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3.5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(1.0-11.5)</w:t>
            </w:r>
          </w:p>
        </w:tc>
        <w:tc>
          <w:tcPr>
            <w:tcW w:w="1376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5.0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(1.0-14.0)</w:t>
            </w:r>
          </w:p>
        </w:tc>
        <w:tc>
          <w:tcPr>
            <w:tcW w:w="900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0.935</w:t>
            </w:r>
          </w:p>
        </w:tc>
        <w:tc>
          <w:tcPr>
            <w:tcW w:w="835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3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(1-8.25)</w:t>
            </w:r>
          </w:p>
        </w:tc>
        <w:tc>
          <w:tcPr>
            <w:tcW w:w="1896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5.0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(1.0-14.0)</w:t>
            </w:r>
          </w:p>
        </w:tc>
        <w:tc>
          <w:tcPr>
            <w:tcW w:w="92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0.944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sz w:val="24"/>
              </w:rPr>
              <w:t xml:space="preserve">Median age at  first </w:t>
            </w:r>
            <w:proofErr w:type="spellStart"/>
            <w:r w:rsidRPr="00977ED5">
              <w:rPr>
                <w:sz w:val="24"/>
              </w:rPr>
              <w:t>cows</w:t>
            </w:r>
            <w:proofErr w:type="spellEnd"/>
            <w:r w:rsidRPr="00977ED5">
              <w:rPr>
                <w:sz w:val="24"/>
              </w:rPr>
              <w:t xml:space="preserve"> milk in any form, weeks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3.00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(1.0-8.5)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5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(1.0-14.3)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0.673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3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(1-8)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5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(1.0-14.3)</w:t>
            </w:r>
          </w:p>
        </w:tc>
        <w:tc>
          <w:tcPr>
            <w:tcW w:w="92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0.866</w:t>
            </w:r>
          </w:p>
        </w:tc>
      </w:tr>
      <w:tr w:rsidR="00977ED5" w:rsidRPr="00977ED5" w:rsidTr="00C56FB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</w:tcPr>
          <w:p w:rsidR="00977ED5" w:rsidRPr="00977ED5" w:rsidRDefault="00977ED5" w:rsidP="00977ED5">
            <w:pPr>
              <w:spacing w:before="120" w:after="12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sz w:val="24"/>
              </w:rPr>
              <w:t>Median age at  any hens’ egg in any form, weeks</w:t>
            </w:r>
          </w:p>
        </w:tc>
        <w:tc>
          <w:tcPr>
            <w:tcW w:w="177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52.0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(42-53)</w:t>
            </w:r>
          </w:p>
        </w:tc>
        <w:tc>
          <w:tcPr>
            <w:tcW w:w="1376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35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(29.0-39.0)</w:t>
            </w:r>
          </w:p>
        </w:tc>
        <w:tc>
          <w:tcPr>
            <w:tcW w:w="900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0.026</w:t>
            </w:r>
          </w:p>
        </w:tc>
        <w:tc>
          <w:tcPr>
            <w:tcW w:w="835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52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(35.25-52)</w:t>
            </w:r>
          </w:p>
        </w:tc>
        <w:tc>
          <w:tcPr>
            <w:tcW w:w="1896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35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(29.0-39.0)</w:t>
            </w:r>
          </w:p>
        </w:tc>
        <w:tc>
          <w:tcPr>
            <w:tcW w:w="92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0.131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sz w:val="24"/>
              </w:rPr>
              <w:t xml:space="preserve">Median age at  first </w:t>
            </w:r>
            <w:r w:rsidRPr="00977ED5">
              <w:rPr>
                <w:rFonts w:eastAsia="Calibri"/>
                <w:sz w:val="24"/>
                <w:lang w:eastAsia="en-US"/>
              </w:rPr>
              <w:t>wheat in any form, weeks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29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(24.75-33)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26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(25.0-29.0)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0.074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25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19.5-27)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26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(25.0-29.0)</w:t>
            </w:r>
          </w:p>
        </w:tc>
        <w:tc>
          <w:tcPr>
            <w:tcW w:w="92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0.197</w:t>
            </w:r>
          </w:p>
        </w:tc>
      </w:tr>
      <w:tr w:rsidR="00977ED5" w:rsidRPr="00977ED5" w:rsidTr="00C56FB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</w:tcPr>
          <w:p w:rsidR="00977ED5" w:rsidRPr="00977ED5" w:rsidRDefault="00977ED5" w:rsidP="00977ED5">
            <w:pPr>
              <w:spacing w:before="120" w:after="12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sz w:val="24"/>
              </w:rPr>
              <w:t xml:space="preserve">Median age at  first </w:t>
            </w:r>
            <w:r w:rsidRPr="00977ED5">
              <w:rPr>
                <w:rFonts w:eastAsia="Calibri"/>
                <w:sz w:val="24"/>
                <w:lang w:eastAsia="en-US"/>
              </w:rPr>
              <w:t>peanut in any form, weeks</w:t>
            </w:r>
          </w:p>
        </w:tc>
        <w:tc>
          <w:tcPr>
            <w:tcW w:w="1772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52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(52.0-52.0)</w:t>
            </w:r>
          </w:p>
        </w:tc>
        <w:tc>
          <w:tcPr>
            <w:tcW w:w="1376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52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(52.0-52.0)</w:t>
            </w:r>
          </w:p>
        </w:tc>
        <w:tc>
          <w:tcPr>
            <w:tcW w:w="900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0.738</w:t>
            </w:r>
          </w:p>
        </w:tc>
        <w:tc>
          <w:tcPr>
            <w:tcW w:w="835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52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(52.0-52.0)</w:t>
            </w:r>
          </w:p>
        </w:tc>
        <w:tc>
          <w:tcPr>
            <w:tcW w:w="1896" w:type="dxa"/>
          </w:tcPr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52</w:t>
            </w:r>
          </w:p>
          <w:p w:rsidR="00977ED5" w:rsidRPr="00977ED5" w:rsidRDefault="00977ED5" w:rsidP="00977ED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(52.0-52.0)</w:t>
            </w:r>
          </w:p>
        </w:tc>
        <w:tc>
          <w:tcPr>
            <w:tcW w:w="92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0.744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80" w:after="8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eastAsia="Calibri"/>
                <w:sz w:val="24"/>
                <w:lang w:eastAsia="en-US"/>
              </w:rPr>
              <w:t>Duration of concurrent breastfeeding and any solid food, week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0.00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(0-20.0)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0</w:t>
            </w:r>
          </w:p>
          <w:p w:rsidR="00977ED5" w:rsidRPr="00977ED5" w:rsidRDefault="00977ED5" w:rsidP="00977ED5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(0.0-9.75)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0.811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(0-5)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0</w:t>
            </w:r>
          </w:p>
          <w:p w:rsidR="00977ED5" w:rsidRPr="00977ED5" w:rsidRDefault="00977ED5" w:rsidP="00977ED5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(0.0-9.75)</w:t>
            </w:r>
          </w:p>
        </w:tc>
        <w:tc>
          <w:tcPr>
            <w:tcW w:w="92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0.274</w:t>
            </w:r>
          </w:p>
        </w:tc>
      </w:tr>
      <w:tr w:rsidR="00977ED5" w:rsidRPr="00977ED5" w:rsidTr="00C56FB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</w:tcPr>
          <w:p w:rsidR="00977ED5" w:rsidRPr="00977ED5" w:rsidRDefault="00977ED5" w:rsidP="00977ED5">
            <w:pPr>
              <w:spacing w:before="80" w:after="8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eastAsia="Calibri"/>
                <w:sz w:val="24"/>
                <w:lang w:eastAsia="en-US"/>
              </w:rPr>
              <w:lastRenderedPageBreak/>
              <w:t xml:space="preserve">Duration of concurrent breastfeeding and </w:t>
            </w:r>
            <w:proofErr w:type="spellStart"/>
            <w:r w:rsidRPr="00977ED5">
              <w:rPr>
                <w:rFonts w:eastAsia="Calibri"/>
                <w:sz w:val="24"/>
                <w:lang w:eastAsia="en-US"/>
              </w:rPr>
              <w:t>cows</w:t>
            </w:r>
            <w:proofErr w:type="spellEnd"/>
            <w:r w:rsidRPr="00977ED5">
              <w:rPr>
                <w:rFonts w:eastAsia="Calibri"/>
                <w:sz w:val="24"/>
                <w:lang w:eastAsia="en-US"/>
              </w:rPr>
              <w:t xml:space="preserve"> milk in any form, week</w:t>
            </w:r>
          </w:p>
        </w:tc>
        <w:tc>
          <w:tcPr>
            <w:tcW w:w="177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7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(0.0-23.0)</w:t>
            </w:r>
          </w:p>
        </w:tc>
        <w:tc>
          <w:tcPr>
            <w:tcW w:w="1376" w:type="dxa"/>
          </w:tcPr>
          <w:p w:rsidR="00977ED5" w:rsidRPr="00977ED5" w:rsidRDefault="00977ED5" w:rsidP="00977ED5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9.0</w:t>
            </w:r>
          </w:p>
          <w:p w:rsidR="00977ED5" w:rsidRPr="00977ED5" w:rsidRDefault="00977ED5" w:rsidP="00977ED5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(3.5-21.5)</w:t>
            </w:r>
          </w:p>
        </w:tc>
        <w:tc>
          <w:tcPr>
            <w:tcW w:w="900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0.519</w:t>
            </w:r>
          </w:p>
        </w:tc>
        <w:tc>
          <w:tcPr>
            <w:tcW w:w="835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5.5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(0-9.25)</w:t>
            </w:r>
          </w:p>
        </w:tc>
        <w:tc>
          <w:tcPr>
            <w:tcW w:w="1896" w:type="dxa"/>
          </w:tcPr>
          <w:p w:rsidR="00977ED5" w:rsidRPr="00977ED5" w:rsidRDefault="00977ED5" w:rsidP="00977ED5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9.0</w:t>
            </w:r>
          </w:p>
          <w:p w:rsidR="00977ED5" w:rsidRPr="00977ED5" w:rsidRDefault="00977ED5" w:rsidP="00977ED5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(3.5-21.5)</w:t>
            </w:r>
          </w:p>
        </w:tc>
        <w:tc>
          <w:tcPr>
            <w:tcW w:w="922" w:type="dxa"/>
          </w:tcPr>
          <w:p w:rsidR="00977ED5" w:rsidRPr="00977ED5" w:rsidRDefault="00977ED5" w:rsidP="00977ED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0.047</w:t>
            </w:r>
          </w:p>
        </w:tc>
      </w:tr>
      <w:tr w:rsidR="00977ED5" w:rsidRPr="00977ED5" w:rsidTr="00C5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4" w:type="dxa"/>
            <w:gridSpan w:val="2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80" w:after="8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eastAsia="Calibri"/>
                <w:sz w:val="24"/>
                <w:lang w:eastAsia="en-US"/>
              </w:rPr>
              <w:t>Mean healthy eating dietary pattern score from principal component analysis(16)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-0.294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(0.19)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0.185</w:t>
            </w:r>
          </w:p>
          <w:p w:rsidR="00977ED5" w:rsidRPr="00977ED5" w:rsidRDefault="00977ED5" w:rsidP="00977ED5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(0.11)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0.001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-0.472</w:t>
            </w:r>
          </w:p>
          <w:p w:rsidR="00977ED5" w:rsidRPr="00977ED5" w:rsidRDefault="00977ED5" w:rsidP="00977ED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 w:rsidRPr="00977ED5">
              <w:rPr>
                <w:rFonts w:asciiTheme="minorBidi" w:eastAsia="Times New Roman" w:hAnsiTheme="minorBidi"/>
                <w:color w:val="000000"/>
              </w:rPr>
              <w:t>(0.21)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0.185</w:t>
            </w:r>
          </w:p>
          <w:p w:rsidR="00977ED5" w:rsidRPr="00977ED5" w:rsidRDefault="00977ED5" w:rsidP="00977ED5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lang w:eastAsia="en-US"/>
              </w:rPr>
            </w:pPr>
            <w:r w:rsidRPr="00977ED5">
              <w:rPr>
                <w:rFonts w:asciiTheme="minorBidi" w:eastAsia="Calibri" w:hAnsiTheme="minorBidi"/>
                <w:lang w:eastAsia="en-US"/>
              </w:rPr>
              <w:t>(0.11)</w:t>
            </w:r>
          </w:p>
        </w:tc>
        <w:tc>
          <w:tcPr>
            <w:tcW w:w="922" w:type="dxa"/>
            <w:shd w:val="clear" w:color="auto" w:fill="F2F2F2" w:themeFill="background1" w:themeFillShade="F2"/>
          </w:tcPr>
          <w:p w:rsidR="00977ED5" w:rsidRPr="00977ED5" w:rsidRDefault="00D91EF4" w:rsidP="00D91EF4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</w:rPr>
            </w:pPr>
            <w:r>
              <w:rPr>
                <w:rFonts w:asciiTheme="minorBidi" w:eastAsia="Times New Roman" w:hAnsiTheme="minorBidi"/>
                <w:color w:val="000000"/>
              </w:rPr>
              <w:t>&lt;</w:t>
            </w:r>
            <w:r w:rsidR="00977ED5" w:rsidRPr="00977ED5">
              <w:rPr>
                <w:rFonts w:asciiTheme="minorBidi" w:eastAsia="Times New Roman" w:hAnsiTheme="minorBidi"/>
                <w:color w:val="000000"/>
              </w:rPr>
              <w:t>0.00</w:t>
            </w:r>
            <w:r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</w:tr>
    </w:tbl>
    <w:p w:rsidR="00977ED5" w:rsidRPr="00977ED5" w:rsidRDefault="00977ED5" w:rsidP="00977ED5">
      <w:pPr>
        <w:spacing w:after="120"/>
        <w:rPr>
          <w:rFonts w:cs="Arial"/>
          <w:sz w:val="20"/>
          <w:szCs w:val="20"/>
        </w:rPr>
      </w:pPr>
    </w:p>
    <w:p w:rsidR="00977ED5" w:rsidRPr="00977ED5" w:rsidRDefault="00977ED5" w:rsidP="00977ED5">
      <w:pPr>
        <w:spacing w:after="120"/>
        <w:rPr>
          <w:rFonts w:cs="Arial"/>
          <w:sz w:val="20"/>
          <w:szCs w:val="20"/>
          <w:highlight w:val="yellow"/>
          <w:u w:val="single"/>
        </w:rPr>
      </w:pPr>
      <w:r w:rsidRPr="00977ED5">
        <w:rPr>
          <w:rFonts w:cs="Arial"/>
          <w:sz w:val="20"/>
          <w:szCs w:val="20"/>
        </w:rPr>
        <w:t>Figures are median (25</w:t>
      </w:r>
      <w:r w:rsidRPr="00977ED5">
        <w:rPr>
          <w:rFonts w:cs="Arial"/>
          <w:sz w:val="20"/>
          <w:szCs w:val="20"/>
          <w:vertAlign w:val="superscript"/>
        </w:rPr>
        <w:t>th</w:t>
      </w:r>
      <w:r w:rsidRPr="00977ED5">
        <w:rPr>
          <w:rFonts w:cs="Arial"/>
          <w:sz w:val="20"/>
          <w:szCs w:val="20"/>
        </w:rPr>
        <w:t>, 75</w:t>
      </w:r>
      <w:r w:rsidRPr="00977ED5">
        <w:rPr>
          <w:rFonts w:cs="Arial"/>
          <w:sz w:val="20"/>
          <w:szCs w:val="20"/>
          <w:vertAlign w:val="superscript"/>
        </w:rPr>
        <w:t>th</w:t>
      </w:r>
      <w:r w:rsidRPr="00977ED5">
        <w:rPr>
          <w:rFonts w:cs="Arial"/>
          <w:sz w:val="20"/>
          <w:szCs w:val="20"/>
        </w:rPr>
        <w:t xml:space="preserve"> centiles) or mean (SD) in each group. </w:t>
      </w:r>
      <w:proofErr w:type="gramStart"/>
      <w:r w:rsidRPr="00977ED5">
        <w:rPr>
          <w:rFonts w:cs="Arial"/>
          <w:sz w:val="20"/>
          <w:szCs w:val="20"/>
        </w:rPr>
        <w:t>p-values</w:t>
      </w:r>
      <w:proofErr w:type="gramEnd"/>
      <w:r w:rsidRPr="00977ED5">
        <w:rPr>
          <w:rFonts w:cs="Arial"/>
          <w:sz w:val="20"/>
          <w:szCs w:val="20"/>
        </w:rPr>
        <w:t xml:space="preserve"> relate to a comparison between cases and control; they represent a Wilcoxon sum ranked test for non-parametric data and two sample t test for parametric data.</w:t>
      </w:r>
    </w:p>
    <w:p w:rsidR="00977ED5" w:rsidRPr="00977ED5" w:rsidRDefault="00977ED5" w:rsidP="00977ED5">
      <w:pPr>
        <w:spacing w:after="0" w:line="480" w:lineRule="auto"/>
        <w:rPr>
          <w:sz w:val="24"/>
          <w:szCs w:val="20"/>
        </w:rPr>
      </w:pPr>
    </w:p>
    <w:p w:rsidR="00977ED5" w:rsidRPr="00977ED5" w:rsidRDefault="00977ED5" w:rsidP="00977ED5">
      <w:pPr>
        <w:spacing w:after="120" w:line="240" w:lineRule="auto"/>
        <w:rPr>
          <w:rFonts w:eastAsia="Times New Roman" w:cs="Arial"/>
          <w:b/>
          <w:sz w:val="24"/>
          <w:szCs w:val="20"/>
          <w:lang w:eastAsia="en-GB"/>
        </w:rPr>
        <w:sectPr w:rsidR="00977ED5" w:rsidRPr="00977ED5">
          <w:pgSz w:w="16838" w:h="11906" w:orient="landscape"/>
          <w:pgMar w:top="1440" w:right="1440" w:bottom="1440" w:left="1440" w:header="708" w:footer="708" w:gutter="0"/>
          <w:cols w:space="708"/>
        </w:sectPr>
      </w:pPr>
    </w:p>
    <w:p w:rsidR="00977ED5" w:rsidRPr="00977ED5" w:rsidRDefault="000C2599" w:rsidP="00491C02">
      <w:pPr>
        <w:spacing w:after="120" w:line="240" w:lineRule="auto"/>
        <w:rPr>
          <w:sz w:val="24"/>
          <w:szCs w:val="20"/>
        </w:rPr>
      </w:pPr>
      <w:r>
        <w:rPr>
          <w:rFonts w:eastAsia="Times New Roman" w:cs="Arial"/>
          <w:b/>
          <w:sz w:val="24"/>
          <w:szCs w:val="20"/>
          <w:lang w:eastAsia="en-GB"/>
        </w:rPr>
        <w:lastRenderedPageBreak/>
        <w:t xml:space="preserve">Table </w:t>
      </w:r>
      <w:r w:rsidRPr="001418E1">
        <w:rPr>
          <w:rFonts w:eastAsia="Times New Roman" w:cs="Arial"/>
          <w:b/>
          <w:color w:val="FF0000"/>
          <w:sz w:val="24"/>
          <w:szCs w:val="20"/>
          <w:lang w:eastAsia="en-GB"/>
        </w:rPr>
        <w:t>S</w:t>
      </w:r>
      <w:r w:rsidR="00491C02" w:rsidRPr="001418E1">
        <w:rPr>
          <w:rFonts w:eastAsia="Times New Roman" w:cs="Arial"/>
          <w:b/>
          <w:color w:val="FF0000"/>
          <w:sz w:val="24"/>
          <w:szCs w:val="20"/>
          <w:lang w:eastAsia="en-GB"/>
        </w:rPr>
        <w:t>9</w:t>
      </w:r>
      <w:r w:rsidR="00977ED5" w:rsidRPr="00977ED5">
        <w:rPr>
          <w:rFonts w:eastAsia="Times New Roman" w:cs="Arial"/>
          <w:sz w:val="24"/>
          <w:szCs w:val="20"/>
          <w:lang w:eastAsia="en-GB"/>
        </w:rPr>
        <w:t xml:space="preserve"> Environmental, health and medicinal factors </w:t>
      </w:r>
      <w:r w:rsidR="00977ED5" w:rsidRPr="00977ED5">
        <w:rPr>
          <w:sz w:val="24"/>
          <w:szCs w:val="20"/>
          <w:lang w:val="en-US"/>
        </w:rPr>
        <w:t>divided by food hypersensitivity phenotype</w:t>
      </w:r>
    </w:p>
    <w:tbl>
      <w:tblPr>
        <w:tblW w:w="14195" w:type="dxa"/>
        <w:tblLayout w:type="fixed"/>
        <w:tblLook w:val="04A0" w:firstRow="1" w:lastRow="0" w:firstColumn="1" w:lastColumn="0" w:noHBand="0" w:noVBand="1"/>
      </w:tblPr>
      <w:tblGrid>
        <w:gridCol w:w="2780"/>
        <w:gridCol w:w="1439"/>
        <w:gridCol w:w="2126"/>
        <w:gridCol w:w="1364"/>
        <w:gridCol w:w="1134"/>
        <w:gridCol w:w="904"/>
        <w:gridCol w:w="1985"/>
        <w:gridCol w:w="1418"/>
        <w:gridCol w:w="1045"/>
      </w:tblGrid>
      <w:tr w:rsidR="00977ED5" w:rsidRPr="00977ED5" w:rsidTr="00C56FB1">
        <w:trPr>
          <w:trHeight w:val="356"/>
        </w:trPr>
        <w:tc>
          <w:tcPr>
            <w:tcW w:w="278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D510DB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 xml:space="preserve">Participants with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IgE </w:t>
            </w:r>
            <w:r w:rsidR="00D510DB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mediated </w:t>
            </w:r>
            <w:r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food </w:t>
            </w:r>
            <w:r w:rsidR="00D510DB" w:rsidRPr="001418E1">
              <w:rPr>
                <w:rFonts w:asciiTheme="minorBidi" w:eastAsia="Times New Roman" w:hAnsiTheme="minorBidi"/>
                <w:b/>
                <w:color w:val="FF0000"/>
                <w:sz w:val="20"/>
                <w:szCs w:val="20"/>
              </w:rPr>
              <w:t xml:space="preserve">allergy </w:t>
            </w: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(n=21)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Participants with food non-IgE hypersensitivity (n=20)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Control participants (n=82)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977ED5" w:rsidRPr="00977ED5" w:rsidTr="00C56FB1">
        <w:trPr>
          <w:trHeight w:val="381"/>
        </w:trPr>
        <w:tc>
          <w:tcPr>
            <w:tcW w:w="2780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Maternal smoking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tabs>
                <w:tab w:val="left" w:pos="430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tabs>
                <w:tab w:val="left" w:pos="430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tabs>
                <w:tab w:val="left" w:pos="430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tabs>
                <w:tab w:val="left" w:pos="430"/>
                <w:tab w:val="center" w:pos="742"/>
              </w:tabs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Anyone else smoking inside home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0.023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Live on a main road 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0.621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Cat at home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0.784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Dog at home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0.015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Mould in home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0.452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Type of flooring where baby sleeps (split into categories)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Carpet</w:t>
            </w:r>
          </w:p>
        </w:tc>
        <w:tc>
          <w:tcPr>
            <w:tcW w:w="143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45" w:type="dxa"/>
            <w:vMerge w:val="restart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0.875</w:t>
            </w:r>
          </w:p>
        </w:tc>
      </w:tr>
      <w:tr w:rsidR="00977ED5" w:rsidRPr="00977ED5" w:rsidTr="00C56FB1">
        <w:trPr>
          <w:trHeight w:val="225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 Wooden, laminate, parquet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Merge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5" w:type="dxa"/>
            <w:vMerge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Linoleum or vinyl tiles</w:t>
            </w:r>
          </w:p>
        </w:tc>
        <w:tc>
          <w:tcPr>
            <w:tcW w:w="1439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5" w:type="dxa"/>
            <w:vMerge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906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Type of mattress your baby sleeps on (split into categories)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Foam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0.272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Synthetic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Other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Cleaning kitchen work surfaces (split into categories)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Non-bactericidal 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vMerge w:val="restart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0.223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Bactericidal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Neither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Don’t know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lastRenderedPageBreak/>
              <w:t>Cleaning  table where you eat (split into categories)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Spray cleaner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0.118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Soap and water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Just water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None of these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634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Pacifier/dummy (split into categories)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Latex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0.808</w:t>
            </w:r>
          </w:p>
          <w:p w:rsidR="00977ED5" w:rsidRPr="00977ED5" w:rsidRDefault="00977ED5" w:rsidP="00977ED5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   Silicon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vMerge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Attendance at day care or a nursery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4219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Upper respiratory infection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0.965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219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Lower respiratory infection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0.887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219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Wheeze with upper respiratory infection 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0.615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4219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Bronchiolitis (bronchitis)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Middle ear infection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0.366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Gastrointestinal illness 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0.072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Often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Median number of occasions antibiotics were taken in the last 12 months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Average age when first received antibiotics, months (SE)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7.78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aspirin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paracetamol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anti-inflammatories (e.g. Ibuprofen, Nurofen)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0.571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anti-reflux medication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0.018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any vaccinations</w:t>
            </w:r>
          </w:p>
        </w:tc>
        <w:tc>
          <w:tcPr>
            <w:tcW w:w="1439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64" w:type="dxa"/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04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45" w:type="dxa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0.355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Received any skin creams, lotions or powders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45" w:type="dxa"/>
            <w:shd w:val="clear" w:color="auto" w:fill="F2F2F2" w:themeFill="background1" w:themeFillShade="F2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0.546</w:t>
            </w:r>
          </w:p>
        </w:tc>
      </w:tr>
      <w:tr w:rsidR="00977ED5" w:rsidRPr="00977ED5" w:rsidTr="00C56FB1">
        <w:trPr>
          <w:trHeight w:val="225"/>
        </w:trPr>
        <w:tc>
          <w:tcPr>
            <w:tcW w:w="2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7ED5" w:rsidRPr="00977ED5" w:rsidRDefault="00977ED5" w:rsidP="00977ED5">
            <w:pPr>
              <w:spacing w:before="40" w:after="4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Mean age when started day care or a nursery, months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7.44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8.74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8.74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977ED5" w:rsidRPr="00977ED5" w:rsidRDefault="00977ED5" w:rsidP="00977ED5">
            <w:pPr>
              <w:spacing w:before="40" w:after="4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977ED5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</w:t>
            </w:r>
          </w:p>
        </w:tc>
      </w:tr>
    </w:tbl>
    <w:p w:rsidR="00977ED5" w:rsidRPr="00977ED5" w:rsidRDefault="00977ED5" w:rsidP="00977ED5">
      <w:pPr>
        <w:spacing w:line="240" w:lineRule="auto"/>
        <w:rPr>
          <w:rFonts w:cs="Arial"/>
          <w:sz w:val="20"/>
          <w:szCs w:val="20"/>
        </w:rPr>
      </w:pPr>
    </w:p>
    <w:p w:rsidR="00C56FB1" w:rsidRDefault="00977ED5">
      <w:r w:rsidRPr="00977ED5">
        <w:rPr>
          <w:rFonts w:cs="Arial"/>
          <w:sz w:val="20"/>
          <w:szCs w:val="20"/>
        </w:rPr>
        <w:t>Figures are numbers (%), median (25</w:t>
      </w:r>
      <w:r w:rsidRPr="00977ED5">
        <w:rPr>
          <w:rFonts w:cs="Arial"/>
          <w:sz w:val="20"/>
          <w:szCs w:val="20"/>
          <w:vertAlign w:val="superscript"/>
        </w:rPr>
        <w:t>th</w:t>
      </w:r>
      <w:r w:rsidRPr="00977ED5">
        <w:rPr>
          <w:rFonts w:cs="Arial"/>
          <w:sz w:val="20"/>
          <w:szCs w:val="20"/>
        </w:rPr>
        <w:t>, 75</w:t>
      </w:r>
      <w:r w:rsidRPr="00977ED5">
        <w:rPr>
          <w:rFonts w:cs="Arial"/>
          <w:sz w:val="20"/>
          <w:szCs w:val="20"/>
          <w:vertAlign w:val="superscript"/>
        </w:rPr>
        <w:t>th</w:t>
      </w:r>
      <w:r w:rsidRPr="00977ED5">
        <w:rPr>
          <w:rFonts w:cs="Arial"/>
          <w:sz w:val="20"/>
          <w:szCs w:val="20"/>
        </w:rPr>
        <w:t xml:space="preserve"> centile) or mean (SD) in each group unless specified. P-values relate to a comparison between cases and control; they represent a chi squared test for categorical data</w:t>
      </w:r>
      <w:proofErr w:type="gramStart"/>
      <w:r w:rsidRPr="00977ED5">
        <w:rPr>
          <w:rFonts w:cs="Arial"/>
          <w:sz w:val="20"/>
          <w:szCs w:val="20"/>
        </w:rPr>
        <w:t>,  Mann</w:t>
      </w:r>
      <w:proofErr w:type="gramEnd"/>
      <w:r w:rsidRPr="00977ED5">
        <w:rPr>
          <w:rFonts w:cs="Arial"/>
          <w:sz w:val="20"/>
          <w:szCs w:val="20"/>
        </w:rPr>
        <w:t xml:space="preserve"> Whitney U test  for non-parametric data and two sample t test for parametric data</w:t>
      </w:r>
      <w:r w:rsidRPr="00977ED5">
        <w:rPr>
          <w:rFonts w:cs="Arial"/>
          <w:sz w:val="24"/>
          <w:szCs w:val="20"/>
        </w:rPr>
        <w:t>.</w:t>
      </w:r>
      <w:r w:rsidR="008764BB" w:rsidRPr="00977ED5" w:rsidDel="008764BB">
        <w:rPr>
          <w:sz w:val="24"/>
          <w:szCs w:val="20"/>
          <w:lang w:val="en-US"/>
        </w:rPr>
        <w:t xml:space="preserve"> </w:t>
      </w:r>
    </w:p>
    <w:sectPr w:rsidR="00C56FB1">
      <w:pgSz w:w="16838" w:h="11906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6D55"/>
    <w:multiLevelType w:val="hybridMultilevel"/>
    <w:tmpl w:val="5B68FF82"/>
    <w:lvl w:ilvl="0" w:tplc="D1460708">
      <w:start w:val="1"/>
      <w:numFmt w:val="decimal"/>
      <w:lvlText w:val="(%1)"/>
      <w:lvlJc w:val="left"/>
      <w:pPr>
        <w:ind w:left="720" w:hanging="360"/>
      </w:pPr>
    </w:lvl>
    <w:lvl w:ilvl="1" w:tplc="FADEDE80">
      <w:start w:val="1"/>
      <w:numFmt w:val="lowerLetter"/>
      <w:lvlText w:val="%2."/>
      <w:lvlJc w:val="left"/>
      <w:pPr>
        <w:ind w:left="1440" w:hanging="360"/>
      </w:pPr>
    </w:lvl>
    <w:lvl w:ilvl="2" w:tplc="5A04C736">
      <w:start w:val="1"/>
      <w:numFmt w:val="lowerRoman"/>
      <w:lvlText w:val="%3."/>
      <w:lvlJc w:val="right"/>
      <w:pPr>
        <w:ind w:left="2160" w:hanging="180"/>
      </w:pPr>
    </w:lvl>
    <w:lvl w:ilvl="3" w:tplc="E98E74C8">
      <w:start w:val="1"/>
      <w:numFmt w:val="decimal"/>
      <w:lvlText w:val="%4."/>
      <w:lvlJc w:val="left"/>
      <w:pPr>
        <w:ind w:left="2880" w:hanging="360"/>
      </w:pPr>
    </w:lvl>
    <w:lvl w:ilvl="4" w:tplc="8DA22B52">
      <w:start w:val="1"/>
      <w:numFmt w:val="lowerLetter"/>
      <w:lvlText w:val="%5."/>
      <w:lvlJc w:val="left"/>
      <w:pPr>
        <w:ind w:left="3600" w:hanging="360"/>
      </w:pPr>
    </w:lvl>
    <w:lvl w:ilvl="5" w:tplc="3B6CF842">
      <w:start w:val="1"/>
      <w:numFmt w:val="lowerRoman"/>
      <w:lvlText w:val="%6."/>
      <w:lvlJc w:val="right"/>
      <w:pPr>
        <w:ind w:left="4320" w:hanging="180"/>
      </w:pPr>
    </w:lvl>
    <w:lvl w:ilvl="6" w:tplc="B6020BBC">
      <w:start w:val="1"/>
      <w:numFmt w:val="decimal"/>
      <w:lvlText w:val="%7."/>
      <w:lvlJc w:val="left"/>
      <w:pPr>
        <w:ind w:left="5040" w:hanging="360"/>
      </w:pPr>
    </w:lvl>
    <w:lvl w:ilvl="7" w:tplc="7A5A53EE">
      <w:start w:val="1"/>
      <w:numFmt w:val="lowerLetter"/>
      <w:lvlText w:val="%8."/>
      <w:lvlJc w:val="left"/>
      <w:pPr>
        <w:ind w:left="5760" w:hanging="360"/>
      </w:pPr>
    </w:lvl>
    <w:lvl w:ilvl="8" w:tplc="5E2425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471A2"/>
    <w:multiLevelType w:val="hybridMultilevel"/>
    <w:tmpl w:val="4E8008F6"/>
    <w:lvl w:ilvl="0" w:tplc="47AAA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F49D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54F3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8D8A6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A7031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482DC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B323D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0F0C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BCC0E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84373DC"/>
    <w:multiLevelType w:val="hybridMultilevel"/>
    <w:tmpl w:val="36780EF8"/>
    <w:lvl w:ilvl="0" w:tplc="91DE59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3C5E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04EC03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F864A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A7043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14C12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178A99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64D8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3D6F3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0D057B4"/>
    <w:multiLevelType w:val="hybridMultilevel"/>
    <w:tmpl w:val="B78A9B7A"/>
    <w:lvl w:ilvl="0" w:tplc="1D0A4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F68A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E0E62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BC86D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AEC6C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03AC07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48E90B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B4CD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854A2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31D2609"/>
    <w:multiLevelType w:val="hybridMultilevel"/>
    <w:tmpl w:val="A1E449E0"/>
    <w:lvl w:ilvl="0" w:tplc="774ABD7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 w:val="0"/>
        <w:i w:val="0"/>
        <w:sz w:val="22"/>
      </w:rPr>
    </w:lvl>
    <w:lvl w:ilvl="1" w:tplc="D0947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008AB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F80A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2001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BE3D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C900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0C08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78FD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6D558BC"/>
    <w:multiLevelType w:val="hybridMultilevel"/>
    <w:tmpl w:val="C3E00266"/>
    <w:lvl w:ilvl="0" w:tplc="504A7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B63B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5BA51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A2823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7D6CE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02C3B0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3F6B08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282B0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26FED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AA91CB9"/>
    <w:multiLevelType w:val="hybridMultilevel"/>
    <w:tmpl w:val="40C092FE"/>
    <w:lvl w:ilvl="0" w:tplc="8B5E3756">
      <w:start w:val="1"/>
      <w:numFmt w:val="bullet"/>
      <w:lvlText w:val=""/>
      <w:lvlJc w:val="left"/>
      <w:pPr>
        <w:ind w:left="1264" w:hanging="224"/>
      </w:pPr>
      <w:rPr>
        <w:rFonts w:ascii="Symbol" w:eastAsia="Symbol" w:hAnsi="Symbol" w:hint="default"/>
        <w:color w:val="231F20"/>
        <w:w w:val="101"/>
        <w:sz w:val="14"/>
        <w:szCs w:val="14"/>
      </w:rPr>
    </w:lvl>
    <w:lvl w:ilvl="1" w:tplc="6FB038A8">
      <w:start w:val="1"/>
      <w:numFmt w:val="bullet"/>
      <w:lvlText w:val=""/>
      <w:lvlJc w:val="left"/>
      <w:pPr>
        <w:ind w:left="808" w:hanging="125"/>
      </w:pPr>
      <w:rPr>
        <w:rFonts w:ascii="Symbol" w:eastAsia="Symbol" w:hAnsi="Symbol" w:hint="default"/>
        <w:color w:val="231F20"/>
        <w:w w:val="101"/>
        <w:sz w:val="14"/>
        <w:szCs w:val="14"/>
      </w:rPr>
    </w:lvl>
    <w:lvl w:ilvl="2" w:tplc="CD20C4BC">
      <w:start w:val="1"/>
      <w:numFmt w:val="bullet"/>
      <w:lvlText w:val="•"/>
      <w:lvlJc w:val="left"/>
      <w:pPr>
        <w:ind w:left="1877" w:hanging="125"/>
      </w:pPr>
      <w:rPr>
        <w:rFonts w:hint="default"/>
      </w:rPr>
    </w:lvl>
    <w:lvl w:ilvl="3" w:tplc="07FE10F6">
      <w:start w:val="1"/>
      <w:numFmt w:val="bullet"/>
      <w:lvlText w:val="•"/>
      <w:lvlJc w:val="left"/>
      <w:pPr>
        <w:ind w:left="2490" w:hanging="125"/>
      </w:pPr>
      <w:rPr>
        <w:rFonts w:hint="default"/>
      </w:rPr>
    </w:lvl>
    <w:lvl w:ilvl="4" w:tplc="06CC34E8">
      <w:start w:val="1"/>
      <w:numFmt w:val="bullet"/>
      <w:lvlText w:val="•"/>
      <w:lvlJc w:val="left"/>
      <w:pPr>
        <w:ind w:left="3104" w:hanging="125"/>
      </w:pPr>
      <w:rPr>
        <w:rFonts w:hint="default"/>
      </w:rPr>
    </w:lvl>
    <w:lvl w:ilvl="5" w:tplc="F1AE580E">
      <w:start w:val="1"/>
      <w:numFmt w:val="bullet"/>
      <w:lvlText w:val="•"/>
      <w:lvlJc w:val="left"/>
      <w:pPr>
        <w:ind w:left="3717" w:hanging="125"/>
      </w:pPr>
      <w:rPr>
        <w:rFonts w:hint="default"/>
      </w:rPr>
    </w:lvl>
    <w:lvl w:ilvl="6" w:tplc="A5FC4AA0">
      <w:start w:val="1"/>
      <w:numFmt w:val="bullet"/>
      <w:lvlText w:val="•"/>
      <w:lvlJc w:val="left"/>
      <w:pPr>
        <w:ind w:left="4330" w:hanging="125"/>
      </w:pPr>
      <w:rPr>
        <w:rFonts w:hint="default"/>
      </w:rPr>
    </w:lvl>
    <w:lvl w:ilvl="7" w:tplc="49F815A2">
      <w:start w:val="1"/>
      <w:numFmt w:val="bullet"/>
      <w:lvlText w:val="•"/>
      <w:lvlJc w:val="left"/>
      <w:pPr>
        <w:ind w:left="4943" w:hanging="125"/>
      </w:pPr>
      <w:rPr>
        <w:rFonts w:hint="default"/>
      </w:rPr>
    </w:lvl>
    <w:lvl w:ilvl="8" w:tplc="5B10F330">
      <w:start w:val="1"/>
      <w:numFmt w:val="bullet"/>
      <w:lvlText w:val="•"/>
      <w:lvlJc w:val="left"/>
      <w:pPr>
        <w:ind w:left="5557" w:hanging="125"/>
      </w:pPr>
      <w:rPr>
        <w:rFonts w:hint="default"/>
      </w:rPr>
    </w:lvl>
  </w:abstractNum>
  <w:abstractNum w:abstractNumId="7" w15:restartNumberingAfterBreak="0">
    <w:nsid w:val="74E84A3A"/>
    <w:multiLevelType w:val="hybridMultilevel"/>
    <w:tmpl w:val="B9184B94"/>
    <w:lvl w:ilvl="0" w:tplc="CC9E4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EC2A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A30CF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42D8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74EC5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DB4180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34F8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B8A0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19ABC3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D5"/>
    <w:rsid w:val="00091EF3"/>
    <w:rsid w:val="000C2599"/>
    <w:rsid w:val="000F238E"/>
    <w:rsid w:val="001302DD"/>
    <w:rsid w:val="00140A0D"/>
    <w:rsid w:val="001418E1"/>
    <w:rsid w:val="001E0406"/>
    <w:rsid w:val="001F7A0F"/>
    <w:rsid w:val="00290E56"/>
    <w:rsid w:val="002A084D"/>
    <w:rsid w:val="00311BB9"/>
    <w:rsid w:val="003562EA"/>
    <w:rsid w:val="00372C3B"/>
    <w:rsid w:val="003A59A2"/>
    <w:rsid w:val="003C3F32"/>
    <w:rsid w:val="00431E89"/>
    <w:rsid w:val="00491C02"/>
    <w:rsid w:val="004965BD"/>
    <w:rsid w:val="00513660"/>
    <w:rsid w:val="0053074E"/>
    <w:rsid w:val="00532873"/>
    <w:rsid w:val="005A774A"/>
    <w:rsid w:val="005C1995"/>
    <w:rsid w:val="00610074"/>
    <w:rsid w:val="00636B70"/>
    <w:rsid w:val="0070180B"/>
    <w:rsid w:val="00741BE7"/>
    <w:rsid w:val="00777ACB"/>
    <w:rsid w:val="007B3F4D"/>
    <w:rsid w:val="008764BB"/>
    <w:rsid w:val="008B258D"/>
    <w:rsid w:val="008D494E"/>
    <w:rsid w:val="008E003D"/>
    <w:rsid w:val="00940A56"/>
    <w:rsid w:val="009740DB"/>
    <w:rsid w:val="00977ED5"/>
    <w:rsid w:val="009C79D7"/>
    <w:rsid w:val="00A6293E"/>
    <w:rsid w:val="00A63BF3"/>
    <w:rsid w:val="00AA3409"/>
    <w:rsid w:val="00B46EF6"/>
    <w:rsid w:val="00B502CC"/>
    <w:rsid w:val="00B75A85"/>
    <w:rsid w:val="00BB5847"/>
    <w:rsid w:val="00C56FB1"/>
    <w:rsid w:val="00C73C64"/>
    <w:rsid w:val="00C92974"/>
    <w:rsid w:val="00CC2C38"/>
    <w:rsid w:val="00D510DB"/>
    <w:rsid w:val="00D5130E"/>
    <w:rsid w:val="00D5454C"/>
    <w:rsid w:val="00D647B0"/>
    <w:rsid w:val="00D6754B"/>
    <w:rsid w:val="00D91EF4"/>
    <w:rsid w:val="00DD5CDE"/>
    <w:rsid w:val="00E136A6"/>
    <w:rsid w:val="00E535B2"/>
    <w:rsid w:val="00E728D5"/>
    <w:rsid w:val="00ED2349"/>
    <w:rsid w:val="00F62371"/>
    <w:rsid w:val="00F70396"/>
    <w:rsid w:val="00FD54D9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5B3568-0539-4B49-A02B-2B43809F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E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E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E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E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E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E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E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E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ED5"/>
    <w:rPr>
      <w:rFonts w:asciiTheme="majorHAnsi" w:eastAsiaTheme="majorEastAsia" w:hAnsiTheme="majorHAnsi" w:cstheme="majorBidi"/>
      <w:b/>
      <w:color w:val="365F91" w:themeColor="accent1" w:themeShade="BF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ED5"/>
    <w:rPr>
      <w:rFonts w:asciiTheme="majorHAnsi" w:eastAsiaTheme="majorEastAsia" w:hAnsiTheme="majorHAnsi" w:cstheme="majorBidi"/>
      <w:b/>
      <w:color w:val="4F81BD" w:themeColor="accent1"/>
      <w:sz w:val="2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ED5"/>
    <w:rPr>
      <w:rFonts w:asciiTheme="majorHAnsi" w:eastAsiaTheme="majorEastAsia" w:hAnsiTheme="majorHAnsi" w:cstheme="majorBidi"/>
      <w:b/>
      <w:color w:val="4F81BD" w:themeColor="accent1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ED5"/>
    <w:rPr>
      <w:rFonts w:asciiTheme="majorHAnsi" w:eastAsiaTheme="majorEastAsia" w:hAnsiTheme="majorHAnsi" w:cstheme="majorBidi"/>
      <w:b/>
      <w:i/>
      <w:color w:val="4F81BD" w:themeColor="accent1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ED5"/>
    <w:rPr>
      <w:rFonts w:asciiTheme="majorHAnsi" w:eastAsiaTheme="majorEastAsia" w:hAnsiTheme="majorHAnsi" w:cstheme="majorBidi"/>
      <w:color w:val="243F60" w:themeColor="accent1" w:themeShade="7F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ED5"/>
    <w:rPr>
      <w:rFonts w:asciiTheme="majorHAnsi" w:eastAsiaTheme="majorEastAsia" w:hAnsiTheme="majorHAnsi" w:cstheme="majorBidi"/>
      <w:i/>
      <w:color w:val="243F60" w:themeColor="accent1" w:themeShade="7F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ED5"/>
    <w:rPr>
      <w:rFonts w:asciiTheme="majorHAnsi" w:eastAsiaTheme="majorEastAsia" w:hAnsiTheme="majorHAnsi" w:cstheme="majorBidi"/>
      <w:i/>
      <w:color w:val="404040" w:themeColor="text1" w:themeTint="BF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E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ED5"/>
    <w:rPr>
      <w:rFonts w:asciiTheme="majorHAnsi" w:eastAsiaTheme="majorEastAsia" w:hAnsiTheme="majorHAnsi" w:cstheme="majorBidi"/>
      <w:i/>
      <w:color w:val="404040" w:themeColor="text1" w:themeTint="BF"/>
      <w:sz w:val="20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77ED5"/>
  </w:style>
  <w:style w:type="character" w:styleId="FootnoteReference">
    <w:name w:val="footnote reference"/>
    <w:basedOn w:val="DefaultParagraphFont"/>
    <w:uiPriority w:val="99"/>
    <w:semiHidden/>
    <w:unhideWhenUsed/>
    <w:rsid w:val="00977ED5"/>
    <w:rPr>
      <w:vertAlign w:val="superscript"/>
    </w:rPr>
  </w:style>
  <w:style w:type="character" w:styleId="Strong">
    <w:name w:val="Strong"/>
    <w:basedOn w:val="DefaultParagraphFont"/>
    <w:uiPriority w:val="22"/>
    <w:qFormat/>
    <w:rsid w:val="00977ED5"/>
    <w:rPr>
      <w:b/>
    </w:rPr>
  </w:style>
  <w:style w:type="paragraph" w:styleId="Footer">
    <w:name w:val="footer"/>
    <w:basedOn w:val="Normal"/>
    <w:link w:val="FooterChar"/>
    <w:uiPriority w:val="99"/>
    <w:unhideWhenUsed/>
    <w:rsid w:val="00977ED5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77ED5"/>
    <w:rPr>
      <w:szCs w:val="20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ED5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ED5"/>
    <w:rPr>
      <w:b/>
      <w:i/>
      <w:color w:val="4F81BD" w:themeColor="accent1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rsid w:val="00977ED5"/>
    <w:pPr>
      <w:spacing w:after="90" w:line="288" w:lineRule="auto"/>
    </w:pPr>
    <w:rPr>
      <w:rFonts w:ascii="Lucida Sans" w:eastAsia="Times New Roman" w:hAnsi="Lucida Sans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ED5"/>
    <w:rPr>
      <w:rFonts w:ascii="Lucida Sans" w:eastAsia="Times New Roman" w:hAnsi="Lucida Sans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977ED5"/>
    <w:rPr>
      <w:i/>
    </w:rPr>
  </w:style>
  <w:style w:type="character" w:styleId="BookTitle">
    <w:name w:val="Book Title"/>
    <w:basedOn w:val="DefaultParagraphFont"/>
    <w:uiPriority w:val="33"/>
    <w:qFormat/>
    <w:rsid w:val="00977ED5"/>
    <w:rPr>
      <w:b/>
      <w:smallCaps/>
      <w:spacing w:val="5"/>
    </w:rPr>
  </w:style>
  <w:style w:type="table" w:customStyle="1" w:styleId="TableGrid21">
    <w:name w:val="Table Grid21"/>
    <w:basedOn w:val="TableNormal"/>
    <w:uiPriority w:val="99"/>
    <w:rsid w:val="00977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977ED5"/>
    <w:rPr>
      <w:i/>
      <w:color w:val="000000" w:themeColor="text1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977ED5"/>
    <w:rPr>
      <w:i/>
      <w:color w:val="000000" w:themeColor="text1"/>
      <w:szCs w:val="20"/>
      <w:lang w:val="en-GB"/>
    </w:rPr>
  </w:style>
  <w:style w:type="character" w:styleId="SubtleReference">
    <w:name w:val="Subtle Reference"/>
    <w:basedOn w:val="DefaultParagraphFont"/>
    <w:uiPriority w:val="31"/>
    <w:qFormat/>
    <w:rsid w:val="00977ED5"/>
    <w:rPr>
      <w:smallCaps/>
      <w:color w:val="C0504D" w:themeColor="accent2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977ED5"/>
  </w:style>
  <w:style w:type="table" w:styleId="LightShading">
    <w:name w:val="Light Shading"/>
    <w:basedOn w:val="TableNormal"/>
    <w:uiPriority w:val="60"/>
    <w:rsid w:val="00977ED5"/>
    <w:pPr>
      <w:spacing w:after="0" w:line="240" w:lineRule="auto"/>
    </w:pPr>
    <w:rPr>
      <w:color w:val="000000" w:themeColor="text1" w:themeShade="BF"/>
      <w:sz w:val="20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2">
    <w:name w:val="Table Grid2"/>
    <w:basedOn w:val="TableNormal"/>
    <w:uiPriority w:val="99"/>
    <w:rsid w:val="00977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977ED5"/>
    <w:pPr>
      <w:spacing w:after="0"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99"/>
    <w:rsid w:val="00977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7ED5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sid w:val="00977ED5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977ED5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sid w:val="00977ED5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ListParagraph">
    <w:name w:val="List Paragraph"/>
    <w:basedOn w:val="Normal"/>
    <w:uiPriority w:val="34"/>
    <w:qFormat/>
    <w:rsid w:val="00977ED5"/>
    <w:pPr>
      <w:ind w:left="720"/>
      <w:contextualSpacing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7ED5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7ED5"/>
  </w:style>
  <w:style w:type="character" w:customStyle="1" w:styleId="Apple-style-span">
    <w:name w:val="Apple-style-span"/>
    <w:basedOn w:val="DefaultParagraphFont"/>
    <w:uiPriority w:val="99"/>
    <w:rsid w:val="00977ED5"/>
  </w:style>
  <w:style w:type="paragraph" w:styleId="BalloonText">
    <w:name w:val="Balloon Text"/>
    <w:basedOn w:val="Normal"/>
    <w:link w:val="BalloonTextChar"/>
    <w:uiPriority w:val="99"/>
    <w:semiHidden/>
    <w:unhideWhenUsed/>
    <w:rsid w:val="00977ED5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ED5"/>
    <w:rPr>
      <w:rFonts w:ascii="Tahoma" w:hAnsi="Tahoma" w:cs="Tahoma"/>
      <w:sz w:val="16"/>
      <w:szCs w:val="20"/>
      <w:lang w:val="en-GB"/>
    </w:rPr>
  </w:style>
  <w:style w:type="character" w:styleId="IntenseReference">
    <w:name w:val="Intense Reference"/>
    <w:basedOn w:val="DefaultParagraphFont"/>
    <w:uiPriority w:val="32"/>
    <w:qFormat/>
    <w:rsid w:val="00977ED5"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7ED5"/>
    <w:pPr>
      <w:spacing w:after="0" w:line="240" w:lineRule="auto"/>
    </w:pPr>
    <w:rPr>
      <w:sz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977ED5"/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7ED5"/>
    <w:rPr>
      <w:sz w:val="20"/>
    </w:rPr>
  </w:style>
  <w:style w:type="character" w:styleId="CommentReference">
    <w:name w:val="annotation reference"/>
    <w:uiPriority w:val="99"/>
    <w:rsid w:val="00977ED5"/>
    <w:rPr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7ED5"/>
    <w:pPr>
      <w:spacing w:after="0" w:line="240" w:lineRule="auto"/>
    </w:pPr>
    <w:rPr>
      <w:sz w:val="20"/>
      <w:lang w:val="en-US"/>
    </w:rPr>
  </w:style>
  <w:style w:type="character" w:customStyle="1" w:styleId="FootnoteTextChar1">
    <w:name w:val="Footnote Text Char1"/>
    <w:basedOn w:val="DefaultParagraphFont"/>
    <w:uiPriority w:val="99"/>
    <w:semiHidden/>
    <w:rsid w:val="00977ED5"/>
    <w:rPr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77ED5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977ED5"/>
    <w:rPr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77ED5"/>
    <w:pPr>
      <w:spacing w:after="0" w:line="240" w:lineRule="auto"/>
    </w:pPr>
    <w:rPr>
      <w:rFonts w:ascii="Courier New" w:hAnsi="Courier New" w:cs="Courier New"/>
      <w:sz w:val="21"/>
      <w:lang w:val="en-US"/>
    </w:rPr>
  </w:style>
  <w:style w:type="character" w:customStyle="1" w:styleId="PlainTextChar1">
    <w:name w:val="Plain Text Char1"/>
    <w:basedOn w:val="DefaultParagraphFont"/>
    <w:uiPriority w:val="99"/>
    <w:semiHidden/>
    <w:rsid w:val="00977ED5"/>
    <w:rPr>
      <w:rFonts w:ascii="Consolas" w:hAnsi="Consolas"/>
      <w:sz w:val="21"/>
      <w:szCs w:val="21"/>
      <w:lang w:val="en-GB"/>
    </w:rPr>
  </w:style>
  <w:style w:type="character" w:styleId="IntenseEmphasis">
    <w:name w:val="Intense Emphasis"/>
    <w:basedOn w:val="DefaultParagraphFont"/>
    <w:uiPriority w:val="21"/>
    <w:qFormat/>
    <w:rsid w:val="00977ED5"/>
    <w:rPr>
      <w:b/>
      <w:i/>
      <w:color w:val="4F81BD" w:themeColor="accent1"/>
    </w:rPr>
  </w:style>
  <w:style w:type="paragraph" w:styleId="NoSpacing">
    <w:name w:val="No Spacing"/>
    <w:uiPriority w:val="1"/>
    <w:qFormat/>
    <w:rsid w:val="00977ED5"/>
    <w:pPr>
      <w:spacing w:after="0" w:line="240" w:lineRule="auto"/>
    </w:pPr>
    <w:rPr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ED5"/>
    <w:pPr>
      <w:spacing w:after="200" w:line="240" w:lineRule="auto"/>
    </w:pPr>
    <w:rPr>
      <w:rFonts w:asciiTheme="minorHAnsi" w:eastAsiaTheme="minorEastAsia" w:hAnsiTheme="minorHAnsi" w:cstheme="minorBidi"/>
      <w:b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ED5"/>
    <w:rPr>
      <w:rFonts w:ascii="Lucida Sans" w:eastAsia="Times New Roman" w:hAnsi="Lucida Sans" w:cs="Times New Roman"/>
      <w:b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7ED5"/>
  </w:style>
  <w:style w:type="paragraph" w:styleId="Subtitle">
    <w:name w:val="Subtitle"/>
    <w:basedOn w:val="Normal"/>
    <w:next w:val="Normal"/>
    <w:link w:val="SubtitleChar"/>
    <w:uiPriority w:val="11"/>
    <w:qFormat/>
    <w:rsid w:val="00977ED5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  <w:lang w:val="en-US"/>
    </w:rPr>
  </w:style>
  <w:style w:type="character" w:customStyle="1" w:styleId="SubtitleChar1">
    <w:name w:val="Subtitle Char1"/>
    <w:basedOn w:val="DefaultParagraphFont"/>
    <w:uiPriority w:val="11"/>
    <w:rsid w:val="00977E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77ED5"/>
    <w:rPr>
      <w:color w:val="0000FF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977ED5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BodyText">
    <w:name w:val="Body Text"/>
    <w:basedOn w:val="Normal"/>
    <w:link w:val="BodyTextChar"/>
    <w:uiPriority w:val="99"/>
    <w:semiHidden/>
    <w:unhideWhenUsed/>
    <w:rsid w:val="00977ED5"/>
    <w:pPr>
      <w:spacing w:after="120"/>
    </w:pPr>
    <w:rPr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977ED5"/>
    <w:rPr>
      <w:lang w:val="en-GB"/>
    </w:rPr>
  </w:style>
  <w:style w:type="paragraph" w:styleId="Revision">
    <w:name w:val="Revision"/>
    <w:hidden/>
    <w:uiPriority w:val="99"/>
    <w:semiHidden/>
    <w:rsid w:val="00977ED5"/>
    <w:pPr>
      <w:spacing w:after="0" w:line="240" w:lineRule="auto"/>
    </w:pPr>
    <w:rPr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77ED5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lang w:val="en-US"/>
    </w:rPr>
  </w:style>
  <w:style w:type="character" w:customStyle="1" w:styleId="TitleChar1">
    <w:name w:val="Title Char1"/>
    <w:basedOn w:val="DefaultParagraphFont"/>
    <w:uiPriority w:val="10"/>
    <w:rsid w:val="00977E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table" w:styleId="TableGrid">
    <w:name w:val="Table Grid"/>
    <w:basedOn w:val="TableNormal"/>
    <w:uiPriority w:val="99"/>
    <w:rsid w:val="00977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562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C19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23</Pages>
  <Words>3574</Words>
  <Characters>20378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Grimshaw K.E.C.</dc:creator>
  <cp:lastModifiedBy>Grimshaw K.E.C.</cp:lastModifiedBy>
  <cp:revision>14</cp:revision>
  <cp:lastPrinted>2014-07-02T16:17:00Z</cp:lastPrinted>
  <dcterms:created xsi:type="dcterms:W3CDTF">2015-11-14T08:53:00Z</dcterms:created>
  <dcterms:modified xsi:type="dcterms:W3CDTF">2015-11-15T07:20:00Z</dcterms:modified>
</cp:coreProperties>
</file>