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D38D4" w14:textId="77777777" w:rsidR="00F64389" w:rsidRPr="00F64389" w:rsidRDefault="00F64389" w:rsidP="00F64389">
      <w:pPr>
        <w:spacing w:line="480" w:lineRule="auto"/>
        <w:rPr>
          <w:rFonts w:ascii="Arial" w:eastAsia="Calibri" w:hAnsi="Arial" w:cs="Times New Roman"/>
          <w:lang w:val="en-US"/>
        </w:rPr>
      </w:pPr>
      <w:r w:rsidRPr="00F64389">
        <w:rPr>
          <w:rFonts w:ascii="Arial" w:eastAsia="Calibri" w:hAnsi="Arial" w:cs="Times New Roman"/>
          <w:b/>
          <w:lang w:val="en-US"/>
        </w:rPr>
        <w:t xml:space="preserve">Supplementary Table 3. </w:t>
      </w:r>
      <w:r w:rsidRPr="00F64389">
        <w:rPr>
          <w:rFonts w:ascii="Arial" w:eastAsia="Calibri" w:hAnsi="Arial" w:cs="Times New Roman"/>
          <w:lang w:val="en-US"/>
        </w:rPr>
        <w:t>Adverse events in test and control groups (AST) from first study intake until the end of the study (week 26).</w: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56"/>
        <w:gridCol w:w="2614"/>
        <w:gridCol w:w="1442"/>
        <w:gridCol w:w="1863"/>
        <w:gridCol w:w="1351"/>
      </w:tblGrid>
      <w:tr w:rsidR="00F64389" w:rsidRPr="00F64389" w14:paraId="4DBA5C20" w14:textId="77777777" w:rsidTr="00F64389">
        <w:trPr>
          <w:trHeight w:val="567"/>
        </w:trPr>
        <w:tc>
          <w:tcPr>
            <w:tcW w:w="437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29FAFA" w14:textId="77777777" w:rsidR="00F64389" w:rsidRPr="00F64389" w:rsidRDefault="00F64389" w:rsidP="00F64389">
            <w:pPr>
              <w:rPr>
                <w:rFonts w:ascii="Arial" w:eastAsia="Calibri" w:hAnsi="Arial" w:cs="Arial"/>
                <w:b/>
                <w:i/>
                <w:lang w:val="en-US"/>
              </w:rPr>
            </w:pPr>
          </w:p>
        </w:tc>
        <w:tc>
          <w:tcPr>
            <w:tcW w:w="144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E1A1D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b/>
                <w:i/>
                <w:lang w:val="en-US"/>
              </w:rPr>
            </w:pPr>
            <w:r w:rsidRPr="00F64389">
              <w:rPr>
                <w:rFonts w:ascii="Arial" w:eastAsia="Calibri" w:hAnsi="Arial" w:cs="Arial"/>
                <w:b/>
                <w:i/>
                <w:lang w:val="en-US"/>
              </w:rPr>
              <w:t>Test</w:t>
            </w:r>
          </w:p>
          <w:p w14:paraId="678CCDCF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b/>
                <w:i/>
                <w:lang w:val="en-US"/>
              </w:rPr>
            </w:pPr>
            <w:r w:rsidRPr="00F64389">
              <w:rPr>
                <w:rFonts w:ascii="Arial" w:eastAsia="Calibri" w:hAnsi="Arial" w:cs="Arial"/>
                <w:b/>
                <w:i/>
                <w:lang w:val="en-US"/>
              </w:rPr>
              <w:t>(N=35)</w:t>
            </w:r>
          </w:p>
        </w:tc>
        <w:tc>
          <w:tcPr>
            <w:tcW w:w="186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06108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b/>
                <w:i/>
                <w:lang w:val="en-US"/>
              </w:rPr>
            </w:pPr>
            <w:r w:rsidRPr="00F64389">
              <w:rPr>
                <w:rFonts w:ascii="Arial" w:eastAsia="Calibri" w:hAnsi="Arial" w:cs="Arial"/>
                <w:b/>
                <w:i/>
                <w:lang w:val="en-US"/>
              </w:rPr>
              <w:t xml:space="preserve">Control </w:t>
            </w:r>
          </w:p>
          <w:p w14:paraId="325739C9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b/>
                <w:i/>
                <w:lang w:val="en-US"/>
              </w:rPr>
            </w:pPr>
            <w:r w:rsidRPr="00F64389">
              <w:rPr>
                <w:rFonts w:ascii="Arial" w:eastAsia="Calibri" w:hAnsi="Arial" w:cs="Arial"/>
                <w:b/>
                <w:i/>
                <w:lang w:val="en-US"/>
              </w:rPr>
              <w:t>(N=35)</w:t>
            </w:r>
          </w:p>
        </w:tc>
        <w:tc>
          <w:tcPr>
            <w:tcW w:w="135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750B19B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b/>
                <w:i/>
                <w:lang w:val="en-US"/>
              </w:rPr>
            </w:pPr>
            <w:r w:rsidRPr="00F64389">
              <w:rPr>
                <w:rFonts w:ascii="Arial" w:eastAsia="Calibri" w:hAnsi="Arial" w:cs="Arial"/>
                <w:b/>
                <w:i/>
                <w:lang w:val="en-US"/>
              </w:rPr>
              <w:t>P-value (Fisher’s exact test)</w:t>
            </w:r>
          </w:p>
        </w:tc>
      </w:tr>
      <w:tr w:rsidR="00F64389" w:rsidRPr="00F64389" w14:paraId="6F0816BD" w14:textId="77777777" w:rsidTr="00F64389">
        <w:trPr>
          <w:trHeight w:val="340"/>
        </w:trPr>
        <w:tc>
          <w:tcPr>
            <w:tcW w:w="4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D2925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b/>
                <w:i/>
                <w:lang w:val="en-US"/>
              </w:rPr>
              <w:t>Adverse events, N (%)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02B09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FD3C1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B9677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F64389" w:rsidRPr="00F64389" w14:paraId="247060FA" w14:textId="77777777" w:rsidTr="00F64389">
        <w:trPr>
          <w:trHeight w:val="340"/>
        </w:trPr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5D43C1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 xml:space="preserve">Overall 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CF697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Any adverse event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CD088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25 (71.4%)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28A46F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28 (80%)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9048D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0.578</w:t>
            </w:r>
          </w:p>
        </w:tc>
      </w:tr>
      <w:tr w:rsidR="00F64389" w:rsidRPr="00F64389" w14:paraId="251DC3C6" w14:textId="77777777" w:rsidTr="00F64389">
        <w:trPr>
          <w:trHeight w:val="340"/>
        </w:trPr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4522CD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54CCFE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Serious adverse events*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900CB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3 (8.6%)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04164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2 (5.7%)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96469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F64389" w:rsidRPr="00F64389" w14:paraId="04E1CF85" w14:textId="77777777" w:rsidTr="00F64389">
        <w:trPr>
          <w:trHeight w:val="340"/>
        </w:trPr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EC3C2E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Severity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CD5B7E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Mild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3BE61E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18 (51.4%)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F7C240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16 (45.7%)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3D14F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F64389" w:rsidRPr="00F64389" w14:paraId="066AB790" w14:textId="77777777" w:rsidTr="00F64389">
        <w:trPr>
          <w:trHeight w:val="34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2D2B1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9C50A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Moderate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8EA52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6 (17.1%)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235E4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10 (28.6%)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F6A2718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F64389" w:rsidRPr="00F64389" w14:paraId="10AC10CF" w14:textId="77777777" w:rsidTr="00F64389">
        <w:trPr>
          <w:trHeight w:val="340"/>
        </w:trPr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0BBBF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FF5D36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Severe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7BDC1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 (2.9%)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7667D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2 (5.7%)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386EE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F64389" w:rsidRPr="00F64389" w14:paraId="4A480A61" w14:textId="77777777" w:rsidTr="00F64389">
        <w:trPr>
          <w:trHeight w:val="340"/>
        </w:trPr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0D9F74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Preferred term description</w:t>
            </w:r>
            <w:r w:rsidRPr="00F64389">
              <w:rPr>
                <w:rFonts w:ascii="Arial" w:eastAsia="Calibri" w:hAnsi="Arial" w:cs="Arial"/>
                <w:vertAlign w:val="superscript"/>
                <w:lang w:val="en-US"/>
              </w:rPr>
              <w:t>#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AAFF35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Gastrointestinal disorders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0D5479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15 (42.9%)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6E4C9F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17 (48.6%)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7E3F1D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0.811</w:t>
            </w:r>
          </w:p>
        </w:tc>
      </w:tr>
      <w:tr w:rsidR="00F64389" w:rsidRPr="00F64389" w14:paraId="37970BF3" w14:textId="77777777" w:rsidTr="00F64389">
        <w:trPr>
          <w:trHeight w:val="34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30086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801C6" w14:textId="77777777" w:rsidR="00F64389" w:rsidRPr="00F64389" w:rsidRDefault="00F64389" w:rsidP="00F64389">
            <w:pPr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Infections and infestations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8F4C0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15 (42.9%)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25246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22 (62.9%)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B3042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0.150</w:t>
            </w:r>
          </w:p>
        </w:tc>
      </w:tr>
      <w:tr w:rsidR="00F64389" w:rsidRPr="00F64389" w14:paraId="77C20BD7" w14:textId="77777777" w:rsidTr="00F64389">
        <w:trPr>
          <w:trHeight w:val="340"/>
        </w:trPr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2370E" w14:textId="77777777" w:rsidR="00F64389" w:rsidRPr="00F64389" w:rsidRDefault="00F64389" w:rsidP="00F64389">
            <w:pPr>
              <w:jc w:val="right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i/>
                <w:lang w:val="en-US"/>
              </w:rPr>
              <w:t>Subcategory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6DC65" w14:textId="77777777" w:rsidR="00F64389" w:rsidRPr="00F64389" w:rsidRDefault="00F64389" w:rsidP="00F64389">
            <w:pPr>
              <w:jc w:val="right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i/>
                <w:lang w:val="en-US"/>
              </w:rPr>
              <w:t>Ear infections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1CD08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0 (0%)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D38A8A" w14:textId="77777777" w:rsidR="00F64389" w:rsidRPr="00F64389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7 (20.0%)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6B9C8" w14:textId="77777777" w:rsidR="00F64389" w:rsidRPr="00F64389" w:rsidDel="00523414" w:rsidRDefault="00F64389" w:rsidP="00F64389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F64389">
              <w:rPr>
                <w:rFonts w:ascii="Arial" w:eastAsia="Calibri" w:hAnsi="Arial" w:cs="Arial"/>
                <w:lang w:val="en-US"/>
              </w:rPr>
              <w:t>0.011</w:t>
            </w:r>
          </w:p>
        </w:tc>
      </w:tr>
    </w:tbl>
    <w:p w14:paraId="6A4D1D4E" w14:textId="77777777" w:rsidR="00F64389" w:rsidRPr="00F64389" w:rsidRDefault="00F64389" w:rsidP="00F64389">
      <w:pPr>
        <w:spacing w:before="120" w:line="480" w:lineRule="auto"/>
        <w:rPr>
          <w:rFonts w:ascii="Arial" w:eastAsia="Calibri" w:hAnsi="Arial" w:cs="Times New Roman"/>
          <w:lang w:val="en-US"/>
        </w:rPr>
      </w:pPr>
      <w:r w:rsidRPr="00F64389">
        <w:rPr>
          <w:rFonts w:ascii="Arial" w:eastAsia="Calibri" w:hAnsi="Arial" w:cs="Times New Roman"/>
          <w:lang w:val="en-US"/>
        </w:rPr>
        <w:t>*3 subjects reported 3 serious adverse events (gastroesophageal reflux disease, laryngitis viral, and bronchiolitis that required hospitalization and medication) in the test group and 2 subjects reported 2 serious adverse events (bronchiolitis that required hospitalization and an anaphylactic reaction to pineapple). All serious adverse events were considered not related, or unlikely to be related, to the study product.</w:t>
      </w:r>
    </w:p>
    <w:p w14:paraId="2B6A3040" w14:textId="77777777" w:rsidR="00F64389" w:rsidRPr="00F64389" w:rsidRDefault="00F64389" w:rsidP="00F64389">
      <w:pPr>
        <w:spacing w:before="120" w:line="480" w:lineRule="auto"/>
        <w:rPr>
          <w:rFonts w:ascii="Arial" w:eastAsia="Calibri" w:hAnsi="Arial" w:cs="Times New Roman"/>
          <w:lang w:val="en-US"/>
        </w:rPr>
      </w:pPr>
      <w:r w:rsidRPr="00F64389">
        <w:rPr>
          <w:rFonts w:ascii="Arial" w:eastAsia="Calibri" w:hAnsi="Arial" w:cs="Times New Roman"/>
          <w:vertAlign w:val="superscript"/>
          <w:lang w:val="en-US"/>
        </w:rPr>
        <w:t>#</w:t>
      </w:r>
      <w:r w:rsidRPr="00F64389">
        <w:rPr>
          <w:rFonts w:ascii="Arial" w:eastAsia="Calibri" w:hAnsi="Arial" w:cs="Times New Roman"/>
          <w:lang w:val="en-US"/>
        </w:rPr>
        <w:t>The two most frequent reported preferred terms of adverse event are shown. Only the significantly different subcategory, of total 25 subcategories, within infections and infestations is shown.</w:t>
      </w:r>
    </w:p>
    <w:p w14:paraId="23C9C4D8" w14:textId="77777777" w:rsidR="00F64389" w:rsidRPr="00F64389" w:rsidRDefault="00F64389" w:rsidP="00F64389">
      <w:pPr>
        <w:rPr>
          <w:rFonts w:ascii="Arial" w:eastAsia="Calibri" w:hAnsi="Arial" w:cs="Times New Roman"/>
          <w:lang w:val="en-US"/>
        </w:rPr>
      </w:pPr>
    </w:p>
    <w:p w14:paraId="0E9151C9" w14:textId="77777777" w:rsidR="00EE3968" w:rsidRPr="00F64389" w:rsidRDefault="00EE3968">
      <w:pPr>
        <w:rPr>
          <w:lang w:val="en-US"/>
        </w:rPr>
      </w:pPr>
      <w:bookmarkStart w:id="0" w:name="_GoBack"/>
      <w:bookmarkEnd w:id="0"/>
    </w:p>
    <w:sectPr w:rsidR="00EE3968" w:rsidRPr="00F64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389"/>
    <w:rsid w:val="00512E54"/>
    <w:rsid w:val="009F7C20"/>
    <w:rsid w:val="00EE3968"/>
    <w:rsid w:val="00F6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2C15"/>
  <w15:chartTrackingRefBased/>
  <w15:docId w15:val="{EB0D157A-B76F-4A0B-AF2F-D03204A2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438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AMPTING Marleen</dc:creator>
  <cp:keywords/>
  <dc:description/>
  <cp:lastModifiedBy>VAN AMPTING Marleen</cp:lastModifiedBy>
  <cp:revision>1</cp:revision>
  <dcterms:created xsi:type="dcterms:W3CDTF">2018-03-21T08:46:00Z</dcterms:created>
  <dcterms:modified xsi:type="dcterms:W3CDTF">2018-03-21T08:47:00Z</dcterms:modified>
</cp:coreProperties>
</file>