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4971" w:rsidRPr="00A91E2B" w:rsidRDefault="001C4971" w:rsidP="001C4971">
      <w:pPr>
        <w:autoSpaceDE w:val="0"/>
        <w:autoSpaceDN w:val="0"/>
        <w:adjustRightInd w:val="0"/>
        <w:spacing w:after="0" w:line="480" w:lineRule="auto"/>
        <w:jc w:val="center"/>
        <w:rPr>
          <w:rFonts w:ascii="Times New Roman" w:hAnsi="Times New Roman" w:cs="Times New Roman"/>
          <w:b/>
          <w:sz w:val="24"/>
          <w:szCs w:val="24"/>
          <w:lang w:val="en-US"/>
        </w:rPr>
      </w:pPr>
      <w:r w:rsidRPr="00A91E2B">
        <w:rPr>
          <w:rFonts w:ascii="Times New Roman" w:hAnsi="Times New Roman" w:cs="Times New Roman"/>
          <w:b/>
          <w:sz w:val="24"/>
          <w:szCs w:val="24"/>
          <w:lang w:val="en-US"/>
        </w:rPr>
        <w:t>IMPACT OF TRANSFUSION ON PATIENTS WITH SEPSIS ADMITTED IN INTENSIVE CARE UNIT: A SYSTEMATIC REVIEW AND META-ANALYSIS</w:t>
      </w:r>
    </w:p>
    <w:p w:rsidR="001C4971" w:rsidRPr="00A91E2B" w:rsidRDefault="001C4971" w:rsidP="001C4971">
      <w:pPr>
        <w:pStyle w:val="Heading2"/>
        <w:spacing w:line="480" w:lineRule="auto"/>
        <w:rPr>
          <w:rFonts w:ascii="Times New Roman" w:eastAsiaTheme="minorHAnsi" w:hAnsi="Times New Roman" w:cs="Times New Roman"/>
          <w:b w:val="0"/>
          <w:bCs w:val="0"/>
          <w:color w:val="auto"/>
          <w:sz w:val="22"/>
          <w:szCs w:val="22"/>
          <w:lang w:val="en-US"/>
        </w:rPr>
      </w:pPr>
    </w:p>
    <w:p w:rsidR="001C4971" w:rsidRPr="00A91E2B" w:rsidRDefault="00137249" w:rsidP="001C4971">
      <w:pPr>
        <w:pStyle w:val="Heading2"/>
        <w:spacing w:line="480" w:lineRule="auto"/>
        <w:rPr>
          <w:rFonts w:ascii="Times New Roman" w:eastAsiaTheme="minorHAnsi" w:hAnsi="Times New Roman" w:cs="Times New Roman"/>
          <w:i/>
          <w:iCs/>
          <w:color w:val="auto"/>
          <w:sz w:val="20"/>
          <w:szCs w:val="22"/>
          <w:lang w:val="en-US"/>
        </w:rPr>
      </w:pPr>
      <w:r w:rsidRPr="006423F0">
        <w:rPr>
          <w:rFonts w:ascii="Times New Roman" w:hAnsi="Times New Roman" w:cs="Times New Roman"/>
          <w:color w:val="auto"/>
          <w:sz w:val="20"/>
          <w:lang w:val="en-US"/>
        </w:rPr>
        <w:t>Additional file</w:t>
      </w:r>
      <w:r w:rsidR="001C4971" w:rsidRPr="00A91E2B">
        <w:rPr>
          <w:rFonts w:ascii="Times New Roman" w:eastAsiaTheme="minorHAnsi" w:hAnsi="Times New Roman" w:cs="Times New Roman"/>
          <w:bCs w:val="0"/>
          <w:color w:val="auto"/>
          <w:sz w:val="20"/>
          <w:szCs w:val="22"/>
          <w:lang w:val="en-US"/>
        </w:rPr>
        <w:t xml:space="preserve"> 1</w:t>
      </w:r>
      <w:r>
        <w:rPr>
          <w:rFonts w:ascii="Times New Roman" w:eastAsiaTheme="minorHAnsi" w:hAnsi="Times New Roman" w:cs="Times New Roman"/>
          <w:bCs w:val="0"/>
          <w:color w:val="auto"/>
          <w:sz w:val="20"/>
          <w:szCs w:val="22"/>
          <w:lang w:val="en-US"/>
        </w:rPr>
        <w:t>:</w:t>
      </w:r>
      <w:r w:rsidR="001C4971" w:rsidRPr="00A91E2B">
        <w:rPr>
          <w:rFonts w:ascii="Times New Roman" w:eastAsiaTheme="minorHAnsi" w:hAnsi="Times New Roman" w:cs="Times New Roman"/>
          <w:bCs w:val="0"/>
          <w:color w:val="auto"/>
          <w:sz w:val="20"/>
          <w:szCs w:val="22"/>
          <w:lang w:val="en-US"/>
        </w:rPr>
        <w:t xml:space="preserve"> </w:t>
      </w:r>
      <w:r w:rsidR="001C4971" w:rsidRPr="00A91E2B">
        <w:rPr>
          <w:rFonts w:ascii="Times New Roman" w:eastAsiaTheme="minorHAnsi" w:hAnsi="Times New Roman" w:cs="Times New Roman"/>
          <w:i/>
          <w:iCs/>
          <w:color w:val="auto"/>
          <w:sz w:val="20"/>
          <w:szCs w:val="22"/>
          <w:lang w:val="en-US"/>
        </w:rPr>
        <w:t>Search strategy, Boolean algorithms</w:t>
      </w:r>
    </w:p>
    <w:p w:rsidR="001C4971" w:rsidRPr="00A91E2B" w:rsidRDefault="001C4971" w:rsidP="001C4971">
      <w:pPr>
        <w:spacing w:line="480" w:lineRule="auto"/>
        <w:rPr>
          <w:rFonts w:ascii="Times New Roman" w:hAnsi="Times New Roman" w:cs="Times New Roman"/>
          <w:b/>
          <w:sz w:val="20"/>
          <w:lang w:val="en-US"/>
        </w:rPr>
      </w:pPr>
      <w:r w:rsidRPr="00A91E2B">
        <w:rPr>
          <w:rFonts w:ascii="Times New Roman" w:hAnsi="Times New Roman" w:cs="Times New Roman"/>
          <w:b/>
          <w:bCs/>
          <w:sz w:val="20"/>
          <w:lang w:val="en-US"/>
        </w:rPr>
        <w:t>The randomized controlled trials</w:t>
      </w:r>
    </w:p>
    <w:p w:rsidR="001C4971" w:rsidRPr="00A91E2B" w:rsidRDefault="001C4971" w:rsidP="001C4971">
      <w:pPr>
        <w:numPr>
          <w:ilvl w:val="0"/>
          <w:numId w:val="1"/>
        </w:numPr>
        <w:spacing w:line="480" w:lineRule="auto"/>
        <w:rPr>
          <w:rFonts w:ascii="Times New Roman" w:hAnsi="Times New Roman" w:cs="Times New Roman"/>
          <w:sz w:val="20"/>
          <w:lang w:val="en-US"/>
        </w:rPr>
      </w:pPr>
      <w:r w:rsidRPr="00A91E2B">
        <w:rPr>
          <w:rFonts w:ascii="Times New Roman" w:hAnsi="Times New Roman" w:cs="Times New Roman"/>
          <w:sz w:val="20"/>
          <w:lang w:val="en-US"/>
        </w:rPr>
        <w:t>Medline: ((((((((((threshold) OR liberal) OR restrictive) OR protocol) OR trigger) OR indicator) OR strategy) OR management) OR program) OR trigger)) AND (((((((((((((blood transfusion) OR transfusions, blood) OR transfusion, blood) OR blood transfusions) OR red blood cell) OR transfusion, red blood cell) OR red blood cell transfusions) OR transfusions, red blood cell) OR red blood cell transfusion) OR transfusions, erythrocyte) OR transfusion, erythrocyte) OR erythrocyte transfusions) OR RBC)) AND ((sepsis) OR septic shock)) AND (((((((((intensive care) OR critically ill) OR illnesses, critical) OR illness, critical) OR critical illnesses) OR critically illness) OR critical care) OR care, critical)))) AND ((((((Randomized controlled trials) OR Randomized Clinical) OR Control clinical trial) OR Controlled Clinical Trials) OR Randomized Clinical Trials) OR Randomized Trials)</w:t>
      </w:r>
    </w:p>
    <w:p w:rsidR="001C4971" w:rsidRPr="00A91E2B" w:rsidRDefault="001C4971" w:rsidP="001C4971">
      <w:pPr>
        <w:numPr>
          <w:ilvl w:val="0"/>
          <w:numId w:val="1"/>
        </w:numPr>
        <w:spacing w:line="480" w:lineRule="auto"/>
        <w:rPr>
          <w:rFonts w:ascii="Times New Roman" w:hAnsi="Times New Roman" w:cs="Times New Roman"/>
          <w:sz w:val="20"/>
          <w:lang w:val="en-US"/>
        </w:rPr>
      </w:pPr>
      <w:r w:rsidRPr="00A91E2B">
        <w:rPr>
          <w:rFonts w:ascii="Times New Roman" w:hAnsi="Times New Roman" w:cs="Times New Roman"/>
          <w:sz w:val="20"/>
          <w:lang w:val="en-US"/>
        </w:rPr>
        <w:t xml:space="preserve">Cochrane: red blood cell transfusion* AND (intensive care OR critical care) </w:t>
      </w:r>
    </w:p>
    <w:p w:rsidR="001C4971" w:rsidRPr="00A91E2B" w:rsidRDefault="001C4971" w:rsidP="001C4971">
      <w:pPr>
        <w:numPr>
          <w:ilvl w:val="0"/>
          <w:numId w:val="1"/>
        </w:numPr>
        <w:spacing w:line="480" w:lineRule="auto"/>
        <w:rPr>
          <w:rFonts w:ascii="Times New Roman" w:hAnsi="Times New Roman" w:cs="Times New Roman"/>
          <w:sz w:val="20"/>
          <w:lang w:val="en-US"/>
        </w:rPr>
      </w:pPr>
      <w:r w:rsidRPr="00A91E2B">
        <w:rPr>
          <w:rFonts w:ascii="Times New Roman" w:hAnsi="Times New Roman" w:cs="Times New Roman"/>
          <w:sz w:val="20"/>
          <w:lang w:val="en-US"/>
        </w:rPr>
        <w:t>Clinical trial: (blood transfusion OR transfusions OR red blood cell OR transfusions, erythrocyte OR RBC) AND (sepsis OR septic shock) AND (intensiv</w:t>
      </w:r>
      <w:bookmarkStart w:id="0" w:name="_GoBack"/>
      <w:bookmarkEnd w:id="0"/>
      <w:r w:rsidRPr="00A91E2B">
        <w:rPr>
          <w:rFonts w:ascii="Times New Roman" w:hAnsi="Times New Roman" w:cs="Times New Roman"/>
          <w:sz w:val="20"/>
          <w:lang w:val="en-US"/>
        </w:rPr>
        <w:t>e care OR critically ill OR critical illnesses OR critically illness OR critical care)</w:t>
      </w:r>
    </w:p>
    <w:p w:rsidR="001C4971" w:rsidRPr="00A91E2B" w:rsidRDefault="001C4971" w:rsidP="001C4971">
      <w:pPr>
        <w:numPr>
          <w:ilvl w:val="0"/>
          <w:numId w:val="1"/>
        </w:numPr>
        <w:spacing w:line="480" w:lineRule="auto"/>
        <w:rPr>
          <w:rFonts w:ascii="Times New Roman" w:hAnsi="Times New Roman" w:cs="Times New Roman"/>
          <w:sz w:val="20"/>
          <w:lang w:val="en-US"/>
        </w:rPr>
      </w:pPr>
      <w:r w:rsidRPr="00A91E2B">
        <w:rPr>
          <w:rFonts w:ascii="Times New Roman" w:hAnsi="Times New Roman" w:cs="Times New Roman"/>
          <w:sz w:val="20"/>
          <w:lang w:val="en-US"/>
        </w:rPr>
        <w:t>Web of science: (red blood cell transfusion*) AND sepsis AND (critical care OR intensive care) AND ((Randomized controlled trial*) OR (Randomized Clinical) OR (Control clinical trial*) OR (Controlled Clinical Trials) OR (Randomized Clinical Trials) OR (Randomized Trials))</w:t>
      </w:r>
    </w:p>
    <w:p w:rsidR="001C4971" w:rsidRPr="00A91E2B" w:rsidRDefault="001C4971" w:rsidP="001C4971">
      <w:pPr>
        <w:spacing w:line="480" w:lineRule="auto"/>
        <w:rPr>
          <w:rFonts w:ascii="Times New Roman" w:hAnsi="Times New Roman" w:cs="Times New Roman"/>
          <w:b/>
          <w:bCs/>
          <w:sz w:val="20"/>
          <w:lang w:val="en-US"/>
        </w:rPr>
      </w:pPr>
      <w:r w:rsidRPr="00A91E2B">
        <w:rPr>
          <w:rFonts w:ascii="Times New Roman" w:hAnsi="Times New Roman" w:cs="Times New Roman"/>
          <w:b/>
          <w:bCs/>
          <w:sz w:val="20"/>
          <w:lang w:val="en-US"/>
        </w:rPr>
        <w:t>The cohort studies</w:t>
      </w:r>
    </w:p>
    <w:p w:rsidR="001C4971" w:rsidRPr="00A91E2B" w:rsidRDefault="001C4971" w:rsidP="001C4971">
      <w:pPr>
        <w:numPr>
          <w:ilvl w:val="0"/>
          <w:numId w:val="2"/>
        </w:numPr>
        <w:spacing w:line="480" w:lineRule="auto"/>
        <w:rPr>
          <w:rFonts w:ascii="Times New Roman" w:hAnsi="Times New Roman" w:cs="Times New Roman"/>
          <w:sz w:val="20"/>
          <w:lang w:val="en-US"/>
        </w:rPr>
      </w:pPr>
      <w:r w:rsidRPr="00A91E2B">
        <w:rPr>
          <w:rFonts w:ascii="Times New Roman" w:hAnsi="Times New Roman" w:cs="Times New Roman"/>
          <w:sz w:val="20"/>
          <w:lang w:val="en-US"/>
        </w:rPr>
        <w:t xml:space="preserve">Medline: ((((((((((((((((((((((((((((cohort study) OR incidence studies) OR studies, cohort) OR study, cohort) OR concurrent studies) OR studies, concurrent) OR concurrent study) OR study, concurrent) OR historical cohort studies) OR studies, historical cohort) OR cohort studies, historical) OR cohort study, historical) OR historical cohort study) OR study, historical cohort) OR analysis, cohort) OR </w:t>
      </w:r>
      <w:r w:rsidRPr="00A91E2B">
        <w:rPr>
          <w:rFonts w:ascii="Times New Roman" w:hAnsi="Times New Roman" w:cs="Times New Roman"/>
          <w:sz w:val="20"/>
          <w:lang w:val="en-US"/>
        </w:rPr>
        <w:lastRenderedPageBreak/>
        <w:t>analysis, cohort) OR cohort analyses) OR cohort analysis) OR closed cohort studies) OR cohort studies, closed) OR closed cohort study) OR cohort study, closed) OR study, closed cohort) OR studies, closed cohort) OR incidence study) OR studies, incidence) OR study, incidence)) AND ((((((((((threshold) OR liberal) OR restrictive) OR protocol) OR trigger) OR indicator) OR strategy) OR management) OR program) OR trigger)) AND (((((((((((((blood transfusion) OR transfusions, blood) OR transfusion, blood) OR blood transfusions) OR red blood cell) OR transfusion, red blood cell) OR red blood cell transfusions) OR transfusions, red blood cell) OR red blood cell transfusion) OR transfusions, erythrocyte) OR transfusion, erythrocyte) OR erythrocyte transfusions) OR RBC)) AND ((sepsis) OR septic shock)) AND (((((((((intensive care) OR critically ill) OR illnesses, critical) OR illness, critical) OR critical illnesses) OR critically illness) OR critical care) OR care, critical)))))</w:t>
      </w:r>
    </w:p>
    <w:p w:rsidR="001C4971" w:rsidRPr="00A91E2B" w:rsidRDefault="001C4971" w:rsidP="001C4971">
      <w:pPr>
        <w:numPr>
          <w:ilvl w:val="0"/>
          <w:numId w:val="2"/>
        </w:numPr>
        <w:spacing w:line="480" w:lineRule="auto"/>
        <w:rPr>
          <w:rFonts w:ascii="Times New Roman" w:hAnsi="Times New Roman" w:cs="Times New Roman"/>
          <w:sz w:val="20"/>
          <w:lang w:val="en-US"/>
        </w:rPr>
      </w:pPr>
      <w:r w:rsidRPr="00A91E2B">
        <w:rPr>
          <w:rFonts w:ascii="Times New Roman" w:hAnsi="Times New Roman" w:cs="Times New Roman"/>
          <w:sz w:val="20"/>
          <w:lang w:val="en-US"/>
        </w:rPr>
        <w:t>Cochrane: (Cohort OR “observational study”) AND red blood cell transfusion* AND sepsis</w:t>
      </w:r>
    </w:p>
    <w:p w:rsidR="001C4971" w:rsidRPr="00A91E2B" w:rsidRDefault="001C4971" w:rsidP="001C4971">
      <w:pPr>
        <w:numPr>
          <w:ilvl w:val="0"/>
          <w:numId w:val="2"/>
        </w:numPr>
        <w:spacing w:line="480" w:lineRule="auto"/>
        <w:rPr>
          <w:rFonts w:ascii="Times New Roman" w:hAnsi="Times New Roman" w:cs="Times New Roman"/>
          <w:sz w:val="20"/>
          <w:lang w:val="en-US"/>
        </w:rPr>
      </w:pPr>
      <w:r w:rsidRPr="00A91E2B">
        <w:rPr>
          <w:rFonts w:ascii="Times New Roman" w:hAnsi="Times New Roman" w:cs="Times New Roman"/>
          <w:sz w:val="20"/>
          <w:lang w:val="en-US"/>
        </w:rPr>
        <w:t>Web of science: ((cohort study) OR (incidence studies) OR (studies, cohort) OR (study, cohort) OR (concurrent studies) OR (studies, concurrent) OR (concurrent study) OR (study, concurrent) OR (historical cohort studies) OR (studies, historical cohort) OR (cohort studies, historical) OR (cohort study, historical) OR (historical cohort study) OR (study, historical cohort) OR (analysis, cohort) OR (analysis, cohort) OR (cohort analyses) OR (cohort analysis) OR (closed cohort studies) OR (cohort studies, closed) OR (closed cohort study) OR (cohort study, closed) OR (study, closed cohort) OR (studies, closed cohort) OR (incidence study) OR (studies, incidence) OR (study, incidence)) AND ((blood transfusion) OR (transfusions, blood) OR (transfusion, blood) OR (blood transfusions) OR (red blood cell) OR (transfusion, red blood cell) OR (red blood cell transfusions) OR (transfusions, red blood cell) OR (red blood cell transfusion) OR (transfusions, erythrocyte) OR (transfusion, erythrocyte) OR (erythrocyte transfusions) OR (RBC)) AND ((sepsis) OR (septic shock)) AND ((intensive care) OR (critically ill) OR (illnesses, critical) OR (illness, critical) OR (critical illnesses) OR (critically illness) OR (critical care) OR (care, critical))</w:t>
      </w:r>
    </w:p>
    <w:p w:rsidR="001C4971" w:rsidRPr="00A91E2B" w:rsidRDefault="001C4971" w:rsidP="001C4971">
      <w:pPr>
        <w:numPr>
          <w:ilvl w:val="0"/>
          <w:numId w:val="2"/>
        </w:numPr>
        <w:spacing w:line="480" w:lineRule="auto"/>
        <w:rPr>
          <w:rFonts w:ascii="Times New Roman" w:hAnsi="Times New Roman" w:cs="Times New Roman"/>
          <w:sz w:val="20"/>
          <w:lang w:val="en-US"/>
        </w:rPr>
      </w:pPr>
      <w:r w:rsidRPr="00A91E2B">
        <w:rPr>
          <w:rFonts w:ascii="Times New Roman" w:hAnsi="Times New Roman" w:cs="Times New Roman"/>
          <w:sz w:val="20"/>
          <w:lang w:val="en-US"/>
        </w:rPr>
        <w:t>Clinical  trial: (Cohort OR “observational study”) AND transfusion AND sepsis</w:t>
      </w:r>
    </w:p>
    <w:p w:rsidR="001C4971" w:rsidRPr="00A91E2B" w:rsidRDefault="001C4971" w:rsidP="001C4971">
      <w:pPr>
        <w:numPr>
          <w:ilvl w:val="0"/>
          <w:numId w:val="2"/>
        </w:numPr>
        <w:spacing w:line="480" w:lineRule="auto"/>
        <w:rPr>
          <w:rFonts w:ascii="Times New Roman" w:hAnsi="Times New Roman" w:cs="Times New Roman"/>
          <w:sz w:val="20"/>
          <w:lang w:val="en-US"/>
        </w:rPr>
      </w:pPr>
      <w:r w:rsidRPr="00A91E2B">
        <w:rPr>
          <w:rFonts w:ascii="Times New Roman" w:hAnsi="Times New Roman" w:cs="Times New Roman"/>
          <w:sz w:val="20"/>
          <w:lang w:val="en-US"/>
        </w:rPr>
        <w:t xml:space="preserve">Medline: (prospective OR retrospective OR cohort OR observational) AND ("respiratory distress syndrome" OR "acute lung injury" OR "respiratory failure" OR "respiratory distress") AND ("risk factors" OR "associated factor*" ) AND (transfusion OR "red blood cell") AND ("sepsis" OR "septic shock") </w:t>
      </w:r>
    </w:p>
    <w:p w:rsidR="001C4971" w:rsidRPr="00A91E2B" w:rsidRDefault="001C4971" w:rsidP="001C4971">
      <w:pPr>
        <w:numPr>
          <w:ilvl w:val="0"/>
          <w:numId w:val="2"/>
        </w:numPr>
        <w:spacing w:line="480" w:lineRule="auto"/>
        <w:rPr>
          <w:rFonts w:ascii="Times New Roman" w:hAnsi="Times New Roman" w:cs="Times New Roman"/>
          <w:sz w:val="20"/>
        </w:rPr>
      </w:pPr>
      <w:r w:rsidRPr="00A91E2B">
        <w:rPr>
          <w:rFonts w:ascii="Times New Roman" w:hAnsi="Times New Roman" w:cs="Times New Roman"/>
          <w:sz w:val="20"/>
        </w:rPr>
        <w:lastRenderedPageBreak/>
        <w:t>Web of science: idem</w:t>
      </w:r>
    </w:p>
    <w:sectPr w:rsidR="001C4971" w:rsidRPr="00A91E2B" w:rsidSect="001530F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F65C6"/>
    <w:multiLevelType w:val="hybridMultilevel"/>
    <w:tmpl w:val="63229E90"/>
    <w:lvl w:ilvl="0" w:tplc="7C008226">
      <w:start w:val="1"/>
      <w:numFmt w:val="bullet"/>
      <w:lvlText w:val=""/>
      <w:lvlJc w:val="left"/>
      <w:pPr>
        <w:tabs>
          <w:tab w:val="num" w:pos="720"/>
        </w:tabs>
        <w:ind w:left="720" w:hanging="360"/>
      </w:pPr>
      <w:rPr>
        <w:rFonts w:ascii="Wingdings" w:hAnsi="Wingdings" w:hint="default"/>
      </w:rPr>
    </w:lvl>
    <w:lvl w:ilvl="1" w:tplc="6848FD94" w:tentative="1">
      <w:start w:val="1"/>
      <w:numFmt w:val="bullet"/>
      <w:lvlText w:val=""/>
      <w:lvlJc w:val="left"/>
      <w:pPr>
        <w:tabs>
          <w:tab w:val="num" w:pos="1440"/>
        </w:tabs>
        <w:ind w:left="1440" w:hanging="360"/>
      </w:pPr>
      <w:rPr>
        <w:rFonts w:ascii="Wingdings" w:hAnsi="Wingdings" w:hint="default"/>
      </w:rPr>
    </w:lvl>
    <w:lvl w:ilvl="2" w:tplc="A4E6820E" w:tentative="1">
      <w:start w:val="1"/>
      <w:numFmt w:val="bullet"/>
      <w:lvlText w:val=""/>
      <w:lvlJc w:val="left"/>
      <w:pPr>
        <w:tabs>
          <w:tab w:val="num" w:pos="2160"/>
        </w:tabs>
        <w:ind w:left="2160" w:hanging="360"/>
      </w:pPr>
      <w:rPr>
        <w:rFonts w:ascii="Wingdings" w:hAnsi="Wingdings" w:hint="default"/>
      </w:rPr>
    </w:lvl>
    <w:lvl w:ilvl="3" w:tplc="CE2AC530" w:tentative="1">
      <w:start w:val="1"/>
      <w:numFmt w:val="bullet"/>
      <w:lvlText w:val=""/>
      <w:lvlJc w:val="left"/>
      <w:pPr>
        <w:tabs>
          <w:tab w:val="num" w:pos="2880"/>
        </w:tabs>
        <w:ind w:left="2880" w:hanging="360"/>
      </w:pPr>
      <w:rPr>
        <w:rFonts w:ascii="Wingdings" w:hAnsi="Wingdings" w:hint="default"/>
      </w:rPr>
    </w:lvl>
    <w:lvl w:ilvl="4" w:tplc="7B4C9F56" w:tentative="1">
      <w:start w:val="1"/>
      <w:numFmt w:val="bullet"/>
      <w:lvlText w:val=""/>
      <w:lvlJc w:val="left"/>
      <w:pPr>
        <w:tabs>
          <w:tab w:val="num" w:pos="3600"/>
        </w:tabs>
        <w:ind w:left="3600" w:hanging="360"/>
      </w:pPr>
      <w:rPr>
        <w:rFonts w:ascii="Wingdings" w:hAnsi="Wingdings" w:hint="default"/>
      </w:rPr>
    </w:lvl>
    <w:lvl w:ilvl="5" w:tplc="1A243E04" w:tentative="1">
      <w:start w:val="1"/>
      <w:numFmt w:val="bullet"/>
      <w:lvlText w:val=""/>
      <w:lvlJc w:val="left"/>
      <w:pPr>
        <w:tabs>
          <w:tab w:val="num" w:pos="4320"/>
        </w:tabs>
        <w:ind w:left="4320" w:hanging="360"/>
      </w:pPr>
      <w:rPr>
        <w:rFonts w:ascii="Wingdings" w:hAnsi="Wingdings" w:hint="default"/>
      </w:rPr>
    </w:lvl>
    <w:lvl w:ilvl="6" w:tplc="9056BD40" w:tentative="1">
      <w:start w:val="1"/>
      <w:numFmt w:val="bullet"/>
      <w:lvlText w:val=""/>
      <w:lvlJc w:val="left"/>
      <w:pPr>
        <w:tabs>
          <w:tab w:val="num" w:pos="5040"/>
        </w:tabs>
        <w:ind w:left="5040" w:hanging="360"/>
      </w:pPr>
      <w:rPr>
        <w:rFonts w:ascii="Wingdings" w:hAnsi="Wingdings" w:hint="default"/>
      </w:rPr>
    </w:lvl>
    <w:lvl w:ilvl="7" w:tplc="C01C9C68" w:tentative="1">
      <w:start w:val="1"/>
      <w:numFmt w:val="bullet"/>
      <w:lvlText w:val=""/>
      <w:lvlJc w:val="left"/>
      <w:pPr>
        <w:tabs>
          <w:tab w:val="num" w:pos="5760"/>
        </w:tabs>
        <w:ind w:left="5760" w:hanging="360"/>
      </w:pPr>
      <w:rPr>
        <w:rFonts w:ascii="Wingdings" w:hAnsi="Wingdings" w:hint="default"/>
      </w:rPr>
    </w:lvl>
    <w:lvl w:ilvl="8" w:tplc="D80CC968" w:tentative="1">
      <w:start w:val="1"/>
      <w:numFmt w:val="bullet"/>
      <w:lvlText w:val=""/>
      <w:lvlJc w:val="left"/>
      <w:pPr>
        <w:tabs>
          <w:tab w:val="num" w:pos="6480"/>
        </w:tabs>
        <w:ind w:left="6480" w:hanging="360"/>
      </w:pPr>
      <w:rPr>
        <w:rFonts w:ascii="Wingdings" w:hAnsi="Wingdings" w:hint="default"/>
      </w:rPr>
    </w:lvl>
  </w:abstractNum>
  <w:abstractNum w:abstractNumId="1">
    <w:nsid w:val="477526E0"/>
    <w:multiLevelType w:val="hybridMultilevel"/>
    <w:tmpl w:val="4CB2ADA8"/>
    <w:lvl w:ilvl="0" w:tplc="864A2C86">
      <w:start w:val="1"/>
      <w:numFmt w:val="bullet"/>
      <w:lvlText w:val=""/>
      <w:lvlJc w:val="left"/>
      <w:pPr>
        <w:tabs>
          <w:tab w:val="num" w:pos="720"/>
        </w:tabs>
        <w:ind w:left="720" w:hanging="360"/>
      </w:pPr>
      <w:rPr>
        <w:rFonts w:ascii="Wingdings" w:hAnsi="Wingdings" w:hint="default"/>
      </w:rPr>
    </w:lvl>
    <w:lvl w:ilvl="1" w:tplc="74E031A4" w:tentative="1">
      <w:start w:val="1"/>
      <w:numFmt w:val="bullet"/>
      <w:lvlText w:val=""/>
      <w:lvlJc w:val="left"/>
      <w:pPr>
        <w:tabs>
          <w:tab w:val="num" w:pos="1440"/>
        </w:tabs>
        <w:ind w:left="1440" w:hanging="360"/>
      </w:pPr>
      <w:rPr>
        <w:rFonts w:ascii="Wingdings" w:hAnsi="Wingdings" w:hint="default"/>
      </w:rPr>
    </w:lvl>
    <w:lvl w:ilvl="2" w:tplc="C9787E24" w:tentative="1">
      <w:start w:val="1"/>
      <w:numFmt w:val="bullet"/>
      <w:lvlText w:val=""/>
      <w:lvlJc w:val="left"/>
      <w:pPr>
        <w:tabs>
          <w:tab w:val="num" w:pos="2160"/>
        </w:tabs>
        <w:ind w:left="2160" w:hanging="360"/>
      </w:pPr>
      <w:rPr>
        <w:rFonts w:ascii="Wingdings" w:hAnsi="Wingdings" w:hint="default"/>
      </w:rPr>
    </w:lvl>
    <w:lvl w:ilvl="3" w:tplc="B280560C" w:tentative="1">
      <w:start w:val="1"/>
      <w:numFmt w:val="bullet"/>
      <w:lvlText w:val=""/>
      <w:lvlJc w:val="left"/>
      <w:pPr>
        <w:tabs>
          <w:tab w:val="num" w:pos="2880"/>
        </w:tabs>
        <w:ind w:left="2880" w:hanging="360"/>
      </w:pPr>
      <w:rPr>
        <w:rFonts w:ascii="Wingdings" w:hAnsi="Wingdings" w:hint="default"/>
      </w:rPr>
    </w:lvl>
    <w:lvl w:ilvl="4" w:tplc="700E20F2" w:tentative="1">
      <w:start w:val="1"/>
      <w:numFmt w:val="bullet"/>
      <w:lvlText w:val=""/>
      <w:lvlJc w:val="left"/>
      <w:pPr>
        <w:tabs>
          <w:tab w:val="num" w:pos="3600"/>
        </w:tabs>
        <w:ind w:left="3600" w:hanging="360"/>
      </w:pPr>
      <w:rPr>
        <w:rFonts w:ascii="Wingdings" w:hAnsi="Wingdings" w:hint="default"/>
      </w:rPr>
    </w:lvl>
    <w:lvl w:ilvl="5" w:tplc="3418F5F8" w:tentative="1">
      <w:start w:val="1"/>
      <w:numFmt w:val="bullet"/>
      <w:lvlText w:val=""/>
      <w:lvlJc w:val="left"/>
      <w:pPr>
        <w:tabs>
          <w:tab w:val="num" w:pos="4320"/>
        </w:tabs>
        <w:ind w:left="4320" w:hanging="360"/>
      </w:pPr>
      <w:rPr>
        <w:rFonts w:ascii="Wingdings" w:hAnsi="Wingdings" w:hint="default"/>
      </w:rPr>
    </w:lvl>
    <w:lvl w:ilvl="6" w:tplc="E5E64424" w:tentative="1">
      <w:start w:val="1"/>
      <w:numFmt w:val="bullet"/>
      <w:lvlText w:val=""/>
      <w:lvlJc w:val="left"/>
      <w:pPr>
        <w:tabs>
          <w:tab w:val="num" w:pos="5040"/>
        </w:tabs>
        <w:ind w:left="5040" w:hanging="360"/>
      </w:pPr>
      <w:rPr>
        <w:rFonts w:ascii="Wingdings" w:hAnsi="Wingdings" w:hint="default"/>
      </w:rPr>
    </w:lvl>
    <w:lvl w:ilvl="7" w:tplc="6804C784" w:tentative="1">
      <w:start w:val="1"/>
      <w:numFmt w:val="bullet"/>
      <w:lvlText w:val=""/>
      <w:lvlJc w:val="left"/>
      <w:pPr>
        <w:tabs>
          <w:tab w:val="num" w:pos="5760"/>
        </w:tabs>
        <w:ind w:left="5760" w:hanging="360"/>
      </w:pPr>
      <w:rPr>
        <w:rFonts w:ascii="Wingdings" w:hAnsi="Wingdings" w:hint="default"/>
      </w:rPr>
    </w:lvl>
    <w:lvl w:ilvl="8" w:tplc="B038C66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compat/>
  <w:rsids>
    <w:rsidRoot w:val="001C4971"/>
    <w:rsid w:val="00021F97"/>
    <w:rsid w:val="0005742C"/>
    <w:rsid w:val="000A14D2"/>
    <w:rsid w:val="000C3F2D"/>
    <w:rsid w:val="000D3AC0"/>
    <w:rsid w:val="000E20D7"/>
    <w:rsid w:val="00106394"/>
    <w:rsid w:val="00137249"/>
    <w:rsid w:val="00143765"/>
    <w:rsid w:val="001530FF"/>
    <w:rsid w:val="00157232"/>
    <w:rsid w:val="00164960"/>
    <w:rsid w:val="00170C5C"/>
    <w:rsid w:val="001C4971"/>
    <w:rsid w:val="002C4FD1"/>
    <w:rsid w:val="002D4DE3"/>
    <w:rsid w:val="0037283B"/>
    <w:rsid w:val="00377DFF"/>
    <w:rsid w:val="0038298B"/>
    <w:rsid w:val="003B64C3"/>
    <w:rsid w:val="003F376A"/>
    <w:rsid w:val="0045029A"/>
    <w:rsid w:val="004541B5"/>
    <w:rsid w:val="004667A3"/>
    <w:rsid w:val="004676F2"/>
    <w:rsid w:val="004E493F"/>
    <w:rsid w:val="00520140"/>
    <w:rsid w:val="00537E70"/>
    <w:rsid w:val="005E1F38"/>
    <w:rsid w:val="00601A8D"/>
    <w:rsid w:val="00612DE2"/>
    <w:rsid w:val="006313FC"/>
    <w:rsid w:val="006423F0"/>
    <w:rsid w:val="0065709C"/>
    <w:rsid w:val="006A0588"/>
    <w:rsid w:val="006E6336"/>
    <w:rsid w:val="00711877"/>
    <w:rsid w:val="00717FB6"/>
    <w:rsid w:val="00725638"/>
    <w:rsid w:val="00747605"/>
    <w:rsid w:val="0077504E"/>
    <w:rsid w:val="0079150A"/>
    <w:rsid w:val="007D09CA"/>
    <w:rsid w:val="007D2CED"/>
    <w:rsid w:val="00855682"/>
    <w:rsid w:val="008A50E9"/>
    <w:rsid w:val="008B0F89"/>
    <w:rsid w:val="008D3D6E"/>
    <w:rsid w:val="009438EE"/>
    <w:rsid w:val="009C33EE"/>
    <w:rsid w:val="009D6927"/>
    <w:rsid w:val="00A13B83"/>
    <w:rsid w:val="00A4405C"/>
    <w:rsid w:val="00A87B54"/>
    <w:rsid w:val="00AB05B5"/>
    <w:rsid w:val="00AC2714"/>
    <w:rsid w:val="00AD4358"/>
    <w:rsid w:val="00AE5B4D"/>
    <w:rsid w:val="00AF621C"/>
    <w:rsid w:val="00B33014"/>
    <w:rsid w:val="00BA078F"/>
    <w:rsid w:val="00BA165F"/>
    <w:rsid w:val="00BF22F2"/>
    <w:rsid w:val="00CD13CE"/>
    <w:rsid w:val="00CF44B5"/>
    <w:rsid w:val="00D56599"/>
    <w:rsid w:val="00D87449"/>
    <w:rsid w:val="00DB270E"/>
    <w:rsid w:val="00E265FA"/>
    <w:rsid w:val="00E81EE7"/>
    <w:rsid w:val="00E972C1"/>
    <w:rsid w:val="00EF2444"/>
    <w:rsid w:val="00F11728"/>
    <w:rsid w:val="00F369E7"/>
    <w:rsid w:val="00F36C93"/>
    <w:rsid w:val="00F47D47"/>
    <w:rsid w:val="00FA2CFF"/>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42C"/>
  </w:style>
  <w:style w:type="paragraph" w:styleId="Heading2">
    <w:name w:val="heading 2"/>
    <w:basedOn w:val="Normal"/>
    <w:next w:val="Normal"/>
    <w:link w:val="Heading2Char"/>
    <w:uiPriority w:val="9"/>
    <w:unhideWhenUsed/>
    <w:qFormat/>
    <w:rsid w:val="001C4971"/>
    <w:pPr>
      <w:keepNext/>
      <w:keepLines/>
      <w:spacing w:before="200" w:after="0"/>
      <w:outlineLvl w:val="1"/>
    </w:pPr>
    <w:rPr>
      <w:rFonts w:asciiTheme="majorHAnsi" w:eastAsiaTheme="majorEastAsia" w:hAnsiTheme="majorHAnsi" w:cstheme="majorBidi"/>
      <w:b/>
      <w:bCs/>
      <w:color w:val="4F81BD" w:themeColor="accent1"/>
      <w:sz w:val="26"/>
      <w:szCs w:val="26"/>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4971"/>
    <w:rPr>
      <w:rFonts w:asciiTheme="majorHAnsi" w:eastAsiaTheme="majorEastAsia" w:hAnsiTheme="majorHAnsi" w:cstheme="majorBidi"/>
      <w:b/>
      <w:bCs/>
      <w:color w:val="4F81BD" w:themeColor="accent1"/>
      <w:sz w:val="26"/>
      <w:szCs w:val="26"/>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718</Words>
  <Characters>4099</Characters>
  <Application>Microsoft Office Word</Application>
  <DocSecurity>0</DocSecurity>
  <Lines>34</Lines>
  <Paragraphs>9</Paragraphs>
  <ScaleCrop>false</ScaleCrop>
  <Company>Microsoft</Company>
  <LinksUpToDate>false</LinksUpToDate>
  <CharactersWithSpaces>4808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0010756</dc:creator>
  <cp:lastModifiedBy>0010756</cp:lastModifiedBy>
  <cp:revision>5</cp:revision>
  <dcterms:created xsi:type="dcterms:W3CDTF">2016-12-22T05:29:00Z</dcterms:created>
  <dcterms:modified xsi:type="dcterms:W3CDTF">2016-12-22T06:12:00Z</dcterms:modified>
</cp:coreProperties>
</file>