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DE6875" w14:textId="77777777" w:rsidR="00D56B32" w:rsidRPr="003C0F89" w:rsidRDefault="00D56B32" w:rsidP="00D56B32">
      <w:pPr>
        <w:rPr>
          <w:rFonts w:ascii="Arial" w:hAnsi="Arial" w:cs="Arial"/>
          <w:b/>
          <w:lang w:val="en-GB"/>
        </w:rPr>
      </w:pPr>
      <w:r w:rsidRPr="003C0F89">
        <w:rPr>
          <w:rFonts w:ascii="Arial" w:hAnsi="Arial" w:cs="Arial"/>
          <w:b/>
          <w:lang w:val="en-GB"/>
        </w:rPr>
        <w:t>SUPPLEMENTARY MATERIAL</w:t>
      </w:r>
    </w:p>
    <w:p w14:paraId="0D5A1105" w14:textId="77777777" w:rsidR="00D56B32" w:rsidRPr="003C0F89" w:rsidRDefault="00D56B32" w:rsidP="00D56B32">
      <w:pPr>
        <w:rPr>
          <w:rFonts w:ascii="Arial" w:hAnsi="Arial" w:cs="Arial"/>
          <w:b/>
          <w:sz w:val="22"/>
          <w:szCs w:val="22"/>
          <w:lang w:val="en-GB"/>
        </w:rPr>
      </w:pPr>
      <w:r w:rsidRPr="003C0F89">
        <w:rPr>
          <w:rFonts w:ascii="Arial" w:hAnsi="Arial" w:cs="Arial"/>
          <w:b/>
          <w:sz w:val="22"/>
          <w:szCs w:val="22"/>
          <w:lang w:val="en-GB"/>
        </w:rPr>
        <w:tab/>
      </w:r>
    </w:p>
    <w:p w14:paraId="534BAF5A" w14:textId="77777777" w:rsidR="00D56B32" w:rsidRPr="003C0F89" w:rsidRDefault="00D56B32" w:rsidP="00D56B32">
      <w:pPr>
        <w:rPr>
          <w:rFonts w:ascii="Arial" w:hAnsi="Arial" w:cs="Arial"/>
          <w:sz w:val="22"/>
          <w:szCs w:val="22"/>
          <w:lang w:val="en-GB"/>
        </w:rPr>
      </w:pPr>
    </w:p>
    <w:tbl>
      <w:tblPr>
        <w:tblStyle w:val="Lysskygge"/>
        <w:tblW w:w="0" w:type="auto"/>
        <w:tblLook w:val="04A0" w:firstRow="1" w:lastRow="0" w:firstColumn="1" w:lastColumn="0" w:noHBand="0" w:noVBand="1"/>
      </w:tblPr>
      <w:tblGrid>
        <w:gridCol w:w="534"/>
        <w:gridCol w:w="9238"/>
      </w:tblGrid>
      <w:tr w:rsidR="00D56B32" w:rsidRPr="001A6628" w14:paraId="35CAEAC9" w14:textId="77777777" w:rsidTr="00AC39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2" w:type="dxa"/>
            <w:gridSpan w:val="2"/>
            <w:tcBorders>
              <w:top w:val="nil"/>
            </w:tcBorders>
          </w:tcPr>
          <w:p w14:paraId="1992F4ED" w14:textId="77777777" w:rsidR="00D56B32" w:rsidRPr="001A6628" w:rsidRDefault="00D56B32" w:rsidP="00AC3924">
            <w:pPr>
              <w:pStyle w:val="Normalweb"/>
              <w:rPr>
                <w:rFonts w:ascii="Arial" w:hAnsi="Arial" w:cs="Arial"/>
                <w:color w:val="auto"/>
                <w:sz w:val="22"/>
                <w:szCs w:val="22"/>
                <w:lang w:val="en-GB"/>
              </w:rPr>
            </w:pPr>
          </w:p>
        </w:tc>
      </w:tr>
      <w:tr w:rsidR="00D56B32" w:rsidRPr="00BD524F" w14:paraId="79B97218" w14:textId="77777777" w:rsidTr="00AC39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2" w:type="dxa"/>
            <w:gridSpan w:val="2"/>
            <w:tcBorders>
              <w:top w:val="single" w:sz="8" w:space="0" w:color="000000" w:themeColor="text1"/>
              <w:left w:val="single" w:sz="4" w:space="0" w:color="auto"/>
              <w:bottom w:val="single" w:sz="4" w:space="0" w:color="auto"/>
              <w:right w:val="single" w:sz="4" w:space="0" w:color="auto"/>
            </w:tcBorders>
            <w:shd w:val="clear" w:color="auto" w:fill="auto"/>
          </w:tcPr>
          <w:p w14:paraId="449DEDD2" w14:textId="77777777" w:rsidR="00D56B32" w:rsidRPr="002C2DC0" w:rsidRDefault="00D56B32" w:rsidP="00AC3924">
            <w:pPr>
              <w:pStyle w:val="Normalweb"/>
              <w:spacing w:after="0" w:afterAutospacing="0"/>
              <w:rPr>
                <w:rFonts w:ascii="Arial" w:eastAsiaTheme="majorEastAsia" w:hAnsi="Arial" w:cs="Arial"/>
                <w:b w:val="0"/>
                <w:bCs w:val="0"/>
                <w:i/>
                <w:iCs/>
                <w:color w:val="auto"/>
                <w:sz w:val="18"/>
                <w:szCs w:val="18"/>
                <w:lang w:val="en-GB"/>
              </w:rPr>
            </w:pPr>
            <w:r w:rsidRPr="001A6628">
              <w:rPr>
                <w:rFonts w:ascii="Arial" w:hAnsi="Arial" w:cs="Arial"/>
                <w:color w:val="auto"/>
                <w:sz w:val="18"/>
                <w:szCs w:val="18"/>
                <w:lang w:val="en-GB"/>
              </w:rPr>
              <w:t>Table S1.</w:t>
            </w:r>
            <w:r>
              <w:rPr>
                <w:rFonts w:ascii="Arial" w:eastAsiaTheme="majorEastAsia" w:hAnsi="Arial" w:cs="Arial"/>
                <w:b w:val="0"/>
                <w:bCs w:val="0"/>
                <w:i/>
                <w:iCs/>
                <w:color w:val="auto"/>
                <w:sz w:val="18"/>
                <w:szCs w:val="18"/>
                <w:lang w:val="en-GB"/>
              </w:rPr>
              <w:t xml:space="preserve"> </w:t>
            </w:r>
            <w:r>
              <w:rPr>
                <w:rFonts w:ascii="Arial" w:hAnsi="Arial" w:cs="Arial"/>
                <w:color w:val="auto"/>
                <w:sz w:val="18"/>
                <w:szCs w:val="18"/>
                <w:lang w:val="en-GB"/>
              </w:rPr>
              <w:t>Grading of b</w:t>
            </w:r>
            <w:r w:rsidRPr="001A6628">
              <w:rPr>
                <w:rFonts w:ascii="Arial" w:hAnsi="Arial" w:cs="Arial"/>
                <w:color w:val="auto"/>
                <w:sz w:val="18"/>
                <w:szCs w:val="18"/>
                <w:lang w:val="en-GB"/>
              </w:rPr>
              <w:t xml:space="preserve">leeding according to the World Health Organisation </w:t>
            </w:r>
            <w:r w:rsidRPr="001A6628">
              <w:rPr>
                <w:rFonts w:ascii="Arial" w:hAnsi="Arial" w:cs="Arial"/>
                <w:b w:val="0"/>
                <w:color w:val="auto"/>
                <w:sz w:val="18"/>
                <w:szCs w:val="18"/>
                <w:vertAlign w:val="superscript"/>
                <w:lang w:val="en-GB"/>
              </w:rPr>
              <w:t>a)</w:t>
            </w:r>
          </w:p>
        </w:tc>
      </w:tr>
      <w:tr w:rsidR="00D56B32" w:rsidRPr="001A6628" w14:paraId="6EB47EB0" w14:textId="77777777" w:rsidTr="00AC3924">
        <w:tc>
          <w:tcPr>
            <w:cnfStyle w:val="001000000000" w:firstRow="0" w:lastRow="0" w:firstColumn="1" w:lastColumn="0" w:oddVBand="0" w:evenVBand="0" w:oddHBand="0" w:evenHBand="0" w:firstRowFirstColumn="0" w:firstRowLastColumn="0" w:lastRowFirstColumn="0" w:lastRowLastColumn="0"/>
            <w:tcW w:w="9772" w:type="dxa"/>
            <w:gridSpan w:val="2"/>
            <w:tcBorders>
              <w:top w:val="single" w:sz="4" w:space="0" w:color="auto"/>
              <w:left w:val="single" w:sz="4" w:space="0" w:color="auto"/>
              <w:bottom w:val="nil"/>
              <w:right w:val="single" w:sz="4" w:space="0" w:color="auto"/>
            </w:tcBorders>
            <w:shd w:val="clear" w:color="auto" w:fill="auto"/>
          </w:tcPr>
          <w:p w14:paraId="5A5AF6A2" w14:textId="77777777" w:rsidR="00D56B32" w:rsidRPr="001A6628" w:rsidRDefault="00D56B32" w:rsidP="00D56B32">
            <w:pPr>
              <w:pStyle w:val="Normalweb"/>
              <w:spacing w:line="276" w:lineRule="auto"/>
              <w:rPr>
                <w:rFonts w:ascii="Arial" w:hAnsi="Arial" w:cs="Arial"/>
                <w:b w:val="0"/>
                <w:color w:val="auto"/>
                <w:sz w:val="18"/>
                <w:szCs w:val="18"/>
                <w:lang w:val="en-GB"/>
              </w:rPr>
            </w:pPr>
            <w:r w:rsidRPr="001A6628">
              <w:rPr>
                <w:rFonts w:ascii="Arial" w:hAnsi="Arial" w:cs="Arial"/>
                <w:color w:val="auto"/>
                <w:sz w:val="18"/>
                <w:szCs w:val="18"/>
                <w:lang w:val="en-GB"/>
              </w:rPr>
              <w:t>Grade 1: Minor Blood Loss</w:t>
            </w:r>
          </w:p>
        </w:tc>
      </w:tr>
      <w:tr w:rsidR="00D56B32" w:rsidRPr="001A6628" w14:paraId="3A96BCCD" w14:textId="77777777" w:rsidTr="00AC39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top w:val="nil"/>
              <w:left w:val="single" w:sz="4" w:space="0" w:color="auto"/>
              <w:bottom w:val="nil"/>
            </w:tcBorders>
            <w:shd w:val="clear" w:color="auto" w:fill="auto"/>
          </w:tcPr>
          <w:p w14:paraId="1D6D1DFA" w14:textId="77777777" w:rsidR="00D56B32" w:rsidRPr="001A6628" w:rsidRDefault="00D56B32" w:rsidP="00D56B32">
            <w:pPr>
              <w:pStyle w:val="Normalweb"/>
              <w:spacing w:line="276" w:lineRule="auto"/>
              <w:rPr>
                <w:rFonts w:ascii="Arial" w:hAnsi="Arial" w:cs="Arial"/>
                <w:color w:val="auto"/>
                <w:sz w:val="18"/>
                <w:szCs w:val="18"/>
                <w:lang w:val="en-GB"/>
              </w:rPr>
            </w:pPr>
          </w:p>
        </w:tc>
        <w:tc>
          <w:tcPr>
            <w:tcW w:w="9238" w:type="dxa"/>
            <w:tcBorders>
              <w:top w:val="nil"/>
              <w:bottom w:val="nil"/>
              <w:right w:val="single" w:sz="4" w:space="0" w:color="auto"/>
            </w:tcBorders>
            <w:shd w:val="clear" w:color="auto" w:fill="auto"/>
          </w:tcPr>
          <w:p w14:paraId="7E23B2FE" w14:textId="77777777" w:rsidR="00D56B32" w:rsidRPr="001A6628" w:rsidRDefault="00D56B32" w:rsidP="00D56B32">
            <w:pPr>
              <w:pStyle w:val="Normalweb"/>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en-GB"/>
              </w:rPr>
            </w:pPr>
            <w:r w:rsidRPr="001A6628">
              <w:rPr>
                <w:rFonts w:ascii="Arial" w:hAnsi="Arial" w:cs="Arial"/>
                <w:color w:val="auto"/>
                <w:sz w:val="18"/>
                <w:szCs w:val="18"/>
                <w:lang w:val="en-GB"/>
              </w:rPr>
              <w:t>Petechiae, oropharyngeal bleeding</w:t>
            </w:r>
          </w:p>
        </w:tc>
      </w:tr>
      <w:tr w:rsidR="00D56B32" w:rsidRPr="001A6628" w14:paraId="6A26BA0C" w14:textId="77777777" w:rsidTr="00AC3924">
        <w:tc>
          <w:tcPr>
            <w:cnfStyle w:val="001000000000" w:firstRow="0" w:lastRow="0" w:firstColumn="1" w:lastColumn="0" w:oddVBand="0" w:evenVBand="0" w:oddHBand="0" w:evenHBand="0" w:firstRowFirstColumn="0" w:firstRowLastColumn="0" w:lastRowFirstColumn="0" w:lastRowLastColumn="0"/>
            <w:tcW w:w="534" w:type="dxa"/>
            <w:tcBorders>
              <w:top w:val="nil"/>
              <w:left w:val="single" w:sz="4" w:space="0" w:color="auto"/>
              <w:bottom w:val="nil"/>
            </w:tcBorders>
            <w:shd w:val="clear" w:color="auto" w:fill="auto"/>
          </w:tcPr>
          <w:p w14:paraId="43D5C822" w14:textId="77777777" w:rsidR="00D56B32" w:rsidRPr="001A6628" w:rsidRDefault="00D56B32" w:rsidP="00D56B32">
            <w:pPr>
              <w:pStyle w:val="Normalweb"/>
              <w:spacing w:line="276" w:lineRule="auto"/>
              <w:rPr>
                <w:rFonts w:ascii="Arial" w:hAnsi="Arial" w:cs="Arial"/>
                <w:color w:val="auto"/>
                <w:sz w:val="18"/>
                <w:szCs w:val="18"/>
                <w:lang w:val="en-GB"/>
              </w:rPr>
            </w:pPr>
          </w:p>
        </w:tc>
        <w:tc>
          <w:tcPr>
            <w:tcW w:w="9238" w:type="dxa"/>
            <w:tcBorders>
              <w:top w:val="nil"/>
              <w:bottom w:val="nil"/>
              <w:right w:val="single" w:sz="4" w:space="0" w:color="auto"/>
            </w:tcBorders>
            <w:shd w:val="clear" w:color="auto" w:fill="auto"/>
          </w:tcPr>
          <w:p w14:paraId="7B6B9B03" w14:textId="77777777" w:rsidR="00D56B32" w:rsidRPr="001A6628" w:rsidRDefault="00D56B32" w:rsidP="00D56B32">
            <w:pPr>
              <w:pStyle w:val="Normalweb"/>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en-GB"/>
              </w:rPr>
            </w:pPr>
            <w:r w:rsidRPr="001A6628">
              <w:rPr>
                <w:rFonts w:ascii="Arial" w:hAnsi="Arial" w:cs="Arial"/>
                <w:color w:val="auto"/>
                <w:sz w:val="18"/>
                <w:szCs w:val="18"/>
                <w:lang w:val="en-GB"/>
              </w:rPr>
              <w:t>Epistaxis (&lt; 1 hour)</w:t>
            </w:r>
          </w:p>
        </w:tc>
      </w:tr>
      <w:tr w:rsidR="00D56B32" w:rsidRPr="001A6628" w14:paraId="5C0692A6" w14:textId="77777777" w:rsidTr="00AC39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top w:val="nil"/>
              <w:left w:val="single" w:sz="4" w:space="0" w:color="auto"/>
              <w:bottom w:val="nil"/>
            </w:tcBorders>
            <w:shd w:val="clear" w:color="auto" w:fill="auto"/>
          </w:tcPr>
          <w:p w14:paraId="6ABC5737" w14:textId="77777777" w:rsidR="00D56B32" w:rsidRPr="001A6628" w:rsidRDefault="00D56B32" w:rsidP="00D56B32">
            <w:pPr>
              <w:pStyle w:val="Normalweb"/>
              <w:spacing w:line="276" w:lineRule="auto"/>
              <w:rPr>
                <w:rFonts w:ascii="Arial" w:hAnsi="Arial" w:cs="Arial"/>
                <w:color w:val="auto"/>
                <w:sz w:val="18"/>
                <w:szCs w:val="18"/>
                <w:lang w:val="en-GB"/>
              </w:rPr>
            </w:pPr>
          </w:p>
        </w:tc>
        <w:tc>
          <w:tcPr>
            <w:tcW w:w="9238" w:type="dxa"/>
            <w:tcBorders>
              <w:top w:val="nil"/>
              <w:bottom w:val="nil"/>
              <w:right w:val="single" w:sz="4" w:space="0" w:color="auto"/>
            </w:tcBorders>
            <w:shd w:val="clear" w:color="auto" w:fill="auto"/>
          </w:tcPr>
          <w:p w14:paraId="566AD8A8" w14:textId="77777777" w:rsidR="00D56B32" w:rsidRPr="001A6628" w:rsidRDefault="00D56B32" w:rsidP="00D56B32">
            <w:pPr>
              <w:pStyle w:val="Normalweb"/>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en-GB"/>
              </w:rPr>
            </w:pPr>
            <w:r w:rsidRPr="001A6628">
              <w:rPr>
                <w:rFonts w:ascii="Arial" w:hAnsi="Arial" w:cs="Arial"/>
                <w:color w:val="auto"/>
                <w:sz w:val="18"/>
                <w:szCs w:val="18"/>
                <w:lang w:val="en-GB"/>
              </w:rPr>
              <w:t>Purpura (&lt; 2.5 cm diameter)</w:t>
            </w:r>
          </w:p>
        </w:tc>
      </w:tr>
      <w:tr w:rsidR="00D56B32" w:rsidRPr="00BD524F" w14:paraId="21EBA37E" w14:textId="77777777" w:rsidTr="00AC3924">
        <w:tc>
          <w:tcPr>
            <w:cnfStyle w:val="001000000000" w:firstRow="0" w:lastRow="0" w:firstColumn="1" w:lastColumn="0" w:oddVBand="0" w:evenVBand="0" w:oddHBand="0" w:evenHBand="0" w:firstRowFirstColumn="0" w:firstRowLastColumn="0" w:lastRowFirstColumn="0" w:lastRowLastColumn="0"/>
            <w:tcW w:w="534" w:type="dxa"/>
            <w:tcBorders>
              <w:top w:val="nil"/>
              <w:left w:val="single" w:sz="4" w:space="0" w:color="auto"/>
              <w:bottom w:val="nil"/>
            </w:tcBorders>
            <w:shd w:val="clear" w:color="auto" w:fill="auto"/>
          </w:tcPr>
          <w:p w14:paraId="0334E08C" w14:textId="77777777" w:rsidR="00D56B32" w:rsidRPr="001A6628" w:rsidRDefault="00D56B32" w:rsidP="00D56B32">
            <w:pPr>
              <w:pStyle w:val="Normalweb"/>
              <w:spacing w:line="276" w:lineRule="auto"/>
              <w:rPr>
                <w:rFonts w:ascii="Arial" w:hAnsi="Arial" w:cs="Arial"/>
                <w:color w:val="auto"/>
                <w:sz w:val="18"/>
                <w:szCs w:val="18"/>
                <w:lang w:val="en-GB"/>
              </w:rPr>
            </w:pPr>
          </w:p>
        </w:tc>
        <w:tc>
          <w:tcPr>
            <w:tcW w:w="9238" w:type="dxa"/>
            <w:tcBorders>
              <w:top w:val="nil"/>
              <w:bottom w:val="nil"/>
              <w:right w:val="single" w:sz="4" w:space="0" w:color="auto"/>
            </w:tcBorders>
            <w:shd w:val="clear" w:color="auto" w:fill="auto"/>
          </w:tcPr>
          <w:p w14:paraId="1E97001A" w14:textId="77777777" w:rsidR="00D56B32" w:rsidRPr="001A6628" w:rsidRDefault="00D56B32" w:rsidP="00D56B32">
            <w:pPr>
              <w:pStyle w:val="Normalweb"/>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en-GB"/>
              </w:rPr>
            </w:pPr>
            <w:r w:rsidRPr="001A6628">
              <w:rPr>
                <w:rFonts w:ascii="Arial" w:hAnsi="Arial" w:cs="Arial"/>
                <w:color w:val="auto"/>
                <w:sz w:val="18"/>
                <w:szCs w:val="18"/>
                <w:lang w:val="en-GB"/>
              </w:rPr>
              <w:t>Stool occult blood (trace to 1+)</w:t>
            </w:r>
          </w:p>
        </w:tc>
      </w:tr>
      <w:tr w:rsidR="00D56B32" w:rsidRPr="001A6628" w14:paraId="393CC13C" w14:textId="77777777" w:rsidTr="00AC39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top w:val="nil"/>
              <w:left w:val="single" w:sz="4" w:space="0" w:color="auto"/>
              <w:bottom w:val="nil"/>
            </w:tcBorders>
            <w:shd w:val="clear" w:color="auto" w:fill="auto"/>
          </w:tcPr>
          <w:p w14:paraId="67EBCC2C" w14:textId="77777777" w:rsidR="00D56B32" w:rsidRPr="001A6628" w:rsidRDefault="00D56B32" w:rsidP="00D56B32">
            <w:pPr>
              <w:pStyle w:val="Normalweb"/>
              <w:spacing w:line="276" w:lineRule="auto"/>
              <w:rPr>
                <w:rFonts w:ascii="Arial" w:hAnsi="Arial" w:cs="Arial"/>
                <w:color w:val="auto"/>
                <w:sz w:val="18"/>
                <w:szCs w:val="18"/>
                <w:lang w:val="en-GB"/>
              </w:rPr>
            </w:pPr>
          </w:p>
        </w:tc>
        <w:tc>
          <w:tcPr>
            <w:tcW w:w="9238" w:type="dxa"/>
            <w:tcBorders>
              <w:top w:val="nil"/>
              <w:bottom w:val="nil"/>
              <w:right w:val="single" w:sz="4" w:space="0" w:color="auto"/>
            </w:tcBorders>
            <w:shd w:val="clear" w:color="auto" w:fill="auto"/>
          </w:tcPr>
          <w:p w14:paraId="5C04A50D" w14:textId="77777777" w:rsidR="00D56B32" w:rsidRPr="001A6628" w:rsidRDefault="00D56B32" w:rsidP="00D56B32">
            <w:pPr>
              <w:pStyle w:val="Normalweb"/>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en-GB"/>
              </w:rPr>
            </w:pPr>
            <w:r w:rsidRPr="001A6628">
              <w:rPr>
                <w:rFonts w:ascii="Arial" w:hAnsi="Arial" w:cs="Arial"/>
                <w:color w:val="auto"/>
                <w:sz w:val="18"/>
                <w:szCs w:val="18"/>
                <w:lang w:val="en-GB"/>
              </w:rPr>
              <w:t>Urine haemoglobin (trace to 1+)</w:t>
            </w:r>
          </w:p>
        </w:tc>
      </w:tr>
      <w:tr w:rsidR="00D56B32" w:rsidRPr="001A6628" w14:paraId="07C0C980" w14:textId="77777777" w:rsidTr="00AC3924">
        <w:tc>
          <w:tcPr>
            <w:cnfStyle w:val="001000000000" w:firstRow="0" w:lastRow="0" w:firstColumn="1" w:lastColumn="0" w:oddVBand="0" w:evenVBand="0" w:oddHBand="0" w:evenHBand="0" w:firstRowFirstColumn="0" w:firstRowLastColumn="0" w:lastRowFirstColumn="0" w:lastRowLastColumn="0"/>
            <w:tcW w:w="534" w:type="dxa"/>
            <w:tcBorders>
              <w:top w:val="nil"/>
              <w:left w:val="single" w:sz="4" w:space="0" w:color="auto"/>
              <w:bottom w:val="nil"/>
            </w:tcBorders>
            <w:shd w:val="clear" w:color="auto" w:fill="auto"/>
          </w:tcPr>
          <w:p w14:paraId="6ACDE8A5" w14:textId="77777777" w:rsidR="00D56B32" w:rsidRPr="001A6628" w:rsidRDefault="00D56B32" w:rsidP="00D56B32">
            <w:pPr>
              <w:pStyle w:val="Normalweb"/>
              <w:spacing w:line="276" w:lineRule="auto"/>
              <w:rPr>
                <w:rFonts w:ascii="Arial" w:hAnsi="Arial" w:cs="Arial"/>
                <w:color w:val="auto"/>
                <w:sz w:val="18"/>
                <w:szCs w:val="18"/>
                <w:lang w:val="en-GB"/>
              </w:rPr>
            </w:pPr>
          </w:p>
        </w:tc>
        <w:tc>
          <w:tcPr>
            <w:tcW w:w="9238" w:type="dxa"/>
            <w:tcBorders>
              <w:top w:val="nil"/>
              <w:bottom w:val="nil"/>
              <w:right w:val="single" w:sz="4" w:space="0" w:color="auto"/>
            </w:tcBorders>
            <w:shd w:val="clear" w:color="auto" w:fill="auto"/>
          </w:tcPr>
          <w:p w14:paraId="7862F793" w14:textId="77777777" w:rsidR="00D56B32" w:rsidRPr="001A6628" w:rsidRDefault="00D56B32" w:rsidP="00D56B32">
            <w:pPr>
              <w:pStyle w:val="Normalweb"/>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en-GB"/>
              </w:rPr>
            </w:pPr>
            <w:r>
              <w:rPr>
                <w:rFonts w:ascii="Arial" w:hAnsi="Arial" w:cs="Arial"/>
                <w:color w:val="auto"/>
                <w:sz w:val="18"/>
                <w:szCs w:val="18"/>
                <w:lang w:val="en-GB"/>
              </w:rPr>
              <w:t>Subconjunctival</w:t>
            </w:r>
            <w:r w:rsidRPr="001A6628">
              <w:rPr>
                <w:rFonts w:ascii="Arial" w:hAnsi="Arial" w:cs="Arial"/>
                <w:color w:val="auto"/>
                <w:sz w:val="18"/>
                <w:szCs w:val="18"/>
                <w:lang w:val="en-GB"/>
              </w:rPr>
              <w:t xml:space="preserve"> bleeding</w:t>
            </w:r>
          </w:p>
        </w:tc>
      </w:tr>
      <w:tr w:rsidR="00D56B32" w:rsidRPr="001A6628" w14:paraId="5C6E5D2C" w14:textId="77777777" w:rsidTr="00AC39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top w:val="nil"/>
              <w:left w:val="single" w:sz="4" w:space="0" w:color="auto"/>
              <w:bottom w:val="single" w:sz="4" w:space="0" w:color="auto"/>
            </w:tcBorders>
            <w:shd w:val="clear" w:color="auto" w:fill="auto"/>
          </w:tcPr>
          <w:p w14:paraId="09FEFA29" w14:textId="77777777" w:rsidR="00D56B32" w:rsidRPr="001A6628" w:rsidRDefault="00D56B32" w:rsidP="00D56B32">
            <w:pPr>
              <w:pStyle w:val="Normalweb"/>
              <w:spacing w:line="276" w:lineRule="auto"/>
              <w:rPr>
                <w:rFonts w:ascii="Arial" w:hAnsi="Arial" w:cs="Arial"/>
                <w:color w:val="auto"/>
                <w:sz w:val="18"/>
                <w:szCs w:val="18"/>
                <w:lang w:val="en-GB"/>
              </w:rPr>
            </w:pPr>
          </w:p>
        </w:tc>
        <w:tc>
          <w:tcPr>
            <w:tcW w:w="9238" w:type="dxa"/>
            <w:tcBorders>
              <w:top w:val="nil"/>
              <w:bottom w:val="single" w:sz="4" w:space="0" w:color="auto"/>
              <w:right w:val="single" w:sz="4" w:space="0" w:color="auto"/>
            </w:tcBorders>
            <w:shd w:val="clear" w:color="auto" w:fill="auto"/>
          </w:tcPr>
          <w:p w14:paraId="15CFB563" w14:textId="77777777" w:rsidR="00D56B32" w:rsidRPr="001A6628" w:rsidRDefault="00D56B32" w:rsidP="00D56B32">
            <w:pPr>
              <w:pStyle w:val="Normalweb"/>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en-GB"/>
              </w:rPr>
            </w:pPr>
            <w:r w:rsidRPr="001A6628">
              <w:rPr>
                <w:rFonts w:ascii="Arial" w:hAnsi="Arial" w:cs="Arial"/>
                <w:color w:val="auto"/>
                <w:sz w:val="18"/>
                <w:szCs w:val="18"/>
                <w:lang w:val="en-GB"/>
              </w:rPr>
              <w:t>Abnormal vaginal bleeding (non-menstrual)</w:t>
            </w:r>
          </w:p>
        </w:tc>
      </w:tr>
      <w:tr w:rsidR="00D56B32" w:rsidRPr="001A6628" w14:paraId="4574D543" w14:textId="77777777" w:rsidTr="00AC3924">
        <w:tc>
          <w:tcPr>
            <w:cnfStyle w:val="001000000000" w:firstRow="0" w:lastRow="0" w:firstColumn="1" w:lastColumn="0" w:oddVBand="0" w:evenVBand="0" w:oddHBand="0" w:evenHBand="0" w:firstRowFirstColumn="0" w:firstRowLastColumn="0" w:lastRowFirstColumn="0" w:lastRowLastColumn="0"/>
            <w:tcW w:w="9772" w:type="dxa"/>
            <w:gridSpan w:val="2"/>
            <w:tcBorders>
              <w:top w:val="single" w:sz="4" w:space="0" w:color="auto"/>
              <w:left w:val="single" w:sz="4" w:space="0" w:color="auto"/>
              <w:bottom w:val="nil"/>
              <w:right w:val="single" w:sz="4" w:space="0" w:color="auto"/>
            </w:tcBorders>
            <w:shd w:val="clear" w:color="auto" w:fill="auto"/>
          </w:tcPr>
          <w:p w14:paraId="10F94265" w14:textId="77777777" w:rsidR="00D56B32" w:rsidRPr="001A6628" w:rsidRDefault="00D56B32" w:rsidP="00D56B32">
            <w:pPr>
              <w:pStyle w:val="Normalweb"/>
              <w:spacing w:line="276" w:lineRule="auto"/>
              <w:rPr>
                <w:rFonts w:ascii="Arial" w:hAnsi="Arial" w:cs="Arial"/>
                <w:color w:val="auto"/>
                <w:sz w:val="18"/>
                <w:szCs w:val="18"/>
                <w:lang w:val="en-GB"/>
              </w:rPr>
            </w:pPr>
            <w:r w:rsidRPr="001A6628">
              <w:rPr>
                <w:rFonts w:ascii="Arial" w:hAnsi="Arial" w:cs="Arial"/>
                <w:color w:val="auto"/>
                <w:sz w:val="18"/>
                <w:szCs w:val="18"/>
                <w:lang w:val="en-GB"/>
              </w:rPr>
              <w:t>Grade 2: Mild Blood Loss</w:t>
            </w:r>
          </w:p>
        </w:tc>
      </w:tr>
      <w:tr w:rsidR="00D56B32" w:rsidRPr="00BD524F" w14:paraId="6BCD323A" w14:textId="77777777" w:rsidTr="00AC39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top w:val="nil"/>
              <w:left w:val="single" w:sz="4" w:space="0" w:color="auto"/>
              <w:bottom w:val="nil"/>
            </w:tcBorders>
            <w:shd w:val="clear" w:color="auto" w:fill="auto"/>
          </w:tcPr>
          <w:p w14:paraId="2E264A80" w14:textId="77777777" w:rsidR="00D56B32" w:rsidRPr="001A6628" w:rsidRDefault="00D56B32" w:rsidP="00D56B32">
            <w:pPr>
              <w:pStyle w:val="Normalweb"/>
              <w:spacing w:line="276" w:lineRule="auto"/>
              <w:rPr>
                <w:rFonts w:ascii="Arial" w:hAnsi="Arial" w:cs="Arial"/>
                <w:color w:val="auto"/>
                <w:sz w:val="18"/>
                <w:szCs w:val="18"/>
                <w:lang w:val="en-GB"/>
              </w:rPr>
            </w:pPr>
            <w:bookmarkStart w:id="0" w:name="_GoBack"/>
          </w:p>
        </w:tc>
        <w:tc>
          <w:tcPr>
            <w:tcW w:w="9238" w:type="dxa"/>
            <w:tcBorders>
              <w:top w:val="nil"/>
              <w:bottom w:val="nil"/>
              <w:right w:val="single" w:sz="4" w:space="0" w:color="auto"/>
            </w:tcBorders>
            <w:shd w:val="clear" w:color="auto" w:fill="auto"/>
          </w:tcPr>
          <w:p w14:paraId="0E04DE34" w14:textId="77777777" w:rsidR="00D56B32" w:rsidRPr="001A6628" w:rsidRDefault="00D56B32" w:rsidP="00D56B32">
            <w:pPr>
              <w:pStyle w:val="Normalweb"/>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en-GB"/>
              </w:rPr>
            </w:pPr>
            <w:r w:rsidRPr="001A6628">
              <w:rPr>
                <w:rFonts w:ascii="Arial" w:hAnsi="Arial" w:cs="Arial"/>
                <w:color w:val="auto"/>
                <w:sz w:val="18"/>
                <w:szCs w:val="18"/>
                <w:lang w:val="en-GB"/>
              </w:rPr>
              <w:t>Melena, hematemesis, haemoptysis, haematuria, haematochezia and abnormal vaginal bleeding NOT requiring RBC transfusion</w:t>
            </w:r>
          </w:p>
        </w:tc>
      </w:tr>
      <w:tr w:rsidR="00D56B32" w:rsidRPr="00BD524F" w14:paraId="793B36D1" w14:textId="77777777" w:rsidTr="00AC3924">
        <w:tc>
          <w:tcPr>
            <w:cnfStyle w:val="001000000000" w:firstRow="0" w:lastRow="0" w:firstColumn="1" w:lastColumn="0" w:oddVBand="0" w:evenVBand="0" w:oddHBand="0" w:evenHBand="0" w:firstRowFirstColumn="0" w:firstRowLastColumn="0" w:lastRowFirstColumn="0" w:lastRowLastColumn="0"/>
            <w:tcW w:w="534" w:type="dxa"/>
            <w:tcBorders>
              <w:top w:val="nil"/>
              <w:left w:val="single" w:sz="4" w:space="0" w:color="auto"/>
              <w:bottom w:val="nil"/>
            </w:tcBorders>
            <w:shd w:val="clear" w:color="auto" w:fill="auto"/>
          </w:tcPr>
          <w:p w14:paraId="3A0CC3E5" w14:textId="77777777" w:rsidR="00D56B32" w:rsidRPr="001A6628" w:rsidRDefault="00D56B32" w:rsidP="00D56B32">
            <w:pPr>
              <w:pStyle w:val="Normalweb"/>
              <w:spacing w:line="276" w:lineRule="auto"/>
              <w:rPr>
                <w:rFonts w:ascii="Arial" w:hAnsi="Arial" w:cs="Arial"/>
                <w:color w:val="auto"/>
                <w:sz w:val="18"/>
                <w:szCs w:val="18"/>
                <w:lang w:val="en-GB"/>
              </w:rPr>
            </w:pPr>
          </w:p>
        </w:tc>
        <w:tc>
          <w:tcPr>
            <w:tcW w:w="9238" w:type="dxa"/>
            <w:tcBorders>
              <w:top w:val="nil"/>
              <w:bottom w:val="nil"/>
              <w:right w:val="single" w:sz="4" w:space="0" w:color="auto"/>
            </w:tcBorders>
            <w:shd w:val="clear" w:color="auto" w:fill="auto"/>
          </w:tcPr>
          <w:p w14:paraId="16C40687" w14:textId="77777777" w:rsidR="00D56B32" w:rsidRPr="001A6628" w:rsidRDefault="00D56B32" w:rsidP="00D56B32">
            <w:pPr>
              <w:pStyle w:val="Normalweb"/>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en-GB"/>
              </w:rPr>
            </w:pPr>
            <w:r w:rsidRPr="001A6628">
              <w:rPr>
                <w:rFonts w:ascii="Arial" w:hAnsi="Arial" w:cs="Arial"/>
                <w:color w:val="auto"/>
                <w:sz w:val="18"/>
                <w:szCs w:val="18"/>
                <w:lang w:val="en-GB"/>
              </w:rPr>
              <w:t>Retinal bleeding without visual impairment</w:t>
            </w:r>
          </w:p>
        </w:tc>
      </w:tr>
      <w:tr w:rsidR="00D56B32" w:rsidRPr="00BD524F" w14:paraId="25E08951" w14:textId="77777777" w:rsidTr="00AC39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top w:val="nil"/>
              <w:left w:val="single" w:sz="4" w:space="0" w:color="auto"/>
              <w:bottom w:val="nil"/>
            </w:tcBorders>
            <w:shd w:val="clear" w:color="auto" w:fill="auto"/>
          </w:tcPr>
          <w:p w14:paraId="6FB2DE98" w14:textId="77777777" w:rsidR="00D56B32" w:rsidRPr="001A6628" w:rsidRDefault="00D56B32" w:rsidP="00D56B32">
            <w:pPr>
              <w:pStyle w:val="Normalweb"/>
              <w:spacing w:line="276" w:lineRule="auto"/>
              <w:rPr>
                <w:rFonts w:ascii="Arial" w:hAnsi="Arial" w:cs="Arial"/>
                <w:color w:val="auto"/>
                <w:sz w:val="18"/>
                <w:szCs w:val="18"/>
                <w:lang w:val="en-GB"/>
              </w:rPr>
            </w:pPr>
          </w:p>
        </w:tc>
        <w:tc>
          <w:tcPr>
            <w:tcW w:w="9238" w:type="dxa"/>
            <w:tcBorders>
              <w:top w:val="nil"/>
              <w:bottom w:val="nil"/>
              <w:right w:val="single" w:sz="4" w:space="0" w:color="auto"/>
            </w:tcBorders>
            <w:shd w:val="clear" w:color="auto" w:fill="auto"/>
          </w:tcPr>
          <w:p w14:paraId="3C1251FF" w14:textId="77777777" w:rsidR="00D56B32" w:rsidRPr="001A6628" w:rsidRDefault="00D56B32" w:rsidP="00D56B32">
            <w:pPr>
              <w:pStyle w:val="Normalweb"/>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en-GB"/>
              </w:rPr>
            </w:pPr>
            <w:r w:rsidRPr="001A6628">
              <w:rPr>
                <w:rFonts w:ascii="Arial" w:hAnsi="Arial" w:cs="Arial"/>
                <w:color w:val="auto"/>
                <w:sz w:val="18"/>
                <w:szCs w:val="18"/>
                <w:lang w:val="en-GB"/>
              </w:rPr>
              <w:t>Epistaxis or oropharyngeal bleeding &gt;1 hour</w:t>
            </w:r>
          </w:p>
        </w:tc>
      </w:tr>
      <w:tr w:rsidR="00D56B32" w:rsidRPr="00BD524F" w14:paraId="223E7F06" w14:textId="77777777" w:rsidTr="00AC3924">
        <w:tc>
          <w:tcPr>
            <w:cnfStyle w:val="001000000000" w:firstRow="0" w:lastRow="0" w:firstColumn="1" w:lastColumn="0" w:oddVBand="0" w:evenVBand="0" w:oddHBand="0" w:evenHBand="0" w:firstRowFirstColumn="0" w:firstRowLastColumn="0" w:lastRowFirstColumn="0" w:lastRowLastColumn="0"/>
            <w:tcW w:w="534" w:type="dxa"/>
            <w:tcBorders>
              <w:top w:val="nil"/>
              <w:left w:val="single" w:sz="4" w:space="0" w:color="auto"/>
              <w:bottom w:val="nil"/>
            </w:tcBorders>
            <w:shd w:val="clear" w:color="auto" w:fill="auto"/>
          </w:tcPr>
          <w:p w14:paraId="3200AE8F" w14:textId="77777777" w:rsidR="00D56B32" w:rsidRPr="001A6628" w:rsidRDefault="00D56B32" w:rsidP="00D56B32">
            <w:pPr>
              <w:pStyle w:val="Normalweb"/>
              <w:spacing w:line="276" w:lineRule="auto"/>
              <w:rPr>
                <w:rFonts w:ascii="Arial" w:hAnsi="Arial" w:cs="Arial"/>
                <w:color w:val="auto"/>
                <w:sz w:val="18"/>
                <w:szCs w:val="18"/>
                <w:lang w:val="en-GB"/>
              </w:rPr>
            </w:pPr>
          </w:p>
        </w:tc>
        <w:tc>
          <w:tcPr>
            <w:tcW w:w="9238" w:type="dxa"/>
            <w:tcBorders>
              <w:top w:val="nil"/>
              <w:bottom w:val="nil"/>
              <w:right w:val="single" w:sz="4" w:space="0" w:color="auto"/>
            </w:tcBorders>
            <w:shd w:val="clear" w:color="auto" w:fill="auto"/>
          </w:tcPr>
          <w:p w14:paraId="5F357E63" w14:textId="77777777" w:rsidR="00D56B32" w:rsidRPr="001A6628" w:rsidRDefault="00D56B32" w:rsidP="00D56B32">
            <w:pPr>
              <w:pStyle w:val="Normalweb"/>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en-GB"/>
              </w:rPr>
            </w:pPr>
            <w:r w:rsidRPr="001A6628">
              <w:rPr>
                <w:rFonts w:ascii="Arial" w:hAnsi="Arial" w:cs="Arial"/>
                <w:color w:val="auto"/>
                <w:sz w:val="18"/>
                <w:szCs w:val="18"/>
                <w:lang w:val="en-GB"/>
              </w:rPr>
              <w:t>Stool occult blood (moderate or 2+ and greater)</w:t>
            </w:r>
          </w:p>
        </w:tc>
      </w:tr>
      <w:tr w:rsidR="00D56B32" w:rsidRPr="00BD524F" w14:paraId="23E30191" w14:textId="77777777" w:rsidTr="00AC39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top w:val="nil"/>
              <w:left w:val="single" w:sz="4" w:space="0" w:color="auto"/>
              <w:bottom w:val="nil"/>
            </w:tcBorders>
            <w:shd w:val="clear" w:color="auto" w:fill="auto"/>
          </w:tcPr>
          <w:p w14:paraId="529BC19A" w14:textId="77777777" w:rsidR="00D56B32" w:rsidRPr="001A6628" w:rsidRDefault="00D56B32" w:rsidP="00D56B32">
            <w:pPr>
              <w:pStyle w:val="Normalweb"/>
              <w:spacing w:line="276" w:lineRule="auto"/>
              <w:rPr>
                <w:rFonts w:ascii="Arial" w:hAnsi="Arial" w:cs="Arial"/>
                <w:color w:val="auto"/>
                <w:sz w:val="18"/>
                <w:szCs w:val="18"/>
                <w:lang w:val="en-GB"/>
              </w:rPr>
            </w:pPr>
          </w:p>
        </w:tc>
        <w:tc>
          <w:tcPr>
            <w:tcW w:w="9238" w:type="dxa"/>
            <w:tcBorders>
              <w:top w:val="nil"/>
              <w:bottom w:val="nil"/>
              <w:right w:val="single" w:sz="4" w:space="0" w:color="auto"/>
            </w:tcBorders>
            <w:shd w:val="clear" w:color="auto" w:fill="auto"/>
          </w:tcPr>
          <w:p w14:paraId="3C5F022B" w14:textId="77777777" w:rsidR="00D56B32" w:rsidRPr="001A6628" w:rsidRDefault="00D56B32" w:rsidP="00D56B32">
            <w:pPr>
              <w:pStyle w:val="Normalweb"/>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en-GB"/>
              </w:rPr>
            </w:pPr>
            <w:r w:rsidRPr="001A6628">
              <w:rPr>
                <w:rFonts w:ascii="Arial" w:hAnsi="Arial" w:cs="Arial"/>
                <w:color w:val="auto"/>
                <w:sz w:val="18"/>
                <w:szCs w:val="18"/>
                <w:lang w:val="en-GB"/>
              </w:rPr>
              <w:t>Urine haemoglobin (moderate or 2+ and greater)</w:t>
            </w:r>
          </w:p>
        </w:tc>
      </w:tr>
      <w:tr w:rsidR="00D56B32" w:rsidRPr="00BD524F" w14:paraId="42A23C5C" w14:textId="77777777" w:rsidTr="00AC3924">
        <w:tc>
          <w:tcPr>
            <w:cnfStyle w:val="001000000000" w:firstRow="0" w:lastRow="0" w:firstColumn="1" w:lastColumn="0" w:oddVBand="0" w:evenVBand="0" w:oddHBand="0" w:evenHBand="0" w:firstRowFirstColumn="0" w:firstRowLastColumn="0" w:lastRowFirstColumn="0" w:lastRowLastColumn="0"/>
            <w:tcW w:w="534" w:type="dxa"/>
            <w:tcBorders>
              <w:top w:val="nil"/>
              <w:left w:val="single" w:sz="4" w:space="0" w:color="auto"/>
              <w:bottom w:val="single" w:sz="4" w:space="0" w:color="auto"/>
            </w:tcBorders>
            <w:shd w:val="clear" w:color="auto" w:fill="auto"/>
          </w:tcPr>
          <w:p w14:paraId="56BFD843" w14:textId="77777777" w:rsidR="00D56B32" w:rsidRPr="001A6628" w:rsidRDefault="00D56B32" w:rsidP="00D56B32">
            <w:pPr>
              <w:pStyle w:val="Normalweb"/>
              <w:spacing w:line="276" w:lineRule="auto"/>
              <w:rPr>
                <w:rFonts w:ascii="Arial" w:hAnsi="Arial" w:cs="Arial"/>
                <w:color w:val="auto"/>
                <w:sz w:val="18"/>
                <w:szCs w:val="18"/>
                <w:lang w:val="en-GB"/>
              </w:rPr>
            </w:pPr>
          </w:p>
        </w:tc>
        <w:tc>
          <w:tcPr>
            <w:tcW w:w="9238" w:type="dxa"/>
            <w:tcBorders>
              <w:top w:val="nil"/>
              <w:bottom w:val="single" w:sz="4" w:space="0" w:color="auto"/>
              <w:right w:val="single" w:sz="4" w:space="0" w:color="auto"/>
            </w:tcBorders>
            <w:shd w:val="clear" w:color="auto" w:fill="auto"/>
          </w:tcPr>
          <w:p w14:paraId="18D87236" w14:textId="77777777" w:rsidR="00D56B32" w:rsidRPr="001A6628" w:rsidRDefault="00D56B32" w:rsidP="00D56B32">
            <w:pPr>
              <w:pStyle w:val="Normalweb"/>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en-GB"/>
              </w:rPr>
            </w:pPr>
            <w:r w:rsidRPr="001A6628">
              <w:rPr>
                <w:rFonts w:ascii="Arial" w:hAnsi="Arial" w:cs="Arial"/>
                <w:color w:val="auto"/>
                <w:sz w:val="18"/>
                <w:szCs w:val="18"/>
                <w:lang w:val="en-GB"/>
              </w:rPr>
              <w:t>CNS bleeding noted on CT without clinical consequences</w:t>
            </w:r>
          </w:p>
        </w:tc>
      </w:tr>
      <w:tr w:rsidR="00D56B32" w:rsidRPr="001A6628" w14:paraId="45F9141D" w14:textId="77777777" w:rsidTr="00AC39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2" w:type="dxa"/>
            <w:gridSpan w:val="2"/>
            <w:tcBorders>
              <w:top w:val="single" w:sz="4" w:space="0" w:color="auto"/>
              <w:left w:val="single" w:sz="4" w:space="0" w:color="auto"/>
              <w:bottom w:val="nil"/>
              <w:right w:val="single" w:sz="4" w:space="0" w:color="auto"/>
            </w:tcBorders>
            <w:shd w:val="clear" w:color="auto" w:fill="auto"/>
          </w:tcPr>
          <w:p w14:paraId="64F27ED8" w14:textId="77777777" w:rsidR="00D56B32" w:rsidRPr="001A6628" w:rsidRDefault="00D56B32" w:rsidP="00D56B32">
            <w:pPr>
              <w:pStyle w:val="Normalweb"/>
              <w:spacing w:line="276" w:lineRule="auto"/>
              <w:rPr>
                <w:rFonts w:ascii="Arial" w:hAnsi="Arial" w:cs="Arial"/>
                <w:color w:val="auto"/>
                <w:sz w:val="18"/>
                <w:szCs w:val="18"/>
                <w:lang w:val="en-GB"/>
              </w:rPr>
            </w:pPr>
            <w:r w:rsidRPr="001A6628">
              <w:rPr>
                <w:rFonts w:ascii="Arial" w:hAnsi="Arial" w:cs="Arial"/>
                <w:color w:val="auto"/>
                <w:sz w:val="18"/>
                <w:szCs w:val="18"/>
                <w:lang w:val="en-GB"/>
              </w:rPr>
              <w:t>Grade 3: Severe Blood Loss</w:t>
            </w:r>
          </w:p>
        </w:tc>
      </w:tr>
      <w:tr w:rsidR="00D56B32" w:rsidRPr="00BD524F" w14:paraId="49941626" w14:textId="77777777" w:rsidTr="00AC3924">
        <w:tc>
          <w:tcPr>
            <w:cnfStyle w:val="001000000000" w:firstRow="0" w:lastRow="0" w:firstColumn="1" w:lastColumn="0" w:oddVBand="0" w:evenVBand="0" w:oddHBand="0" w:evenHBand="0" w:firstRowFirstColumn="0" w:firstRowLastColumn="0" w:lastRowFirstColumn="0" w:lastRowLastColumn="0"/>
            <w:tcW w:w="534" w:type="dxa"/>
            <w:tcBorders>
              <w:top w:val="nil"/>
              <w:left w:val="single" w:sz="4" w:space="0" w:color="auto"/>
              <w:bottom w:val="single" w:sz="4" w:space="0" w:color="auto"/>
            </w:tcBorders>
            <w:shd w:val="clear" w:color="auto" w:fill="auto"/>
          </w:tcPr>
          <w:p w14:paraId="7F8568BC" w14:textId="77777777" w:rsidR="00D56B32" w:rsidRPr="001A6628" w:rsidRDefault="00D56B32" w:rsidP="00D56B32">
            <w:pPr>
              <w:pStyle w:val="Normalweb"/>
              <w:spacing w:line="276" w:lineRule="auto"/>
              <w:rPr>
                <w:rFonts w:ascii="Arial" w:hAnsi="Arial" w:cs="Arial"/>
                <w:color w:val="auto"/>
                <w:sz w:val="18"/>
                <w:szCs w:val="18"/>
                <w:lang w:val="en-GB"/>
              </w:rPr>
            </w:pPr>
          </w:p>
        </w:tc>
        <w:tc>
          <w:tcPr>
            <w:tcW w:w="9238" w:type="dxa"/>
            <w:tcBorders>
              <w:top w:val="nil"/>
              <w:bottom w:val="single" w:sz="4" w:space="0" w:color="auto"/>
              <w:right w:val="single" w:sz="4" w:space="0" w:color="auto"/>
            </w:tcBorders>
            <w:shd w:val="clear" w:color="auto" w:fill="auto"/>
          </w:tcPr>
          <w:p w14:paraId="3C0FEA16" w14:textId="77777777" w:rsidR="00D56B32" w:rsidRPr="001A6628" w:rsidRDefault="00D56B32" w:rsidP="00D56B32">
            <w:pPr>
              <w:pStyle w:val="Normalweb"/>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en-GB"/>
              </w:rPr>
            </w:pPr>
            <w:r w:rsidRPr="001A6628">
              <w:rPr>
                <w:rFonts w:ascii="Arial" w:hAnsi="Arial" w:cs="Arial"/>
                <w:color w:val="auto"/>
                <w:sz w:val="18"/>
                <w:szCs w:val="18"/>
                <w:lang w:val="en-GB"/>
              </w:rPr>
              <w:t>Melena, hematemesis, haemoptysis, haematuria, haematochezia, abnormal vaginal bleeding, epistaxis and oropharyngeal bleeding and bleeding from invasive site, requiring RBC transfusion</w:t>
            </w:r>
          </w:p>
        </w:tc>
      </w:tr>
      <w:tr w:rsidR="00D56B32" w:rsidRPr="001A6628" w14:paraId="349175EB" w14:textId="77777777" w:rsidTr="00AC39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2" w:type="dxa"/>
            <w:gridSpan w:val="2"/>
            <w:tcBorders>
              <w:top w:val="single" w:sz="4" w:space="0" w:color="auto"/>
              <w:left w:val="single" w:sz="4" w:space="0" w:color="auto"/>
              <w:bottom w:val="nil"/>
              <w:right w:val="single" w:sz="4" w:space="0" w:color="auto"/>
            </w:tcBorders>
            <w:shd w:val="clear" w:color="auto" w:fill="auto"/>
          </w:tcPr>
          <w:p w14:paraId="51228692" w14:textId="77777777" w:rsidR="00D56B32" w:rsidRPr="001A6628" w:rsidRDefault="00D56B32" w:rsidP="00D56B32">
            <w:pPr>
              <w:pStyle w:val="Normalweb"/>
              <w:spacing w:line="276" w:lineRule="auto"/>
              <w:rPr>
                <w:rFonts w:ascii="Arial" w:hAnsi="Arial" w:cs="Arial"/>
                <w:color w:val="auto"/>
                <w:sz w:val="18"/>
                <w:szCs w:val="18"/>
                <w:lang w:val="en-GB"/>
              </w:rPr>
            </w:pPr>
            <w:r w:rsidRPr="001A6628">
              <w:rPr>
                <w:rFonts w:ascii="Arial" w:hAnsi="Arial" w:cs="Arial"/>
                <w:color w:val="auto"/>
                <w:sz w:val="18"/>
                <w:szCs w:val="18"/>
                <w:lang w:val="en-GB"/>
              </w:rPr>
              <w:t>Grade 4: Debilitating Blood Loss</w:t>
            </w:r>
            <w:r w:rsidRPr="001A6628">
              <w:rPr>
                <w:rFonts w:ascii="Arial" w:hAnsi="Arial" w:cs="Arial"/>
                <w:b w:val="0"/>
                <w:color w:val="auto"/>
                <w:sz w:val="18"/>
                <w:szCs w:val="18"/>
                <w:lang w:val="en-GB"/>
              </w:rPr>
              <w:t xml:space="preserve"> </w:t>
            </w:r>
            <w:r w:rsidRPr="001A6628">
              <w:rPr>
                <w:rFonts w:ascii="Arial" w:hAnsi="Arial" w:cs="Arial"/>
                <w:b w:val="0"/>
                <w:color w:val="auto"/>
                <w:sz w:val="18"/>
                <w:szCs w:val="18"/>
                <w:vertAlign w:val="superscript"/>
                <w:lang w:val="en-GB"/>
              </w:rPr>
              <w:t>b)</w:t>
            </w:r>
          </w:p>
        </w:tc>
      </w:tr>
      <w:tr w:rsidR="00D56B32" w:rsidRPr="00BD524F" w14:paraId="32459347" w14:textId="77777777" w:rsidTr="00AC3924">
        <w:tc>
          <w:tcPr>
            <w:cnfStyle w:val="001000000000" w:firstRow="0" w:lastRow="0" w:firstColumn="1" w:lastColumn="0" w:oddVBand="0" w:evenVBand="0" w:oddHBand="0" w:evenHBand="0" w:firstRowFirstColumn="0" w:firstRowLastColumn="0" w:lastRowFirstColumn="0" w:lastRowLastColumn="0"/>
            <w:tcW w:w="534" w:type="dxa"/>
            <w:tcBorders>
              <w:top w:val="nil"/>
              <w:left w:val="single" w:sz="4" w:space="0" w:color="auto"/>
              <w:bottom w:val="single" w:sz="4" w:space="0" w:color="auto"/>
            </w:tcBorders>
            <w:shd w:val="clear" w:color="auto" w:fill="auto"/>
          </w:tcPr>
          <w:p w14:paraId="4B657AE8" w14:textId="77777777" w:rsidR="00D56B32" w:rsidRPr="001A6628" w:rsidRDefault="00D56B32" w:rsidP="00D56B32">
            <w:pPr>
              <w:pStyle w:val="Normalweb"/>
              <w:spacing w:line="276" w:lineRule="auto"/>
              <w:rPr>
                <w:rFonts w:ascii="Arial" w:hAnsi="Arial" w:cs="Arial"/>
                <w:color w:val="auto"/>
                <w:sz w:val="18"/>
                <w:szCs w:val="18"/>
                <w:lang w:val="en-GB"/>
              </w:rPr>
            </w:pPr>
          </w:p>
        </w:tc>
        <w:tc>
          <w:tcPr>
            <w:tcW w:w="9238" w:type="dxa"/>
            <w:tcBorders>
              <w:top w:val="nil"/>
              <w:bottom w:val="single" w:sz="4" w:space="0" w:color="auto"/>
              <w:right w:val="single" w:sz="4" w:space="0" w:color="auto"/>
            </w:tcBorders>
            <w:shd w:val="clear" w:color="auto" w:fill="auto"/>
          </w:tcPr>
          <w:p w14:paraId="0F28FB83" w14:textId="77777777" w:rsidR="00D56B32" w:rsidRPr="001A6628" w:rsidRDefault="00D56B32" w:rsidP="00D56B32">
            <w:pPr>
              <w:pStyle w:val="Normalweb"/>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en-GB"/>
              </w:rPr>
            </w:pPr>
            <w:r w:rsidRPr="001A6628">
              <w:rPr>
                <w:rFonts w:ascii="Arial" w:hAnsi="Arial" w:cs="Arial"/>
                <w:color w:val="auto"/>
                <w:sz w:val="18"/>
                <w:szCs w:val="18"/>
                <w:lang w:val="en-GB"/>
              </w:rPr>
              <w:t>Debilitating bleeding including retinal bleeding with visual impairment, non-fatal bleeding with neurological signs and symptoms, bleeding associated with hemodynamic instability and fatal bleeding from any source</w:t>
            </w:r>
          </w:p>
        </w:tc>
      </w:tr>
    </w:tbl>
    <w:p w14:paraId="322FD798" w14:textId="77777777" w:rsidR="00D56B32" w:rsidRPr="001A6628" w:rsidRDefault="00D56B32" w:rsidP="00D56B32">
      <w:pPr>
        <w:rPr>
          <w:rFonts w:ascii="Arial" w:hAnsi="Arial" w:cs="Arial"/>
          <w:sz w:val="18"/>
          <w:szCs w:val="18"/>
          <w:lang w:val="en-GB"/>
        </w:rPr>
      </w:pPr>
      <w:r w:rsidRPr="001A6628">
        <w:rPr>
          <w:rFonts w:ascii="Arial" w:hAnsi="Arial" w:cs="Arial"/>
          <w:sz w:val="18"/>
          <w:szCs w:val="18"/>
          <w:lang w:val="en-GB"/>
        </w:rPr>
        <w:t xml:space="preserve">Abbreviations: </w:t>
      </w:r>
      <w:r w:rsidRPr="001A6628">
        <w:rPr>
          <w:rFonts w:ascii="Arial" w:hAnsi="Arial" w:cs="Arial"/>
          <w:b/>
          <w:i/>
          <w:sz w:val="18"/>
          <w:szCs w:val="18"/>
          <w:lang w:val="en-GB"/>
        </w:rPr>
        <w:t>CNS</w:t>
      </w:r>
      <w:r w:rsidRPr="001A6628">
        <w:rPr>
          <w:rFonts w:ascii="Arial" w:hAnsi="Arial" w:cs="Arial"/>
          <w:b/>
          <w:sz w:val="18"/>
          <w:szCs w:val="18"/>
          <w:lang w:val="en-GB"/>
        </w:rPr>
        <w:t>:</w:t>
      </w:r>
      <w:r w:rsidRPr="001A6628">
        <w:rPr>
          <w:rFonts w:ascii="Arial" w:hAnsi="Arial" w:cs="Arial"/>
          <w:sz w:val="18"/>
          <w:szCs w:val="18"/>
          <w:lang w:val="en-GB"/>
        </w:rPr>
        <w:t xml:space="preserve"> central nervous system; </w:t>
      </w:r>
      <w:r w:rsidRPr="001A6628">
        <w:rPr>
          <w:rFonts w:ascii="Arial" w:hAnsi="Arial" w:cs="Arial"/>
          <w:b/>
          <w:sz w:val="18"/>
          <w:szCs w:val="18"/>
          <w:lang w:val="en-GB"/>
        </w:rPr>
        <w:t>RBC</w:t>
      </w:r>
      <w:r w:rsidRPr="001A6628">
        <w:rPr>
          <w:rFonts w:ascii="Arial" w:hAnsi="Arial" w:cs="Arial"/>
          <w:sz w:val="18"/>
          <w:szCs w:val="18"/>
          <w:lang w:val="en-GB"/>
        </w:rPr>
        <w:t>: red blood cells.</w:t>
      </w:r>
    </w:p>
    <w:p w14:paraId="706EC306" w14:textId="77777777" w:rsidR="00D56B32" w:rsidRPr="001A6628" w:rsidRDefault="00D56B32" w:rsidP="00D56B32">
      <w:pPr>
        <w:rPr>
          <w:rFonts w:ascii="Arial" w:hAnsi="Arial" w:cs="Arial"/>
          <w:sz w:val="18"/>
          <w:szCs w:val="18"/>
          <w:lang w:val="en-GB"/>
        </w:rPr>
      </w:pPr>
      <w:r w:rsidRPr="001A6628">
        <w:rPr>
          <w:rFonts w:ascii="Arial" w:hAnsi="Arial" w:cs="Arial"/>
          <w:sz w:val="18"/>
          <w:szCs w:val="18"/>
          <w:vertAlign w:val="superscript"/>
          <w:lang w:val="en-GB"/>
        </w:rPr>
        <w:t>a)</w:t>
      </w:r>
      <w:r w:rsidRPr="001A6628">
        <w:rPr>
          <w:rFonts w:ascii="Arial" w:hAnsi="Arial" w:cs="Arial"/>
          <w:sz w:val="18"/>
          <w:szCs w:val="18"/>
          <w:lang w:val="en-GB"/>
        </w:rPr>
        <w:t xml:space="preserve"> We used the specific descriptors for each grade of bleeding as previously described by Heddle et al. </w:t>
      </w:r>
      <w:r>
        <w:rPr>
          <w:rFonts w:ascii="Arial" w:hAnsi="Arial" w:cs="Arial"/>
          <w:sz w:val="18"/>
          <w:szCs w:val="18"/>
          <w:lang w:val="en-GB"/>
        </w:rPr>
        <w:t>Blood</w:t>
      </w:r>
      <w:r w:rsidRPr="001A6628">
        <w:rPr>
          <w:rFonts w:ascii="Arial" w:hAnsi="Arial" w:cs="Arial"/>
          <w:sz w:val="18"/>
          <w:szCs w:val="18"/>
          <w:lang w:val="en-GB"/>
        </w:rPr>
        <w:t xml:space="preserve"> 2009</w:t>
      </w:r>
      <w:r w:rsidRPr="001A6628">
        <w:rPr>
          <w:rFonts w:ascii="Arial" w:hAnsi="Arial" w:cs="Arial"/>
          <w:sz w:val="18"/>
          <w:szCs w:val="18"/>
          <w:lang w:val="en-GB"/>
        </w:rPr>
        <w:fldChar w:fldCharType="begin" w:fldLock="1"/>
      </w:r>
      <w:r>
        <w:rPr>
          <w:rFonts w:ascii="Arial" w:hAnsi="Arial" w:cs="Arial"/>
          <w:sz w:val="18"/>
          <w:szCs w:val="18"/>
          <w:lang w:val="en-GB"/>
        </w:rPr>
        <w:instrText>ADDIN CSL_CITATION { "citationItems" : [ { "id" : "ITEM-1", "itemData" : { "DOI" : "10.1182/blood-2008-09-178236.The", "author" : [ { "dropping-particle" : "", "family" : "Heddle", "given" : "Nancy M", "non-dropping-particle" : "", "parse-names" : false, "suffix" : "" }, { "dropping-particle" : "", "family" : "Cook", "given" : "Richard J", "non-dropping-particle" : "", "parse-names" : false, "suffix" : "" }, { "dropping-particle" : "", "family" : "Tinmouth", "given" : "Alan", "non-dropping-particle" : "", "parse-names" : false, "suffix" : "" }, { "dropping-particle" : "", "family" : "Kouroukis", "given" : "Tom C", "non-dropping-particle" : "", "parse-names" : false, "suffix" : "" }, { "dropping-particle" : "", "family" : "Hervig", "given" : "Tor", "non-dropping-particle" : "", "parse-names" : false, "suffix" : "" }, { "dropping-particle" : "", "family" : "Klapper", "given" : "Ellen", "non-dropping-particle" : "", "parse-names" : false, "suffix" : "" }, { "dropping-particle" : "", "family" : "Brandwein", "given" : "Joseph M", "non-dropping-particle" : "", "parse-names" : false, "suffix" : "" }, { "dropping-particle" : "", "family" : "Szczepiorkowski", "given" : "Zbigniew M", "non-dropping-particle" : "", "parse-names" : false, "suffix" : "" }, { "dropping-particle" : "", "family" : "AuBuchon", "given" : "James P", "non-dropping-particle" : "", "parse-names" : false, "suffix" : "" }, { "dropping-particle" : "", "family" : "Barty", "given" : "Rebecca L", "non-dropping-particle" : "", "parse-names" : false, "suffix" : "" }, { "dropping-particle" : "", "family" : "Lee", "given" : "Ker-Ai", "non-dropping-particle" : "", "parse-names" : false, "suffix" : "" } ], "container-title" : "Blood", "id" : "ITEM-1", "issue" : "7", "issued" : { "date-parts" : [ [ "2009" ] ] }, "page" : "1564-1573", "title" : "A randomized controlled trial comparing standard- and low dose strategies for transfusion of platelets (SToP) to patients with thrombocytopenia.", "type" : "article-journal", "volume" : "113" }, "uris" : [ "http://www.mendeley.com/documents/?uuid=a59f9934-6e83-41ed-b8bb-ec535d2a9e5f" ] } ], "mendeley" : { "formattedCitation" : "&lt;sup&gt;20&lt;/sup&gt;", "plainTextFormattedCitation" : "20", "previouslyFormattedCitation" : "&lt;sup&gt;20&lt;/sup&gt;" }, "properties" : { "noteIndex" : 22 }, "schema" : "https://github.com/citation-style-language/schema/raw/master/csl-citation.json" }</w:instrText>
      </w:r>
      <w:r w:rsidRPr="001A6628">
        <w:rPr>
          <w:rFonts w:ascii="Arial" w:hAnsi="Arial" w:cs="Arial"/>
          <w:sz w:val="18"/>
          <w:szCs w:val="18"/>
          <w:lang w:val="en-GB"/>
        </w:rPr>
        <w:fldChar w:fldCharType="separate"/>
      </w:r>
      <w:r w:rsidRPr="00E25A49">
        <w:rPr>
          <w:rFonts w:ascii="Arial" w:hAnsi="Arial" w:cs="Arial"/>
          <w:noProof/>
          <w:sz w:val="18"/>
          <w:szCs w:val="18"/>
          <w:vertAlign w:val="superscript"/>
          <w:lang w:val="en-GB"/>
        </w:rPr>
        <w:t>20</w:t>
      </w:r>
      <w:r w:rsidRPr="001A6628">
        <w:rPr>
          <w:rFonts w:ascii="Arial" w:hAnsi="Arial" w:cs="Arial"/>
          <w:sz w:val="18"/>
          <w:szCs w:val="18"/>
          <w:lang w:val="en-GB"/>
        </w:rPr>
        <w:fldChar w:fldCharType="end"/>
      </w:r>
    </w:p>
    <w:p w14:paraId="643CB118" w14:textId="77777777" w:rsidR="00D56B32" w:rsidRPr="001A6628" w:rsidRDefault="00D56B32" w:rsidP="00D56B32">
      <w:pPr>
        <w:rPr>
          <w:rFonts w:ascii="Arial" w:hAnsi="Arial" w:cs="Arial"/>
          <w:sz w:val="18"/>
          <w:szCs w:val="18"/>
          <w:lang w:val="en-GB"/>
        </w:rPr>
      </w:pPr>
      <w:r w:rsidRPr="001A6628">
        <w:rPr>
          <w:rFonts w:ascii="Arial" w:hAnsi="Arial" w:cs="Arial"/>
          <w:sz w:val="18"/>
          <w:szCs w:val="18"/>
          <w:lang w:val="en-GB"/>
        </w:rPr>
        <w:t>b) We included ‘Bleedings associated with haemodynamic instability’ as a grade 4 bleeding as described by Stanworth et al. NEJM 2013</w:t>
      </w:r>
      <w:r w:rsidRPr="001A6628">
        <w:rPr>
          <w:rFonts w:ascii="Arial" w:hAnsi="Arial" w:cs="Arial"/>
          <w:sz w:val="18"/>
          <w:szCs w:val="18"/>
          <w:lang w:val="en-GB"/>
        </w:rPr>
        <w:fldChar w:fldCharType="begin" w:fldLock="1"/>
      </w:r>
      <w:r>
        <w:rPr>
          <w:rFonts w:ascii="Arial" w:hAnsi="Arial" w:cs="Arial"/>
          <w:sz w:val="18"/>
          <w:szCs w:val="18"/>
          <w:lang w:val="en-GB"/>
        </w:rPr>
        <w:instrText>ADDIN CSL_CITATION { "citationItems" : [ { "id" : "ITEM-1", "itemData" : { "DOI" : "10.1056/NEJMoa1212772", "ISSN" : "1533-4406", "PMID" : "23656642", "abstract" : "BACKGROUND: The effectiveness of platelet transfusions to prevent bleeding in patients with hematologic cancers remains unclear. This trial assessed whether a policy of not giving prophylactic platelet transfusions was as effective and safe as a policy of providing prophylaxis.\n\nMETHODS: We conducted this randomized, open-label, noninferiority trial at 14 centers in the United Kingdom and Australia. Patients were randomly assigned to receive, or not to receive, prophylactic platelet transfusions when morning platelet counts were less than 10\u00d710(9) per liter. Eligible patients were persons 16 years of age or older who were receiving chemotherapy or undergoing stem-cell transplantation and who had or were expected to have thrombocytopenia. The primary end point was bleeding of World Health Organization (WHO) grade 2, 3, or 4 up to 30 days after randomization.\n\nRESULTS: A total of 600 patients (301 in the no-prophylaxis group and 299 in the prophylaxis group) underwent randomization between 2006 and 2011. Bleeding of WHO grade 2, 3, or 4 occurred in 151 of 300 patients (50%) in the no-prophylaxis group, as compared with 128 of 298 (43%) in the prophylaxis group (adjusted difference in proportions, 8.4 percentage points; 90% confidence interval, 1.7 to 15.2; P=0.06 for noninferiority). Patients in the no-prophylaxis group had more days with bleeding and a shorter time to the first bleeding episode than did patients in the prophylaxis group. Platelet use was markedly reduced in the no-prophylaxis group. A prespecified subgroup analysis identified similar rates of bleeding in the two study groups among patients undergoing autologous stem-cell transplantation.\n\nCONCLUSIONS: The results of our study support the need for the continued use of prophylaxis with platelet transfusion and show the benefit of such prophylaxis for reducing bleeding, as compared with no prophylaxis. A significant number of patients had bleeding despite prophylaxis. (Funded by the National Health Service Blood and Transplant Research and Development Committee and the Australian Red Cross Blood Service; TOPPS Controlled-Trials.com number, ISRCTN08758735.).", "author" : [ { "dropping-particle" : "", "family" : "Stanworth", "given" : "Simon J", "non-dropping-particle" : "", "parse-names" : false, "suffix" : "" }, { "dropping-particle" : "", "family" : "Estcourt", "given" : "Lise J", "non-dropping-particle" : "", "parse-names" : false, "suffix" : "" }, { "dropping-particle" : "", "family" : "Powter", "given" : "Gillian", "non-dropping-particle" : "", "parse-names" : false, "suffix" : "" }, { "dropping-particle" : "", "family" : "Kahan", "given" : "Brennan C", "non-dropping-particle" : "", "parse-names" : false, "suffix" : "" }, { "dropping-particle" : "", "family" : "Dyer", "given" : "Claire", "non-dropping-particle" : "", "parse-names" : false, "suffix" : "" }, { "dropping-particle" : "", "family" : "Choo", "given" : "Louise", "non-dropping-particle" : "", "parse-names" : false, "suffix" : "" }, { "dropping-particle" : "", "family" : "Bakrania", "given" : "Lekha", "non-dropping-particle" : "", "parse-names" : false, "suffix" : "" }, { "dropping-particle" : "", "family" : "Llewelyn", "given" : "Charlotte", "non-dropping-particle" : "", "parse-names" : false, "suffix" : "" }, { "dropping-particle" : "", "family" : "Littlewood", "given" : "Timothy", "non-dropping-particle" : "", "parse-names" : false, "suffix" : "" }, { "dropping-particle" : "", "family" : "Soutar", "given" : "Richard", "non-dropping-particle" : "", "parse-names" : false, "suffix" : "" }, { "dropping-particle" : "", "family" : "Norfolk", "given" : "Derek", "non-dropping-particle" : "", "parse-names" : false, "suffix" : "" }, { "dropping-particle" : "", "family" : "Copplestone", "given" : "Adrian", "non-dropping-particle" : "", "parse-names" : false, "suffix" : "" }, { "dropping-particle" : "", "family" : "Smith", "given" : "Neil", "non-dropping-particle" : "", "parse-names" : false, "suffix" : "" }, { "dropping-particle" : "", "family" : "Kerr", "given" : "Paul", "non-dropping-particle" : "", "parse-names" : false, "suffix" : "" }, { "dropping-particle" : "", "family" : "Jones", "given" : "Gail", "non-dropping-particle" : "", "parse-names" : false, "suffix" : "" }, { "dropping-particle" : "", "family" : "Raj", "given" : "Kavita", "non-dropping-particle" : "", "parse-names" : false, "suffix" : "" }, { "dropping-particle" : "", "family" : "Westerman", "given" : "David a", "non-dropping-particle" : "", "parse-names" : false, "suffix" : "" }, { "dropping-particle" : "", "family" : "Szer", "given" : "Jeffrey", "non-dropping-particle" : "", "parse-names" : false, "suffix" : "" }, { "dropping-particle" : "", "family" : "Jackson", "given" : "Nicholas", "non-dropping-particle" : "", "parse-names" : false, "suffix" : "" }, { "dropping-particle" : "", "family" : "Bardy", "given" : "Peter G", "non-dropping-particle" : "", "parse-names" : false, "suffix" : "" }, { "dropping-particle" : "", "family" : "Plews", "given" : "Dianne", "non-dropping-particle" : "", "parse-names" : false, "suffix" : "" }, { "dropping-particle" : "", "family" : "Lyons", "given" : "Simon", "non-dropping-particle" : "", "parse-names" : false, "suffix" : "" }, { "dropping-particle" : "", "family" : "Bielby", "given" : "Linley", "non-dropping-particle" : "", "parse-names" : false, "suffix" : "" }, { "dropping-particle" : "", "family" : "Wood", "given" : "Erica M", "non-dropping-particle" : "", "parse-names" : false, "suffix" : "" }, { "dropping-particle" : "", "family" : "Murphy", "given" : "Michael F", "non-dropping-particle" : "", "parse-names" : false, "suffix" : "" } ], "container-title" : "The New England journal of medicine", "id" : "ITEM-1", "issue" : "19", "issued" : { "date-parts" : [ [ "2013", "5", "9" ] ] }, "page" : "1771-80", "title" : "A no-prophylaxis platelet-transfusion strategy for hematologic cancers.", "type" : "article-journal", "volume" : "368" }, "uris" : [ "http://www.mendeley.com/documents/?uuid=b3eb5c22-db4a-4c76-bf67-24ed60fa4a56" ] } ], "mendeley" : { "formattedCitation" : "&lt;sup&gt;10&lt;/sup&gt;", "plainTextFormattedCitation" : "10", "previouslyFormattedCitation" : "&lt;sup&gt;10&lt;/sup&gt;" }, "properties" : { "noteIndex" : 22 }, "schema" : "https://github.com/citation-style-language/schema/raw/master/csl-citation.json" }</w:instrText>
      </w:r>
      <w:r w:rsidRPr="001A6628">
        <w:rPr>
          <w:rFonts w:ascii="Arial" w:hAnsi="Arial" w:cs="Arial"/>
          <w:sz w:val="18"/>
          <w:szCs w:val="18"/>
          <w:lang w:val="en-GB"/>
        </w:rPr>
        <w:fldChar w:fldCharType="separate"/>
      </w:r>
      <w:r w:rsidRPr="0010104B">
        <w:rPr>
          <w:rFonts w:ascii="Arial" w:hAnsi="Arial" w:cs="Arial"/>
          <w:noProof/>
          <w:sz w:val="18"/>
          <w:szCs w:val="18"/>
          <w:vertAlign w:val="superscript"/>
          <w:lang w:val="en-GB"/>
        </w:rPr>
        <w:t>10</w:t>
      </w:r>
      <w:r w:rsidRPr="001A6628">
        <w:rPr>
          <w:rFonts w:ascii="Arial" w:hAnsi="Arial" w:cs="Arial"/>
          <w:sz w:val="18"/>
          <w:szCs w:val="18"/>
          <w:lang w:val="en-GB"/>
        </w:rPr>
        <w:fldChar w:fldCharType="end"/>
      </w:r>
    </w:p>
    <w:bookmarkEnd w:id="0"/>
    <w:p w14:paraId="0762BF90" w14:textId="77777777" w:rsidR="00D56B32" w:rsidRPr="003C0F89" w:rsidRDefault="00D56B32" w:rsidP="00D56B32">
      <w:pPr>
        <w:widowControl w:val="0"/>
        <w:autoSpaceDE w:val="0"/>
        <w:autoSpaceDN w:val="0"/>
        <w:adjustRightInd w:val="0"/>
        <w:spacing w:line="480" w:lineRule="auto"/>
        <w:ind w:left="640" w:hanging="640"/>
        <w:rPr>
          <w:rFonts w:ascii="Arial" w:hAnsi="Arial" w:cs="Arial"/>
          <w:sz w:val="22"/>
          <w:szCs w:val="22"/>
          <w:lang w:val="en-GB"/>
        </w:rPr>
      </w:pPr>
    </w:p>
    <w:p w14:paraId="725BA29E" w14:textId="77777777" w:rsidR="004A5274" w:rsidRDefault="004A5274"/>
    <w:sectPr w:rsidR="004A5274" w:rsidSect="004A5274">
      <w:footerReference w:type="even" r:id="rId5"/>
      <w:footerReference w:type="default" r:id="rId6"/>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7A8727" w14:textId="77777777" w:rsidR="00AF2BBA" w:rsidRDefault="00D56B32" w:rsidP="00B203F2">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end"/>
    </w:r>
  </w:p>
  <w:p w14:paraId="379FB178" w14:textId="77777777" w:rsidR="00AF2BBA" w:rsidRDefault="00D56B32" w:rsidP="00B203F2">
    <w:pPr>
      <w:pStyle w:val="Sidefod"/>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ECBA49" w14:textId="77777777" w:rsidR="00AF2BBA" w:rsidRDefault="00D56B32" w:rsidP="00B203F2">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Pr>
        <w:rStyle w:val="Sidetal"/>
        <w:noProof/>
      </w:rPr>
      <w:t>1</w:t>
    </w:r>
    <w:r>
      <w:rPr>
        <w:rStyle w:val="Sidetal"/>
      </w:rPr>
      <w:fldChar w:fldCharType="end"/>
    </w:r>
  </w:p>
  <w:p w14:paraId="1CB33D6A" w14:textId="77777777" w:rsidR="00AF2BBA" w:rsidRDefault="00D56B32" w:rsidP="00B203F2">
    <w:pPr>
      <w:pStyle w:val="Sidefod"/>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1304"/>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1E3"/>
    <w:rsid w:val="004A5274"/>
    <w:rsid w:val="006E11E3"/>
    <w:rsid w:val="00D56B32"/>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0F0466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B32"/>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unhideWhenUsed/>
    <w:rsid w:val="00D56B32"/>
    <w:pPr>
      <w:spacing w:before="100" w:beforeAutospacing="1" w:after="100" w:afterAutospacing="1"/>
    </w:pPr>
    <w:rPr>
      <w:rFonts w:ascii="Times" w:hAnsi="Times" w:cs="Times New Roman"/>
      <w:sz w:val="20"/>
      <w:szCs w:val="20"/>
    </w:rPr>
  </w:style>
  <w:style w:type="table" w:styleId="Lysskygge">
    <w:name w:val="Light Shading"/>
    <w:basedOn w:val="Tabel-Normal"/>
    <w:uiPriority w:val="60"/>
    <w:rsid w:val="00D56B32"/>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Sidefod">
    <w:name w:val="footer"/>
    <w:basedOn w:val="Normal"/>
    <w:link w:val="SidefodTegn"/>
    <w:uiPriority w:val="99"/>
    <w:unhideWhenUsed/>
    <w:rsid w:val="00D56B32"/>
    <w:pPr>
      <w:tabs>
        <w:tab w:val="center" w:pos="4819"/>
        <w:tab w:val="right" w:pos="9638"/>
      </w:tabs>
    </w:pPr>
  </w:style>
  <w:style w:type="character" w:customStyle="1" w:styleId="SidefodTegn">
    <w:name w:val="Sidefod Tegn"/>
    <w:basedOn w:val="Standardskrifttypeiafsnit"/>
    <w:link w:val="Sidefod"/>
    <w:uiPriority w:val="99"/>
    <w:rsid w:val="00D56B32"/>
  </w:style>
  <w:style w:type="character" w:styleId="Sidetal">
    <w:name w:val="page number"/>
    <w:basedOn w:val="Standardskrifttypeiafsnit"/>
    <w:uiPriority w:val="99"/>
    <w:semiHidden/>
    <w:unhideWhenUsed/>
    <w:rsid w:val="00D56B3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B32"/>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unhideWhenUsed/>
    <w:rsid w:val="00D56B32"/>
    <w:pPr>
      <w:spacing w:before="100" w:beforeAutospacing="1" w:after="100" w:afterAutospacing="1"/>
    </w:pPr>
    <w:rPr>
      <w:rFonts w:ascii="Times" w:hAnsi="Times" w:cs="Times New Roman"/>
      <w:sz w:val="20"/>
      <w:szCs w:val="20"/>
    </w:rPr>
  </w:style>
  <w:style w:type="table" w:styleId="Lysskygge">
    <w:name w:val="Light Shading"/>
    <w:basedOn w:val="Tabel-Normal"/>
    <w:uiPriority w:val="60"/>
    <w:rsid w:val="00D56B32"/>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Sidefod">
    <w:name w:val="footer"/>
    <w:basedOn w:val="Normal"/>
    <w:link w:val="SidefodTegn"/>
    <w:uiPriority w:val="99"/>
    <w:unhideWhenUsed/>
    <w:rsid w:val="00D56B32"/>
    <w:pPr>
      <w:tabs>
        <w:tab w:val="center" w:pos="4819"/>
        <w:tab w:val="right" w:pos="9638"/>
      </w:tabs>
    </w:pPr>
  </w:style>
  <w:style w:type="character" w:customStyle="1" w:styleId="SidefodTegn">
    <w:name w:val="Sidefod Tegn"/>
    <w:basedOn w:val="Standardskrifttypeiafsnit"/>
    <w:link w:val="Sidefod"/>
    <w:uiPriority w:val="99"/>
    <w:rsid w:val="00D56B32"/>
  </w:style>
  <w:style w:type="character" w:styleId="Sidetal">
    <w:name w:val="page number"/>
    <w:basedOn w:val="Standardskrifttypeiafsnit"/>
    <w:uiPriority w:val="99"/>
    <w:semiHidden/>
    <w:unhideWhenUsed/>
    <w:rsid w:val="00D56B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1471</Words>
  <Characters>8976</Characters>
  <Application>Microsoft Macintosh Word</Application>
  <DocSecurity>0</DocSecurity>
  <Lines>74</Lines>
  <Paragraphs>20</Paragraphs>
  <ScaleCrop>false</ScaleCrop>
  <Company/>
  <LinksUpToDate>false</LinksUpToDate>
  <CharactersWithSpaces>10427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Lene Russell</dc:creator>
  <cp:keywords/>
  <dc:description/>
  <cp:lastModifiedBy>Lene Russell</cp:lastModifiedBy>
  <cp:revision>2</cp:revision>
  <dcterms:created xsi:type="dcterms:W3CDTF">2017-11-13T20:51:00Z</dcterms:created>
  <dcterms:modified xsi:type="dcterms:W3CDTF">2017-11-13T20:52:00Z</dcterms:modified>
</cp:coreProperties>
</file>