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37" w:rsidRPr="003640A1" w:rsidRDefault="00F31337" w:rsidP="00F31337">
      <w:pPr>
        <w:spacing w:line="48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color w:val="000000"/>
          <w:sz w:val="20"/>
          <w:szCs w:val="20"/>
          <w:lang w:val="en-US"/>
        </w:rPr>
        <w:t>Additional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Table </w:t>
      </w:r>
      <w:proofErr w:type="spellStart"/>
      <w:r w:rsidR="00483FA3">
        <w:rPr>
          <w:rFonts w:ascii="Arial" w:hAnsi="Arial" w:cs="Arial"/>
          <w:b/>
          <w:color w:val="000000"/>
          <w:sz w:val="20"/>
          <w:szCs w:val="20"/>
          <w:lang w:val="en-US"/>
        </w:rPr>
        <w:t>S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>2</w:t>
      </w:r>
      <w:proofErr w:type="spellEnd"/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proofErr w:type="gramEnd"/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Univariate analysis of variables associated with mortality in the overall population of patients treated with noninvasive ventilation for </w:t>
      </w:r>
      <w:r w:rsidRPr="003640A1">
        <w:rPr>
          <w:rFonts w:ascii="Arial" w:hAnsi="Arial" w:cs="Arial"/>
          <w:b/>
          <w:i/>
          <w:color w:val="000000"/>
          <w:sz w:val="20"/>
          <w:szCs w:val="20"/>
          <w:lang w:val="en-US"/>
        </w:rPr>
        <w:t>de novo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acute hypoxemic respiratory failure.</w:t>
      </w:r>
    </w:p>
    <w:p w:rsidR="00F31337" w:rsidRPr="003640A1" w:rsidRDefault="00F31337" w:rsidP="00F31337">
      <w:pPr>
        <w:spacing w:line="48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tbl>
      <w:tblPr>
        <w:tblW w:w="9970" w:type="dxa"/>
        <w:jc w:val="center"/>
        <w:tblLook w:val="04A0"/>
      </w:tblPr>
      <w:tblGrid>
        <w:gridCol w:w="4962"/>
        <w:gridCol w:w="1701"/>
        <w:gridCol w:w="2259"/>
        <w:gridCol w:w="1048"/>
      </w:tblGrid>
      <w:tr w:rsidR="00F31337" w:rsidRPr="00483FA3" w:rsidTr="000A3074">
        <w:trPr>
          <w:jc w:val="center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Survivors</w:t>
            </w:r>
          </w:p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(n=161)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Non-survivors</w:t>
            </w:r>
          </w:p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(n=47)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 value</w:t>
            </w:r>
          </w:p>
        </w:tc>
      </w:tr>
      <w:tr w:rsidR="00F31337" w:rsidRPr="00483FA3" w:rsidTr="000A3074">
        <w:trPr>
          <w:jc w:val="center"/>
        </w:trPr>
        <w:tc>
          <w:tcPr>
            <w:tcW w:w="99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Demographic characteristics</w:t>
            </w:r>
          </w:p>
        </w:tc>
      </w:tr>
      <w:tr w:rsidR="00F31337" w:rsidRPr="00483FA3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Age, years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249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 (49-74)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  <w:r w:rsidR="00491CE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 (56-72)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0.10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Gender, male, n (%)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 (65%)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(72%)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Simplified acute physiology score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 (26-41)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 (36-50)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&lt;0.0001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Immunocompromised, 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 (27%)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 (57%)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F31337" w:rsidRPr="00BE7292" w:rsidTr="000A3074">
        <w:trPr>
          <w:jc w:val="center"/>
        </w:trPr>
        <w:tc>
          <w:tcPr>
            <w:tcW w:w="892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Risk factor for acute respiratory failure, n (%)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0.45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Pulmonary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123 (76%)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 (83%)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Extrapulmonary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 (9.9%)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(4.3%)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 risk factor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 (14%)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 (13%)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Bilateral lung infiltrates, 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126 (78%)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 (94%)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F31337" w:rsidRPr="00BE7292" w:rsidTr="000A3074">
        <w:trPr>
          <w:jc w:val="center"/>
        </w:trPr>
        <w:tc>
          <w:tcPr>
            <w:tcW w:w="99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oxygen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Glasgow score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15 </w:t>
            </w:r>
            <w:r w:rsidR="000A789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(15-15)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(15-15)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Systolic blood pressure, mm Hg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130 (112-147)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124 (116-139)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0.24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Heart rate, per min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109 (96-123)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 (92-118)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0.27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Respiratory rate, per min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 (28-36)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(28-38)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0.37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Oxygen flow, l/min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(9-15)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(10-15)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_tradnl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_tradnl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131 (95-180)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116 (78-185)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0.71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PaCO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 (31-39)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(32-38)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0.91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7.45 (7.41-7.47)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7.46 (7.42-7.49)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0.22</w:t>
            </w:r>
          </w:p>
        </w:tc>
      </w:tr>
      <w:tr w:rsidR="00F31337" w:rsidRPr="00483FA3" w:rsidTr="000A3074">
        <w:trPr>
          <w:jc w:val="center"/>
        </w:trPr>
        <w:tc>
          <w:tcPr>
            <w:tcW w:w="99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noninvasive ventilation after 1 hour</w:t>
            </w:r>
          </w:p>
        </w:tc>
      </w:tr>
      <w:tr w:rsidR="00F31337" w:rsidRPr="00BE7292" w:rsidTr="000A3074">
        <w:trPr>
          <w:trHeight w:val="82"/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Pressure support, cm H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(6-10)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(7-10)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0.80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Positive end-expiratory pressure, cm H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(5-5)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(5-5)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0.12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 (50-100)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 (60-100)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F31337" w:rsidRPr="00BE7292" w:rsidTr="000A3074">
        <w:trPr>
          <w:trHeight w:val="82"/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%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 (96-99)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 (95-99)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0.56</w:t>
            </w:r>
          </w:p>
        </w:tc>
      </w:tr>
      <w:tr w:rsidR="00F31337" w:rsidRPr="00BE7292" w:rsidTr="000A3074">
        <w:trPr>
          <w:trHeight w:val="82"/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Respiratory rate, per min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 (24-35)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 (26-37)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0.26</w:t>
            </w:r>
          </w:p>
        </w:tc>
      </w:tr>
      <w:tr w:rsidR="00F31337" w:rsidRPr="00BE7292" w:rsidTr="000A3074">
        <w:trPr>
          <w:trHeight w:val="82"/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Expired tidal volume, mL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560 (470-652)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660 (579-751)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0.003</w:t>
            </w:r>
          </w:p>
        </w:tc>
      </w:tr>
      <w:tr w:rsidR="00F31337" w:rsidRPr="00BE7292" w:rsidTr="000A3074">
        <w:trPr>
          <w:trHeight w:val="82"/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Minute ventilation, L/min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16.3 (13.0-20.3)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20.6 (16.4-24.0)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0.003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179 (121-242)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142 (106-203)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0.07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1416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 150 mm Hg, n (%)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53/144 (37%)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 (55%)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0.04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PaCO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 (32-40)</w:t>
            </w:r>
            <w:r w:rsidR="00491CE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 (30-42)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0.69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7.44 (7.39-7.47)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</w:t>
            </w:r>
            <w:r w:rsidR="0058488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(7.40-7.48)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F31337" w:rsidRPr="00483FA3" w:rsidTr="000A3074">
        <w:trPr>
          <w:jc w:val="center"/>
        </w:trPr>
        <w:tc>
          <w:tcPr>
            <w:tcW w:w="99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noninvasive ventilation within the first 24 hours after ICU admission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Worst 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0A789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140 (102-200)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491CE1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104 (82-133)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&lt;0.0001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Worst 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&lt; 150 mm Hg, n (%)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80/146 (55%)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 (79%)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Acute respiratory distress syndrome,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118 (73%)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 (94%)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Intubation, n (%)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 (34%)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 (100%)</w:t>
            </w:r>
            <w:bookmarkStart w:id="0" w:name="_GoBack"/>
            <w:bookmarkEnd w:id="0"/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&lt;0.0001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Time to intubation (h)</w:t>
            </w:r>
          </w:p>
        </w:tc>
        <w:tc>
          <w:tcPr>
            <w:tcW w:w="1701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(2-28)</w:t>
            </w:r>
          </w:p>
        </w:tc>
        <w:tc>
          <w:tcPr>
            <w:tcW w:w="2259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(2-31)</w:t>
            </w:r>
          </w:p>
        </w:tc>
        <w:tc>
          <w:tcPr>
            <w:tcW w:w="1048" w:type="dxa"/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0.60</w:t>
            </w:r>
          </w:p>
        </w:tc>
      </w:tr>
      <w:tr w:rsidR="00F31337" w:rsidRPr="00BE7292" w:rsidTr="000A3074">
        <w:trPr>
          <w:jc w:val="center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ICU length of stay, 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(6-14)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(4-24)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</w:tcPr>
          <w:p w:rsidR="00F31337" w:rsidRPr="00041F16" w:rsidRDefault="00F31337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0.15</w:t>
            </w:r>
          </w:p>
        </w:tc>
      </w:tr>
    </w:tbl>
    <w:p w:rsidR="00650C4B" w:rsidRDefault="00650C4B"/>
    <w:sectPr w:rsidR="00650C4B" w:rsidSect="00B641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08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F31337"/>
    <w:rsid w:val="000A2491"/>
    <w:rsid w:val="000A7897"/>
    <w:rsid w:val="00291CB8"/>
    <w:rsid w:val="00483FA3"/>
    <w:rsid w:val="00491CE1"/>
    <w:rsid w:val="00584885"/>
    <w:rsid w:val="00650C4B"/>
    <w:rsid w:val="007706BF"/>
    <w:rsid w:val="00777961"/>
    <w:rsid w:val="009B16E0"/>
    <w:rsid w:val="00B64186"/>
    <w:rsid w:val="00C33034"/>
    <w:rsid w:val="00CD4A11"/>
    <w:rsid w:val="00DB5A73"/>
    <w:rsid w:val="00F31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337"/>
    <w:pPr>
      <w:suppressAutoHyphens/>
    </w:pPr>
    <w:rPr>
      <w:rFonts w:ascii="Calibri" w:eastAsia="SimSun" w:hAnsi="Calibri" w:cs="font50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Rémi Coudroy</dc:creator>
  <cp:keywords/>
  <dc:description/>
  <cp:lastModifiedBy>0013357</cp:lastModifiedBy>
  <cp:revision>4</cp:revision>
  <dcterms:created xsi:type="dcterms:W3CDTF">2019-05-29T10:16:00Z</dcterms:created>
  <dcterms:modified xsi:type="dcterms:W3CDTF">2019-08-07T14:36:00Z</dcterms:modified>
</cp:coreProperties>
</file>