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FA0A21">
        <w:rPr>
          <w:rFonts w:ascii="Times New Roman" w:hAnsi="Times New Roman" w:cs="Times New Roman"/>
          <w:b/>
          <w:lang w:val="en-US"/>
        </w:rPr>
        <w:t>Electronic Supplementary Material</w:t>
      </w: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  <w:r w:rsidRPr="00FA0A21">
        <w:rPr>
          <w:rFonts w:ascii="Times New Roman" w:hAnsi="Times New Roman" w:cs="Times New Roman"/>
          <w:sz w:val="20"/>
          <w:lang w:val="en-US"/>
        </w:rPr>
        <w:t xml:space="preserve">Characteristics and outcomes of Acute Respiratory Distress Syndrome related to COVID-19 in Belgian and French Intensive Care Units according to antiviral strategies. </w:t>
      </w: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  <w:r w:rsidRPr="00FA0A21">
        <w:rPr>
          <w:rFonts w:ascii="Times New Roman" w:hAnsi="Times New Roman" w:cs="Times New Roman"/>
          <w:sz w:val="20"/>
          <w:lang w:val="en-US"/>
        </w:rPr>
        <w:t>The COVADIS multicenter observational study.</w:t>
      </w:r>
    </w:p>
    <w:p w:rsidR="00BE638F" w:rsidRPr="00FA0A21" w:rsidRDefault="00BE638F" w:rsidP="00BE638F">
      <w:pPr>
        <w:spacing w:line="36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BE638F" w:rsidRPr="00FA0A21" w:rsidRDefault="00BE638F" w:rsidP="00BE638F">
      <w:pPr>
        <w:spacing w:line="360" w:lineRule="auto"/>
        <w:jc w:val="both"/>
        <w:rPr>
          <w:rFonts w:ascii="Times New Roman" w:hAnsi="Times New Roman" w:cs="Times New Roman"/>
          <w:sz w:val="20"/>
          <w:lang w:val="en-US"/>
        </w:rPr>
      </w:pPr>
    </w:p>
    <w:p w:rsidR="00BE638F" w:rsidRPr="00FA0A21" w:rsidRDefault="00BE638F" w:rsidP="00BE638F">
      <w:pPr>
        <w:spacing w:line="360" w:lineRule="auto"/>
        <w:jc w:val="both"/>
        <w:rPr>
          <w:rFonts w:ascii="Times New Roman" w:hAnsi="Times New Roman" w:cs="Times New Roman"/>
          <w:b/>
          <w:sz w:val="18"/>
          <w:u w:val="single"/>
          <w:lang w:val="en-US"/>
        </w:rPr>
      </w:pPr>
      <w:r w:rsidRPr="00FA0A21">
        <w:rPr>
          <w:rFonts w:ascii="Times New Roman" w:hAnsi="Times New Roman" w:cs="Times New Roman"/>
          <w:b/>
          <w:sz w:val="18"/>
          <w:u w:val="single"/>
          <w:lang w:val="en-US"/>
        </w:rPr>
        <w:t>Authors</w:t>
      </w:r>
    </w:p>
    <w:p w:rsidR="00BE638F" w:rsidRPr="00FA0A21" w:rsidRDefault="00BE638F" w:rsidP="00BE638F">
      <w:pPr>
        <w:spacing w:line="36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FA0A21">
        <w:rPr>
          <w:rFonts w:ascii="Times New Roman" w:hAnsi="Times New Roman" w:cs="Times New Roman"/>
          <w:sz w:val="18"/>
          <w:lang w:val="en-US"/>
        </w:rPr>
        <w:t>David Grimaldi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</w:t>
      </w:r>
      <w:r w:rsidRPr="00FA0A21">
        <w:rPr>
          <w:rFonts w:ascii="Times New Roman" w:hAnsi="Times New Roman" w:cs="Times New Roman"/>
          <w:sz w:val="18"/>
          <w:lang w:val="en-US"/>
        </w:rPr>
        <w:t>, MD</w:t>
      </w:r>
      <w:r w:rsidRPr="00171FCA">
        <w:rPr>
          <w:rFonts w:ascii="Times New Roman" w:hAnsi="Times New Roman" w:cs="Times New Roman"/>
          <w:sz w:val="18"/>
          <w:lang w:val="en-US"/>
        </w:rPr>
        <w:t>; Nadia Aissaoui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171FCA">
        <w:rPr>
          <w:rFonts w:ascii="Times New Roman" w:hAnsi="Times New Roman" w:cs="Times New Roman"/>
          <w:sz w:val="18"/>
          <w:lang w:val="en-US"/>
        </w:rPr>
        <w:t>, MD; Gauthier Blonz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3</w:t>
      </w:r>
      <w:r w:rsidRPr="00171FCA">
        <w:rPr>
          <w:rFonts w:ascii="Times New Roman" w:hAnsi="Times New Roman" w:cs="Times New Roman"/>
          <w:sz w:val="18"/>
          <w:lang w:val="en-US"/>
        </w:rPr>
        <w:t>, MD; Giuseppe Carbutti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4</w:t>
      </w:r>
      <w:r w:rsidRPr="00171FCA">
        <w:rPr>
          <w:rFonts w:ascii="Times New Roman" w:hAnsi="Times New Roman" w:cs="Times New Roman"/>
          <w:sz w:val="18"/>
          <w:lang w:val="en-US"/>
        </w:rPr>
        <w:t>, MD; Romain Courcelle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5</w:t>
      </w:r>
      <w:r w:rsidRPr="00171FCA">
        <w:rPr>
          <w:rFonts w:ascii="Times New Roman" w:hAnsi="Times New Roman" w:cs="Times New Roman"/>
          <w:sz w:val="18"/>
          <w:lang w:val="en-US"/>
        </w:rPr>
        <w:t>, MD; Stephane Gaudry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6</w:t>
      </w:r>
      <w:r w:rsidRPr="00171FCA">
        <w:rPr>
          <w:rFonts w:ascii="Times New Roman" w:hAnsi="Times New Roman" w:cs="Times New Roman"/>
          <w:sz w:val="18"/>
          <w:lang w:val="en-US"/>
        </w:rPr>
        <w:t>, MD; Aurelie Gaultier</w:t>
      </w:r>
      <w:r w:rsidRPr="00171FCA">
        <w:rPr>
          <w:rFonts w:ascii="Times New Roman" w:hAnsi="Times New Roman" w:cs="Times New Roman"/>
          <w:sz w:val="18"/>
          <w:vertAlign w:val="superscript"/>
          <w:lang w:val="en-US"/>
        </w:rPr>
        <w:t>7</w:t>
      </w:r>
      <w:r w:rsidRPr="00171FCA">
        <w:rPr>
          <w:rFonts w:ascii="Times New Roman" w:hAnsi="Times New Roman" w:cs="Times New Roman"/>
          <w:sz w:val="18"/>
          <w:lang w:val="en-US"/>
        </w:rPr>
        <w:t>, MSc; Alain</w:t>
      </w:r>
      <w:r w:rsidRPr="00FA0A21">
        <w:rPr>
          <w:rFonts w:ascii="Times New Roman" w:hAnsi="Times New Roman" w:cs="Times New Roman"/>
          <w:sz w:val="18"/>
          <w:lang w:val="en-US"/>
        </w:rPr>
        <w:t xml:space="preserve"> D’hondt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8</w:t>
      </w:r>
      <w:r w:rsidRPr="00FA0A21">
        <w:rPr>
          <w:rFonts w:ascii="Times New Roman" w:hAnsi="Times New Roman" w:cs="Times New Roman"/>
          <w:sz w:val="18"/>
          <w:lang w:val="en-US"/>
        </w:rPr>
        <w:t>, MD; Julien Higny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9</w:t>
      </w:r>
      <w:r w:rsidRPr="00FA0A21">
        <w:rPr>
          <w:rFonts w:ascii="Times New Roman" w:hAnsi="Times New Roman" w:cs="Times New Roman"/>
          <w:sz w:val="18"/>
          <w:lang w:val="en-US"/>
        </w:rPr>
        <w:t>, MD; Geoffrey Horlait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10</w:t>
      </w:r>
      <w:r w:rsidRPr="00FA0A21">
        <w:rPr>
          <w:rFonts w:ascii="Times New Roman" w:hAnsi="Times New Roman" w:cs="Times New Roman"/>
          <w:sz w:val="18"/>
          <w:lang w:val="en-US"/>
        </w:rPr>
        <w:t>, MD; Sami Hraiech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11,12</w:t>
      </w:r>
      <w:r w:rsidRPr="00FA0A21">
        <w:rPr>
          <w:rFonts w:ascii="Times New Roman" w:hAnsi="Times New Roman" w:cs="Times New Roman"/>
          <w:sz w:val="18"/>
          <w:lang w:val="en-US"/>
        </w:rPr>
        <w:t>, MD; Laurent Lefebvre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13</w:t>
      </w:r>
      <w:r w:rsidRPr="00FA0A21">
        <w:rPr>
          <w:rFonts w:ascii="Times New Roman" w:hAnsi="Times New Roman" w:cs="Times New Roman"/>
          <w:sz w:val="18"/>
          <w:lang w:val="en-US"/>
        </w:rPr>
        <w:t>, MD; Francois Lejeune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14</w:t>
      </w:r>
      <w:r w:rsidRPr="00FA0A21">
        <w:rPr>
          <w:rFonts w:ascii="Times New Roman" w:hAnsi="Times New Roman" w:cs="Times New Roman"/>
          <w:sz w:val="18"/>
          <w:lang w:val="en-US"/>
        </w:rPr>
        <w:t>, MD; Andre Ly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15</w:t>
      </w:r>
      <w:r w:rsidRPr="00FA0A21">
        <w:rPr>
          <w:rFonts w:ascii="Times New Roman" w:hAnsi="Times New Roman" w:cs="Times New Roman"/>
          <w:sz w:val="18"/>
          <w:lang w:val="en-US"/>
        </w:rPr>
        <w:t>, MD; Michael Piagnerelli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16</w:t>
      </w:r>
      <w:r w:rsidRPr="00FA0A21">
        <w:rPr>
          <w:rFonts w:ascii="Times New Roman" w:hAnsi="Times New Roman" w:cs="Times New Roman"/>
          <w:sz w:val="18"/>
          <w:lang w:val="en-US"/>
        </w:rPr>
        <w:t>, MD; Bertrand Sauneuf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17</w:t>
      </w:r>
      <w:r w:rsidRPr="00FA0A21">
        <w:rPr>
          <w:rFonts w:ascii="Times New Roman" w:hAnsi="Times New Roman" w:cs="Times New Roman"/>
          <w:sz w:val="18"/>
          <w:lang w:val="en-US"/>
        </w:rPr>
        <w:t>, MD; Nicolas Serck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18</w:t>
      </w:r>
      <w:r w:rsidRPr="00FA0A21">
        <w:rPr>
          <w:rFonts w:ascii="Times New Roman" w:hAnsi="Times New Roman" w:cs="Times New Roman"/>
          <w:sz w:val="18"/>
          <w:lang w:val="en-US"/>
        </w:rPr>
        <w:t>, MD; Thibaud Soumagne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19</w:t>
      </w:r>
      <w:r w:rsidRPr="00FA0A21">
        <w:rPr>
          <w:rFonts w:ascii="Times New Roman" w:hAnsi="Times New Roman" w:cs="Times New Roman"/>
          <w:sz w:val="18"/>
          <w:lang w:val="en-US"/>
        </w:rPr>
        <w:t>, MD; Piotr Szychowiak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20,21,22</w:t>
      </w:r>
      <w:r w:rsidRPr="00FA0A21">
        <w:rPr>
          <w:rFonts w:ascii="Times New Roman" w:hAnsi="Times New Roman" w:cs="Times New Roman"/>
          <w:sz w:val="18"/>
          <w:lang w:val="en-US"/>
        </w:rPr>
        <w:t>, MD; Julien Textoris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23,24</w:t>
      </w:r>
      <w:r w:rsidRPr="00FA0A21">
        <w:rPr>
          <w:rFonts w:ascii="Times New Roman" w:hAnsi="Times New Roman" w:cs="Times New Roman"/>
          <w:sz w:val="18"/>
          <w:lang w:val="en-US"/>
        </w:rPr>
        <w:t>, MD; Benoit Vandenbunder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25</w:t>
      </w:r>
      <w:r w:rsidRPr="00FA0A21">
        <w:rPr>
          <w:rFonts w:ascii="Times New Roman" w:hAnsi="Times New Roman" w:cs="Times New Roman"/>
          <w:sz w:val="18"/>
          <w:lang w:val="en-US"/>
        </w:rPr>
        <w:t>, MD; Christophe Vinsonneau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26</w:t>
      </w:r>
      <w:r w:rsidRPr="00FA0A21">
        <w:rPr>
          <w:rFonts w:ascii="Times New Roman" w:hAnsi="Times New Roman" w:cs="Times New Roman"/>
          <w:sz w:val="18"/>
          <w:lang w:val="en-US"/>
        </w:rPr>
        <w:t>, MD; Jean-Baptiste Lascarrou</w:t>
      </w:r>
      <w:r w:rsidRPr="00FA0A21">
        <w:rPr>
          <w:rFonts w:ascii="Times New Roman" w:hAnsi="Times New Roman" w:cs="Times New Roman"/>
          <w:sz w:val="18"/>
          <w:vertAlign w:val="superscript"/>
          <w:lang w:val="en-US"/>
        </w:rPr>
        <w:t>22,27</w:t>
      </w:r>
      <w:r w:rsidRPr="00FA0A21">
        <w:rPr>
          <w:rFonts w:ascii="Times New Roman" w:hAnsi="Times New Roman" w:cs="Times New Roman"/>
          <w:sz w:val="18"/>
          <w:lang w:val="en-US"/>
        </w:rPr>
        <w:t>, MD for the COVADIS study group.</w:t>
      </w:r>
    </w:p>
    <w:p w:rsidR="00BE638F" w:rsidRPr="00FA0A21" w:rsidRDefault="00BE638F">
      <w:pPr>
        <w:rPr>
          <w:lang w:val="en-US"/>
        </w:rPr>
      </w:pPr>
    </w:p>
    <w:p w:rsidR="00BE638F" w:rsidRPr="00FA0A21" w:rsidRDefault="00BE638F">
      <w:pPr>
        <w:rPr>
          <w:lang w:val="en-US"/>
        </w:rPr>
      </w:pPr>
      <w:r w:rsidRPr="00FA0A21">
        <w:rPr>
          <w:lang w:val="en-US"/>
        </w:rPr>
        <w:br w:type="page"/>
      </w:r>
    </w:p>
    <w:p w:rsidR="00BE638F" w:rsidRPr="00FA0A21" w:rsidRDefault="003C138D">
      <w:pPr>
        <w:rPr>
          <w:lang w:val="en-US"/>
        </w:rPr>
      </w:pPr>
      <w:r w:rsidRPr="00FA0A21">
        <w:rPr>
          <w:u w:val="single"/>
          <w:lang w:val="en-US"/>
        </w:rPr>
        <w:t xml:space="preserve">Table </w:t>
      </w:r>
      <w:r w:rsidR="002F30DF">
        <w:rPr>
          <w:u w:val="single"/>
          <w:lang w:val="en-US"/>
        </w:rPr>
        <w:t>S</w:t>
      </w:r>
      <w:r w:rsidRPr="00FA0A21">
        <w:rPr>
          <w:u w:val="single"/>
          <w:lang w:val="en-US"/>
        </w:rPr>
        <w:t>1</w:t>
      </w:r>
      <w:r w:rsidRPr="00FA0A21">
        <w:rPr>
          <w:lang w:val="en-US"/>
        </w:rPr>
        <w:t>: Antiviral standard procedure in the participating centers</w:t>
      </w:r>
    </w:p>
    <w:p w:rsidR="00BE638F" w:rsidRPr="00FA0A21" w:rsidRDefault="00BE638F">
      <w:pPr>
        <w:rPr>
          <w:lang w:val="en-US"/>
        </w:rPr>
      </w:pPr>
    </w:p>
    <w:tbl>
      <w:tblPr>
        <w:tblpPr w:leftFromText="141" w:rightFromText="141" w:vertAnchor="page" w:horzAnchor="page" w:tblpX="1346" w:tblpY="2480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1276"/>
        <w:gridCol w:w="1602"/>
        <w:gridCol w:w="1335"/>
        <w:gridCol w:w="1216"/>
        <w:gridCol w:w="1335"/>
      </w:tblGrid>
      <w:tr w:rsidR="00BE638F" w:rsidRPr="00FA0A21">
        <w:trPr>
          <w:trHeight w:val="20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3260" w:type="dxa"/>
            <w:gridSpan w:val="2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Hydroxychloroquine</w:t>
            </w:r>
          </w:p>
        </w:tc>
        <w:tc>
          <w:tcPr>
            <w:tcW w:w="2937" w:type="dxa"/>
            <w:gridSpan w:val="2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Lopinavir/Ritonavir</w:t>
            </w:r>
          </w:p>
        </w:tc>
        <w:tc>
          <w:tcPr>
            <w:tcW w:w="2551" w:type="dxa"/>
            <w:gridSpan w:val="2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Remsedivir</w:t>
            </w:r>
          </w:p>
        </w:tc>
      </w:tr>
      <w:tr w:rsidR="00BE638F" w:rsidRPr="00FA0A21">
        <w:trPr>
          <w:trHeight w:val="42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Dose and duration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Rules for stopping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Dose and duration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Rules for stopping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Dose and duration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Rules for stopping</w:t>
            </w:r>
          </w:p>
        </w:tc>
      </w:tr>
      <w:tr w:rsidR="00BE638F" w:rsidRPr="00FA0A21">
        <w:trPr>
          <w:trHeight w:val="597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1 </w:t>
            </w: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QTc, arythmia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597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600mg/day during 10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800mg/day during 6 days 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38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3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420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5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 day 1 then 400mg during 9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</w:tr>
      <w:tr w:rsidR="00BE638F" w:rsidRPr="00FA0A21">
        <w:trPr>
          <w:trHeight w:val="43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prolonged QTc 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7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380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100mg/day during 7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</w:tr>
      <w:tr w:rsidR="00BE638F" w:rsidRPr="00FA0A21">
        <w:trPr>
          <w:trHeight w:val="41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9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600mg/day during 10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597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10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800mg day 1 then 400mg during 4 days 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None 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11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600mg/day during 10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QTc, RRT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</w:tr>
      <w:tr w:rsidR="00BE638F" w:rsidRPr="00FA0A21">
        <w:trPr>
          <w:trHeight w:val="454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12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ICU admission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13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10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Needs for RRT</w:t>
            </w:r>
          </w:p>
        </w:tc>
      </w:tr>
      <w:tr w:rsidR="00BE638F" w:rsidRPr="00FA0A21">
        <w:trPr>
          <w:trHeight w:val="512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14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None 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15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QTc, arythmia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5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597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16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600mg/day during 7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QTc, arythmia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7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Diarrhea,</w:t>
            </w:r>
          </w:p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615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17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 day 1 then 400mg during 9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14 days</w:t>
            </w:r>
          </w:p>
        </w:tc>
        <w:tc>
          <w:tcPr>
            <w:tcW w:w="1335" w:type="dxa"/>
          </w:tcPr>
          <w:p w:rsidR="00BE638F" w:rsidRPr="00FA0A21" w:rsidRDefault="00D37BD0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GFR</w:t>
            </w:r>
            <w:r w:rsidR="00BE638F" w:rsidRPr="00FA0A21">
              <w:rPr>
                <w:sz w:val="16"/>
                <w:lang w:val="en-US"/>
              </w:rPr>
              <w:t>&lt;30ml/min or ASAT/ALAT&gt;5N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200mg day 1 then 100mg during 9 days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None </w:t>
            </w:r>
          </w:p>
        </w:tc>
      </w:tr>
      <w:tr w:rsidR="00BE638F" w:rsidRPr="00FA0A21">
        <w:trPr>
          <w:trHeight w:val="47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18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42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19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 day 1 then 400mg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arythmia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386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20</w:t>
            </w: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400mg/day during 5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prolonged QTc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 xml:space="preserve">NA 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  <w:tr w:rsidR="00BE638F" w:rsidRPr="00FA0A21">
        <w:trPr>
          <w:trHeight w:val="434"/>
        </w:trPr>
        <w:tc>
          <w:tcPr>
            <w:tcW w:w="53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21</w:t>
            </w:r>
          </w:p>
          <w:p w:rsidR="00BE638F" w:rsidRPr="00FA0A21" w:rsidRDefault="00BE638F" w:rsidP="003C138D">
            <w:pPr>
              <w:rPr>
                <w:sz w:val="16"/>
                <w:lang w:val="en-US"/>
              </w:rPr>
            </w:pPr>
          </w:p>
        </w:tc>
        <w:tc>
          <w:tcPr>
            <w:tcW w:w="1984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600mg/day during 10 days</w:t>
            </w:r>
          </w:p>
        </w:tc>
        <w:tc>
          <w:tcPr>
            <w:tcW w:w="127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ICU admission</w:t>
            </w:r>
          </w:p>
        </w:tc>
        <w:tc>
          <w:tcPr>
            <w:tcW w:w="1602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800mg/day during 7 days</w:t>
            </w:r>
            <w:r w:rsidR="00D37BD0" w:rsidRPr="00FA0A21">
              <w:rPr>
                <w:sz w:val="16"/>
                <w:lang w:val="en-US"/>
              </w:rPr>
              <w:t>*</w:t>
            </w:r>
          </w:p>
        </w:tc>
        <w:tc>
          <w:tcPr>
            <w:tcW w:w="1335" w:type="dxa"/>
          </w:tcPr>
          <w:p w:rsidR="00BE638F" w:rsidRPr="00FA0A21" w:rsidRDefault="00D37BD0" w:rsidP="00D37BD0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None</w:t>
            </w:r>
            <w:r w:rsidR="00BE638F" w:rsidRPr="00FA0A21">
              <w:rPr>
                <w:sz w:val="16"/>
                <w:lang w:val="en-US"/>
              </w:rPr>
              <w:t xml:space="preserve"> </w:t>
            </w:r>
          </w:p>
        </w:tc>
        <w:tc>
          <w:tcPr>
            <w:tcW w:w="1216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  <w:tc>
          <w:tcPr>
            <w:tcW w:w="1335" w:type="dxa"/>
          </w:tcPr>
          <w:p w:rsidR="00BE638F" w:rsidRPr="00FA0A21" w:rsidRDefault="00BE638F" w:rsidP="003C138D">
            <w:pPr>
              <w:rPr>
                <w:sz w:val="16"/>
                <w:lang w:val="en-US"/>
              </w:rPr>
            </w:pPr>
            <w:r w:rsidRPr="00FA0A21">
              <w:rPr>
                <w:sz w:val="16"/>
                <w:lang w:val="en-US"/>
              </w:rPr>
              <w:t>NA</w:t>
            </w:r>
          </w:p>
        </w:tc>
      </w:tr>
    </w:tbl>
    <w:p w:rsidR="003C138D" w:rsidRPr="00FA0A21" w:rsidRDefault="00BE405C" w:rsidP="003C138D">
      <w:pPr>
        <w:rPr>
          <w:sz w:val="20"/>
          <w:lang w:val="en-US"/>
        </w:rPr>
      </w:pPr>
      <w:r>
        <w:rPr>
          <w:sz w:val="20"/>
          <w:lang w:val="en-US"/>
        </w:rPr>
        <w:t>RRT</w:t>
      </w:r>
      <w:r w:rsidR="003C138D" w:rsidRPr="00FA0A21">
        <w:rPr>
          <w:sz w:val="20"/>
          <w:lang w:val="en-US"/>
        </w:rPr>
        <w:t>: Renal Replacement Therapy</w:t>
      </w:r>
    </w:p>
    <w:p w:rsidR="003C138D" w:rsidRPr="00FA0A21" w:rsidRDefault="003C138D" w:rsidP="003C138D">
      <w:pPr>
        <w:rPr>
          <w:sz w:val="20"/>
          <w:lang w:val="en-US"/>
        </w:rPr>
      </w:pPr>
      <w:r w:rsidRPr="00FA0A21">
        <w:rPr>
          <w:sz w:val="20"/>
          <w:lang w:val="en-US"/>
        </w:rPr>
        <w:t xml:space="preserve">* </w:t>
      </w:r>
      <w:r w:rsidR="00BE405C" w:rsidRPr="00FA0A21">
        <w:rPr>
          <w:sz w:val="20"/>
          <w:lang w:val="en-US"/>
        </w:rPr>
        <w:t>Cease</w:t>
      </w:r>
      <w:r w:rsidR="00D37BD0" w:rsidRPr="00FA0A21">
        <w:rPr>
          <w:sz w:val="20"/>
          <w:lang w:val="en-US"/>
        </w:rPr>
        <w:t xml:space="preserve"> L/R administration after </w:t>
      </w:r>
      <w:r w:rsidRPr="00FA0A21">
        <w:rPr>
          <w:sz w:val="20"/>
          <w:lang w:val="en-US"/>
        </w:rPr>
        <w:t xml:space="preserve">RCT </w:t>
      </w:r>
      <w:r w:rsidR="00D37BD0" w:rsidRPr="00FA0A21">
        <w:rPr>
          <w:sz w:val="20"/>
          <w:lang w:val="en-US"/>
        </w:rPr>
        <w:t xml:space="preserve">publication </w:t>
      </w:r>
      <w:r w:rsidR="00BE405C">
        <w:rPr>
          <w:sz w:val="20"/>
          <w:lang w:val="en-US"/>
        </w:rPr>
        <w:t>(</w:t>
      </w:r>
      <w:r w:rsidR="00D37BD0" w:rsidRPr="00BE405C">
        <w:rPr>
          <w:sz w:val="20"/>
          <w:lang w:val="en-US"/>
        </w:rPr>
        <w:t>doi</w:t>
      </w:r>
      <w:r w:rsidR="00BE405C" w:rsidRPr="00BE405C">
        <w:rPr>
          <w:sz w:val="20"/>
          <w:lang w:val="en-US"/>
        </w:rPr>
        <w:t xml:space="preserve"> 10.1056/NEJMoa2001282</w:t>
      </w:r>
      <w:r w:rsidR="00BE405C">
        <w:rPr>
          <w:sz w:val="20"/>
          <w:lang w:val="en-US"/>
        </w:rPr>
        <w:t>)</w:t>
      </w:r>
      <w:r w:rsidR="00D37BD0" w:rsidRPr="00FA0A21">
        <w:rPr>
          <w:sz w:val="20"/>
          <w:lang w:val="en-US"/>
        </w:rPr>
        <w:t xml:space="preserve"> </w:t>
      </w:r>
    </w:p>
    <w:p w:rsidR="003C138D" w:rsidRPr="00FA0A21" w:rsidRDefault="003C138D" w:rsidP="003C138D">
      <w:pPr>
        <w:rPr>
          <w:lang w:val="en-US"/>
        </w:rPr>
      </w:pPr>
    </w:p>
    <w:p w:rsidR="00171FCA" w:rsidRPr="00E82F1A" w:rsidRDefault="00C86E28" w:rsidP="00171FCA">
      <w:pPr>
        <w:rPr>
          <w:b/>
          <w:lang w:val="en-US"/>
        </w:rPr>
      </w:pPr>
      <w:r w:rsidRPr="00FA0A21">
        <w:rPr>
          <w:lang w:val="en-US"/>
        </w:rPr>
        <w:br w:type="page"/>
      </w:r>
      <w:r w:rsidR="00171FCA">
        <w:rPr>
          <w:b/>
          <w:lang w:val="en-US"/>
        </w:rPr>
        <w:lastRenderedPageBreak/>
        <w:t xml:space="preserve">Table </w:t>
      </w:r>
      <w:r w:rsidR="002F30DF">
        <w:rPr>
          <w:b/>
          <w:lang w:val="en-US"/>
        </w:rPr>
        <w:t>S</w:t>
      </w:r>
      <w:r w:rsidR="00171FCA">
        <w:rPr>
          <w:b/>
          <w:lang w:val="en-US"/>
        </w:rPr>
        <w:t xml:space="preserve">2: </w:t>
      </w:r>
      <w:r w:rsidR="00171FCA" w:rsidRPr="00D85563">
        <w:rPr>
          <w:b/>
          <w:lang w:val="en-US"/>
        </w:rPr>
        <w:t xml:space="preserve">Associated factors with </w:t>
      </w:r>
      <w:r w:rsidR="00171FCA">
        <w:rPr>
          <w:b/>
          <w:lang w:val="en-US"/>
        </w:rPr>
        <w:t>ICU survival</w:t>
      </w:r>
      <w:r w:rsidR="00171FCA" w:rsidRPr="00D85563">
        <w:rPr>
          <w:b/>
          <w:lang w:val="en-US"/>
        </w:rPr>
        <w:t xml:space="preserve"> </w:t>
      </w:r>
    </w:p>
    <w:p w:rsidR="00171FCA" w:rsidRPr="0021180B" w:rsidRDefault="00171FCA" w:rsidP="00171FCA">
      <w:pPr>
        <w:rPr>
          <w:lang w:val="en-NZ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794"/>
        <w:gridCol w:w="1436"/>
        <w:gridCol w:w="1682"/>
        <w:gridCol w:w="1137"/>
      </w:tblGrid>
      <w:tr w:rsidR="00171FCA" w:rsidRPr="002B7449">
        <w:trPr>
          <w:trHeight w:val="542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NZ"/>
              </w:rPr>
            </w:pPr>
          </w:p>
        </w:tc>
        <w:tc>
          <w:tcPr>
            <w:tcW w:w="1436" w:type="dxa"/>
            <w:vAlign w:val="center"/>
          </w:tcPr>
          <w:p w:rsidR="00171FCA" w:rsidRPr="002B7449" w:rsidRDefault="00BE405C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 survivors</w:t>
            </w:r>
          </w:p>
          <w:p w:rsidR="00171FCA" w:rsidRPr="002B7449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N=166</w:t>
            </w:r>
          </w:p>
        </w:tc>
        <w:tc>
          <w:tcPr>
            <w:tcW w:w="1682" w:type="dxa"/>
            <w:vAlign w:val="center"/>
          </w:tcPr>
          <w:p w:rsidR="00171FCA" w:rsidRPr="002B7449" w:rsidRDefault="00BE405C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survivors</w:t>
            </w:r>
          </w:p>
          <w:p w:rsidR="00171FCA" w:rsidRPr="002B7449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7" w:type="dxa"/>
            <w:vAlign w:val="center"/>
          </w:tcPr>
          <w:p w:rsidR="00171FCA" w:rsidRPr="002B7449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i/>
                <w:sz w:val="20"/>
                <w:szCs w:val="20"/>
              </w:rPr>
              <w:t>P value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mean±SD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66 ±10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62 ±10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Gender, men,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131 (79)</w:t>
            </w:r>
          </w:p>
        </w:tc>
        <w:tc>
          <w:tcPr>
            <w:tcW w:w="1682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182 (76)</w:t>
            </w:r>
          </w:p>
        </w:tc>
        <w:tc>
          <w:tcPr>
            <w:tcW w:w="1137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BMI, kg/m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mean±SD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29.5 ±5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29.9 ±5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99 (60)</w:t>
            </w:r>
          </w:p>
        </w:tc>
        <w:tc>
          <w:tcPr>
            <w:tcW w:w="1682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130 (54)</w:t>
            </w:r>
          </w:p>
        </w:tc>
        <w:tc>
          <w:tcPr>
            <w:tcW w:w="1137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comp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licated diabetis mellitus,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33 (20)</w:t>
            </w:r>
          </w:p>
        </w:tc>
        <w:tc>
          <w:tcPr>
            <w:tcW w:w="1682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45 (19)</w:t>
            </w:r>
          </w:p>
        </w:tc>
        <w:tc>
          <w:tcPr>
            <w:tcW w:w="1137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Comp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licated diabetis mellitus,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22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2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11 (5)</w:t>
            </w:r>
          </w:p>
        </w:tc>
        <w:tc>
          <w:tcPr>
            <w:tcW w:w="1137" w:type="dxa"/>
            <w:vAlign w:val="center"/>
          </w:tcPr>
          <w:p w:rsidR="00171FCA" w:rsidRPr="003854B6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4B6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Chronic kidney disease,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22 (13)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10 (4)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eriphereal artery disease,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14 (8)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11 (5)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ory of myocardial infarction, n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16 (10)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20 (8)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Charlson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Comorbidity index, median [IQR]</w:t>
            </w:r>
          </w:p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= 0</w:t>
            </w:r>
          </w:p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= 1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≥ 2</w:t>
            </w:r>
          </w:p>
        </w:tc>
        <w:tc>
          <w:tcPr>
            <w:tcW w:w="1436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1 (0-3)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58 (35)</w:t>
            </w:r>
          </w:p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34 (21)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74 (45)</w:t>
            </w:r>
          </w:p>
        </w:tc>
        <w:tc>
          <w:tcPr>
            <w:tcW w:w="1682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1 (0-2)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110 (46)</w:t>
            </w:r>
          </w:p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70 (29)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60 (25)</w:t>
            </w:r>
          </w:p>
        </w:tc>
        <w:tc>
          <w:tcPr>
            <w:tcW w:w="1137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PEEP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(cmH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O)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mean±SD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11.5 ±3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11.5 ±3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Plateau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pressure (cm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O), mean±SD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59/207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24.4 ±4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23.0 ±4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P/F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mean±SD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121 ±48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131 ±51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27 (16)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24 (10)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Hydroxychloroquine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110 (66)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148 (62)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Lopinavir/ritonavir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37 (22)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48 (20)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Remdesivir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8 (5)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13 (5)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Corticosteroids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41 (25)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40 (18)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Macrolides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106 (64)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149 (62)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171FCA" w:rsidRPr="002B7449">
        <w:trPr>
          <w:trHeight w:val="271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Co-infection</w:t>
            </w:r>
          </w:p>
        </w:tc>
        <w:tc>
          <w:tcPr>
            <w:tcW w:w="1436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23 (14)</w:t>
            </w:r>
          </w:p>
        </w:tc>
        <w:tc>
          <w:tcPr>
            <w:tcW w:w="1682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26 (11)</w:t>
            </w:r>
          </w:p>
        </w:tc>
        <w:tc>
          <w:tcPr>
            <w:tcW w:w="1137" w:type="dxa"/>
            <w:vAlign w:val="center"/>
          </w:tcPr>
          <w:p w:rsidR="00171FCA" w:rsidRPr="007565D0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171FCA" w:rsidRPr="002B7449">
        <w:trPr>
          <w:trHeight w:val="1394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 14 V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entilatory mode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Death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Controlled or VV-ECMO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Pressure support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 xml:space="preserve">     Extubated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94 (57)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58 (35)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13 (8)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 (1)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80 (33)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73 (30)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87 (36)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Pr="00187CB2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Acute kidney injury, n (%)</w:t>
            </w:r>
          </w:p>
          <w:p w:rsidR="00171FCA" w:rsidRPr="00187CB2" w:rsidRDefault="00171FCA" w:rsidP="00085D26">
            <w:pPr>
              <w:ind w:firstLine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No</w:t>
            </w:r>
          </w:p>
          <w:p w:rsidR="00171FCA" w:rsidRPr="00187CB2" w:rsidRDefault="00171FCA" w:rsidP="00085D26">
            <w:pPr>
              <w:ind w:firstLine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Yes without RRT</w:t>
            </w:r>
          </w:p>
          <w:p w:rsidR="00171FCA" w:rsidRPr="00187CB2" w:rsidRDefault="00171FCA" w:rsidP="00085D26">
            <w:pPr>
              <w:ind w:firstLine="56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187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Yes with RRT</w:t>
            </w:r>
          </w:p>
          <w:p w:rsidR="00171FCA" w:rsidRPr="00187CB2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45 (27)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72 (43)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49 (30)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136 (57)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73 (30)</w:t>
            </w:r>
          </w:p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31 (13)</w:t>
            </w:r>
          </w:p>
        </w:tc>
        <w:tc>
          <w:tcPr>
            <w:tcW w:w="1137" w:type="dxa"/>
            <w:vAlign w:val="center"/>
          </w:tcPr>
          <w:p w:rsidR="00171FCA" w:rsidRPr="003E1A34" w:rsidRDefault="00171FCA" w:rsidP="00085D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71FCA" w:rsidRPr="002B7449">
        <w:trPr>
          <w:trHeight w:val="253"/>
        </w:trPr>
        <w:tc>
          <w:tcPr>
            <w:tcW w:w="3794" w:type="dxa"/>
            <w:vAlign w:val="center"/>
          </w:tcPr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Creatinine until Day 28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median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[IQR]</w:t>
            </w:r>
          </w:p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164/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205</w:t>
            </w:r>
          </w:p>
        </w:tc>
        <w:tc>
          <w:tcPr>
            <w:tcW w:w="1436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210 [112-429]</w:t>
            </w:r>
          </w:p>
        </w:tc>
        <w:tc>
          <w:tcPr>
            <w:tcW w:w="1682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103 [77-175]</w:t>
            </w:r>
          </w:p>
        </w:tc>
        <w:tc>
          <w:tcPr>
            <w:tcW w:w="1137" w:type="dxa"/>
            <w:vAlign w:val="center"/>
          </w:tcPr>
          <w:p w:rsidR="00171FCA" w:rsidRPr="0036771D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71D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171FCA" w:rsidRPr="002B7449">
        <w:trPr>
          <w:trHeight w:val="367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449">
              <w:rPr>
                <w:rFonts w:ascii="Times New Roman" w:hAnsi="Times New Roman" w:cs="Times New Roman"/>
                <w:sz w:val="20"/>
                <w:szCs w:val="20"/>
              </w:rPr>
              <w:t>Cardiac injury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37 (22)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18 (8)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171FCA" w:rsidRPr="002B7449">
        <w:trPr>
          <w:trHeight w:val="139"/>
        </w:trPr>
        <w:tc>
          <w:tcPr>
            <w:tcW w:w="3794" w:type="dxa"/>
            <w:vAlign w:val="center"/>
          </w:tcPr>
          <w:p w:rsidR="00171FCA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79F3">
              <w:rPr>
                <w:rFonts w:ascii="Times New Roman" w:hAnsi="Times New Roman" w:cs="Times New Roman"/>
                <w:sz w:val="20"/>
              </w:rPr>
              <w:t>Pulmonary embolism</w:t>
            </w:r>
            <w:r>
              <w:rPr>
                <w:rFonts w:ascii="Times New Roman" w:hAnsi="Times New Roman" w:cs="Times New Roman"/>
                <w:sz w:val="20"/>
              </w:rPr>
              <w:t>, n (%)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23 (14)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35 (15)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171FCA" w:rsidRPr="002B7449">
        <w:trPr>
          <w:trHeight w:val="139"/>
        </w:trPr>
        <w:tc>
          <w:tcPr>
            <w:tcW w:w="3794" w:type="dxa"/>
            <w:vAlign w:val="center"/>
          </w:tcPr>
          <w:p w:rsidR="00171FCA" w:rsidRPr="002B7449" w:rsidRDefault="00171FCA" w:rsidP="00085D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 at</w:t>
            </w:r>
            <w:r w:rsidRPr="002B74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D28, n (%) </w:t>
            </w:r>
          </w:p>
        </w:tc>
        <w:tc>
          <w:tcPr>
            <w:tcW w:w="1436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26 (16)</w:t>
            </w:r>
          </w:p>
        </w:tc>
        <w:tc>
          <w:tcPr>
            <w:tcW w:w="1682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240 (100)</w:t>
            </w:r>
          </w:p>
        </w:tc>
        <w:tc>
          <w:tcPr>
            <w:tcW w:w="1137" w:type="dxa"/>
            <w:vAlign w:val="center"/>
          </w:tcPr>
          <w:p w:rsidR="00171FCA" w:rsidRPr="00530D9C" w:rsidRDefault="00171FCA" w:rsidP="00085D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D9C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</w:tbl>
    <w:p w:rsidR="00171FCA" w:rsidRDefault="00171FCA" w:rsidP="00171FCA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171FCA" w:rsidRPr="002B7449" w:rsidRDefault="00171FCA" w:rsidP="00171FC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B7449">
        <w:rPr>
          <w:rFonts w:ascii="Times New Roman" w:hAnsi="Times New Roman" w:cs="Times New Roman"/>
          <w:sz w:val="20"/>
          <w:szCs w:val="20"/>
          <w:lang w:val="en-US"/>
        </w:rPr>
        <w:t>AKI</w:t>
      </w:r>
      <w:r>
        <w:rPr>
          <w:rFonts w:ascii="Times New Roman" w:hAnsi="Times New Roman" w:cs="Times New Roman"/>
          <w:sz w:val="20"/>
          <w:szCs w:val="20"/>
          <w:lang w:val="en-US"/>
        </w:rPr>
        <w:t>: acute kidney injury</w:t>
      </w:r>
      <w:r w:rsidR="00085D2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2B744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see definition in the method section</w:t>
      </w:r>
    </w:p>
    <w:p w:rsidR="00171FCA" w:rsidRDefault="00171FCA" w:rsidP="00171FC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B7449">
        <w:rPr>
          <w:rFonts w:ascii="Times New Roman" w:hAnsi="Times New Roman" w:cs="Times New Roman"/>
          <w:sz w:val="20"/>
          <w:szCs w:val="20"/>
          <w:lang w:val="en-US"/>
        </w:rPr>
        <w:t xml:space="preserve">BMI: body mass index; SD: standard deviation; P/F: PaO2/FiO2 ratio; NO: Inhaled nitric oxide; </w:t>
      </w:r>
    </w:p>
    <w:p w:rsidR="00171FCA" w:rsidRPr="002B7449" w:rsidRDefault="00171FCA" w:rsidP="00171FC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B744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B7449">
        <w:rPr>
          <w:rFonts w:ascii="Times New Roman" w:hAnsi="Times New Roman" w:cs="Times New Roman"/>
          <w:sz w:val="20"/>
          <w:szCs w:val="20"/>
          <w:lang w:val="en-US"/>
        </w:rPr>
        <w:t xml:space="preserve"> P-value was calculated by Fisher exact test, t-test or Mann Whitney test as appropriate</w:t>
      </w:r>
    </w:p>
    <w:p w:rsidR="00171FCA" w:rsidRPr="002B7449" w:rsidRDefault="00171FCA" w:rsidP="00171FC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B744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2B7449">
        <w:rPr>
          <w:rFonts w:ascii="Times New Roman" w:hAnsi="Times New Roman" w:cs="Times New Roman"/>
          <w:sz w:val="20"/>
          <w:szCs w:val="20"/>
          <w:lang w:val="en-US"/>
        </w:rPr>
        <w:t xml:space="preserve">some patients were included in a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double blind </w:t>
      </w:r>
      <w:r w:rsidRPr="002B7449">
        <w:rPr>
          <w:rFonts w:ascii="Times New Roman" w:hAnsi="Times New Roman" w:cs="Times New Roman"/>
          <w:sz w:val="20"/>
          <w:szCs w:val="20"/>
          <w:lang w:val="en-US"/>
        </w:rPr>
        <w:t>RCT steroids vs placebo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are considered as missing data, most of the treated patients received steroids lately</w:t>
      </w:r>
    </w:p>
    <w:p w:rsidR="00171FCA" w:rsidRPr="005E59EF" w:rsidRDefault="00171FCA" w:rsidP="00171FCA">
      <w:pPr>
        <w:rPr>
          <w:lang w:val="en-NZ"/>
        </w:rPr>
      </w:pPr>
    </w:p>
    <w:p w:rsidR="003C138D" w:rsidRPr="00FA0A21" w:rsidRDefault="00171FCA" w:rsidP="003C138D">
      <w:pPr>
        <w:rPr>
          <w:lang w:val="en-US"/>
        </w:rPr>
      </w:pPr>
      <w:r>
        <w:rPr>
          <w:lang w:val="en-US"/>
        </w:rPr>
        <w:br w:type="page"/>
      </w:r>
    </w:p>
    <w:p w:rsidR="003C138D" w:rsidRPr="00FA0A21" w:rsidRDefault="003C138D" w:rsidP="003C138D">
      <w:pPr>
        <w:rPr>
          <w:lang w:val="en-US"/>
        </w:rPr>
      </w:pPr>
    </w:p>
    <w:p w:rsidR="003C138D" w:rsidRPr="00FA0A21" w:rsidRDefault="003C138D" w:rsidP="003C138D">
      <w:pPr>
        <w:rPr>
          <w:lang w:val="en-US"/>
        </w:rPr>
      </w:pPr>
    </w:p>
    <w:p w:rsidR="003C138D" w:rsidRPr="00FA0A21" w:rsidRDefault="003C138D" w:rsidP="003C138D">
      <w:pPr>
        <w:rPr>
          <w:lang w:val="en-US"/>
        </w:rPr>
      </w:pPr>
      <w:r w:rsidRPr="00FA0A21">
        <w:rPr>
          <w:u w:val="single"/>
          <w:lang w:val="en-US"/>
        </w:rPr>
        <w:t xml:space="preserve">Figure </w:t>
      </w:r>
      <w:r w:rsidR="002F30DF">
        <w:rPr>
          <w:u w:val="single"/>
          <w:lang w:val="en-US"/>
        </w:rPr>
        <w:t>S</w:t>
      </w:r>
      <w:r w:rsidRPr="00FA0A21">
        <w:rPr>
          <w:u w:val="single"/>
          <w:lang w:val="en-US"/>
        </w:rPr>
        <w:t>1</w:t>
      </w:r>
      <w:r w:rsidRPr="00FA0A21">
        <w:rPr>
          <w:lang w:val="en-US"/>
        </w:rPr>
        <w:t>: Flow chart of the study</w:t>
      </w: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C86E28">
      <w:pPr>
        <w:rPr>
          <w:lang w:val="en-US"/>
        </w:rPr>
      </w:pPr>
      <w:r w:rsidRPr="00FA0A21">
        <w:rPr>
          <w:noProof/>
          <w:lang w:val="en-IN" w:eastAsia="en-IN"/>
        </w:rPr>
        <w:drawing>
          <wp:inline distT="0" distB="0" distL="0" distR="0">
            <wp:extent cx="5756910" cy="3609711"/>
            <wp:effectExtent l="25400" t="0" r="889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609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C86E28">
      <w:pPr>
        <w:rPr>
          <w:lang w:val="en-US"/>
        </w:rPr>
      </w:pPr>
      <w:r w:rsidRPr="00FA0A21">
        <w:rPr>
          <w:lang w:val="en-US"/>
        </w:rPr>
        <w:t xml:space="preserve">MV: mechanical ventilation, SOC: standard of care, L/R: Lopinavir/ritonavir, OHQ: hydroxychloroquine, Others: </w:t>
      </w:r>
      <w:r w:rsidRPr="00FA0A21">
        <w:rPr>
          <w:rFonts w:ascii="Times New Roman" w:hAnsi="Times New Roman" w:cs="Times New Roman"/>
          <w:szCs w:val="20"/>
          <w:lang w:val="en-US"/>
        </w:rPr>
        <w:t>OHQ + L/R N= 32; OHQ + Remdesivir N= 10; Remdesivir N=11</w:t>
      </w:r>
    </w:p>
    <w:p w:rsidR="003C138D" w:rsidRPr="00FA0A21" w:rsidRDefault="003C138D">
      <w:pPr>
        <w:rPr>
          <w:lang w:val="en-US"/>
        </w:rPr>
      </w:pPr>
    </w:p>
    <w:p w:rsidR="003C138D" w:rsidRPr="00FA0A21" w:rsidRDefault="00D37BD0">
      <w:pPr>
        <w:rPr>
          <w:lang w:val="en-US"/>
        </w:rPr>
      </w:pPr>
      <w:r w:rsidRPr="00FA0A21">
        <w:rPr>
          <w:lang w:val="en-US"/>
        </w:rPr>
        <w:br w:type="page"/>
      </w:r>
    </w:p>
    <w:p w:rsidR="003C138D" w:rsidRPr="00FA0A21" w:rsidRDefault="003C138D">
      <w:pPr>
        <w:rPr>
          <w:lang w:val="en-US"/>
        </w:rPr>
      </w:pPr>
    </w:p>
    <w:p w:rsidR="00085D26" w:rsidRPr="00FA0A21" w:rsidRDefault="00085D26" w:rsidP="00085D26">
      <w:pPr>
        <w:rPr>
          <w:lang w:val="en-US"/>
        </w:rPr>
      </w:pPr>
      <w:r w:rsidRPr="00085D26">
        <w:rPr>
          <w:u w:val="single"/>
          <w:lang w:val="en-US"/>
        </w:rPr>
        <w:t xml:space="preserve">Figure </w:t>
      </w:r>
      <w:r w:rsidR="002F30DF">
        <w:rPr>
          <w:u w:val="single"/>
          <w:lang w:val="en-US"/>
        </w:rPr>
        <w:t>S</w:t>
      </w:r>
      <w:r>
        <w:rPr>
          <w:u w:val="single"/>
          <w:lang w:val="en-US"/>
        </w:rPr>
        <w:t>2</w:t>
      </w:r>
      <w:r w:rsidR="002760C6">
        <w:rPr>
          <w:lang w:val="en-US"/>
        </w:rPr>
        <w:t>: For</w:t>
      </w:r>
      <w:r w:rsidRPr="00FA0A21">
        <w:rPr>
          <w:lang w:val="en-US"/>
        </w:rPr>
        <w:t xml:space="preserve">est plot of </w:t>
      </w:r>
      <w:r w:rsidR="00575A1B">
        <w:rPr>
          <w:lang w:val="en-US"/>
        </w:rPr>
        <w:t>antiviral strategies effect</w:t>
      </w:r>
      <w:r w:rsidRPr="00FA0A21">
        <w:rPr>
          <w:lang w:val="en-US"/>
        </w:rPr>
        <w:t xml:space="preserve"> </w:t>
      </w:r>
      <w:r w:rsidR="00575A1B">
        <w:rPr>
          <w:lang w:val="en-US"/>
        </w:rPr>
        <w:t>on</w:t>
      </w:r>
      <w:r>
        <w:rPr>
          <w:lang w:val="en-US"/>
        </w:rPr>
        <w:t xml:space="preserve"> ICU survival</w:t>
      </w:r>
      <w:r w:rsidRPr="00FA0A21">
        <w:rPr>
          <w:lang w:val="en-US"/>
        </w:rPr>
        <w:t xml:space="preserve"> in a mixed multivariate model</w:t>
      </w:r>
    </w:p>
    <w:p w:rsidR="00BB4D28" w:rsidRDefault="00BB4D28">
      <w:pPr>
        <w:rPr>
          <w:lang w:val="en-US"/>
        </w:rPr>
      </w:pPr>
    </w:p>
    <w:p w:rsidR="00BB4D28" w:rsidRDefault="00BB4D28">
      <w:pPr>
        <w:rPr>
          <w:lang w:val="en-US"/>
        </w:rPr>
      </w:pPr>
    </w:p>
    <w:p w:rsidR="00575A1B" w:rsidRDefault="00575A1B">
      <w:pPr>
        <w:rPr>
          <w:lang w:val="en-US"/>
        </w:rPr>
      </w:pPr>
      <w:r w:rsidRPr="00575A1B">
        <w:rPr>
          <w:noProof/>
          <w:lang w:val="en-IN" w:eastAsia="en-IN"/>
        </w:rPr>
        <w:drawing>
          <wp:inline distT="0" distB="0" distL="0" distR="0">
            <wp:extent cx="5756910" cy="3005149"/>
            <wp:effectExtent l="0" t="0" r="8890" b="0"/>
            <wp:docPr id="11" name="O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004693" cy="4178165"/>
                      <a:chOff x="457200" y="1442104"/>
                      <a:chExt cx="8004693" cy="4178165"/>
                    </a:xfrm>
                  </a:grpSpPr>
                  <a:grpSp>
                    <a:nvGrpSpPr>
                      <a:cNvPr id="23" name="Grouper 22"/>
                      <a:cNvGrpSpPr/>
                    </a:nvGrpSpPr>
                    <a:grpSpPr>
                      <a:xfrm>
                        <a:off x="457200" y="1442104"/>
                        <a:ext cx="8004693" cy="4178165"/>
                        <a:chOff x="457200" y="1442104"/>
                        <a:chExt cx="8004693" cy="4178165"/>
                      </a:xfrm>
                    </a:grpSpPr>
                    <a:sp>
                      <a:nvSpPr>
                        <a:cNvPr id="13" name="ZoneTexte 12"/>
                        <a:cNvSpPr txBox="1"/>
                      </a:nvSpPr>
                      <a:spPr>
                        <a:xfrm>
                          <a:off x="1081312" y="1697003"/>
                          <a:ext cx="2146330" cy="30777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smtClean="0"/>
                              <a:t>L/R</a:t>
                            </a:r>
                            <a:r>
                              <a:rPr lang="fr-FR" sz="1400" dirty="0" smtClean="0"/>
                              <a:t> 1.04 (0.36-3.05</a:t>
                            </a:r>
                            <a:r>
                              <a:rPr lang="fr-FR" sz="1400" dirty="0" smtClean="0"/>
                              <a:t>)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7" name="ZoneTexte 16"/>
                        <a:cNvSpPr txBox="1"/>
                      </a:nvSpPr>
                      <a:spPr>
                        <a:xfrm>
                          <a:off x="1282486" y="2320951"/>
                          <a:ext cx="1945156" cy="30777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smtClean="0"/>
                              <a:t>OHQ</a:t>
                            </a:r>
                            <a:r>
                              <a:rPr lang="fr-FR" sz="1400" dirty="0" smtClean="0"/>
                              <a:t> 1.45 </a:t>
                            </a:r>
                            <a:r>
                              <a:rPr lang="fr-FR" sz="1400" dirty="0" smtClean="0"/>
                              <a:t>(</a:t>
                            </a:r>
                            <a:r>
                              <a:rPr lang="fr-FR" sz="1400" dirty="0" smtClean="0"/>
                              <a:t>0.65-3.36)</a:t>
                            </a:r>
                            <a:endParaRPr lang="fr-FR" sz="14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18" name="ZoneTexte 17"/>
                        <a:cNvSpPr txBox="1"/>
                      </a:nvSpPr>
                      <a:spPr>
                        <a:xfrm>
                          <a:off x="1081312" y="2918599"/>
                          <a:ext cx="2146330" cy="30777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err="1" smtClean="0"/>
                              <a:t>Others</a:t>
                            </a:r>
                            <a:r>
                              <a:rPr lang="fr-FR" sz="1400" dirty="0" smtClean="0"/>
                              <a:t> </a:t>
                            </a:r>
                            <a:r>
                              <a:rPr lang="fr-FR" sz="1400" dirty="0" smtClean="0"/>
                              <a:t>1.45 </a:t>
                            </a:r>
                            <a:r>
                              <a:rPr lang="fr-FR" sz="1400" dirty="0" smtClean="0"/>
                              <a:t>(</a:t>
                            </a:r>
                            <a:r>
                              <a:rPr lang="fr-FR" sz="1400" dirty="0" smtClean="0"/>
                              <a:t>0.47-4.70)</a:t>
                            </a:r>
                            <a:endParaRPr lang="fr-FR" sz="14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19" name="ZoneTexte 18"/>
                        <a:cNvSpPr txBox="1"/>
                      </a:nvSpPr>
                      <a:spPr>
                        <a:xfrm>
                          <a:off x="787774" y="3581487"/>
                          <a:ext cx="2439868" cy="30777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smtClean="0"/>
                              <a:t>Age , per y 0.94 (</a:t>
                            </a:r>
                            <a:r>
                              <a:rPr lang="fr-FR" sz="1400" dirty="0" smtClean="0"/>
                              <a:t>0.92-0.97)</a:t>
                            </a:r>
                            <a:endParaRPr lang="fr-FR" sz="14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20" name="ZoneTexte 19"/>
                        <a:cNvSpPr txBox="1"/>
                      </a:nvSpPr>
                      <a:spPr>
                        <a:xfrm>
                          <a:off x="457200" y="4155715"/>
                          <a:ext cx="2770442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err="1" smtClean="0"/>
                              <a:t>Charlson</a:t>
                            </a:r>
                            <a:r>
                              <a:rPr lang="fr-FR" sz="1400" dirty="0" smtClean="0"/>
                              <a:t> </a:t>
                            </a:r>
                            <a:r>
                              <a:rPr lang="fr-FR" sz="1400" dirty="0" err="1" smtClean="0"/>
                              <a:t>Comorbidity</a:t>
                            </a:r>
                            <a:r>
                              <a:rPr lang="fr-FR" sz="1400" dirty="0" smtClean="0"/>
                              <a:t> Index &gt; 1 0.49 (0.28-0.85)</a:t>
                            </a:r>
                            <a:endParaRPr lang="fr-FR" sz="14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21" name="ZoneTexte 20"/>
                        <a:cNvSpPr txBox="1"/>
                      </a:nvSpPr>
                      <a:spPr>
                        <a:xfrm>
                          <a:off x="787774" y="4816127"/>
                          <a:ext cx="2439868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r"/>
                            <a:r>
                              <a:rPr lang="fr-FR" sz="1400" dirty="0" smtClean="0"/>
                              <a:t>Plateau pressure &gt; 24 cmH2O </a:t>
                            </a:r>
                          </a:p>
                          <a:p>
                            <a:pPr algn="r"/>
                            <a:r>
                              <a:rPr lang="fr-FR" sz="1400" dirty="0" smtClean="0"/>
                              <a:t>0.48 (0.27-0.82)</a:t>
                            </a:r>
                            <a:endParaRPr lang="fr-FR" sz="1400" dirty="0"/>
                          </a:p>
                        </a:txBody>
                        <a:useSpRect/>
                      </a:txSp>
                    </a:sp>
                    <a:pic>
                      <a:nvPicPr>
                        <a:cNvPr id="22" name="Image 21" descr="mod5.png"/>
                        <a:cNvPicPr>
                          <a:picLocks noChangeAspect="1"/>
                        </a:cNvPicPr>
                      </a:nvPicPr>
                      <a:blipFill>
                        <a:blip r:embed="rId6"/>
                        <a:srcRect l="20430" t="6088"/>
                        <a:stretch>
                          <a:fillRect/>
                        </a:stretch>
                      </a:blipFill>
                      <a:spPr>
                        <a:xfrm>
                          <a:off x="3227642" y="1442104"/>
                          <a:ext cx="5234251" cy="4178165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575A1B" w:rsidRDefault="00575A1B">
      <w:pPr>
        <w:rPr>
          <w:lang w:val="en-US"/>
        </w:rPr>
      </w:pPr>
    </w:p>
    <w:p w:rsidR="00575A1B" w:rsidRDefault="00575A1B">
      <w:pPr>
        <w:rPr>
          <w:lang w:val="en-US"/>
        </w:rPr>
      </w:pPr>
    </w:p>
    <w:p w:rsidR="00575A1B" w:rsidRPr="00FA0A21" w:rsidRDefault="00575A1B" w:rsidP="00575A1B">
      <w:pPr>
        <w:rPr>
          <w:lang w:val="en-US"/>
        </w:rPr>
      </w:pPr>
    </w:p>
    <w:p w:rsidR="00575A1B" w:rsidRPr="002E577D" w:rsidRDefault="00575A1B" w:rsidP="00575A1B">
      <w:pPr>
        <w:rPr>
          <w:rFonts w:ascii="Times New Roman" w:hAnsi="Times New Roman"/>
          <w:color w:val="0000FF"/>
          <w:sz w:val="20"/>
          <w:lang w:val="en-US"/>
        </w:rPr>
      </w:pPr>
      <w:r w:rsidRPr="00FA0A21">
        <w:rPr>
          <w:rFonts w:ascii="Times New Roman" w:hAnsi="Times New Roman" w:cs="Times New Roman"/>
          <w:sz w:val="22"/>
          <w:lang w:val="en-US"/>
        </w:rPr>
        <w:t xml:space="preserve">OR (CI95%) were obtained through a generalized linear mixed model including </w:t>
      </w:r>
      <w:r>
        <w:rPr>
          <w:rFonts w:ascii="Times New Roman" w:hAnsi="Times New Roman" w:cs="Times New Roman"/>
          <w:sz w:val="22"/>
          <w:lang w:val="en-US"/>
        </w:rPr>
        <w:t>antiviral strategies</w:t>
      </w:r>
      <w:r w:rsidRPr="00FA0A21">
        <w:rPr>
          <w:rFonts w:ascii="Times New Roman" w:hAnsi="Times New Roman" w:cs="Times New Roman"/>
          <w:sz w:val="22"/>
          <w:lang w:val="en-US"/>
        </w:rPr>
        <w:t xml:space="preserve">, age, sexe, </w:t>
      </w:r>
      <w:r w:rsidRPr="00575A1B">
        <w:rPr>
          <w:rFonts w:ascii="Times New Roman" w:hAnsi="Times New Roman" w:cs="Times New Roman"/>
          <w:sz w:val="22"/>
          <w:lang w:val="en-US"/>
        </w:rPr>
        <w:t xml:space="preserve">Charlson comorbidity index, plateau pressure and P/F </w:t>
      </w:r>
      <w:r w:rsidRPr="00FA0A21">
        <w:rPr>
          <w:rFonts w:ascii="Times New Roman" w:hAnsi="Times New Roman" w:cs="Times New Roman"/>
          <w:sz w:val="22"/>
          <w:lang w:val="en-US"/>
        </w:rPr>
        <w:t xml:space="preserve">with centre as random effect. (N= </w:t>
      </w:r>
      <w:r>
        <w:rPr>
          <w:rFonts w:ascii="Times New Roman" w:hAnsi="Times New Roman" w:cs="Times New Roman"/>
          <w:sz w:val="22"/>
          <w:lang w:val="en-US"/>
        </w:rPr>
        <w:t>361</w:t>
      </w:r>
      <w:r w:rsidRPr="00575A1B">
        <w:rPr>
          <w:rFonts w:ascii="Times New Roman" w:hAnsi="Times New Roman" w:cs="Times New Roman"/>
          <w:sz w:val="22"/>
          <w:lang w:val="en-US"/>
        </w:rPr>
        <w:t>).</w:t>
      </w:r>
      <w:r w:rsidRPr="00575A1B">
        <w:rPr>
          <w:rFonts w:ascii="Times New Roman" w:hAnsi="Times New Roman"/>
          <w:sz w:val="20"/>
          <w:lang w:val="en-US"/>
        </w:rPr>
        <w:t xml:space="preserve"> L/R: lopinavir/ritonavir ; OHQ: hydroxychloroquine.</w:t>
      </w:r>
    </w:p>
    <w:p w:rsidR="00575A1B" w:rsidRDefault="00575A1B">
      <w:pPr>
        <w:rPr>
          <w:lang w:val="en-US"/>
        </w:rPr>
      </w:pPr>
    </w:p>
    <w:p w:rsidR="00575A1B" w:rsidRDefault="00575A1B">
      <w:pPr>
        <w:rPr>
          <w:lang w:val="en-US"/>
        </w:rPr>
      </w:pPr>
    </w:p>
    <w:p w:rsidR="00575A1B" w:rsidRDefault="00575A1B">
      <w:pPr>
        <w:rPr>
          <w:lang w:val="en-US"/>
        </w:rPr>
      </w:pPr>
    </w:p>
    <w:p w:rsidR="003C138D" w:rsidRPr="00FA0A21" w:rsidRDefault="00085D26">
      <w:pPr>
        <w:rPr>
          <w:lang w:val="en-US"/>
        </w:rPr>
      </w:pPr>
      <w:r>
        <w:rPr>
          <w:lang w:val="en-US"/>
        </w:rPr>
        <w:br w:type="page"/>
      </w:r>
    </w:p>
    <w:p w:rsidR="003C138D" w:rsidRPr="00FA0A21" w:rsidRDefault="003C138D">
      <w:pPr>
        <w:rPr>
          <w:lang w:val="en-US"/>
        </w:rPr>
      </w:pPr>
    </w:p>
    <w:p w:rsidR="00FA0A21" w:rsidRPr="00FA0A21" w:rsidRDefault="00085D26">
      <w:pPr>
        <w:rPr>
          <w:lang w:val="en-US"/>
        </w:rPr>
      </w:pPr>
      <w:r w:rsidRPr="00085D26">
        <w:rPr>
          <w:u w:val="single"/>
          <w:lang w:val="en-US"/>
        </w:rPr>
        <w:t xml:space="preserve">Figure </w:t>
      </w:r>
      <w:r w:rsidR="00076EBE">
        <w:rPr>
          <w:u w:val="single"/>
          <w:lang w:val="en-US"/>
        </w:rPr>
        <w:t>S</w:t>
      </w:r>
      <w:bookmarkStart w:id="0" w:name="_GoBack"/>
      <w:bookmarkEnd w:id="0"/>
      <w:r w:rsidRPr="00085D26">
        <w:rPr>
          <w:u w:val="single"/>
          <w:lang w:val="en-US"/>
        </w:rPr>
        <w:t>3</w:t>
      </w:r>
      <w:r w:rsidR="00D37BD0" w:rsidRPr="00FA0A21">
        <w:rPr>
          <w:lang w:val="en-US"/>
        </w:rPr>
        <w:t xml:space="preserve">: </w:t>
      </w:r>
      <w:r w:rsidR="002760C6">
        <w:rPr>
          <w:lang w:val="en-US"/>
        </w:rPr>
        <w:t>For</w:t>
      </w:r>
      <w:r w:rsidR="00FA0A21" w:rsidRPr="00FA0A21">
        <w:rPr>
          <w:lang w:val="en-US"/>
        </w:rPr>
        <w:t xml:space="preserve">est plot of variables associated </w:t>
      </w:r>
      <w:r>
        <w:rPr>
          <w:lang w:val="en-US"/>
        </w:rPr>
        <w:t xml:space="preserve">with </w:t>
      </w:r>
      <w:r w:rsidR="00FA0A21" w:rsidRPr="00FA0A21">
        <w:rPr>
          <w:lang w:val="en-US"/>
        </w:rPr>
        <w:t>AKI in a mixed multivariate model</w:t>
      </w:r>
    </w:p>
    <w:p w:rsidR="00FA0A21" w:rsidRPr="00FA0A21" w:rsidRDefault="00FA0A21">
      <w:pPr>
        <w:rPr>
          <w:lang w:val="en-US"/>
        </w:rPr>
      </w:pPr>
    </w:p>
    <w:p w:rsidR="00FA0A21" w:rsidRPr="00FA0A21" w:rsidRDefault="00FA0A21" w:rsidP="00FA0A21">
      <w:pPr>
        <w:rPr>
          <w:sz w:val="22"/>
          <w:lang w:val="en-US"/>
        </w:rPr>
      </w:pPr>
      <w:r w:rsidRPr="00FA0A21"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3100" cy="3510915"/>
            <wp:effectExtent l="25400" t="0" r="0" b="0"/>
            <wp:wrapTight wrapText="bothSides">
              <wp:wrapPolygon edited="0">
                <wp:start x="-95" y="0"/>
                <wp:lineTo x="-95" y="21565"/>
                <wp:lineTo x="21552" y="21565"/>
                <wp:lineTo x="21552" y="0"/>
                <wp:lineTo x="-95" y="0"/>
              </wp:wrapPolygon>
            </wp:wrapTight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1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0A21">
        <w:rPr>
          <w:rFonts w:ascii="Calibri" w:eastAsia="+mn-ea" w:hAnsi="Calibri" w:cs="+mn-cs"/>
          <w:color w:val="000000"/>
          <w:kern w:val="24"/>
          <w:sz w:val="36"/>
          <w:szCs w:val="36"/>
          <w:lang w:val="en-US" w:eastAsia="fr-FR"/>
        </w:rPr>
        <w:t xml:space="preserve"> </w:t>
      </w:r>
      <w:r w:rsidRPr="00FA0A21">
        <w:rPr>
          <w:rFonts w:ascii="Times New Roman" w:hAnsi="Times New Roman" w:cs="Times New Roman"/>
          <w:sz w:val="22"/>
          <w:lang w:val="en-US"/>
        </w:rPr>
        <w:t xml:space="preserve">OR (CI95%) were obtained through a generalized linear mixed model including lopinavir, </w:t>
      </w:r>
      <w:r w:rsidR="00DD3D13">
        <w:rPr>
          <w:rFonts w:ascii="Times New Roman" w:hAnsi="Times New Roman" w:cs="Times New Roman"/>
          <w:sz w:val="22"/>
          <w:lang w:val="en-US"/>
        </w:rPr>
        <w:t xml:space="preserve">hydroxychloroquine, </w:t>
      </w:r>
      <w:r w:rsidRPr="00FA0A21">
        <w:rPr>
          <w:rFonts w:ascii="Times New Roman" w:hAnsi="Times New Roman" w:cs="Times New Roman"/>
          <w:sz w:val="22"/>
          <w:lang w:val="en-US"/>
        </w:rPr>
        <w:t xml:space="preserve">age, sexe, BMI, chronic hypertension and moderate to severe chronic renal failure with centre as random effect. (N= 410). </w:t>
      </w:r>
      <w:r w:rsidRPr="00FA0A21">
        <w:rPr>
          <w:sz w:val="22"/>
          <w:lang w:val="en-US"/>
        </w:rPr>
        <w:t>N= 410. AKI: acute kidney injury. Chronic kidney disease: moderate to severe chronic renal failure</w:t>
      </w:r>
    </w:p>
    <w:p w:rsidR="003C138D" w:rsidRPr="00FA0A21" w:rsidRDefault="003C138D">
      <w:pPr>
        <w:rPr>
          <w:sz w:val="22"/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p w:rsidR="003C138D" w:rsidRPr="00FA0A21" w:rsidRDefault="003C138D">
      <w:pPr>
        <w:rPr>
          <w:lang w:val="en-US"/>
        </w:rPr>
      </w:pPr>
    </w:p>
    <w:sectPr w:rsidR="003C138D" w:rsidRPr="00FA0A21" w:rsidSect="003C138D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50000000000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+mn-cs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135B5"/>
    <w:multiLevelType w:val="hybridMultilevel"/>
    <w:tmpl w:val="3C1203EE"/>
    <w:lvl w:ilvl="0" w:tplc="789EDA2C">
      <w:numFmt w:val="bullet"/>
      <w:lvlText w:val="-"/>
      <w:lvlJc w:val="left"/>
      <w:pPr>
        <w:ind w:left="1788" w:hanging="360"/>
      </w:pPr>
      <w:rPr>
        <w:rFonts w:ascii="Times New Roman" w:hAnsi="Times New Roman" w:hint="default"/>
        <w:color w:val="333399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80C1CD8"/>
    <w:multiLevelType w:val="multilevel"/>
    <w:tmpl w:val="040C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2A8E4364"/>
    <w:multiLevelType w:val="hybridMultilevel"/>
    <w:tmpl w:val="188633BC"/>
    <w:lvl w:ilvl="0" w:tplc="0B1EDD02">
      <w:numFmt w:val="bullet"/>
      <w:lvlText w:val="-"/>
      <w:lvlJc w:val="left"/>
      <w:pPr>
        <w:ind w:left="720" w:hanging="360"/>
      </w:pPr>
      <w:rPr>
        <w:rFonts w:ascii="Arial" w:eastAsia="Times New Roman" w:hAnsi="Arial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244A0"/>
    <w:multiLevelType w:val="hybridMultilevel"/>
    <w:tmpl w:val="D5B2B43C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BE638F"/>
    <w:rsid w:val="00076EBE"/>
    <w:rsid w:val="00085D26"/>
    <w:rsid w:val="00116B2C"/>
    <w:rsid w:val="00171FCA"/>
    <w:rsid w:val="002760C6"/>
    <w:rsid w:val="002F30DF"/>
    <w:rsid w:val="003C138D"/>
    <w:rsid w:val="00575A1B"/>
    <w:rsid w:val="00A010D8"/>
    <w:rsid w:val="00BB4D28"/>
    <w:rsid w:val="00BE405C"/>
    <w:rsid w:val="00BE638F"/>
    <w:rsid w:val="00C86E28"/>
    <w:rsid w:val="00D37BD0"/>
    <w:rsid w:val="00DD3D13"/>
    <w:rsid w:val="00FA0A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5D6BA0-8A7A-4A26-A2B7-B03D6DBC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38F"/>
  </w:style>
  <w:style w:type="paragraph" w:styleId="Heading1">
    <w:name w:val="heading 1"/>
    <w:basedOn w:val="Normal"/>
    <w:next w:val="Normal"/>
    <w:link w:val="Heading1Char"/>
    <w:autoRedefine/>
    <w:qFormat/>
    <w:rsid w:val="00171FCA"/>
    <w:pPr>
      <w:numPr>
        <w:numId w:val="2"/>
      </w:numPr>
      <w:spacing w:before="240" w:after="240" w:line="276" w:lineRule="auto"/>
      <w:jc w:val="both"/>
      <w:outlineLvl w:val="0"/>
    </w:pPr>
    <w:rPr>
      <w:rFonts w:ascii="Times New Roman" w:eastAsia="Times New Roman" w:hAnsi="Times New Roman" w:cs="Times New Roman"/>
      <w:color w:val="000000"/>
      <w:kern w:val="32"/>
      <w:sz w:val="32"/>
      <w:szCs w:val="32"/>
      <w:u w:val="single"/>
      <w:lang w:eastAsia="fr-FR"/>
    </w:rPr>
  </w:style>
  <w:style w:type="paragraph" w:styleId="Heading2">
    <w:name w:val="heading 2"/>
    <w:basedOn w:val="Normal"/>
    <w:next w:val="Normal"/>
    <w:link w:val="Heading2Char"/>
    <w:autoRedefine/>
    <w:qFormat/>
    <w:rsid w:val="00171FCA"/>
    <w:pPr>
      <w:keepNext/>
      <w:keepLines/>
      <w:tabs>
        <w:tab w:val="left" w:pos="0"/>
      </w:tabs>
      <w:spacing w:before="200" w:after="60" w:line="276" w:lineRule="auto"/>
      <w:jc w:val="both"/>
      <w:outlineLvl w:val="1"/>
    </w:pPr>
    <w:rPr>
      <w:rFonts w:ascii="Times New Roman" w:eastAsia="Times New Roman" w:hAnsi="Times New Roman" w:cs="Arial"/>
      <w:b/>
      <w:szCs w:val="22"/>
      <w:lang w:eastAsia="fr-FR"/>
    </w:rPr>
  </w:style>
  <w:style w:type="paragraph" w:styleId="Heading3">
    <w:name w:val="heading 3"/>
    <w:basedOn w:val="Normal"/>
    <w:next w:val="Normal"/>
    <w:link w:val="Heading3Char"/>
    <w:autoRedefine/>
    <w:qFormat/>
    <w:rsid w:val="00171FCA"/>
    <w:pPr>
      <w:keepNext/>
      <w:numPr>
        <w:ilvl w:val="2"/>
        <w:numId w:val="2"/>
      </w:numPr>
      <w:spacing w:before="120" w:after="60"/>
      <w:jc w:val="both"/>
      <w:outlineLvl w:val="2"/>
    </w:pPr>
    <w:rPr>
      <w:rFonts w:ascii="Times New Roman" w:eastAsia="Times New Roman" w:hAnsi="Times New Roman" w:cs="Times New Roman"/>
      <w:iCs/>
      <w:lang w:eastAsia="fr-FR"/>
    </w:rPr>
  </w:style>
  <w:style w:type="paragraph" w:styleId="Heading4">
    <w:name w:val="heading 4"/>
    <w:basedOn w:val="Normal"/>
    <w:next w:val="Normal"/>
    <w:link w:val="Heading4Char"/>
    <w:qFormat/>
    <w:rsid w:val="00171FCA"/>
    <w:pPr>
      <w:keepNext/>
      <w:numPr>
        <w:ilvl w:val="3"/>
        <w:numId w:val="2"/>
      </w:numPr>
      <w:spacing w:line="360" w:lineRule="auto"/>
      <w:outlineLvl w:val="3"/>
    </w:pPr>
    <w:rPr>
      <w:rFonts w:ascii="Times New Roman" w:eastAsia="Times New Roman" w:hAnsi="Times New Roman" w:cs="Times New Roman"/>
      <w:b/>
      <w:bCs/>
      <w:iCs/>
      <w:lang w:eastAsia="fr-FR"/>
    </w:rPr>
  </w:style>
  <w:style w:type="paragraph" w:styleId="Heading5">
    <w:name w:val="heading 5"/>
    <w:basedOn w:val="Normal"/>
    <w:next w:val="Normal"/>
    <w:link w:val="Heading5Char"/>
    <w:qFormat/>
    <w:rsid w:val="00171FCA"/>
    <w:pPr>
      <w:numPr>
        <w:ilvl w:val="4"/>
        <w:numId w:val="2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paragraph" w:styleId="Heading6">
    <w:name w:val="heading 6"/>
    <w:basedOn w:val="Normal"/>
    <w:next w:val="Normal"/>
    <w:link w:val="Heading6Char"/>
    <w:qFormat/>
    <w:rsid w:val="00171FCA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fr-FR"/>
    </w:rPr>
  </w:style>
  <w:style w:type="paragraph" w:styleId="Heading7">
    <w:name w:val="heading 7"/>
    <w:basedOn w:val="Normal"/>
    <w:next w:val="Normal"/>
    <w:link w:val="Heading7Char"/>
    <w:qFormat/>
    <w:rsid w:val="00171FCA"/>
    <w:pPr>
      <w:numPr>
        <w:ilvl w:val="6"/>
        <w:numId w:val="2"/>
      </w:numPr>
      <w:spacing w:before="240" w:after="60"/>
      <w:outlineLvl w:val="6"/>
    </w:pPr>
    <w:rPr>
      <w:rFonts w:ascii="Times New Roman" w:eastAsia="Times New Roman" w:hAnsi="Times New Roman" w:cs="Times New Roman"/>
      <w:lang w:eastAsia="fr-FR"/>
    </w:rPr>
  </w:style>
  <w:style w:type="paragraph" w:styleId="Heading8">
    <w:name w:val="heading 8"/>
    <w:basedOn w:val="Normal"/>
    <w:next w:val="Normal"/>
    <w:link w:val="Heading8Char"/>
    <w:qFormat/>
    <w:rsid w:val="00171FCA"/>
    <w:pPr>
      <w:numPr>
        <w:ilvl w:val="7"/>
        <w:numId w:val="2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lang w:eastAsia="fr-FR"/>
    </w:rPr>
  </w:style>
  <w:style w:type="paragraph" w:styleId="Heading9">
    <w:name w:val="heading 9"/>
    <w:basedOn w:val="Normal"/>
    <w:next w:val="Normal"/>
    <w:link w:val="Heading9Char"/>
    <w:qFormat/>
    <w:rsid w:val="00171FCA"/>
    <w:pPr>
      <w:numPr>
        <w:ilvl w:val="8"/>
        <w:numId w:val="2"/>
      </w:numPr>
      <w:spacing w:before="240" w:after="60"/>
      <w:outlineLvl w:val="8"/>
    </w:pPr>
    <w:rPr>
      <w:rFonts w:ascii="Arial" w:eastAsia="Times New Roman" w:hAnsi="Arial" w:cs="Arial"/>
      <w:sz w:val="22"/>
      <w:szCs w:val="22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638F"/>
  </w:style>
  <w:style w:type="paragraph" w:styleId="CommentText">
    <w:name w:val="annotation text"/>
    <w:basedOn w:val="Normal"/>
    <w:link w:val="CommentTextChar"/>
    <w:uiPriority w:val="99"/>
    <w:semiHidden/>
    <w:unhideWhenUsed/>
    <w:rsid w:val="00BE638F"/>
    <w:pPr>
      <w:spacing w:after="200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38F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8F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38F"/>
    <w:rPr>
      <w:rFonts w:ascii="Lucida Grande" w:hAnsi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38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rsid w:val="00FA0A21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character" w:customStyle="1" w:styleId="Heading1Char">
    <w:name w:val="Heading 1 Char"/>
    <w:basedOn w:val="DefaultParagraphFont"/>
    <w:link w:val="Heading1"/>
    <w:rsid w:val="00171FCA"/>
    <w:rPr>
      <w:rFonts w:ascii="Times New Roman" w:eastAsia="Times New Roman" w:hAnsi="Times New Roman" w:cs="Times New Roman"/>
      <w:color w:val="000000"/>
      <w:kern w:val="32"/>
      <w:sz w:val="32"/>
      <w:szCs w:val="32"/>
      <w:u w:val="single"/>
      <w:lang w:eastAsia="fr-FR"/>
    </w:rPr>
  </w:style>
  <w:style w:type="character" w:customStyle="1" w:styleId="Heading2Char">
    <w:name w:val="Heading 2 Char"/>
    <w:basedOn w:val="DefaultParagraphFont"/>
    <w:link w:val="Heading2"/>
    <w:rsid w:val="00171FCA"/>
    <w:rPr>
      <w:rFonts w:ascii="Times New Roman" w:eastAsia="Times New Roman" w:hAnsi="Times New Roman" w:cs="Arial"/>
      <w:b/>
      <w:szCs w:val="22"/>
      <w:lang w:eastAsia="fr-FR"/>
    </w:rPr>
  </w:style>
  <w:style w:type="character" w:customStyle="1" w:styleId="Heading3Char">
    <w:name w:val="Heading 3 Char"/>
    <w:basedOn w:val="DefaultParagraphFont"/>
    <w:link w:val="Heading3"/>
    <w:rsid w:val="00171FCA"/>
    <w:rPr>
      <w:rFonts w:ascii="Times New Roman" w:eastAsia="Times New Roman" w:hAnsi="Times New Roman" w:cs="Times New Roman"/>
      <w:iCs/>
      <w:lang w:eastAsia="fr-FR"/>
    </w:rPr>
  </w:style>
  <w:style w:type="character" w:customStyle="1" w:styleId="Heading4Char">
    <w:name w:val="Heading 4 Char"/>
    <w:basedOn w:val="DefaultParagraphFont"/>
    <w:link w:val="Heading4"/>
    <w:rsid w:val="00171FCA"/>
    <w:rPr>
      <w:rFonts w:ascii="Times New Roman" w:eastAsia="Times New Roman" w:hAnsi="Times New Roman" w:cs="Times New Roman"/>
      <w:b/>
      <w:bCs/>
      <w:iCs/>
      <w:lang w:eastAsia="fr-FR"/>
    </w:rPr>
  </w:style>
  <w:style w:type="character" w:customStyle="1" w:styleId="Heading5Char">
    <w:name w:val="Heading 5 Char"/>
    <w:basedOn w:val="DefaultParagraphFont"/>
    <w:link w:val="Heading5"/>
    <w:rsid w:val="00171FCA"/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character" w:customStyle="1" w:styleId="Heading6Char">
    <w:name w:val="Heading 6 Char"/>
    <w:basedOn w:val="DefaultParagraphFont"/>
    <w:link w:val="Heading6"/>
    <w:rsid w:val="00171FCA"/>
    <w:rPr>
      <w:rFonts w:ascii="Times New Roman" w:eastAsia="Times New Roman" w:hAnsi="Times New Roman" w:cs="Times New Roman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rsid w:val="00171FCA"/>
    <w:rPr>
      <w:rFonts w:ascii="Times New Roman" w:eastAsia="Times New Roman" w:hAnsi="Times New Roman" w:cs="Times New Roman"/>
      <w:lang w:eastAsia="fr-FR"/>
    </w:rPr>
  </w:style>
  <w:style w:type="character" w:customStyle="1" w:styleId="Heading8Char">
    <w:name w:val="Heading 8 Char"/>
    <w:basedOn w:val="DefaultParagraphFont"/>
    <w:link w:val="Heading8"/>
    <w:rsid w:val="00171FCA"/>
    <w:rPr>
      <w:rFonts w:ascii="Times New Roman" w:eastAsia="Times New Roman" w:hAnsi="Times New Roman" w:cs="Times New Roman"/>
      <w:i/>
      <w:iCs/>
      <w:lang w:eastAsia="fr-FR"/>
    </w:rPr>
  </w:style>
  <w:style w:type="character" w:customStyle="1" w:styleId="Heading9Char">
    <w:name w:val="Heading 9 Char"/>
    <w:basedOn w:val="DefaultParagraphFont"/>
    <w:link w:val="Heading9"/>
    <w:rsid w:val="00171FCA"/>
    <w:rPr>
      <w:rFonts w:ascii="Arial" w:eastAsia="Times New Roman" w:hAnsi="Arial" w:cs="Arial"/>
      <w:sz w:val="22"/>
      <w:szCs w:val="22"/>
      <w:lang w:eastAsia="fr-FR"/>
    </w:rPr>
  </w:style>
  <w:style w:type="character" w:customStyle="1" w:styleId="c4z2avtcy">
    <w:name w:val="c4_z2avtcy"/>
    <w:basedOn w:val="DefaultParagraphFont"/>
    <w:rsid w:val="00171FCA"/>
  </w:style>
  <w:style w:type="paragraph" w:styleId="BodyText">
    <w:name w:val="Body Text"/>
    <w:aliases w:val="Body text"/>
    <w:basedOn w:val="Normal"/>
    <w:link w:val="BodyTextChar"/>
    <w:uiPriority w:val="99"/>
    <w:rsid w:val="00171FC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aliases w:val="Body text Char"/>
    <w:basedOn w:val="DefaultParagraphFont"/>
    <w:link w:val="BodyText"/>
    <w:uiPriority w:val="99"/>
    <w:rsid w:val="00171FC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rsid w:val="00171F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171F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71FCA"/>
  </w:style>
  <w:style w:type="paragraph" w:styleId="Footer">
    <w:name w:val="footer"/>
    <w:basedOn w:val="Normal"/>
    <w:link w:val="FooterChar"/>
    <w:rsid w:val="00171F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71FCA"/>
  </w:style>
  <w:style w:type="character" w:customStyle="1" w:styleId="tlid-translationtranslation">
    <w:name w:val="tlid-translation translation"/>
    <w:basedOn w:val="DefaultParagraphFont"/>
    <w:rsid w:val="00171FCA"/>
  </w:style>
  <w:style w:type="character" w:styleId="CommentReference">
    <w:name w:val="annotation reference"/>
    <w:basedOn w:val="DefaultParagraphFont"/>
    <w:uiPriority w:val="99"/>
    <w:semiHidden/>
    <w:unhideWhenUsed/>
    <w:rsid w:val="00171F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Cabarrocas</dc:creator>
  <cp:keywords/>
  <cp:lastModifiedBy>Arun Vennila G.</cp:lastModifiedBy>
  <cp:revision>5</cp:revision>
  <dcterms:created xsi:type="dcterms:W3CDTF">2020-09-08T07:37:00Z</dcterms:created>
  <dcterms:modified xsi:type="dcterms:W3CDTF">2020-09-26T11:51:00Z</dcterms:modified>
</cp:coreProperties>
</file>