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F6" w:rsidRPr="00EF1FF6" w:rsidRDefault="00184E20" w:rsidP="00EF1FF6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Additional</w:t>
      </w:r>
      <w:r w:rsidR="00EF1FF6" w:rsidRPr="00EF1FF6">
        <w:rPr>
          <w:rFonts w:ascii="Calibri" w:eastAsia="Calibri" w:hAnsi="Calibri" w:cs="Times New Roman"/>
          <w:b/>
          <w:sz w:val="20"/>
          <w:szCs w:val="20"/>
        </w:rPr>
        <w:t xml:space="preserve"> Table </w:t>
      </w:r>
      <w:r>
        <w:rPr>
          <w:rFonts w:ascii="Calibri" w:eastAsia="Calibri" w:hAnsi="Calibri" w:cs="Times New Roman"/>
          <w:b/>
          <w:sz w:val="20"/>
          <w:szCs w:val="20"/>
        </w:rPr>
        <w:t>S</w:t>
      </w:r>
      <w:bookmarkStart w:id="0" w:name="_GoBack"/>
      <w:bookmarkEnd w:id="0"/>
      <w:r w:rsidR="00EF1FF6" w:rsidRPr="00EF1FF6">
        <w:rPr>
          <w:rFonts w:ascii="Calibri" w:eastAsia="Calibri" w:hAnsi="Calibri" w:cs="Times New Roman"/>
          <w:b/>
          <w:sz w:val="20"/>
          <w:szCs w:val="20"/>
        </w:rPr>
        <w:t>1: Final mixed selected model with neutropenia and centre effect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693"/>
        <w:gridCol w:w="1276"/>
      </w:tblGrid>
      <w:tr w:rsidR="00EF1FF6" w:rsidRPr="00EF1FF6" w:rsidTr="00EC1D91"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Odds Ratio (95% 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P value</w:t>
            </w:r>
          </w:p>
        </w:tc>
      </w:tr>
      <w:tr w:rsidR="00EF1FF6" w:rsidRPr="00EF1FF6" w:rsidTr="00EC1D91">
        <w:tc>
          <w:tcPr>
            <w:tcW w:w="4503" w:type="dxa"/>
            <w:tcBorders>
              <w:top w:val="single" w:sz="4" w:space="0" w:color="auto"/>
            </w:tcBorders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Age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1.02 (1.01-1.03)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&lt;0.001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b/>
                <w:sz w:val="20"/>
                <w:szCs w:val="20"/>
              </w:rPr>
              <w:t>Immunosuppression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 xml:space="preserve">   Chronic leukaemia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0.64 (0.34-1.21)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0.17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 xml:space="preserve">   Hodgkin disease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1.31 (0.55-3.10)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0.54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 xml:space="preserve">   Immunosuppressive drugs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0.61 (0.34-1.09)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0.09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 xml:space="preserve">   Myeloma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0.70 (0.42-1.16)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0.17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 xml:space="preserve">   Non Hodgkin disease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1.39 (0.87-2.20)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0.17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 xml:space="preserve">   Other immunosuppression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1.01 (0.61-1.70)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0.96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 xml:space="preserve">   Solid tumor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1.22 (0.82-1.80)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0.32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 xml:space="preserve">   Systemic disease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1.02 (0.62-1.69)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0.93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BF79BC" w:rsidRDefault="00EF1FF6" w:rsidP="00BF79BC">
            <w:pPr>
              <w:spacing w:line="48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GB"/>
              </w:rPr>
            </w:pPr>
            <w:r w:rsidRPr="00BF79BC">
              <w:rPr>
                <w:rFonts w:ascii="Calibri" w:eastAsia="Calibri" w:hAnsi="Calibri" w:cs="Times New Roman"/>
                <w:b/>
                <w:sz w:val="20"/>
                <w:szCs w:val="20"/>
                <w:lang w:val="en-GB"/>
              </w:rPr>
              <w:t xml:space="preserve">Diagnosis of </w:t>
            </w:r>
            <w:r w:rsidR="00BF79BC" w:rsidRPr="00BF79BC">
              <w:rPr>
                <w:rFonts w:ascii="Calibri" w:eastAsia="Calibri" w:hAnsi="Calibri" w:cs="Times New Roman"/>
                <w:b/>
                <w:sz w:val="20"/>
                <w:szCs w:val="20"/>
                <w:lang w:val="en-GB"/>
              </w:rPr>
              <w:t>acute respiratory failure</w:t>
            </w:r>
          </w:p>
        </w:tc>
        <w:tc>
          <w:tcPr>
            <w:tcW w:w="2693" w:type="dxa"/>
          </w:tcPr>
          <w:p w:rsidR="00EF1FF6" w:rsidRPr="00BF79BC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EF1FF6" w:rsidRPr="00BF79BC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F79BC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 </w:t>
            </w: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Invasive fungal infection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1.35 (0.80-2.29)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0.27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 xml:space="preserve">   Other diagnosis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0.87 (0.65-1.16)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0.33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 xml:space="preserve">   Pneumocystis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1.32 (0.68-2.58)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0.42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 xml:space="preserve">   Unknown diagnosis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1.50 (0.96-2.32)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0.07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Vasopressors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2.61 (2.01-2.39)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&lt;0.001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BF79BC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Renal replacement therapy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2.20 (1.57-3.07)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&lt;0.001</w:t>
            </w:r>
          </w:p>
        </w:tc>
      </w:tr>
      <w:tr w:rsidR="00EF1FF6" w:rsidRPr="00EF1FF6" w:rsidTr="00EC1D91">
        <w:tc>
          <w:tcPr>
            <w:tcW w:w="450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Neutropenia</w:t>
            </w:r>
          </w:p>
        </w:tc>
        <w:tc>
          <w:tcPr>
            <w:tcW w:w="2693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1.40 (0.93-2.11)</w:t>
            </w:r>
          </w:p>
        </w:tc>
        <w:tc>
          <w:tcPr>
            <w:tcW w:w="1276" w:type="dxa"/>
          </w:tcPr>
          <w:p w:rsidR="00EF1FF6" w:rsidRPr="00EF1FF6" w:rsidRDefault="00EF1FF6" w:rsidP="00EF1FF6">
            <w:pPr>
              <w:spacing w:line="48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F1FF6">
              <w:rPr>
                <w:rFonts w:ascii="Calibri" w:eastAsia="Calibri" w:hAnsi="Calibri" w:cs="Times New Roman"/>
                <w:sz w:val="20"/>
                <w:szCs w:val="20"/>
              </w:rPr>
              <w:t>0.11</w:t>
            </w:r>
          </w:p>
        </w:tc>
      </w:tr>
    </w:tbl>
    <w:p w:rsidR="00EF1FF6" w:rsidRPr="00EF1FF6" w:rsidRDefault="00EF1FF6" w:rsidP="00EF1FF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F1FF6" w:rsidRPr="00EF1FF6" w:rsidRDefault="00EF1FF6" w:rsidP="00EF1FF6">
      <w:pPr>
        <w:spacing w:after="0" w:line="240" w:lineRule="auto"/>
        <w:rPr>
          <w:rFonts w:ascii="Calibri" w:eastAsia="Calibri" w:hAnsi="Calibri" w:cs="AdvPTimes"/>
          <w:sz w:val="24"/>
          <w:szCs w:val="24"/>
        </w:rPr>
      </w:pPr>
    </w:p>
    <w:p w:rsidR="005D35B0" w:rsidRDefault="00184E20"/>
    <w:sectPr w:rsidR="005D3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Time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F6"/>
    <w:rsid w:val="00184E20"/>
    <w:rsid w:val="006974C5"/>
    <w:rsid w:val="00A50510"/>
    <w:rsid w:val="00BF79BC"/>
    <w:rsid w:val="00EF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233E82-6ABE-4F5B-B325-2F9AFFF3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FF6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>Institut Paoli Calmettes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MOKART Djamel</dc:creator>
  <cp:lastModifiedBy>Janani G.</cp:lastModifiedBy>
  <cp:revision>3</cp:revision>
  <dcterms:created xsi:type="dcterms:W3CDTF">2020-05-29T08:08:00Z</dcterms:created>
  <dcterms:modified xsi:type="dcterms:W3CDTF">2020-10-15T11:54:00Z</dcterms:modified>
</cp:coreProperties>
</file>