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00" w:rsidRPr="00133F00" w:rsidRDefault="004C0892" w:rsidP="00133F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  <w:r>
        <w:rPr>
          <w:rFonts w:ascii="Calibri" w:eastAsia="Calibri" w:hAnsi="Calibri" w:cs="Times New Roman"/>
          <w:b/>
          <w:sz w:val="20"/>
          <w:szCs w:val="20"/>
          <w:lang w:val="en-US"/>
        </w:rPr>
        <w:t>Additional</w:t>
      </w:r>
      <w:r w:rsidR="00133F00" w:rsidRPr="00133F00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Figure </w:t>
      </w:r>
      <w:r>
        <w:rPr>
          <w:rFonts w:ascii="Calibri" w:eastAsia="Calibri" w:hAnsi="Calibri" w:cs="Times New Roman"/>
          <w:b/>
          <w:sz w:val="20"/>
          <w:szCs w:val="20"/>
          <w:lang w:val="en-US"/>
        </w:rPr>
        <w:t>S</w:t>
      </w:r>
      <w:bookmarkStart w:id="0" w:name="_GoBack"/>
      <w:bookmarkEnd w:id="0"/>
      <w:r w:rsidR="00133F00" w:rsidRPr="00133F00">
        <w:rPr>
          <w:rFonts w:ascii="Calibri" w:eastAsia="Calibri" w:hAnsi="Calibri" w:cs="Times New Roman"/>
          <w:b/>
          <w:sz w:val="20"/>
          <w:szCs w:val="20"/>
          <w:lang w:val="en-US"/>
        </w:rPr>
        <w:t>3: Main etiologies of ARF in the overall population, 1316 non-neutropenic patients vs 165 neutropenic patients</w:t>
      </w:r>
    </w:p>
    <w:p w:rsidR="00133F00" w:rsidRPr="00133F00" w:rsidRDefault="00133F00" w:rsidP="00133F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:rsidR="00133F00" w:rsidRPr="00133F00" w:rsidRDefault="00133F00" w:rsidP="00133F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:rsidR="00133F00" w:rsidRPr="00133F00" w:rsidRDefault="00133F00" w:rsidP="00133F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:rsidR="00133F00" w:rsidRPr="00133F00" w:rsidRDefault="00133F00" w:rsidP="00133F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133F00">
        <w:rPr>
          <w:rFonts w:ascii="Calibri" w:eastAsia="Calibri" w:hAnsi="Calibri" w:cs="Times New Roman"/>
          <w:noProof/>
          <w:sz w:val="24"/>
          <w:szCs w:val="24"/>
          <w:lang w:val="en-IN" w:eastAsia="en-IN"/>
        </w:rPr>
        <w:drawing>
          <wp:inline distT="0" distB="0" distL="0" distR="0" wp14:anchorId="50AD40E8" wp14:editId="219FD43B">
            <wp:extent cx="5756910" cy="2130425"/>
            <wp:effectExtent l="0" t="0" r="0" b="317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855"/>
                    <a:stretch/>
                  </pic:blipFill>
                  <pic:spPr bwMode="auto">
                    <a:xfrm>
                      <a:off x="0" y="0"/>
                      <a:ext cx="57569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133F00" w:rsidRPr="0013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00"/>
    <w:rsid w:val="00133F00"/>
    <w:rsid w:val="004C0892"/>
    <w:rsid w:val="006974C5"/>
    <w:rsid w:val="00A5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2F81B1-CE10-4EC0-9F66-64BD2B89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Institut Paoli Calmettes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2</cp:revision>
  <dcterms:created xsi:type="dcterms:W3CDTF">2020-05-29T08:12:00Z</dcterms:created>
  <dcterms:modified xsi:type="dcterms:W3CDTF">2020-10-15T11:54:00Z</dcterms:modified>
</cp:coreProperties>
</file>